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3940AF">
      <w:pPr>
        <w:pStyle w:val="155"/>
        <w:snapToGrid w:val="0"/>
        <w:spacing w:before="120" w:beforeLines="50" w:line="360" w:lineRule="auto"/>
        <w:ind w:left="-480" w:leftChars="-200" w:right="204" w:rightChars="85" w:firstLine="569" w:firstLineChars="109"/>
        <w:jc w:val="center"/>
        <w:rPr>
          <w:rStyle w:val="149"/>
          <w:rFonts w:hint="eastAsia" w:ascii="宋体" w:hAnsi="宋体" w:eastAsia="宋体" w:cs="宋体"/>
          <w:b/>
          <w:bCs/>
          <w:color w:val="000000"/>
          <w:kern w:val="0"/>
          <w:sz w:val="52"/>
          <w:szCs w:val="52"/>
          <w:highlight w:val="none"/>
          <w:lang w:eastAsia="zh-CN"/>
        </w:rPr>
      </w:pPr>
      <w:r>
        <w:rPr>
          <w:rStyle w:val="149"/>
          <w:rFonts w:hint="eastAsia" w:ascii="宋体" w:hAnsi="宋体" w:eastAsia="宋体" w:cs="宋体"/>
          <w:b/>
          <w:bCs/>
          <w:color w:val="000000"/>
          <w:kern w:val="0"/>
          <w:sz w:val="52"/>
          <w:szCs w:val="52"/>
          <w:highlight w:val="none"/>
          <w:lang w:eastAsia="zh-CN"/>
        </w:rPr>
        <w:t>乐昌市“山乡古韵”西京古道乡村振兴示范带项目（秀水段）中排村施工</w:t>
      </w:r>
    </w:p>
    <w:p w14:paraId="2287937F">
      <w:pPr>
        <w:pStyle w:val="155"/>
        <w:snapToGrid w:val="0"/>
        <w:jc w:val="center"/>
        <w:rPr>
          <w:rStyle w:val="149"/>
          <w:rFonts w:hint="eastAsia" w:ascii="宋体" w:hAnsi="宋体" w:eastAsia="宋体" w:cs="宋体"/>
          <w:b/>
          <w:bCs/>
          <w:color w:val="000000"/>
          <w:kern w:val="0"/>
          <w:sz w:val="96"/>
          <w:szCs w:val="96"/>
          <w:highlight w:val="none"/>
        </w:rPr>
      </w:pPr>
    </w:p>
    <w:p w14:paraId="15B7839E">
      <w:pPr>
        <w:pStyle w:val="155"/>
        <w:snapToGrid w:val="0"/>
        <w:jc w:val="center"/>
        <w:rPr>
          <w:rStyle w:val="149"/>
          <w:rFonts w:hint="eastAsia" w:ascii="宋体" w:hAnsi="宋体" w:eastAsia="宋体" w:cs="宋体"/>
          <w:b/>
          <w:bCs/>
          <w:color w:val="000000"/>
          <w:kern w:val="0"/>
          <w:sz w:val="96"/>
          <w:szCs w:val="96"/>
          <w:highlight w:val="none"/>
        </w:rPr>
      </w:pPr>
    </w:p>
    <w:p w14:paraId="2C4C74EE">
      <w:pPr>
        <w:pStyle w:val="155"/>
        <w:snapToGrid w:val="0"/>
        <w:jc w:val="center"/>
        <w:rPr>
          <w:rStyle w:val="149"/>
          <w:rFonts w:hint="eastAsia" w:ascii="宋体" w:hAnsi="宋体" w:eastAsia="宋体" w:cs="宋体"/>
          <w:b/>
          <w:bCs/>
          <w:color w:val="000000"/>
          <w:kern w:val="0"/>
          <w:sz w:val="84"/>
          <w:szCs w:val="84"/>
          <w:highlight w:val="none"/>
        </w:rPr>
      </w:pPr>
      <w:r>
        <w:rPr>
          <w:rStyle w:val="149"/>
          <w:rFonts w:hint="eastAsia" w:ascii="宋体" w:hAnsi="宋体" w:eastAsia="宋体" w:cs="宋体"/>
          <w:b/>
          <w:bCs/>
          <w:color w:val="000000"/>
          <w:kern w:val="0"/>
          <w:sz w:val="72"/>
          <w:szCs w:val="72"/>
          <w:highlight w:val="none"/>
        </w:rPr>
        <w:t>招标文件</w:t>
      </w:r>
    </w:p>
    <w:p w14:paraId="3597409E">
      <w:pPr>
        <w:pStyle w:val="155"/>
        <w:snapToGrid w:val="0"/>
        <w:spacing w:line="360" w:lineRule="auto"/>
        <w:jc w:val="center"/>
        <w:rPr>
          <w:rStyle w:val="149"/>
          <w:rFonts w:hint="eastAsia" w:ascii="宋体" w:hAnsi="宋体" w:eastAsia="宋体" w:cs="宋体"/>
          <w:b/>
          <w:bCs/>
          <w:color w:val="000000"/>
          <w:kern w:val="0"/>
          <w:sz w:val="48"/>
          <w:szCs w:val="48"/>
          <w:highlight w:val="none"/>
        </w:rPr>
      </w:pPr>
    </w:p>
    <w:p w14:paraId="63D35352">
      <w:pPr>
        <w:pStyle w:val="155"/>
        <w:snapToGrid w:val="0"/>
        <w:spacing w:line="360" w:lineRule="auto"/>
        <w:jc w:val="center"/>
        <w:rPr>
          <w:rStyle w:val="149"/>
          <w:rFonts w:hint="eastAsia" w:ascii="宋体" w:hAnsi="宋体" w:eastAsia="宋体" w:cs="宋体"/>
          <w:b/>
          <w:bCs/>
          <w:color w:val="000000"/>
          <w:kern w:val="0"/>
          <w:sz w:val="48"/>
          <w:szCs w:val="48"/>
          <w:highlight w:val="none"/>
        </w:rPr>
      </w:pPr>
    </w:p>
    <w:p w14:paraId="0A3EEB1D">
      <w:pPr>
        <w:pStyle w:val="155"/>
        <w:snapToGrid w:val="0"/>
        <w:spacing w:line="360" w:lineRule="auto"/>
        <w:rPr>
          <w:rStyle w:val="149"/>
          <w:rFonts w:hint="eastAsia" w:ascii="宋体" w:hAnsi="宋体" w:eastAsia="宋体" w:cs="宋体"/>
          <w:b/>
          <w:bCs/>
          <w:color w:val="000000"/>
          <w:kern w:val="0"/>
          <w:sz w:val="48"/>
          <w:szCs w:val="48"/>
          <w:highlight w:val="none"/>
        </w:rPr>
      </w:pPr>
    </w:p>
    <w:tbl>
      <w:tblPr>
        <w:tblStyle w:val="30"/>
        <w:tblW w:w="10213" w:type="dxa"/>
        <w:jc w:val="center"/>
        <w:tblLayout w:type="fixed"/>
        <w:tblCellMar>
          <w:top w:w="0" w:type="dxa"/>
          <w:left w:w="0" w:type="dxa"/>
          <w:bottom w:w="0" w:type="dxa"/>
          <w:right w:w="0" w:type="dxa"/>
        </w:tblCellMar>
      </w:tblPr>
      <w:tblGrid>
        <w:gridCol w:w="5364"/>
        <w:gridCol w:w="4849"/>
      </w:tblGrid>
      <w:tr w14:paraId="03E0C9DB">
        <w:tblPrEx>
          <w:tblCellMar>
            <w:top w:w="0" w:type="dxa"/>
            <w:left w:w="0" w:type="dxa"/>
            <w:bottom w:w="0" w:type="dxa"/>
            <w:right w:w="0" w:type="dxa"/>
          </w:tblCellMar>
        </w:tblPrEx>
        <w:trPr>
          <w:trHeight w:val="990" w:hRule="atLeast"/>
          <w:jc w:val="center"/>
        </w:trPr>
        <w:tc>
          <w:tcPr>
            <w:tcW w:w="5364" w:type="dxa"/>
            <w:noWrap w:val="0"/>
            <w:vAlign w:val="center"/>
          </w:tcPr>
          <w:p w14:paraId="743FC0CE">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  标  人（盖单位章）：</w:t>
            </w:r>
          </w:p>
        </w:tc>
        <w:tc>
          <w:tcPr>
            <w:tcW w:w="4849" w:type="dxa"/>
            <w:noWrap w:val="0"/>
            <w:vAlign w:val="center"/>
          </w:tcPr>
          <w:p w14:paraId="1BBF3BEF">
            <w:pPr>
              <w:pStyle w:val="156"/>
              <w:snapToGrid w:val="0"/>
              <w:spacing w:line="240" w:lineRule="auto"/>
              <w:rPr>
                <w:rStyle w:val="149"/>
                <w:rFonts w:hint="eastAsia" w:ascii="宋体" w:hAnsi="宋体" w:eastAsia="宋体" w:cs="宋体"/>
                <w:color w:val="000000"/>
                <w:kern w:val="0"/>
                <w:sz w:val="28"/>
                <w:szCs w:val="28"/>
                <w:highlight w:val="none"/>
                <w:lang w:eastAsia="zh-CN"/>
              </w:rPr>
            </w:pPr>
            <w:r>
              <w:rPr>
                <w:rFonts w:hint="eastAsia" w:hAnsi="宋体" w:cs="宋体"/>
                <w:color w:val="auto"/>
                <w:sz w:val="28"/>
                <w:szCs w:val="28"/>
                <w:highlight w:val="none"/>
                <w:lang w:eastAsia="zh-CN"/>
              </w:rPr>
              <w:t>乐昌市秀水镇人民政府</w:t>
            </w:r>
          </w:p>
        </w:tc>
      </w:tr>
      <w:tr w14:paraId="0BD515D8">
        <w:tblPrEx>
          <w:tblCellMar>
            <w:top w:w="0" w:type="dxa"/>
            <w:left w:w="0" w:type="dxa"/>
            <w:bottom w:w="0" w:type="dxa"/>
            <w:right w:w="0" w:type="dxa"/>
          </w:tblCellMar>
        </w:tblPrEx>
        <w:trPr>
          <w:trHeight w:val="812" w:hRule="atLeast"/>
          <w:jc w:val="center"/>
        </w:trPr>
        <w:tc>
          <w:tcPr>
            <w:tcW w:w="5364" w:type="dxa"/>
            <w:noWrap w:val="0"/>
            <w:vAlign w:val="center"/>
          </w:tcPr>
          <w:p w14:paraId="37D228D8">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招标人工作领导小组负责人（签字）：</w:t>
            </w:r>
          </w:p>
        </w:tc>
        <w:tc>
          <w:tcPr>
            <w:tcW w:w="4849" w:type="dxa"/>
            <w:noWrap w:val="0"/>
            <w:vAlign w:val="center"/>
          </w:tcPr>
          <w:p w14:paraId="18BD5EDB">
            <w:pPr>
              <w:pStyle w:val="156"/>
              <w:snapToGrid w:val="0"/>
              <w:spacing w:line="240" w:lineRule="auto"/>
              <w:rPr>
                <w:rStyle w:val="149"/>
                <w:rFonts w:hint="eastAsia" w:ascii="宋体" w:hAnsi="宋体" w:eastAsia="宋体" w:cs="宋体"/>
                <w:color w:val="000000"/>
                <w:kern w:val="0"/>
                <w:sz w:val="28"/>
                <w:szCs w:val="28"/>
                <w:highlight w:val="none"/>
              </w:rPr>
            </w:pPr>
          </w:p>
        </w:tc>
      </w:tr>
      <w:tr w14:paraId="19ED9722">
        <w:tblPrEx>
          <w:tblCellMar>
            <w:top w:w="0" w:type="dxa"/>
            <w:left w:w="0" w:type="dxa"/>
            <w:bottom w:w="0" w:type="dxa"/>
            <w:right w:w="0" w:type="dxa"/>
          </w:tblCellMar>
        </w:tblPrEx>
        <w:trPr>
          <w:trHeight w:val="807" w:hRule="atLeast"/>
          <w:jc w:val="center"/>
        </w:trPr>
        <w:tc>
          <w:tcPr>
            <w:tcW w:w="5364" w:type="dxa"/>
            <w:noWrap w:val="0"/>
            <w:vAlign w:val="center"/>
          </w:tcPr>
          <w:p w14:paraId="54C06AAD">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 标 代 理 机 构 （盖单位章）：</w:t>
            </w:r>
          </w:p>
        </w:tc>
        <w:tc>
          <w:tcPr>
            <w:tcW w:w="4849" w:type="dxa"/>
            <w:noWrap w:val="0"/>
            <w:vAlign w:val="center"/>
          </w:tcPr>
          <w:p w14:paraId="78A5B8B2">
            <w:pPr>
              <w:pStyle w:val="156"/>
              <w:snapToGrid w:val="0"/>
              <w:spacing w:line="240" w:lineRule="auto"/>
              <w:rPr>
                <w:rStyle w:val="149"/>
                <w:rFonts w:hint="eastAsia" w:ascii="宋体" w:hAnsi="宋体" w:eastAsia="宋体" w:cs="宋体"/>
                <w:color w:val="000000"/>
                <w:kern w:val="0"/>
                <w:sz w:val="28"/>
                <w:szCs w:val="28"/>
                <w:highlight w:val="none"/>
              </w:rPr>
            </w:pPr>
            <w:r>
              <w:rPr>
                <w:rStyle w:val="149"/>
                <w:rFonts w:hint="eastAsia" w:hAnsi="宋体" w:cs="宋体"/>
                <w:color w:val="auto"/>
                <w:kern w:val="0"/>
                <w:sz w:val="28"/>
                <w:szCs w:val="28"/>
                <w:highlight w:val="none"/>
                <w:lang w:val="en-US" w:eastAsia="zh-CN"/>
              </w:rPr>
              <w:t>韶关太古工程咨询有限公司</w:t>
            </w:r>
          </w:p>
        </w:tc>
      </w:tr>
      <w:tr w14:paraId="76EC86D0">
        <w:tblPrEx>
          <w:tblCellMar>
            <w:top w:w="0" w:type="dxa"/>
            <w:left w:w="0" w:type="dxa"/>
            <w:bottom w:w="0" w:type="dxa"/>
            <w:right w:w="0" w:type="dxa"/>
          </w:tblCellMar>
        </w:tblPrEx>
        <w:trPr>
          <w:trHeight w:val="931" w:hRule="atLeast"/>
          <w:jc w:val="center"/>
        </w:trPr>
        <w:tc>
          <w:tcPr>
            <w:tcW w:w="5364" w:type="dxa"/>
            <w:noWrap w:val="0"/>
            <w:vAlign w:val="center"/>
          </w:tcPr>
          <w:p w14:paraId="369D3BE2">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招标文件编制人（签字）：</w:t>
            </w:r>
          </w:p>
        </w:tc>
        <w:tc>
          <w:tcPr>
            <w:tcW w:w="4849" w:type="dxa"/>
            <w:noWrap w:val="0"/>
            <w:vAlign w:val="center"/>
          </w:tcPr>
          <w:p w14:paraId="4C1BD9C6">
            <w:pPr>
              <w:pStyle w:val="156"/>
              <w:snapToGrid w:val="0"/>
              <w:spacing w:line="240" w:lineRule="auto"/>
              <w:rPr>
                <w:rStyle w:val="149"/>
                <w:rFonts w:hint="eastAsia" w:ascii="宋体" w:hAnsi="宋体" w:eastAsia="宋体" w:cs="宋体"/>
                <w:color w:val="000000"/>
                <w:kern w:val="0"/>
                <w:sz w:val="28"/>
                <w:szCs w:val="28"/>
                <w:highlight w:val="none"/>
              </w:rPr>
            </w:pPr>
          </w:p>
        </w:tc>
      </w:tr>
      <w:tr w14:paraId="43D37E7A">
        <w:tblPrEx>
          <w:tblCellMar>
            <w:top w:w="0" w:type="dxa"/>
            <w:left w:w="0" w:type="dxa"/>
            <w:bottom w:w="0" w:type="dxa"/>
            <w:right w:w="0" w:type="dxa"/>
          </w:tblCellMar>
        </w:tblPrEx>
        <w:trPr>
          <w:trHeight w:val="901" w:hRule="atLeast"/>
          <w:jc w:val="center"/>
        </w:trPr>
        <w:tc>
          <w:tcPr>
            <w:tcW w:w="5364" w:type="dxa"/>
            <w:noWrap w:val="0"/>
            <w:vAlign w:val="center"/>
          </w:tcPr>
          <w:p w14:paraId="2CEF2E67">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招标代理机构项目负责人（签字）：</w:t>
            </w:r>
          </w:p>
        </w:tc>
        <w:tc>
          <w:tcPr>
            <w:tcW w:w="4849" w:type="dxa"/>
            <w:noWrap w:val="0"/>
            <w:vAlign w:val="center"/>
          </w:tcPr>
          <w:p w14:paraId="1A6902C7">
            <w:pPr>
              <w:pStyle w:val="156"/>
              <w:snapToGrid w:val="0"/>
              <w:spacing w:line="240" w:lineRule="auto"/>
              <w:rPr>
                <w:rStyle w:val="149"/>
                <w:rFonts w:hint="eastAsia" w:ascii="宋体" w:hAnsi="宋体" w:eastAsia="宋体" w:cs="宋体"/>
                <w:color w:val="000000"/>
                <w:kern w:val="0"/>
                <w:sz w:val="28"/>
                <w:szCs w:val="28"/>
                <w:highlight w:val="none"/>
              </w:rPr>
            </w:pPr>
          </w:p>
        </w:tc>
      </w:tr>
      <w:tr w14:paraId="6346E94C">
        <w:tblPrEx>
          <w:tblCellMar>
            <w:top w:w="0" w:type="dxa"/>
            <w:left w:w="0" w:type="dxa"/>
            <w:bottom w:w="0" w:type="dxa"/>
            <w:right w:w="0" w:type="dxa"/>
          </w:tblCellMar>
        </w:tblPrEx>
        <w:trPr>
          <w:trHeight w:val="800" w:hRule="atLeast"/>
          <w:jc w:val="center"/>
        </w:trPr>
        <w:tc>
          <w:tcPr>
            <w:tcW w:w="5364" w:type="dxa"/>
            <w:noWrap w:val="0"/>
            <w:vAlign w:val="center"/>
          </w:tcPr>
          <w:p w14:paraId="312E8204">
            <w:pPr>
              <w:pStyle w:val="156"/>
              <w:snapToGrid w:val="0"/>
              <w:spacing w:line="240" w:lineRule="auto"/>
              <w:jc w:val="distribute"/>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 xml:space="preserve"> 招标文件编制日期：</w:t>
            </w:r>
          </w:p>
        </w:tc>
        <w:tc>
          <w:tcPr>
            <w:tcW w:w="4849" w:type="dxa"/>
            <w:noWrap w:val="0"/>
            <w:vAlign w:val="center"/>
          </w:tcPr>
          <w:p w14:paraId="298953CB">
            <w:pPr>
              <w:pStyle w:val="156"/>
              <w:snapToGrid w:val="0"/>
              <w:spacing w:line="240" w:lineRule="auto"/>
              <w:rPr>
                <w:rStyle w:val="149"/>
                <w:rFonts w:hint="eastAsia" w:ascii="宋体" w:hAnsi="宋体" w:eastAsia="宋体" w:cs="宋体"/>
                <w:color w:val="000000"/>
                <w:kern w:val="0"/>
                <w:sz w:val="28"/>
                <w:szCs w:val="28"/>
                <w:highlight w:val="none"/>
              </w:rPr>
            </w:pPr>
            <w:r>
              <w:rPr>
                <w:rStyle w:val="149"/>
                <w:rFonts w:hint="eastAsia" w:ascii="宋体" w:hAnsi="宋体" w:eastAsia="宋体" w:cs="宋体"/>
                <w:color w:val="000000"/>
                <w:kern w:val="0"/>
                <w:sz w:val="28"/>
                <w:szCs w:val="28"/>
                <w:highlight w:val="none"/>
              </w:rPr>
              <w:t>202</w:t>
            </w:r>
            <w:r>
              <w:rPr>
                <w:rStyle w:val="149"/>
                <w:rFonts w:hint="eastAsia" w:hAnsi="宋体" w:cs="宋体"/>
                <w:color w:val="000000"/>
                <w:kern w:val="0"/>
                <w:sz w:val="28"/>
                <w:szCs w:val="28"/>
                <w:highlight w:val="none"/>
                <w:lang w:val="en-US" w:eastAsia="zh-CN"/>
              </w:rPr>
              <w:t>5</w:t>
            </w:r>
            <w:r>
              <w:rPr>
                <w:rStyle w:val="149"/>
                <w:rFonts w:hint="eastAsia" w:ascii="宋体" w:hAnsi="宋体" w:eastAsia="宋体" w:cs="宋体"/>
                <w:color w:val="000000"/>
                <w:kern w:val="0"/>
                <w:sz w:val="28"/>
                <w:szCs w:val="28"/>
                <w:highlight w:val="none"/>
              </w:rPr>
              <w:t>年</w:t>
            </w:r>
            <w:r>
              <w:rPr>
                <w:rStyle w:val="149"/>
                <w:rFonts w:hint="eastAsia" w:hAnsi="宋体" w:cs="宋体"/>
                <w:color w:val="000000"/>
                <w:kern w:val="0"/>
                <w:sz w:val="28"/>
                <w:szCs w:val="28"/>
                <w:highlight w:val="none"/>
                <w:lang w:val="en-US" w:eastAsia="zh-CN"/>
              </w:rPr>
              <w:t>10</w:t>
            </w:r>
            <w:r>
              <w:rPr>
                <w:rStyle w:val="149"/>
                <w:rFonts w:hint="eastAsia" w:ascii="宋体" w:hAnsi="宋体" w:eastAsia="宋体" w:cs="宋体"/>
                <w:color w:val="000000"/>
                <w:kern w:val="0"/>
                <w:sz w:val="28"/>
                <w:szCs w:val="28"/>
                <w:highlight w:val="none"/>
              </w:rPr>
              <w:t>月</w:t>
            </w:r>
          </w:p>
        </w:tc>
      </w:tr>
    </w:tbl>
    <w:p w14:paraId="6F98B1A6">
      <w:pPr>
        <w:tabs>
          <w:tab w:val="left" w:pos="4935"/>
        </w:tabs>
        <w:snapToGrid w:val="0"/>
        <w:spacing w:line="240" w:lineRule="auto"/>
        <w:rPr>
          <w:rStyle w:val="149"/>
          <w:rFonts w:hint="eastAsia" w:ascii="宋体" w:hAnsi="宋体" w:eastAsia="宋体" w:cs="宋体"/>
          <w:b/>
          <w:bCs/>
          <w:color w:val="auto"/>
          <w:kern w:val="0"/>
          <w:sz w:val="28"/>
          <w:szCs w:val="28"/>
          <w:highlight w:val="none"/>
        </w:rPr>
        <w:sectPr>
          <w:footerReference r:id="rId5" w:type="default"/>
          <w:endnotePr>
            <w:numFmt w:val="decimal"/>
          </w:endnotePr>
          <w:pgSz w:w="11906" w:h="16838"/>
          <w:pgMar w:top="1701" w:right="1015" w:bottom="1417" w:left="1531" w:header="850" w:footer="992" w:gutter="0"/>
          <w:pgNumType w:start="1"/>
          <w:cols w:space="720" w:num="1"/>
          <w:docGrid w:linePitch="327" w:charSpace="0"/>
        </w:sectPr>
      </w:pPr>
    </w:p>
    <w:p w14:paraId="00B5C7F7">
      <w:pPr>
        <w:tabs>
          <w:tab w:val="left" w:pos="4935"/>
        </w:tabs>
        <w:wordWrap w:val="0"/>
        <w:adjustRightInd w:val="0"/>
        <w:snapToGrid w:val="0"/>
        <w:spacing w:line="240" w:lineRule="auto"/>
        <w:ind w:left="0"/>
        <w:jc w:val="both"/>
        <w:rPr>
          <w:rFonts w:hint="eastAsia" w:ascii="宋体" w:hAnsi="宋体" w:eastAsia="宋体" w:cs="宋体"/>
          <w:b/>
          <w:snapToGrid w:val="0"/>
          <w:color w:val="auto"/>
          <w:kern w:val="0"/>
          <w:sz w:val="44"/>
          <w:szCs w:val="44"/>
          <w:highlight w:val="none"/>
          <w:lang w:val="en-US" w:eastAsia="zh-CN" w:bidi="ar-SA"/>
        </w:rPr>
      </w:pPr>
    </w:p>
    <w:p w14:paraId="1AD329C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0BC5A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33F9DB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B7922F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0D932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F1BA9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F35089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DA8410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BE9D0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C3D1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B66951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8F735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36CD6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397392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C9E90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5D800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D362AF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1A0FA3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A06047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E4FEE4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5490CC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8118749">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0F64B82">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F6A75C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01781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CF7A72F">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3736CD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4060B7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C30ED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74BF042">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6F4AE9F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73A00A9A">
      <w:pPr>
        <w:pStyle w:val="21"/>
        <w:tabs>
          <w:tab w:val="right" w:leader="dot" w:pos="9638"/>
        </w:tabs>
        <w:rPr>
          <w:rFonts w:hint="eastAsia" w:ascii="宋体" w:hAnsi="宋体" w:eastAsia="宋体" w:cs="宋体"/>
          <w:color w:val="auto"/>
          <w:highlight w:val="none"/>
        </w:rPr>
      </w:pPr>
      <w:bookmarkStart w:id="0" w:name="_Hlt66153951"/>
      <w:bookmarkEnd w:id="0"/>
      <w:bookmarkStart w:id="1" w:name="_Hlt66104981"/>
      <w:bookmarkEnd w:id="1"/>
      <w:bookmarkStart w:id="2" w:name="_Hlt122423813"/>
      <w:bookmarkEnd w:id="2"/>
      <w:bookmarkStart w:id="3" w:name="_Toc14635"/>
      <w:bookmarkStart w:id="4" w:name="_Toc12558"/>
      <w:bookmarkStart w:id="5" w:name="_Toc476739600"/>
      <w:bookmarkStart w:id="6" w:name="_Toc14094"/>
      <w:bookmarkStart w:id="7" w:name="_Hlt111690251"/>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_Toc15745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第一章 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607FB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_Toc20036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_Toc20036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01A27F2">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_Toc25620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_Toc25620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7AD3C9E">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_Toc25549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_Toc25549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089E67">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1．项目概况、招标范围和标段划分、投标费用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CF5E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_Toc9887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2．投标人资格要求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EB5613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_Toc1201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3．招标文件的获取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F62D6D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_Toc5590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4．</w:t>
      </w:r>
      <w:r>
        <w:rPr>
          <w:rFonts w:hint="eastAsia" w:ascii="宋体" w:hAnsi="宋体" w:eastAsia="宋体" w:cs="宋体"/>
          <w:color w:val="auto"/>
          <w:szCs w:val="24"/>
          <w:highlight w:val="none"/>
        </w:rPr>
        <w:t>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_Toc5590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8C4FC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_Toc20551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_Toc20551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3D7CD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_Toc18313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9101F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_Toc23924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F3B6C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_Toc6737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8．招标控制价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2BB64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_Toc21198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AF4E45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_Toc23366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_Toc23366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4CBCF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_Toc28292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10.1 一般要求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_Toc28292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63E111C">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_Toc10120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szCs w:val="24"/>
          <w:highlight w:val="none"/>
        </w:rPr>
        <w:t xml:space="preserve">10.2 </w:t>
      </w:r>
      <w:r>
        <w:rPr>
          <w:rFonts w:hint="eastAsia" w:ascii="宋体" w:hAnsi="宋体" w:eastAsia="宋体" w:cs="宋体"/>
          <w:bCs w:val="0"/>
          <w:snapToGrid w:val="0"/>
          <w:color w:val="auto"/>
          <w:kern w:val="0"/>
          <w:szCs w:val="24"/>
          <w:highlight w:val="none"/>
        </w:rPr>
        <w:t>商务标书的编制要求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A735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_Toc31286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szCs w:val="24"/>
          <w:highlight w:val="none"/>
          <w:lang w:val="en-US" w:eastAsia="zh-CN" w:bidi="ar-SA"/>
        </w:rPr>
        <w:t>10.3 经济标书的编制要求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_Toc31286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E8E0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01DB0F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_Toc5810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4"/>
          <w:highlight w:val="none"/>
          <w:lang w:val="en-US" w:eastAsia="zh-CN" w:bidi="ar-SA"/>
        </w:rPr>
        <w:t>12.电子投标及投标解密失败及突发情况的补救方案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D718052">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_Toc13465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_Toc13465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456D6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_Toc26221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_Toc26221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5C4B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65E834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_Toc5361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_Toc5361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706C07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_Toc13630 </w:instrText>
      </w:r>
      <w:r>
        <w:rPr>
          <w:rFonts w:hint="eastAsia" w:ascii="宋体" w:hAnsi="宋体" w:eastAsia="宋体" w:cs="宋体"/>
          <w:color w:val="auto"/>
          <w:highlight w:val="none"/>
        </w:rPr>
        <w:fldChar w:fldCharType="separate"/>
      </w:r>
      <w:r>
        <w:rPr>
          <w:rFonts w:hint="eastAsia" w:ascii="宋体" w:hAnsi="宋体" w:eastAsia="宋体" w:cs="宋体"/>
          <w:bCs/>
          <w:snapToGrid w:val="0"/>
          <w:color w:val="auto"/>
          <w:kern w:val="0"/>
          <w:highlight w:val="none"/>
        </w:rPr>
        <w:t>第四节 否决投标条件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_Toc13630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2974A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_Toc32435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第三章 拟签订合同的主要条款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_Toc32435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9BD4FB">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_Toc10983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_Toc10983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3560116">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_Toc9811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_Toc9811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F146581">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_Toc10791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3．工程付款办法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_Toc10791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07F9D0">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_Toc6608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4．专用合同条款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_Toc6608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3580266">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_Toc275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第四章 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D20D29">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_Toc29060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1．房屋建筑工程建设项目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_Toc29060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20B60A">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_Toc4794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2．市政基础设施工程建设项目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A4F85EF">
      <w:pPr>
        <w:pStyle w:val="2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_Toc10218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kern w:val="0"/>
          <w:highlight w:val="none"/>
        </w:rPr>
        <w:t>3．备查要求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_Toc10218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FF9553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_Toc2790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第五章 图纸和招标工程量清单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190EDFE">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_Toc11577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_Toc11577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64555A3">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_Toc11480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_Toc11480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2AB678D">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_Toc25393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lang w:val="en-US" w:eastAsia="zh-CN"/>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_Toc25393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2285B20">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783035">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_Toc3631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D87E3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_Toc24396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_Toc24396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720C02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_Toc23437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5D896B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_Toc3858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4CC097B">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_Toc7886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_Toc7886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03498F">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_Toc24565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_Toc24565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613018D">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_Toc13581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B357BA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_Toc12751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D45B178">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_Toc19414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格式十一 专职安全员简历表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_Toc19414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243E286">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_Toc29387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_Toc29387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18E4D7A">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_Toc17488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BEE291">
      <w:pPr>
        <w:pStyle w:val="15"/>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F811813">
      <w:pPr>
        <w:pStyle w:val="21"/>
        <w:tabs>
          <w:tab w:val="right" w:leader="dot" w:pos="963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_Toc32652 </w:instrText>
      </w:r>
      <w:r>
        <w:rPr>
          <w:rFonts w:hint="eastAsia" w:ascii="宋体" w:hAnsi="宋体" w:eastAsia="宋体" w:cs="宋体"/>
          <w:color w:val="auto"/>
          <w:highlight w:val="none"/>
        </w:rPr>
        <w:fldChar w:fldCharType="separate"/>
      </w:r>
      <w:r>
        <w:rPr>
          <w:rFonts w:hint="eastAsia" w:ascii="宋体" w:hAnsi="宋体" w:eastAsia="宋体" w:cs="宋体"/>
          <w:snapToGrid w:val="0"/>
          <w:color w:val="auto"/>
          <w:highlight w:val="none"/>
        </w:rPr>
        <w:t>第七章 建设工程施工合同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32BF27">
      <w:pPr>
        <w:pStyle w:val="2"/>
        <w:jc w:val="center"/>
        <w:rPr>
          <w:rFonts w:hint="eastAsia" w:ascii="宋体" w:hAnsi="宋体" w:eastAsia="宋体" w:cs="宋体"/>
          <w:color w:val="auto"/>
          <w:highlight w:val="none"/>
        </w:rPr>
        <w:sectPr>
          <w:footerReference r:id="rId6"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p>
    <w:p w14:paraId="0C214C67">
      <w:pPr>
        <w:pStyle w:val="3"/>
        <w:jc w:val="center"/>
        <w:outlineLvl w:val="0"/>
        <w:rPr>
          <w:rFonts w:hint="eastAsia" w:ascii="宋体" w:hAnsi="宋体" w:eastAsia="宋体" w:cs="宋体"/>
          <w:b/>
          <w:snapToGrid w:val="0"/>
          <w:color w:val="auto"/>
          <w:sz w:val="24"/>
          <w:highlight w:val="none"/>
        </w:rPr>
      </w:pPr>
      <w:bookmarkStart w:id="8" w:name="_Toc15745"/>
      <w:r>
        <w:rPr>
          <w:rFonts w:hint="eastAsia" w:ascii="宋体" w:hAnsi="宋体" w:eastAsia="宋体" w:cs="宋体"/>
          <w:b/>
          <w:snapToGrid w:val="0"/>
          <w:color w:val="auto"/>
          <w:sz w:val="24"/>
          <w:highlight w:val="none"/>
        </w:rPr>
        <w:t>第一章 投标人须知</w:t>
      </w:r>
      <w:bookmarkEnd w:id="3"/>
      <w:bookmarkEnd w:id="4"/>
      <w:bookmarkEnd w:id="5"/>
      <w:bookmarkEnd w:id="6"/>
      <w:bookmarkEnd w:id="8"/>
    </w:p>
    <w:p w14:paraId="1DEE08A3">
      <w:pPr>
        <w:pStyle w:val="4"/>
        <w:bidi w:val="0"/>
        <w:outlineLvl w:val="1"/>
        <w:rPr>
          <w:rFonts w:hint="eastAsia" w:ascii="宋体" w:hAnsi="宋体" w:eastAsia="宋体" w:cs="宋体"/>
          <w:color w:val="auto"/>
          <w:highlight w:val="none"/>
        </w:rPr>
      </w:pPr>
      <w:bookmarkStart w:id="9" w:name="_Hlt127175444"/>
      <w:bookmarkEnd w:id="9"/>
      <w:bookmarkStart w:id="10" w:name="_Toc117"/>
      <w:bookmarkStart w:id="11" w:name="_Toc22622"/>
      <w:bookmarkStart w:id="12" w:name="_Toc20036"/>
      <w:bookmarkStart w:id="13" w:name="_Toc27520"/>
      <w:bookmarkStart w:id="14" w:name="_Hlt120077520"/>
      <w:r>
        <w:rPr>
          <w:rFonts w:hint="eastAsia" w:ascii="宋体" w:hAnsi="宋体" w:eastAsia="宋体" w:cs="宋体"/>
          <w:color w:val="auto"/>
          <w:highlight w:val="none"/>
        </w:rPr>
        <w:t>第一节 投标人须知前附表</w:t>
      </w:r>
      <w:bookmarkEnd w:id="10"/>
      <w:bookmarkEnd w:id="11"/>
      <w:bookmarkEnd w:id="12"/>
      <w:bookmarkEnd w:id="13"/>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871"/>
        <w:gridCol w:w="8036"/>
      </w:tblGrid>
      <w:tr w14:paraId="7EFB44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14325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9D1BC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18C08D5">
            <w:pPr>
              <w:pageBreakBefore w:val="0"/>
              <w:tabs>
                <w:tab w:val="left" w:pos="1180"/>
              </w:tabs>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4F27A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5"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0C4EB1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37253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0DD954C">
            <w:pPr>
              <w:wordWrap w:val="0"/>
              <w:adjustRightInd w:val="0"/>
              <w:snapToGrid w:val="0"/>
              <w:spacing w:line="240" w:lineRule="auto"/>
              <w:ind w:firstLine="120" w:firstLineChars="50"/>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highlight w:val="none"/>
                <w:lang w:eastAsia="zh-CN"/>
              </w:rPr>
              <w:t>乐昌市“山乡古韵”西京古道乡村振兴示范带项目（秀水段）中排村施工</w:t>
            </w:r>
          </w:p>
        </w:tc>
      </w:tr>
      <w:tr w14:paraId="16E48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510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37961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4560008">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eastAsia="zh-CN"/>
              </w:rPr>
            </w:pPr>
            <w:r>
              <w:rPr>
                <w:rFonts w:hint="eastAsia" w:hAnsi="宋体" w:cs="宋体"/>
                <w:color w:val="auto"/>
                <w:highlight w:val="none"/>
                <w:lang w:eastAsia="zh-CN"/>
              </w:rPr>
              <w:t>乐昌市秀水镇人民政府</w:t>
            </w:r>
          </w:p>
        </w:tc>
      </w:tr>
      <w:tr w14:paraId="61A89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B5624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BEBB85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413E039">
            <w:pPr>
              <w:snapToGrid w:val="0"/>
              <w:spacing w:line="240" w:lineRule="auto"/>
              <w:ind w:firstLine="120" w:firstLineChars="5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highlight w:val="none"/>
              </w:rPr>
              <w:t>乐昌市发展和改革局</w:t>
            </w:r>
          </w:p>
        </w:tc>
      </w:tr>
      <w:tr w14:paraId="65ACE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5B6F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2C4E30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A74E99D">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乐发改投审〔2024〕85号</w:t>
            </w:r>
          </w:p>
        </w:tc>
      </w:tr>
      <w:tr w14:paraId="666FC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14E1B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B7307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8985FA6">
            <w:pPr>
              <w:snapToGrid w:val="0"/>
              <w:spacing w:line="240" w:lineRule="auto"/>
              <w:ind w:firstLine="120" w:firstLineChars="50"/>
              <w:jc w:val="left"/>
              <w:rPr>
                <w:rFonts w:hint="eastAsia" w:ascii="宋体" w:hAnsi="宋体" w:eastAsia="宋体" w:cs="宋体"/>
                <w:snapToGrid w:val="0"/>
                <w:color w:val="auto"/>
                <w:kern w:val="0"/>
                <w:sz w:val="24"/>
                <w:szCs w:val="24"/>
                <w:highlight w:val="none"/>
                <w:lang w:val="en-US" w:eastAsia="zh-CN"/>
              </w:rPr>
            </w:pPr>
            <w:r>
              <w:rPr>
                <w:rStyle w:val="149"/>
                <w:rFonts w:hint="eastAsia" w:hAnsi="宋体" w:cs="宋体"/>
                <w:color w:val="auto"/>
                <w:kern w:val="0"/>
                <w:highlight w:val="none"/>
                <w:lang w:val="en-US" w:eastAsia="zh-CN"/>
              </w:rPr>
              <w:t>2403-440281-04-01-556140</w:t>
            </w:r>
          </w:p>
        </w:tc>
      </w:tr>
      <w:tr w14:paraId="337903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D17CE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9FA83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11FCE8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30119F5">
            <w:pPr>
              <w:keepNext w:val="0"/>
              <w:keepLines w:val="0"/>
              <w:widowControl/>
              <w:suppressLineNumbers w:val="0"/>
              <w:ind w:firstLine="120" w:firstLineChars="50"/>
              <w:jc w:val="left"/>
              <w:rPr>
                <w:rFonts w:hint="eastAsia" w:ascii="宋体" w:hAnsi="宋体" w:eastAsia="宋体" w:cs="宋体"/>
                <w:snapToGrid w:val="0"/>
                <w:color w:val="auto"/>
                <w:kern w:val="0"/>
                <w:sz w:val="24"/>
                <w:szCs w:val="24"/>
                <w:highlight w:val="none"/>
              </w:rPr>
            </w:pPr>
            <w:r>
              <w:rPr>
                <w:rStyle w:val="149"/>
                <w:rFonts w:hint="eastAsia" w:hAnsi="宋体" w:cs="宋体"/>
                <w:color w:val="auto"/>
                <w:kern w:val="0"/>
                <w:highlight w:val="none"/>
                <w:lang w:val="en-US" w:eastAsia="zh-CN"/>
              </w:rPr>
              <w:t>上级财政资金及单位自筹</w:t>
            </w:r>
            <w:r>
              <w:rPr>
                <w:rStyle w:val="149"/>
                <w:rFonts w:hint="eastAsia" w:ascii="宋体" w:hAnsi="宋体" w:eastAsia="宋体" w:cs="宋体"/>
                <w:color w:val="auto"/>
                <w:kern w:val="0"/>
                <w:highlight w:val="none"/>
                <w:lang w:val="en-US" w:eastAsia="zh-CN"/>
              </w:rPr>
              <w:t>，100%</w:t>
            </w:r>
          </w:p>
        </w:tc>
      </w:tr>
      <w:tr w14:paraId="5BE55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515914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B3278F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193E3C1A">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乐昌市秀水镇人民政府</w:t>
            </w:r>
          </w:p>
        </w:tc>
      </w:tr>
      <w:tr w14:paraId="2CE40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9299FE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D783D98">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招标代理机构</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A6F3F02">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韶关太古工程咨询有限公司</w:t>
            </w:r>
          </w:p>
        </w:tc>
      </w:tr>
      <w:tr w14:paraId="43C35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1C3560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585FC21">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设计单位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F8EFCB">
            <w:pPr>
              <w:snapToGrid w:val="0"/>
              <w:spacing w:line="240" w:lineRule="auto"/>
              <w:ind w:firstLine="120" w:firstLineChars="50"/>
              <w:jc w:val="both"/>
              <w:rPr>
                <w:rStyle w:val="149"/>
                <w:rFonts w:hint="default" w:hAnsi="宋体" w:cs="宋体"/>
                <w:color w:val="auto"/>
                <w:kern w:val="0"/>
                <w:highlight w:val="none"/>
                <w:lang w:val="en-US" w:eastAsia="zh-CN"/>
              </w:rPr>
            </w:pPr>
            <w:r>
              <w:rPr>
                <w:rStyle w:val="149"/>
                <w:rFonts w:hint="eastAsia" w:hAnsi="宋体" w:cs="宋体"/>
                <w:color w:val="auto"/>
                <w:kern w:val="0"/>
                <w:highlight w:val="none"/>
                <w:lang w:val="en-US" w:eastAsia="zh-CN"/>
              </w:rPr>
              <w:t xml:space="preserve">中元天纬集团有限公司 </w:t>
            </w:r>
          </w:p>
        </w:tc>
      </w:tr>
      <w:tr w14:paraId="027437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B791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D30227C">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造价咨询单位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8290B2">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中图设计有限公司</w:t>
            </w:r>
          </w:p>
        </w:tc>
      </w:tr>
      <w:tr w14:paraId="48057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13079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F352B07">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监理单位</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B40E654">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fldChar w:fldCharType="begin"/>
            </w:r>
            <w:r>
              <w:rPr>
                <w:rStyle w:val="149"/>
                <w:rFonts w:hint="eastAsia" w:hAnsi="宋体" w:cs="宋体"/>
                <w:color w:val="auto"/>
                <w:kern w:val="0"/>
                <w:highlight w:val="none"/>
                <w:lang w:val="en-US" w:eastAsia="zh-CN"/>
              </w:rPr>
              <w:instrText xml:space="preserve"> HYPERLINK "https://ygp.gdzwfw.gov.cn/zjfwcs/gd-zjcs-pub/zjfw/serviceView/91442000MA55RYB51P" \t "https://ygp.gdzwfw.gov.cn/zjfwcs/gd-zjcs-pub/bidResultNotice/view/_black" </w:instrText>
            </w:r>
            <w:r>
              <w:rPr>
                <w:rStyle w:val="149"/>
                <w:rFonts w:hint="eastAsia" w:hAnsi="宋体" w:cs="宋体"/>
                <w:color w:val="auto"/>
                <w:kern w:val="0"/>
                <w:highlight w:val="none"/>
                <w:lang w:val="en-US" w:eastAsia="zh-CN"/>
              </w:rPr>
              <w:fldChar w:fldCharType="separate"/>
            </w:r>
            <w:r>
              <w:rPr>
                <w:rStyle w:val="149"/>
                <w:rFonts w:hint="eastAsia" w:hAnsi="宋体" w:cs="宋体"/>
                <w:color w:val="auto"/>
                <w:kern w:val="0"/>
                <w:highlight w:val="none"/>
                <w:lang w:val="en-US" w:eastAsia="zh-CN"/>
              </w:rPr>
              <w:t>/</w:t>
            </w:r>
            <w:r>
              <w:rPr>
                <w:rStyle w:val="149"/>
                <w:rFonts w:hint="default" w:hAnsi="宋体" w:cs="宋体"/>
                <w:color w:val="auto"/>
                <w:kern w:val="0"/>
                <w:highlight w:val="none"/>
                <w:lang w:val="en-US" w:eastAsia="zh-CN"/>
              </w:rPr>
              <w:fldChar w:fldCharType="end"/>
            </w:r>
          </w:p>
        </w:tc>
      </w:tr>
      <w:tr w14:paraId="23DE92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9BFB4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177CE0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F108AFE">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乐昌市秀水镇中排村</w:t>
            </w:r>
          </w:p>
        </w:tc>
      </w:tr>
      <w:tr w14:paraId="0BAE8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9"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F321C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EB86596">
            <w:pPr>
              <w:snapToGrid w:val="0"/>
              <w:spacing w:line="240" w:lineRule="auto"/>
              <w:ind w:firstLine="120" w:firstLineChars="50"/>
              <w:jc w:val="center"/>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建设内容和规模</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D42BD56">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公共服务设施、村庄基础配套设施、示范带沿线产业基础配套设施等建设。</w:t>
            </w:r>
          </w:p>
        </w:tc>
      </w:tr>
      <w:tr w14:paraId="5C5D03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2"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4E04B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9319FA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AE4C3E8">
            <w:pPr>
              <w:keepNext w:val="0"/>
              <w:keepLines w:val="0"/>
              <w:widowControl/>
              <w:suppressLineNumbers w:val="0"/>
              <w:jc w:val="left"/>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项目估算总投资1484.54万元，本次施工招标约667.31万元</w:t>
            </w:r>
          </w:p>
        </w:tc>
      </w:tr>
      <w:tr w14:paraId="7344C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3062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2ECB73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5DC0BDD">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工程量清单及图纸范围内的工程施工。</w:t>
            </w:r>
          </w:p>
        </w:tc>
      </w:tr>
      <w:tr w14:paraId="794AF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569D03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3306CE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B47F075">
            <w:pPr>
              <w:snapToGrid w:val="0"/>
              <w:spacing w:line="240" w:lineRule="auto"/>
              <w:ind w:firstLine="120" w:firstLineChars="50"/>
              <w:jc w:val="both"/>
              <w:rPr>
                <w:rStyle w:val="149"/>
                <w:rFonts w:hint="eastAsia" w:hAnsi="宋体" w:cs="宋体"/>
                <w:color w:val="auto"/>
                <w:kern w:val="0"/>
                <w:highlight w:val="none"/>
                <w:lang w:val="en-US" w:eastAsia="zh-CN"/>
              </w:rPr>
            </w:pPr>
            <w:r>
              <w:rPr>
                <w:rStyle w:val="149"/>
                <w:rFonts w:hint="eastAsia" w:hAnsi="宋体" w:cs="宋体"/>
                <w:color w:val="auto"/>
                <w:kern w:val="0"/>
                <w:highlight w:val="none"/>
                <w:lang w:val="en-US" w:eastAsia="zh-CN"/>
              </w:rPr>
              <w:t>本招标项目不划分标段。</w:t>
            </w:r>
          </w:p>
        </w:tc>
      </w:tr>
      <w:tr w14:paraId="093B0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C722E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249DE0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541C5B93">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bCs/>
                <w:snapToGrid w:val="0"/>
                <w:color w:val="auto"/>
                <w:kern w:val="0"/>
                <w:sz w:val="24"/>
                <w:szCs w:val="24"/>
                <w:highlight w:val="none"/>
              </w:rPr>
            </w:pPr>
            <w:r>
              <w:rPr>
                <w:rFonts w:hint="eastAsia" w:hAnsi="宋体" w:cs="宋体"/>
                <w:color w:val="auto"/>
                <w:sz w:val="24"/>
                <w:szCs w:val="24"/>
                <w:highlight w:val="none"/>
                <w:lang w:eastAsia="zh-CN"/>
              </w:rPr>
              <w:t>本招标项目施工工</w:t>
            </w:r>
            <w:r>
              <w:rPr>
                <w:rFonts w:hint="eastAsia" w:hAnsi="宋体" w:cs="宋体"/>
                <w:color w:val="auto"/>
                <w:sz w:val="24"/>
                <w:szCs w:val="24"/>
                <w:highlight w:val="none"/>
                <w:lang w:eastAsia="zh-CN"/>
              </w:rPr>
              <w:t>期为</w:t>
            </w:r>
            <w:r>
              <w:rPr>
                <w:rFonts w:hint="eastAsia" w:hAnsi="宋体" w:cs="宋体"/>
                <w:color w:val="auto"/>
                <w:sz w:val="24"/>
                <w:szCs w:val="24"/>
                <w:highlight w:val="none"/>
                <w:lang w:val="en-US" w:eastAsia="zh-CN"/>
              </w:rPr>
              <w:t>90</w:t>
            </w:r>
            <w:r>
              <w:rPr>
                <w:rFonts w:hint="eastAsia" w:hAnsi="宋体" w:cs="宋体"/>
                <w:color w:val="auto"/>
                <w:sz w:val="24"/>
                <w:szCs w:val="24"/>
                <w:highlight w:val="none"/>
                <w:lang w:eastAsia="zh-CN"/>
              </w:rPr>
              <w:t>个日历</w:t>
            </w:r>
            <w:r>
              <w:rPr>
                <w:rFonts w:hint="eastAsia" w:hAnsi="宋体" w:cs="宋体"/>
                <w:color w:val="auto"/>
                <w:sz w:val="24"/>
                <w:szCs w:val="24"/>
                <w:highlight w:val="none"/>
                <w:lang w:eastAsia="zh-CN"/>
              </w:rPr>
              <w:t>天</w:t>
            </w:r>
            <w:r>
              <w:rPr>
                <w:rFonts w:hint="eastAsia" w:ascii="宋体" w:hAnsi="宋体" w:eastAsia="宋体" w:cs="宋体"/>
                <w:color w:val="auto"/>
                <w:sz w:val="24"/>
                <w:szCs w:val="24"/>
                <w:highlight w:val="none"/>
                <w:lang w:eastAsia="zh-CN"/>
              </w:rPr>
              <w:t>。</w:t>
            </w:r>
          </w:p>
        </w:tc>
      </w:tr>
      <w:tr w14:paraId="79709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E98AE8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12D7AE6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66DF906">
            <w:pPr>
              <w:pStyle w:val="2"/>
              <w:pageBreakBefore w:val="0"/>
              <w:kinsoku/>
              <w:overflowPunct/>
              <w:topLinePunct w:val="0"/>
              <w:autoSpaceDE/>
              <w:autoSpaceDN/>
              <w:bidi w:val="0"/>
              <w:spacing w:before="0" w:beforeLines="0" w:after="0" w:afterLines="0" w:line="360" w:lineRule="auto"/>
              <w:ind w:firstLine="120" w:firstLineChars="50"/>
              <w:jc w:val="both"/>
              <w:textAlignment w:val="auto"/>
              <w:rPr>
                <w:rFonts w:hint="eastAsia" w:ascii="宋体" w:hAnsi="宋体" w:eastAsia="宋体" w:cs="宋体"/>
                <w:color w:val="auto"/>
                <w:sz w:val="24"/>
                <w:szCs w:val="24"/>
                <w:highlight w:val="none"/>
                <w:lang w:val="en-US"/>
              </w:rPr>
            </w:pPr>
            <w:bookmarkStart w:id="15" w:name="_Hlt106417017"/>
            <w:bookmarkEnd w:id="15"/>
            <w:r>
              <w:rPr>
                <w:rFonts w:hint="eastAsia" w:ascii="宋体" w:hAnsi="宋体" w:eastAsia="宋体" w:cs="宋体"/>
                <w:color w:val="auto"/>
                <w:sz w:val="24"/>
                <w:szCs w:val="24"/>
                <w:highlight w:val="none"/>
                <w:lang w:val="en-US" w:eastAsia="zh-CN"/>
              </w:rPr>
              <w:t>达到《建筑工程施工质量验收统一标准》(GB50300-2013)和《建筑与市政工程施工质量控制通用规范》（GB55032-2022）合格。</w:t>
            </w:r>
          </w:p>
        </w:tc>
      </w:tr>
      <w:tr w14:paraId="418472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3005CE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E17638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2AF75B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2E9A66EB">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6D0A7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5C09C7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C4CA5D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CAF02C4">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120" w:firstLineChars="5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57FBE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31542D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B1C93D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5B915D6">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000000"/>
                <w:sz w:val="24"/>
                <w:szCs w:val="24"/>
                <w:highlight w:val="none"/>
                <w:shd w:val="clear" w:color="auto" w:fill="FFFFFF"/>
              </w:rPr>
              <w:t>本项目的招标控制价为人民币（大写）：</w:t>
            </w:r>
            <w:r>
              <w:rPr>
                <w:rFonts w:hint="eastAsia" w:hAnsi="宋体" w:cs="宋体"/>
                <w:color w:val="000000"/>
                <w:sz w:val="24"/>
                <w:szCs w:val="24"/>
                <w:highlight w:val="none"/>
                <w:u w:val="single"/>
                <w:shd w:val="clear" w:color="auto" w:fill="FFFFFF"/>
                <w:lang w:eastAsia="zh-CN"/>
              </w:rPr>
              <w:t>陆佰陆拾柒万叁仟壹佰叁拾元叁角贰分</w:t>
            </w:r>
            <w:r>
              <w:rPr>
                <w:rFonts w:hint="eastAsia" w:ascii="宋体" w:hAnsi="宋体" w:eastAsia="宋体" w:cs="宋体"/>
                <w:i w:val="0"/>
                <w:iCs w:val="0"/>
                <w:color w:val="000000"/>
                <w:kern w:val="0"/>
                <w:sz w:val="24"/>
                <w:szCs w:val="24"/>
                <w:highlight w:val="none"/>
                <w:u w:val="single"/>
                <w:lang w:val="en-US" w:eastAsia="zh-CN" w:bidi="ar"/>
              </w:rPr>
              <w:t>（¥</w:t>
            </w:r>
            <w:r>
              <w:rPr>
                <w:rFonts w:hint="eastAsia" w:hAnsi="宋体" w:cs="宋体"/>
                <w:i w:val="0"/>
                <w:iCs w:val="0"/>
                <w:color w:val="000000"/>
                <w:kern w:val="0"/>
                <w:sz w:val="24"/>
                <w:szCs w:val="24"/>
                <w:highlight w:val="none"/>
                <w:u w:val="single"/>
                <w:lang w:val="en-US" w:eastAsia="zh-CN" w:bidi="ar"/>
              </w:rPr>
              <w:t>6673130.32</w:t>
            </w:r>
            <w:r>
              <w:rPr>
                <w:rFonts w:hint="eastAsia" w:ascii="宋体" w:hAnsi="宋体" w:eastAsia="宋体" w:cs="宋体"/>
                <w:i w:val="0"/>
                <w:iCs w:val="0"/>
                <w:color w:val="000000"/>
                <w:kern w:val="0"/>
                <w:sz w:val="24"/>
                <w:szCs w:val="24"/>
                <w:highlight w:val="none"/>
                <w:u w:val="single"/>
                <w:lang w:val="en-US" w:eastAsia="zh-CN" w:bidi="ar"/>
              </w:rPr>
              <w:t>元）；</w:t>
            </w:r>
            <w:r>
              <w:rPr>
                <w:rFonts w:hint="eastAsia" w:ascii="宋体" w:hAnsi="宋体" w:eastAsia="宋体" w:cs="宋体"/>
                <w:color w:val="000000"/>
                <w:sz w:val="24"/>
                <w:szCs w:val="24"/>
                <w:highlight w:val="none"/>
                <w:shd w:val="clear" w:color="auto" w:fill="FFFFFF"/>
              </w:rPr>
              <w:t>其中绿色施工安全防护措施费不得</w:t>
            </w:r>
            <w:r>
              <w:rPr>
                <w:rFonts w:hint="eastAsia" w:ascii="宋体" w:hAnsi="宋体" w:eastAsia="宋体" w:cs="宋体"/>
                <w:color w:val="000000"/>
                <w:sz w:val="24"/>
                <w:szCs w:val="24"/>
                <w:highlight w:val="none"/>
                <w:shd w:val="clear" w:color="auto" w:fill="FFFFFF"/>
                <w:lang w:val="en-US" w:eastAsia="zh-CN"/>
              </w:rPr>
              <w:t>低</w:t>
            </w:r>
            <w:r>
              <w:rPr>
                <w:rFonts w:hint="eastAsia" w:ascii="宋体" w:hAnsi="宋体" w:eastAsia="宋体" w:cs="宋体"/>
                <w:color w:val="000000"/>
                <w:sz w:val="24"/>
                <w:szCs w:val="24"/>
                <w:highlight w:val="none"/>
                <w:shd w:val="clear" w:color="auto" w:fill="FFFFFF"/>
              </w:rPr>
              <w:t>于：</w:t>
            </w:r>
            <w:r>
              <w:rPr>
                <w:rFonts w:hint="eastAsia" w:ascii="宋体" w:hAnsi="宋体" w:eastAsia="宋体" w:cs="宋体"/>
                <w:color w:val="000000"/>
                <w:sz w:val="24"/>
                <w:szCs w:val="24"/>
                <w:highlight w:val="none"/>
                <w:u w:val="single"/>
                <w:shd w:val="clear" w:color="auto" w:fill="FFFFFF"/>
                <w:lang w:val="en-US" w:eastAsia="zh-CN"/>
              </w:rPr>
              <w:t>¥</w:t>
            </w:r>
            <w:r>
              <w:rPr>
                <w:rFonts w:hint="eastAsia" w:hAnsi="宋体" w:cs="宋体"/>
                <w:i w:val="0"/>
                <w:iCs w:val="0"/>
                <w:color w:val="000000"/>
                <w:kern w:val="0"/>
                <w:sz w:val="24"/>
                <w:szCs w:val="24"/>
                <w:highlight w:val="none"/>
                <w:u w:val="single"/>
                <w:lang w:val="en-US" w:eastAsia="zh-CN" w:bidi="ar"/>
              </w:rPr>
              <w:t>856277.22</w:t>
            </w:r>
            <w:r>
              <w:rPr>
                <w:rFonts w:hint="eastAsia" w:ascii="宋体" w:hAnsi="宋体" w:eastAsia="宋体" w:cs="宋体"/>
                <w:color w:val="000000"/>
                <w:sz w:val="24"/>
                <w:szCs w:val="24"/>
                <w:highlight w:val="none"/>
                <w:u w:val="single"/>
                <w:shd w:val="clear" w:color="auto" w:fill="FFFFFF"/>
                <w:lang w:val="en-US" w:eastAsia="zh-CN"/>
              </w:rPr>
              <w:t>元</w:t>
            </w:r>
            <w:r>
              <w:rPr>
                <w:rFonts w:hint="eastAsia" w:ascii="宋体" w:hAnsi="宋体" w:eastAsia="宋体" w:cs="宋体"/>
                <w:color w:val="000000"/>
                <w:sz w:val="24"/>
                <w:szCs w:val="24"/>
                <w:highlight w:val="none"/>
                <w:shd w:val="clear" w:color="auto" w:fill="FFFFFF"/>
              </w:rPr>
              <w:t>，暂列金</w:t>
            </w:r>
            <w:r>
              <w:rPr>
                <w:rFonts w:hint="eastAsia" w:ascii="宋体" w:hAnsi="宋体" w:eastAsia="宋体" w:cs="宋体"/>
                <w:color w:val="000000"/>
                <w:sz w:val="24"/>
                <w:szCs w:val="24"/>
                <w:highlight w:val="none"/>
                <w:shd w:val="clear" w:color="auto" w:fill="FFFFFF"/>
                <w:lang w:eastAsia="zh-CN"/>
              </w:rPr>
              <w:t>额（</w:t>
            </w:r>
            <w:r>
              <w:rPr>
                <w:rFonts w:hint="eastAsia" w:ascii="宋体" w:hAnsi="宋体" w:eastAsia="宋体" w:cs="宋体"/>
                <w:color w:val="000000"/>
                <w:sz w:val="24"/>
                <w:szCs w:val="24"/>
                <w:highlight w:val="none"/>
                <w:shd w:val="clear" w:color="auto" w:fill="FFFFFF"/>
                <w:lang w:val="en-US" w:eastAsia="zh-CN"/>
              </w:rPr>
              <w:t>统一报价</w:t>
            </w:r>
            <w:r>
              <w:rPr>
                <w:rFonts w:hint="eastAsia" w:ascii="宋体" w:hAnsi="宋体" w:eastAsia="宋体" w:cs="宋体"/>
                <w:color w:val="000000"/>
                <w:sz w:val="24"/>
                <w:szCs w:val="24"/>
                <w:highlight w:val="none"/>
                <w:shd w:val="clear" w:color="auto" w:fill="FFFFFF"/>
                <w:lang w:eastAsia="zh-CN"/>
              </w:rPr>
              <w:t>）</w:t>
            </w:r>
            <w:r>
              <w:rPr>
                <w:rFonts w:hint="eastAsia" w:ascii="宋体" w:hAnsi="宋体" w:eastAsia="宋体" w:cs="宋体"/>
                <w:color w:val="000000"/>
                <w:sz w:val="24"/>
                <w:szCs w:val="24"/>
                <w:highlight w:val="none"/>
                <w:shd w:val="clear" w:color="auto" w:fill="FFFFFF"/>
              </w:rPr>
              <w:t>为：</w:t>
            </w:r>
            <w:r>
              <w:rPr>
                <w:rFonts w:hint="eastAsia" w:ascii="宋体" w:hAnsi="宋体" w:eastAsia="宋体" w:cs="宋体"/>
                <w:color w:val="000000"/>
                <w:sz w:val="24"/>
                <w:szCs w:val="24"/>
                <w:highlight w:val="none"/>
                <w:u w:val="single"/>
                <w:shd w:val="clear" w:color="auto" w:fill="FFFFFF"/>
                <w:lang w:val="en-US" w:eastAsia="zh-CN"/>
              </w:rPr>
              <w:t>¥</w:t>
            </w:r>
            <w:r>
              <w:rPr>
                <w:rFonts w:hint="eastAsia" w:hAnsi="宋体" w:cs="宋体"/>
                <w:i w:val="0"/>
                <w:iCs w:val="0"/>
                <w:color w:val="000000"/>
                <w:kern w:val="0"/>
                <w:sz w:val="24"/>
                <w:szCs w:val="24"/>
                <w:highlight w:val="none"/>
                <w:u w:val="single"/>
                <w:lang w:val="en-US" w:eastAsia="zh-CN" w:bidi="ar"/>
              </w:rPr>
              <w:t>191000.00</w:t>
            </w:r>
            <w:r>
              <w:rPr>
                <w:rFonts w:hint="eastAsia" w:ascii="宋体" w:hAnsi="宋体" w:eastAsia="宋体" w:cs="宋体"/>
                <w:i w:val="0"/>
                <w:iCs w:val="0"/>
                <w:color w:val="000000"/>
                <w:kern w:val="0"/>
                <w:sz w:val="24"/>
                <w:szCs w:val="24"/>
                <w:highlight w:val="none"/>
                <w:u w:val="single"/>
                <w:lang w:val="en-US" w:eastAsia="zh-CN" w:bidi="ar"/>
              </w:rPr>
              <w:t xml:space="preserve"> </w:t>
            </w:r>
            <w:r>
              <w:rPr>
                <w:rFonts w:hint="eastAsia" w:ascii="宋体" w:hAnsi="宋体" w:eastAsia="宋体" w:cs="宋体"/>
                <w:color w:val="000000"/>
                <w:sz w:val="24"/>
                <w:szCs w:val="24"/>
                <w:highlight w:val="none"/>
                <w:u w:val="single"/>
                <w:shd w:val="clear" w:color="auto" w:fill="FFFFFF"/>
              </w:rPr>
              <w:t>元</w:t>
            </w:r>
            <w:r>
              <w:rPr>
                <w:rFonts w:hint="eastAsia" w:ascii="宋体" w:hAnsi="宋体" w:eastAsia="宋体" w:cs="宋体"/>
                <w:color w:val="000000"/>
                <w:sz w:val="24"/>
                <w:szCs w:val="24"/>
                <w:highlight w:val="none"/>
                <w:shd w:val="clear" w:color="auto" w:fill="FFFFFF"/>
              </w:rPr>
              <w:t>。</w:t>
            </w:r>
          </w:p>
        </w:tc>
      </w:tr>
      <w:tr w14:paraId="0A36D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E59A1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66E245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FCBE58E">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1．本工程</w:t>
            </w:r>
            <w:r>
              <w:rPr>
                <w:rFonts w:hint="eastAsia" w:ascii="宋体" w:hAnsi="宋体" w:eastAsia="宋体" w:cs="宋体"/>
                <w:b/>
                <w:bCs/>
                <w:color w:val="000000"/>
                <w:highlight w:val="none"/>
                <w:u w:val="single"/>
              </w:rPr>
              <w:t>不接受</w:t>
            </w:r>
            <w:r>
              <w:rPr>
                <w:rFonts w:hint="eastAsia" w:ascii="宋体" w:hAnsi="宋体" w:eastAsia="宋体" w:cs="宋体"/>
                <w:color w:val="000000"/>
                <w:highlight w:val="none"/>
              </w:rPr>
              <w:t>联合体投标。</w:t>
            </w:r>
          </w:p>
          <w:p w14:paraId="70A0F2F6">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2．资质要求</w:t>
            </w:r>
          </w:p>
          <w:p w14:paraId="22C0EC65">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2.1 投标人须具备独立法人资格，按国家法律经营。</w:t>
            </w:r>
          </w:p>
          <w:p w14:paraId="7FB73E0B">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2.2 投标人须持有建设行政主管部门颁发的企业资质证书及安全生产许可证。</w:t>
            </w:r>
          </w:p>
          <w:p w14:paraId="4529BE83">
            <w:pPr>
              <w:snapToGrid w:val="0"/>
              <w:ind w:firstLine="240" w:firstLineChars="100"/>
              <w:jc w:val="left"/>
              <w:rPr>
                <w:rFonts w:hint="eastAsia" w:ascii="宋体" w:hAnsi="宋体" w:eastAsia="宋体" w:cs="宋体"/>
                <w:b/>
                <w:bCs/>
                <w:color w:val="000000"/>
                <w:highlight w:val="none"/>
              </w:rPr>
            </w:pPr>
            <w:r>
              <w:rPr>
                <w:rFonts w:hint="eastAsia" w:ascii="宋体" w:hAnsi="宋体" w:eastAsia="宋体" w:cs="宋体"/>
                <w:color w:val="000000"/>
                <w:highlight w:val="none"/>
              </w:rPr>
              <w:t>2.3 投标人须具备以下资质：</w:t>
            </w:r>
            <w:r>
              <w:rPr>
                <w:rStyle w:val="149"/>
                <w:rFonts w:hint="eastAsia" w:ascii="宋体" w:hAnsi="宋体" w:eastAsia="宋体" w:cs="宋体"/>
                <w:b/>
                <w:bCs/>
                <w:color w:val="000000"/>
                <w:kern w:val="0"/>
                <w:highlight w:val="none"/>
                <w:u w:val="single"/>
              </w:rPr>
              <w:t>具备建设行政主管部门颁发的市政公用工程施工总承包三级以上(含三级)</w:t>
            </w:r>
            <w:r>
              <w:rPr>
                <w:rStyle w:val="149"/>
                <w:rFonts w:hint="eastAsia" w:ascii="宋体" w:hAnsi="宋体" w:eastAsia="宋体" w:cs="宋体"/>
                <w:b/>
                <w:bCs/>
                <w:color w:val="000000"/>
                <w:kern w:val="0"/>
                <w:highlight w:val="none"/>
                <w:u w:val="single"/>
                <w:lang w:eastAsia="zh-CN"/>
              </w:rPr>
              <w:t>或</w:t>
            </w:r>
            <w:r>
              <w:rPr>
                <w:rStyle w:val="149"/>
                <w:rFonts w:hint="eastAsia" w:ascii="宋体" w:hAnsi="宋体" w:eastAsia="宋体" w:cs="宋体"/>
                <w:b/>
                <w:bCs/>
                <w:color w:val="000000"/>
                <w:kern w:val="0"/>
                <w:highlight w:val="none"/>
                <w:u w:val="single"/>
              </w:rPr>
              <w:t>建筑工程施工总承包三级以上（含三级）资质</w:t>
            </w:r>
            <w:r>
              <w:rPr>
                <w:rFonts w:hint="eastAsia" w:ascii="宋体" w:hAnsi="宋体" w:eastAsia="宋体" w:cs="宋体"/>
                <w:b/>
                <w:bCs/>
                <w:color w:val="000000"/>
                <w:highlight w:val="none"/>
              </w:rPr>
              <w:t>。</w:t>
            </w:r>
          </w:p>
          <w:p w14:paraId="2E09A51F">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color w:val="000000"/>
                <w:highlight w:val="none"/>
              </w:rPr>
              <w:t>2.4</w:t>
            </w:r>
            <w:r>
              <w:rPr>
                <w:rStyle w:val="149"/>
                <w:rFonts w:hint="eastAsia" w:ascii="宋体" w:hAnsi="宋体" w:eastAsia="宋体" w:cs="宋体"/>
                <w:color w:val="000000"/>
                <w:kern w:val="0"/>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宋体" w:hAnsi="宋体" w:eastAsia="宋体" w:cs="宋体"/>
                <w:snapToGrid w:val="0"/>
                <w:color w:val="000000"/>
                <w:kern w:val="0"/>
                <w:highlight w:val="none"/>
              </w:rPr>
              <w:t>。</w:t>
            </w:r>
          </w:p>
          <w:p w14:paraId="5BEEF9EE">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snapToGrid w:val="0"/>
                <w:color w:val="000000"/>
                <w:kern w:val="0"/>
                <w:highlight w:val="none"/>
              </w:rPr>
              <w:t>3．相关人员要求</w:t>
            </w:r>
          </w:p>
          <w:p w14:paraId="0A1F4FF9">
            <w:pPr>
              <w:snapToGrid w:val="0"/>
              <w:ind w:firstLine="240" w:firstLineChars="100"/>
              <w:jc w:val="left"/>
              <w:rPr>
                <w:rFonts w:hint="eastAsia" w:ascii="宋体" w:hAnsi="宋体" w:eastAsia="宋体" w:cs="宋体"/>
                <w:snapToGrid w:val="0"/>
                <w:color w:val="000000"/>
                <w:kern w:val="0"/>
                <w:highlight w:val="none"/>
              </w:rPr>
            </w:pPr>
            <w:r>
              <w:rPr>
                <w:rFonts w:hint="eastAsia" w:ascii="宋体" w:hAnsi="宋体" w:eastAsia="宋体" w:cs="宋体"/>
                <w:snapToGrid w:val="0"/>
                <w:color w:val="000000"/>
                <w:kern w:val="0"/>
                <w:highlight w:val="none"/>
              </w:rPr>
              <w:t xml:space="preserve">3.1 </w:t>
            </w:r>
            <w:r>
              <w:rPr>
                <w:rStyle w:val="149"/>
                <w:rFonts w:hint="eastAsia" w:ascii="宋体" w:hAnsi="宋体" w:eastAsia="宋体" w:cs="宋体"/>
                <w:color w:val="000000"/>
                <w:highlight w:val="none"/>
                <w:u w:val="none"/>
              </w:rPr>
              <w:t>拟派项目经理为</w:t>
            </w:r>
            <w:r>
              <w:rPr>
                <w:rStyle w:val="149"/>
                <w:rFonts w:hint="eastAsia" w:ascii="宋体" w:hAnsi="宋体" w:eastAsia="宋体" w:cs="宋体"/>
                <w:b/>
                <w:bCs/>
                <w:color w:val="000000"/>
                <w:kern w:val="0"/>
                <w:highlight w:val="none"/>
                <w:u w:val="single"/>
              </w:rPr>
              <w:t>建筑工程或</w:t>
            </w:r>
            <w:r>
              <w:rPr>
                <w:rStyle w:val="149"/>
                <w:rFonts w:hint="eastAsia" w:ascii="宋体" w:hAnsi="宋体" w:eastAsia="宋体" w:cs="宋体"/>
                <w:b/>
                <w:bCs/>
                <w:color w:val="000000"/>
                <w:kern w:val="0"/>
                <w:highlight w:val="none"/>
                <w:u w:val="single"/>
                <w:lang w:eastAsia="zh-CN"/>
              </w:rPr>
              <w:t>市政公用工程</w:t>
            </w:r>
            <w:r>
              <w:rPr>
                <w:rStyle w:val="149"/>
                <w:rFonts w:hint="eastAsia" w:ascii="宋体" w:hAnsi="宋体" w:eastAsia="宋体" w:cs="宋体"/>
                <w:color w:val="000000"/>
                <w:highlight w:val="none"/>
                <w:u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r>
              <w:rPr>
                <w:rFonts w:hint="eastAsia" w:ascii="宋体" w:hAnsi="宋体" w:eastAsia="宋体" w:cs="宋体"/>
                <w:color w:val="000000"/>
                <w:highlight w:val="none"/>
              </w:rPr>
              <w:t>。</w:t>
            </w:r>
          </w:p>
          <w:p w14:paraId="5C5AAA6B">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3.2拟派项目技术负责人须具备</w:t>
            </w:r>
            <w:r>
              <w:rPr>
                <w:rFonts w:hint="eastAsia" w:ascii="宋体" w:hAnsi="宋体" w:eastAsia="宋体" w:cs="宋体"/>
                <w:b/>
                <w:bCs/>
                <w:color w:val="000000"/>
                <w:highlight w:val="none"/>
                <w:u w:val="single"/>
              </w:rPr>
              <w:t>中级</w:t>
            </w:r>
            <w:r>
              <w:rPr>
                <w:rFonts w:hint="eastAsia" w:ascii="宋体" w:hAnsi="宋体" w:eastAsia="宋体" w:cs="宋体"/>
                <w:color w:val="000000"/>
                <w:highlight w:val="none"/>
              </w:rPr>
              <w:t>以上（含中级）技术职称。</w:t>
            </w:r>
          </w:p>
          <w:p w14:paraId="17572096">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3.3 拟派专职安全生产管理人员须具备有效安全生产考核合格证明（C证，安全生产考核合格证书或“广东省建筑施工企业管理人员安全生产考核系统”考核合格信息打印页），且不少于1人。</w:t>
            </w:r>
          </w:p>
          <w:p w14:paraId="58A5BF55">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3.4 投标人与其拟派往本项目管理机构的所有人员之间必须具备合法、唯一的劳动聘用关系。拟派人员中具备注册执业资格的，其注册单位须与投标人保持一致。</w:t>
            </w:r>
          </w:p>
          <w:p w14:paraId="483EA4DA">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4．禁止投标条款：</w:t>
            </w:r>
          </w:p>
          <w:p w14:paraId="1D3906B0">
            <w:pPr>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 xml:space="preserve">4.1投标人不得存在下列情形之一：    </w:t>
            </w:r>
          </w:p>
          <w:p w14:paraId="2F0CA3D5">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（1）为招标人不具有独立法人资格的附属机构（单位）；</w:t>
            </w:r>
          </w:p>
          <w:p w14:paraId="5D3B8331">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（2）为本招标项目前期准备提供设计或咨询服务的；</w:t>
            </w:r>
          </w:p>
          <w:p w14:paraId="1DAECC7C">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（3）与本招标项目的其他投标人为同一个单位负责人；</w:t>
            </w:r>
          </w:p>
          <w:p w14:paraId="61ABE7D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（4）与本招标项目的其他投标人存在控股、管理关系；</w:t>
            </w:r>
          </w:p>
          <w:p w14:paraId="4C58393A">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（5）为本招标项目的监理人；</w:t>
            </w:r>
          </w:p>
          <w:p w14:paraId="0550AAB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（6）为本招标项目的代建人；</w:t>
            </w:r>
          </w:p>
          <w:p w14:paraId="3C8987D2">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（7）为本招标项目的招标代理机构；</w:t>
            </w:r>
          </w:p>
          <w:p w14:paraId="788DD38C">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（8）与本招标项目的监理人或代建人或招标代理机构同为一个法定代表人；</w:t>
            </w:r>
          </w:p>
          <w:p w14:paraId="40E0B818">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（9）与本招标项目的监理人或代建人或招标代理机构存在控股或参股关系；</w:t>
            </w:r>
          </w:p>
          <w:p w14:paraId="68262602">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（10）与本招标项目的监理人或代建人或招标代理机构存在相互任职或工作关系；</w:t>
            </w:r>
          </w:p>
          <w:p w14:paraId="552A2EE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（11）被依法暂停或者取消投标资格；</w:t>
            </w:r>
          </w:p>
          <w:p w14:paraId="60E26730">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（12）被责令停产停业、暂扣或者吊销许可证、暂扣或者吊销执照；</w:t>
            </w:r>
          </w:p>
          <w:p w14:paraId="7B0F64F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（13）进入清算程序，或被宣告破产，或其他丧失履约能力的情形；</w:t>
            </w:r>
          </w:p>
          <w:p w14:paraId="7C7FCD37">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（14）在最近三年内发生重大工程质量或安全问题（以相关行业主管部门的行政处罚决定或司法机关出具的有关法律文书为准）；</w:t>
            </w:r>
          </w:p>
          <w:p w14:paraId="7CEA662D">
            <w:pPr>
              <w:wordWrap w:val="0"/>
              <w:adjustRightInd w:val="0"/>
              <w:snapToGrid w:val="0"/>
              <w:ind w:firstLine="240" w:firstLineChars="100"/>
              <w:rPr>
                <w:rFonts w:hint="eastAsia" w:ascii="宋体" w:hAnsi="宋体" w:eastAsia="宋体" w:cs="宋体"/>
                <w:color w:val="000000"/>
                <w:highlight w:val="none"/>
              </w:rPr>
            </w:pPr>
            <w:r>
              <w:rPr>
                <w:rFonts w:hint="eastAsia" w:ascii="宋体" w:hAnsi="宋体" w:eastAsia="宋体" w:cs="宋体"/>
                <w:color w:val="000000"/>
                <w:highlight w:val="none"/>
              </w:rPr>
              <w:t>（15）被“信用中国”网站（https://www.creditchina.gov.cn）发布的《法人和非法人组织公共信用信息报告》列为严重失信主体名单的。</w:t>
            </w:r>
          </w:p>
          <w:p w14:paraId="4CD53D1B">
            <w:pPr>
              <w:snapToGrid w:val="0"/>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4.2 招标人拒绝以下名单中的单位参加本次投标：</w:t>
            </w:r>
          </w:p>
          <w:tbl>
            <w:tblPr>
              <w:tblStyle w:val="30"/>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767"/>
              <w:gridCol w:w="3406"/>
            </w:tblGrid>
            <w:tr w14:paraId="75F8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904" w:type="dxa"/>
                  <w:noWrap w:val="0"/>
                  <w:vAlign w:val="center"/>
                </w:tcPr>
                <w:p w14:paraId="23AFB934">
                  <w:pPr>
                    <w:wordWrap w:val="0"/>
                    <w:adjustRightInd w:val="0"/>
                    <w:snapToGrid w:val="0"/>
                    <w:ind w:right="-218" w:rightChars="-91"/>
                    <w:rPr>
                      <w:rFonts w:hint="eastAsia" w:ascii="宋体" w:hAnsi="宋体" w:eastAsia="宋体" w:cs="宋体"/>
                      <w:color w:val="000000"/>
                      <w:highlight w:val="none"/>
                    </w:rPr>
                  </w:pPr>
                  <w:r>
                    <w:rPr>
                      <w:rFonts w:hint="eastAsia" w:ascii="宋体" w:hAnsi="宋体" w:eastAsia="宋体" w:cs="宋体"/>
                      <w:color w:val="000000"/>
                      <w:highlight w:val="none"/>
                    </w:rPr>
                    <w:t>序号</w:t>
                  </w:r>
                </w:p>
              </w:tc>
              <w:tc>
                <w:tcPr>
                  <w:tcW w:w="2767" w:type="dxa"/>
                  <w:noWrap w:val="0"/>
                  <w:vAlign w:val="center"/>
                </w:tcPr>
                <w:p w14:paraId="078FB905">
                  <w:pPr>
                    <w:wordWrap w:val="0"/>
                    <w:adjustRightInd w:val="0"/>
                    <w:snapToGrid w:val="0"/>
                    <w:ind w:right="-206" w:rightChars="-86"/>
                    <w:jc w:val="center"/>
                    <w:rPr>
                      <w:rFonts w:hint="eastAsia" w:ascii="宋体" w:hAnsi="宋体" w:eastAsia="宋体" w:cs="宋体"/>
                      <w:color w:val="000000"/>
                      <w:highlight w:val="none"/>
                    </w:rPr>
                  </w:pPr>
                  <w:r>
                    <w:rPr>
                      <w:rFonts w:hint="eastAsia" w:ascii="宋体" w:hAnsi="宋体" w:eastAsia="宋体" w:cs="宋体"/>
                      <w:color w:val="000000"/>
                      <w:highlight w:val="none"/>
                    </w:rPr>
                    <w:t>单位名称</w:t>
                  </w:r>
                </w:p>
              </w:tc>
              <w:tc>
                <w:tcPr>
                  <w:tcW w:w="3406" w:type="dxa"/>
                  <w:noWrap w:val="0"/>
                  <w:vAlign w:val="center"/>
                </w:tcPr>
                <w:p w14:paraId="54AD7F5E">
                  <w:pPr>
                    <w:wordWrap w:val="0"/>
                    <w:adjustRightInd w:val="0"/>
                    <w:snapToGrid w:val="0"/>
                    <w:jc w:val="center"/>
                    <w:rPr>
                      <w:rFonts w:hint="eastAsia" w:ascii="宋体" w:hAnsi="宋体" w:eastAsia="宋体" w:cs="宋体"/>
                      <w:color w:val="000000"/>
                      <w:highlight w:val="none"/>
                    </w:rPr>
                  </w:pPr>
                  <w:r>
                    <w:rPr>
                      <w:rFonts w:hint="eastAsia" w:ascii="宋体" w:hAnsi="宋体" w:eastAsia="宋体" w:cs="宋体"/>
                      <w:color w:val="000000"/>
                      <w:highlight w:val="none"/>
                    </w:rPr>
                    <w:t>拒绝原因</w:t>
                  </w:r>
                </w:p>
              </w:tc>
            </w:tr>
            <w:tr w14:paraId="209F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36B4B6B6">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p>
              </w:tc>
              <w:tc>
                <w:tcPr>
                  <w:tcW w:w="2767" w:type="dxa"/>
                  <w:noWrap w:val="0"/>
                  <w:vAlign w:val="center"/>
                </w:tcPr>
                <w:p w14:paraId="5BFF8F69">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eastAsia="zh-CN"/>
                    </w:rPr>
                    <w:t>中诚圣苑工程设计有限公司</w:t>
                  </w:r>
                </w:p>
              </w:tc>
              <w:tc>
                <w:tcPr>
                  <w:tcW w:w="3406" w:type="dxa"/>
                  <w:noWrap w:val="0"/>
                  <w:vAlign w:val="center"/>
                </w:tcPr>
                <w:p w14:paraId="1FDD727E">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为本招标项目的可行性研究报告编制单位</w:t>
                  </w:r>
                </w:p>
              </w:tc>
            </w:tr>
            <w:tr w14:paraId="04D4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71A5041F">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2767" w:type="dxa"/>
                  <w:noWrap w:val="0"/>
                  <w:vAlign w:val="center"/>
                </w:tcPr>
                <w:p w14:paraId="18001D4F">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中元天纬集团有限公司</w:t>
                  </w:r>
                  <w:r>
                    <w:rPr>
                      <w:rFonts w:hint="eastAsia" w:ascii="宋体" w:hAnsi="宋体" w:eastAsia="宋体" w:cs="宋体"/>
                      <w:color w:val="000000"/>
                      <w:highlight w:val="none"/>
                      <w:lang w:val="en-US" w:eastAsia="zh-CN"/>
                    </w:rPr>
                    <w:t xml:space="preserve"> </w:t>
                  </w:r>
                </w:p>
              </w:tc>
              <w:tc>
                <w:tcPr>
                  <w:tcW w:w="3406" w:type="dxa"/>
                  <w:noWrap w:val="0"/>
                  <w:vAlign w:val="center"/>
                </w:tcPr>
                <w:p w14:paraId="52E6BE0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为本招标项目的设计单位</w:t>
                  </w:r>
                </w:p>
              </w:tc>
            </w:tr>
            <w:tr w14:paraId="1AE2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04" w:type="dxa"/>
                  <w:noWrap w:val="0"/>
                  <w:vAlign w:val="center"/>
                </w:tcPr>
                <w:p w14:paraId="68171EEA">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p>
              </w:tc>
              <w:tc>
                <w:tcPr>
                  <w:tcW w:w="2767" w:type="dxa"/>
                  <w:noWrap w:val="0"/>
                  <w:vAlign w:val="center"/>
                </w:tcPr>
                <w:p w14:paraId="7DE6D91A">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fldChar w:fldCharType="begin"/>
                  </w:r>
                  <w:r>
                    <w:rPr>
                      <w:rFonts w:hint="eastAsia" w:ascii="宋体" w:hAnsi="宋体" w:eastAsia="宋体" w:cs="宋体"/>
                      <w:color w:val="000000"/>
                      <w:highlight w:val="none"/>
                      <w:lang w:val="en-US" w:eastAsia="zh-CN"/>
                    </w:rPr>
                    <w:instrText xml:space="preserve"> HYPERLINK "https://ygp.gdzwfw.gov.cn/zjfwcs/gd-zjcs-pub/zjfw/serviceView/91442000MA55RYB51P" \t "https://ygp.gdzwfw.gov.cn/zjfwcs/gd-zjcs-pub/bidResultNotice/view/_black" </w:instrText>
                  </w:r>
                  <w:r>
                    <w:rPr>
                      <w:rFonts w:hint="eastAsia" w:ascii="宋体" w:hAnsi="宋体" w:eastAsia="宋体" w:cs="宋体"/>
                      <w:color w:val="000000"/>
                      <w:highlight w:val="none"/>
                      <w:lang w:val="en-US" w:eastAsia="zh-CN"/>
                    </w:rPr>
                    <w:fldChar w:fldCharType="separate"/>
                  </w:r>
                  <w:r>
                    <w:rPr>
                      <w:rFonts w:hint="eastAsia" w:hAnsi="宋体" w:cs="宋体"/>
                      <w:color w:val="000000"/>
                      <w:highlight w:val="none"/>
                      <w:lang w:val="en-US" w:eastAsia="zh-CN"/>
                    </w:rPr>
                    <w:t>/</w:t>
                  </w:r>
                  <w:r>
                    <w:rPr>
                      <w:rFonts w:hint="default" w:ascii="宋体" w:hAnsi="宋体" w:eastAsia="宋体" w:cs="宋体"/>
                      <w:color w:val="000000"/>
                      <w:highlight w:val="none"/>
                      <w:lang w:val="en-US" w:eastAsia="zh-CN"/>
                    </w:rPr>
                    <w:fldChar w:fldCharType="end"/>
                  </w:r>
                </w:p>
              </w:tc>
              <w:tc>
                <w:tcPr>
                  <w:tcW w:w="3406" w:type="dxa"/>
                  <w:noWrap w:val="0"/>
                  <w:vAlign w:val="center"/>
                </w:tcPr>
                <w:p w14:paraId="39819948">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为本招标项目的监理单位</w:t>
                  </w:r>
                </w:p>
              </w:tc>
            </w:tr>
            <w:tr w14:paraId="6927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26599EE7">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p>
              </w:tc>
              <w:tc>
                <w:tcPr>
                  <w:tcW w:w="2767" w:type="dxa"/>
                  <w:noWrap w:val="0"/>
                  <w:vAlign w:val="center"/>
                </w:tcPr>
                <w:p w14:paraId="33106515">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韶关太古工程咨询有限公司</w:t>
                  </w:r>
                </w:p>
              </w:tc>
              <w:tc>
                <w:tcPr>
                  <w:tcW w:w="3406" w:type="dxa"/>
                  <w:noWrap w:val="0"/>
                  <w:vAlign w:val="center"/>
                </w:tcPr>
                <w:p w14:paraId="2892008C">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为本招标项目的招标代理机构</w:t>
                  </w:r>
                </w:p>
              </w:tc>
            </w:tr>
            <w:tr w14:paraId="5DA7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785C3771">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2767" w:type="dxa"/>
                  <w:noWrap w:val="0"/>
                  <w:vAlign w:val="center"/>
                </w:tcPr>
                <w:p w14:paraId="3D6FA809">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乐昌市秀水镇人民政府</w:t>
                  </w:r>
                </w:p>
              </w:tc>
              <w:tc>
                <w:tcPr>
                  <w:tcW w:w="3406" w:type="dxa"/>
                  <w:noWrap w:val="0"/>
                  <w:vAlign w:val="center"/>
                </w:tcPr>
                <w:p w14:paraId="114811BB">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rPr>
                    <w:t>为本招标项目的业主</w:t>
                  </w:r>
                  <w:r>
                    <w:rPr>
                      <w:rFonts w:hint="eastAsia" w:ascii="宋体" w:hAnsi="宋体" w:eastAsia="宋体" w:cs="宋体"/>
                      <w:color w:val="000000"/>
                      <w:highlight w:val="none"/>
                      <w:lang w:eastAsia="zh-CN"/>
                    </w:rPr>
                    <w:t>及</w:t>
                  </w:r>
                  <w:r>
                    <w:rPr>
                      <w:rFonts w:hint="eastAsia" w:ascii="宋体" w:hAnsi="宋体" w:eastAsia="宋体" w:cs="宋体"/>
                      <w:color w:val="000000"/>
                      <w:highlight w:val="none"/>
                    </w:rPr>
                    <w:t>招标人</w:t>
                  </w:r>
                </w:p>
              </w:tc>
            </w:tr>
            <w:tr w14:paraId="00C9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04" w:type="dxa"/>
                  <w:noWrap w:val="0"/>
                  <w:vAlign w:val="center"/>
                </w:tcPr>
                <w:p w14:paraId="3016473C">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2767" w:type="dxa"/>
                  <w:noWrap w:val="0"/>
                  <w:vAlign w:val="center"/>
                </w:tcPr>
                <w:p w14:paraId="313B5A57">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中图设计有限公司</w:t>
                  </w:r>
                </w:p>
              </w:tc>
              <w:tc>
                <w:tcPr>
                  <w:tcW w:w="3406" w:type="dxa"/>
                  <w:noWrap w:val="0"/>
                  <w:vAlign w:val="center"/>
                </w:tcPr>
                <w:p w14:paraId="28F8D7B4">
                  <w:pPr>
                    <w:wordWrap w:val="0"/>
                    <w:adjustRightInd w:val="0"/>
                    <w:snapToGrid w:val="0"/>
                    <w:spacing w:line="240" w:lineRule="auto"/>
                    <w:jc w:val="center"/>
                    <w:rPr>
                      <w:rFonts w:hint="eastAsia" w:ascii="宋体" w:hAnsi="宋体" w:eastAsia="宋体" w:cs="宋体"/>
                      <w:color w:val="000000"/>
                      <w:highlight w:val="none"/>
                    </w:rPr>
                  </w:pPr>
                  <w:r>
                    <w:rPr>
                      <w:rStyle w:val="149"/>
                      <w:rFonts w:hint="eastAsia" w:ascii="宋体" w:hAnsi="宋体" w:eastAsia="宋体" w:cs="宋体"/>
                      <w:color w:val="000000"/>
                      <w:kern w:val="0"/>
                      <w:highlight w:val="none"/>
                    </w:rPr>
                    <w:t>为本招标项目的造价咨询单位</w:t>
                  </w:r>
                </w:p>
              </w:tc>
            </w:tr>
          </w:tbl>
          <w:p w14:paraId="29822CEA">
            <w:pPr>
              <w:snapToGrid w:val="0"/>
              <w:ind w:firstLine="240" w:firstLineChars="100"/>
              <w:jc w:val="left"/>
              <w:rPr>
                <w:rFonts w:hint="eastAsia" w:ascii="宋体" w:hAnsi="宋体" w:eastAsia="宋体" w:cs="宋体"/>
                <w:color w:val="000000"/>
                <w:highlight w:val="none"/>
              </w:rPr>
            </w:pPr>
            <w:r>
              <w:rPr>
                <w:rFonts w:hint="eastAsia" w:ascii="宋体" w:hAnsi="宋体" w:eastAsia="宋体" w:cs="宋体"/>
                <w:color w:val="000000"/>
                <w:highlight w:val="none"/>
              </w:rPr>
              <w:t>5．其他要求</w:t>
            </w:r>
          </w:p>
          <w:p w14:paraId="4156C376">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000000"/>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F8D8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AAA0F1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437EE1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263EE90">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Style w:val="149"/>
                <w:rFonts w:hint="eastAsia" w:hAnsi="宋体" w:cs="宋体"/>
                <w:color w:val="auto"/>
                <w:kern w:val="0"/>
                <w:highlight w:val="none"/>
                <w:u w:val="single"/>
                <w:lang w:val="en-US" w:eastAsia="zh-CN"/>
              </w:rPr>
              <w:t>60000.00</w:t>
            </w:r>
            <w:r>
              <w:rPr>
                <w:rStyle w:val="149"/>
                <w:rFonts w:hint="eastAsia" w:ascii="宋体" w:hAnsi="宋体" w:eastAsia="宋体" w:cs="宋体"/>
                <w:color w:val="auto"/>
                <w:kern w:val="0"/>
                <w:highlight w:val="none"/>
                <w:u w:val="single"/>
              </w:rPr>
              <w:t>元</w:t>
            </w:r>
            <w:r>
              <w:rPr>
                <w:rFonts w:hint="eastAsia" w:ascii="宋体" w:hAnsi="宋体" w:eastAsia="宋体" w:cs="宋体"/>
                <w:snapToGrid w:val="0"/>
                <w:color w:val="auto"/>
                <w:kern w:val="0"/>
                <w:sz w:val="24"/>
                <w:szCs w:val="24"/>
                <w:highlight w:val="none"/>
              </w:rPr>
              <w:t xml:space="preserve">的投标保证。 </w:t>
            </w:r>
          </w:p>
          <w:p w14:paraId="48023BF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7C7F9A4D">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F4DD5BF">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66C3D5">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26E8F6D3">
            <w:pPr>
              <w:pageBreakBefore w:val="0"/>
              <w:kinsoku/>
              <w:wordWrap w:val="0"/>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0839E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50BB5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796806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84CFEFC">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3DEB2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DB69D3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92A88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518732A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3B6C675">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22A67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3DBA2E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5696270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24DF24F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BDAFF9B">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2772F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F5BF5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4E45575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BBE6D9E">
            <w:pPr>
              <w:pageBreakBefore w:val="0"/>
              <w:kinsoku/>
              <w:wordWrap w:val="0"/>
              <w:overflowPunct/>
              <w:topLinePunct w:val="0"/>
              <w:autoSpaceDE/>
              <w:autoSpaceDN/>
              <w:bidi w:val="0"/>
              <w:adjustRightInd w:val="0"/>
              <w:snapToGrid w:val="0"/>
              <w:spacing w:line="360" w:lineRule="auto"/>
              <w:ind w:firstLine="120" w:firstLineChars="5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lang w:eastAsia="zh-CN"/>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0361D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602B25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7F2B3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47F81C2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1791F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93BE06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28</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0B7B47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9884ECB">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投标人如需</w:t>
            </w:r>
            <w:r>
              <w:rPr>
                <w:rFonts w:hint="eastAsia" w:ascii="宋体" w:hAnsi="宋体" w:eastAsia="宋体" w:cs="宋体"/>
                <w:snapToGrid w:val="0"/>
                <w:color w:val="auto"/>
                <w:kern w:val="0"/>
                <w:sz w:val="24"/>
                <w:szCs w:val="24"/>
                <w:highlight w:val="none"/>
                <w:lang w:val="en-US" w:eastAsia="zh-CN"/>
              </w:rPr>
              <w:t>递</w:t>
            </w:r>
            <w:r>
              <w:rPr>
                <w:rFonts w:hint="eastAsia" w:ascii="宋体" w:hAnsi="宋体" w:eastAsia="宋体" w:cs="宋体"/>
                <w:snapToGrid w:val="0"/>
                <w:color w:val="auto"/>
                <w:kern w:val="0"/>
                <w:sz w:val="24"/>
                <w:szCs w:val="24"/>
                <w:highlight w:val="none"/>
              </w:rPr>
              <w:t>交用于评审的证书、证件、证明原件的，投标人应自行将所需原件密封于文件袋（箱）中，并自行准备两张“原件一览表”(详见格式十</w:t>
            </w:r>
            <w:r>
              <w:rPr>
                <w:rFonts w:hint="eastAsia" w:ascii="宋体" w:hAnsi="宋体" w:eastAsia="宋体" w:cs="宋体"/>
                <w:snapToGrid w:val="0"/>
                <w:color w:val="auto"/>
                <w:kern w:val="0"/>
                <w:sz w:val="24"/>
                <w:szCs w:val="24"/>
                <w:highlight w:val="none"/>
                <w:lang w:val="en-US" w:eastAsia="zh-CN"/>
              </w:rPr>
              <w:t>四</w:t>
            </w:r>
            <w:r>
              <w:rPr>
                <w:rFonts w:hint="eastAsia" w:ascii="宋体" w:hAnsi="宋体" w:eastAsia="宋体" w:cs="宋体"/>
                <w:snapToGrid w:val="0"/>
                <w:color w:val="auto"/>
                <w:kern w:val="0"/>
                <w:sz w:val="24"/>
                <w:szCs w:val="24"/>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001E7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078A0D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29</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2D086F63">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highlight w:val="none"/>
              </w:rPr>
              <w:t>招标代理服务费</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0A3F5E96">
            <w:pPr>
              <w:wordWrap w:val="0"/>
              <w:adjustRightInd w:val="0"/>
              <w:snapToGrid w:val="0"/>
              <w:spacing w:line="360" w:lineRule="auto"/>
              <w:ind w:firstLine="240" w:firstLineChars="100"/>
              <w:jc w:val="both"/>
              <w:rPr>
                <w:rFonts w:hint="eastAsia" w:ascii="宋体" w:hAnsi="宋体" w:eastAsia="宋体" w:cs="宋体"/>
                <w:snapToGrid w:val="0"/>
                <w:color w:val="auto"/>
                <w:kern w:val="0"/>
                <w:sz w:val="24"/>
                <w:szCs w:val="24"/>
                <w:highlight w:val="none"/>
                <w:lang w:val="en-US" w:eastAsia="zh-CN" w:bidi="ar-SA"/>
              </w:rPr>
            </w:pPr>
            <w:r>
              <w:rPr>
                <w:rFonts w:hint="eastAsia"/>
                <w:color w:val="auto"/>
                <w:highlight w:val="none"/>
              </w:rPr>
              <w:t>本项目</w:t>
            </w:r>
            <w:r>
              <w:rPr>
                <w:rFonts w:hint="eastAsia"/>
                <w:color w:val="auto"/>
                <w:highlight w:val="none"/>
                <w:lang w:eastAsia="zh-CN"/>
              </w:rPr>
              <w:t>的</w:t>
            </w:r>
            <w:r>
              <w:rPr>
                <w:rFonts w:hint="eastAsia"/>
                <w:color w:val="auto"/>
                <w:sz w:val="24"/>
                <w:highlight w:val="none"/>
                <w:lang w:val="en-US" w:eastAsia="zh-CN"/>
              </w:rPr>
              <w:t>招标代理服务费及</w:t>
            </w:r>
            <w:r>
              <w:rPr>
                <w:rFonts w:hint="eastAsia"/>
                <w:color w:val="auto"/>
                <w:highlight w:val="none"/>
              </w:rPr>
              <w:t>评标专家酬劳（包括食宿费用、交通费、专家评审劳务费等）</w:t>
            </w:r>
            <w:r>
              <w:rPr>
                <w:rFonts w:hint="eastAsia"/>
                <w:color w:val="auto"/>
                <w:highlight w:val="none"/>
                <w:lang w:eastAsia="zh-CN"/>
              </w:rPr>
              <w:t>由中标人支付。</w:t>
            </w:r>
            <w:r>
              <w:rPr>
                <w:rFonts w:hint="eastAsia"/>
                <w:color w:val="auto"/>
                <w:highlight w:val="none"/>
              </w:rPr>
              <w:t>评标专家酬劳由招标代理机构先行垫付，中标人须在中标</w:t>
            </w:r>
            <w:r>
              <w:rPr>
                <w:rFonts w:hint="eastAsia"/>
                <w:color w:val="auto"/>
                <w:highlight w:val="none"/>
                <w:lang w:eastAsia="zh-CN"/>
              </w:rPr>
              <w:t>候选人</w:t>
            </w:r>
            <w:r>
              <w:rPr>
                <w:rFonts w:hint="eastAsia"/>
                <w:color w:val="auto"/>
                <w:highlight w:val="none"/>
              </w:rPr>
              <w:t>公示</w:t>
            </w:r>
            <w:r>
              <w:rPr>
                <w:rFonts w:hint="eastAsia"/>
                <w:color w:val="auto"/>
                <w:highlight w:val="none"/>
                <w:lang w:eastAsia="zh-CN"/>
              </w:rPr>
              <w:t>结束</w:t>
            </w:r>
            <w:r>
              <w:rPr>
                <w:rFonts w:hint="eastAsia"/>
                <w:color w:val="auto"/>
                <w:highlight w:val="none"/>
              </w:rPr>
              <w:t>后,领取中标通知书前须向招标代理机构一次性付清</w:t>
            </w:r>
            <w:r>
              <w:rPr>
                <w:rFonts w:hint="eastAsia"/>
                <w:color w:val="auto"/>
                <w:sz w:val="24"/>
                <w:highlight w:val="none"/>
                <w:lang w:val="en-US" w:eastAsia="zh-CN"/>
              </w:rPr>
              <w:t>招标代理服务费及</w:t>
            </w:r>
            <w:r>
              <w:rPr>
                <w:rFonts w:hint="eastAsia"/>
                <w:color w:val="auto"/>
                <w:highlight w:val="none"/>
              </w:rPr>
              <w:t>评标专家酬劳，方可领取中标通知书。</w:t>
            </w:r>
          </w:p>
        </w:tc>
      </w:tr>
      <w:tr w14:paraId="45AC1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99666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CA53A5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4D6EC75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71A1A2FE">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单位名称：</w:t>
            </w:r>
            <w:r>
              <w:rPr>
                <w:rFonts w:hint="eastAsia" w:hAnsi="宋体" w:cs="宋体"/>
                <w:snapToGrid w:val="0"/>
                <w:color w:val="auto"/>
                <w:kern w:val="0"/>
                <w:sz w:val="24"/>
                <w:szCs w:val="24"/>
                <w:highlight w:val="none"/>
                <w:lang w:eastAsia="zh-CN"/>
              </w:rPr>
              <w:t>乐昌市秀水镇人民政府</w:t>
            </w:r>
          </w:p>
          <w:p w14:paraId="77ECCD26">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办公地址：</w:t>
            </w:r>
            <w:r>
              <w:rPr>
                <w:rFonts w:hint="eastAsia" w:hAnsi="宋体" w:cs="宋体"/>
                <w:snapToGrid w:val="0"/>
                <w:color w:val="auto"/>
                <w:kern w:val="0"/>
                <w:sz w:val="24"/>
                <w:szCs w:val="24"/>
                <w:highlight w:val="none"/>
                <w:lang w:eastAsia="zh-CN"/>
              </w:rPr>
              <w:t>广东省韶关市乐昌市秀水镇政府秀水镇</w:t>
            </w:r>
          </w:p>
          <w:p w14:paraId="0683538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联系人(部门)：</w:t>
            </w:r>
            <w:r>
              <w:rPr>
                <w:rFonts w:hint="eastAsia" w:hAnsi="宋体" w:cs="宋体"/>
                <w:snapToGrid w:val="0"/>
                <w:color w:val="auto"/>
                <w:kern w:val="0"/>
                <w:sz w:val="24"/>
                <w:szCs w:val="24"/>
                <w:highlight w:val="none"/>
                <w:lang w:val="en-US" w:eastAsia="zh-CN"/>
              </w:rPr>
              <w:t>陈工</w:t>
            </w:r>
          </w:p>
          <w:p w14:paraId="159A83D4">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联系电话：</w:t>
            </w:r>
            <w:r>
              <w:rPr>
                <w:rFonts w:hint="eastAsia" w:hAnsi="宋体" w:cs="宋体"/>
                <w:snapToGrid w:val="0"/>
                <w:color w:val="auto"/>
                <w:kern w:val="0"/>
                <w:sz w:val="24"/>
                <w:szCs w:val="24"/>
                <w:highlight w:val="none"/>
                <w:lang w:eastAsia="zh-CN"/>
              </w:rPr>
              <w:t>0751-5840168</w:t>
            </w:r>
          </w:p>
        </w:tc>
      </w:tr>
      <w:tr w14:paraId="57FBF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08142BE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08962CC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0F497D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6641BD03">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单位名称：</w:t>
            </w:r>
            <w:r>
              <w:rPr>
                <w:rFonts w:hint="eastAsia" w:hAnsi="宋体" w:cs="Times New Roman"/>
                <w:snapToGrid w:val="0"/>
                <w:color w:val="auto"/>
                <w:kern w:val="0"/>
                <w:sz w:val="24"/>
                <w:szCs w:val="24"/>
                <w:highlight w:val="none"/>
                <w:shd w:val="clear" w:color="auto" w:fill="auto"/>
                <w:lang w:eastAsia="zh-CN"/>
              </w:rPr>
              <w:t>韶关太古工程咨询有限公司</w:t>
            </w:r>
          </w:p>
          <w:p w14:paraId="77A7CB7A">
            <w:pPr>
              <w:wordWrap w:val="0"/>
              <w:adjustRightInd w:val="0"/>
              <w:snapToGrid w:val="0"/>
              <w:spacing w:line="400" w:lineRule="exact"/>
              <w:ind w:firstLine="240" w:firstLineChars="100"/>
              <w:jc w:val="left"/>
              <w:rPr>
                <w:rFonts w:hint="eastAsia" w:ascii="宋体" w:hAnsi="宋体" w:eastAsia="宋体" w:cs="Times New Roman"/>
                <w:snapToGrid w:val="0"/>
                <w:color w:val="auto"/>
                <w:kern w:val="0"/>
                <w:sz w:val="24"/>
                <w:szCs w:val="24"/>
                <w:highlight w:val="none"/>
                <w:shd w:val="clear" w:color="auto" w:fill="auto"/>
                <w:lang w:eastAsia="zh-CN"/>
              </w:rPr>
            </w:pPr>
            <w:r>
              <w:rPr>
                <w:rFonts w:hint="eastAsia" w:ascii="宋体" w:hAnsi="宋体" w:eastAsia="宋体" w:cs="Times New Roman"/>
                <w:snapToGrid w:val="0"/>
                <w:color w:val="auto"/>
                <w:kern w:val="0"/>
                <w:sz w:val="24"/>
                <w:szCs w:val="24"/>
                <w:highlight w:val="none"/>
                <w:shd w:val="clear" w:color="auto" w:fill="auto"/>
                <w:lang w:eastAsia="zh-CN"/>
              </w:rPr>
              <w:t>办公地址：</w:t>
            </w:r>
            <w:r>
              <w:rPr>
                <w:rFonts w:hint="eastAsia" w:hAnsi="宋体" w:cs="Times New Roman"/>
                <w:snapToGrid w:val="0"/>
                <w:color w:val="auto"/>
                <w:kern w:val="0"/>
                <w:sz w:val="24"/>
                <w:szCs w:val="24"/>
                <w:highlight w:val="none"/>
                <w:shd w:val="clear" w:color="auto" w:fill="auto"/>
                <w:lang w:eastAsia="zh-CN"/>
              </w:rPr>
              <w:t>南雄市龙勾巷龙吉园A2幢5号门店</w:t>
            </w:r>
          </w:p>
          <w:p w14:paraId="5A1B4AB1">
            <w:pPr>
              <w:wordWrap w:val="0"/>
              <w:adjustRightInd w:val="0"/>
              <w:snapToGrid w:val="0"/>
              <w:spacing w:line="400" w:lineRule="exact"/>
              <w:ind w:firstLine="240" w:firstLineChars="100"/>
              <w:jc w:val="left"/>
              <w:rPr>
                <w:rFonts w:hint="default" w:ascii="宋体" w:hAnsi="宋体" w:eastAsia="宋体" w:cs="Times New Roman"/>
                <w:snapToGrid w:val="0"/>
                <w:color w:val="auto"/>
                <w:kern w:val="0"/>
                <w:sz w:val="24"/>
                <w:szCs w:val="24"/>
                <w:highlight w:val="none"/>
                <w:shd w:val="clear" w:color="auto" w:fill="auto"/>
                <w:lang w:val="en-US" w:eastAsia="zh-CN"/>
              </w:rPr>
            </w:pPr>
            <w:r>
              <w:rPr>
                <w:rFonts w:hint="eastAsia" w:ascii="宋体" w:hAnsi="宋体" w:eastAsia="宋体" w:cs="Times New Roman"/>
                <w:snapToGrid w:val="0"/>
                <w:color w:val="auto"/>
                <w:kern w:val="0"/>
                <w:sz w:val="24"/>
                <w:szCs w:val="24"/>
                <w:highlight w:val="none"/>
                <w:shd w:val="clear" w:color="auto" w:fill="auto"/>
                <w:lang w:eastAsia="zh-CN"/>
              </w:rPr>
              <w:t>联系人(部门)：</w:t>
            </w:r>
            <w:r>
              <w:rPr>
                <w:rFonts w:hint="eastAsia" w:hAnsi="宋体" w:cs="Times New Roman"/>
                <w:snapToGrid w:val="0"/>
                <w:color w:val="auto"/>
                <w:kern w:val="0"/>
                <w:sz w:val="24"/>
                <w:szCs w:val="24"/>
                <w:highlight w:val="none"/>
                <w:shd w:val="clear" w:color="auto" w:fill="auto"/>
                <w:lang w:val="en-US" w:eastAsia="zh-CN"/>
              </w:rPr>
              <w:t>何工</w:t>
            </w:r>
          </w:p>
          <w:p w14:paraId="2209C18E">
            <w:pPr>
              <w:wordWrap w:val="0"/>
              <w:adjustRightInd w:val="0"/>
              <w:snapToGrid w:val="0"/>
              <w:spacing w:line="400" w:lineRule="exact"/>
              <w:ind w:firstLine="240" w:firstLineChars="100"/>
              <w:jc w:val="left"/>
              <w:rPr>
                <w:rFonts w:hint="default" w:ascii="宋体" w:hAnsi="宋体" w:eastAsia="宋体" w:cs="宋体"/>
                <w:snapToGrid w:val="0"/>
                <w:color w:val="auto"/>
                <w:kern w:val="0"/>
                <w:sz w:val="24"/>
                <w:szCs w:val="24"/>
                <w:highlight w:val="none"/>
                <w:lang w:val="en-US"/>
              </w:rPr>
            </w:pPr>
            <w:r>
              <w:rPr>
                <w:rFonts w:hint="eastAsia" w:ascii="宋体" w:hAnsi="宋体" w:eastAsia="宋体" w:cs="Times New Roman"/>
                <w:snapToGrid w:val="0"/>
                <w:color w:val="auto"/>
                <w:kern w:val="0"/>
                <w:sz w:val="24"/>
                <w:szCs w:val="24"/>
                <w:highlight w:val="none"/>
                <w:shd w:val="clear" w:color="auto" w:fill="auto"/>
                <w:lang w:eastAsia="zh-CN"/>
              </w:rPr>
              <w:t>联系电话：</w:t>
            </w:r>
            <w:r>
              <w:rPr>
                <w:rFonts w:hint="eastAsia" w:hAnsi="宋体" w:cs="Times New Roman"/>
                <w:snapToGrid w:val="0"/>
                <w:color w:val="auto"/>
                <w:kern w:val="0"/>
                <w:sz w:val="24"/>
                <w:szCs w:val="24"/>
                <w:highlight w:val="none"/>
                <w:shd w:val="clear" w:color="auto" w:fill="auto"/>
                <w:lang w:val="en-US" w:eastAsia="zh-CN"/>
              </w:rPr>
              <w:t>13719753637</w:t>
            </w:r>
          </w:p>
        </w:tc>
      </w:tr>
      <w:tr w14:paraId="651D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B8CCDD5">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32</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1C3898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4E4C23C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37D285C2">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156735F">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6090DE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7240C317">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4"/>
      <w:tr w14:paraId="5B5DA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9D8E0A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bookmarkStart w:id="16" w:name="_Toc122859103"/>
            <w:bookmarkStart w:id="17" w:name="_Toc122769943"/>
            <w:bookmarkStart w:id="18" w:name="_Toc122671103"/>
            <w:bookmarkStart w:id="19" w:name="_Toc5853"/>
            <w:r>
              <w:rPr>
                <w:rFonts w:hint="eastAsia" w:ascii="宋体" w:hAnsi="宋体" w:eastAsia="宋体" w:cs="宋体"/>
                <w:snapToGrid w:val="0"/>
                <w:color w:val="auto"/>
                <w:kern w:val="0"/>
                <w:sz w:val="24"/>
                <w:szCs w:val="24"/>
                <w:highlight w:val="none"/>
                <w:lang w:val="en-US" w:eastAsia="zh-CN"/>
              </w:rPr>
              <w:t>33</w:t>
            </w:r>
          </w:p>
        </w:tc>
        <w:tc>
          <w:tcPr>
            <w:tcW w:w="1871" w:type="dxa"/>
            <w:tcBorders>
              <w:top w:val="single" w:color="auto" w:sz="4" w:space="0"/>
              <w:left w:val="single" w:color="auto" w:sz="4" w:space="0"/>
              <w:bottom w:val="single" w:color="auto" w:sz="4" w:space="0"/>
              <w:right w:val="single" w:color="auto" w:sz="4" w:space="0"/>
            </w:tcBorders>
            <w:noWrap w:val="0"/>
            <w:vAlign w:val="center"/>
          </w:tcPr>
          <w:p w14:paraId="3C8D1CD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58A47EE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036" w:type="dxa"/>
            <w:tcBorders>
              <w:top w:val="single" w:color="auto" w:sz="4" w:space="0"/>
              <w:left w:val="single" w:color="auto" w:sz="4" w:space="0"/>
              <w:bottom w:val="single" w:color="auto" w:sz="4" w:space="0"/>
              <w:right w:val="single" w:color="auto" w:sz="4" w:space="0"/>
            </w:tcBorders>
            <w:noWrap w:val="0"/>
            <w:vAlign w:val="center"/>
          </w:tcPr>
          <w:p w14:paraId="15FF0B09">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单位名称：乐昌市农业农村局(乐昌市乡村振兴局)</w:t>
            </w:r>
          </w:p>
          <w:p w14:paraId="533BBC34">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办公地址：韶关市乐昌市大昌路5</w:t>
            </w:r>
            <w:bookmarkStart w:id="434" w:name="_GoBack"/>
            <w:bookmarkEnd w:id="434"/>
            <w:r>
              <w:rPr>
                <w:rStyle w:val="149"/>
                <w:rFonts w:hint="eastAsia" w:ascii="宋体" w:hAnsi="宋体" w:eastAsia="宋体" w:cs="宋体"/>
                <w:color w:val="auto"/>
                <w:kern w:val="0"/>
                <w:highlight w:val="none"/>
              </w:rPr>
              <w:t>4号</w:t>
            </w:r>
          </w:p>
          <w:p w14:paraId="67D8296A">
            <w:pPr>
              <w:snapToGrid w:val="0"/>
              <w:spacing w:line="400" w:lineRule="exact"/>
              <w:ind w:firstLine="240" w:firstLineChars="100"/>
              <w:jc w:val="left"/>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联系人（部门）：监督股</w:t>
            </w:r>
          </w:p>
          <w:p w14:paraId="15EDC7B9">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Style w:val="149"/>
                <w:rFonts w:hint="eastAsia" w:ascii="宋体" w:hAnsi="宋体" w:eastAsia="宋体" w:cs="宋体"/>
                <w:color w:val="auto"/>
                <w:kern w:val="0"/>
                <w:highlight w:val="none"/>
              </w:rPr>
              <w:t>联系电话：</w:t>
            </w:r>
            <w:r>
              <w:rPr>
                <w:rStyle w:val="149"/>
                <w:rFonts w:hint="eastAsia" w:hAnsi="宋体" w:cs="宋体"/>
                <w:color w:val="auto"/>
                <w:kern w:val="0"/>
                <w:highlight w:val="none"/>
                <w:lang w:eastAsia="zh-CN"/>
              </w:rPr>
              <w:t>0751-5502981</w:t>
            </w:r>
          </w:p>
        </w:tc>
      </w:tr>
      <w:bookmarkEnd w:id="16"/>
      <w:bookmarkEnd w:id="17"/>
      <w:bookmarkEnd w:id="18"/>
      <w:bookmarkEnd w:id="19"/>
    </w:tbl>
    <w:p w14:paraId="37F06F43">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7"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1F8E1B2">
      <w:pPr>
        <w:pStyle w:val="4"/>
        <w:bidi w:val="0"/>
        <w:outlineLvl w:val="1"/>
        <w:rPr>
          <w:rFonts w:hint="eastAsia" w:ascii="宋体" w:hAnsi="宋体" w:eastAsia="宋体" w:cs="宋体"/>
          <w:color w:val="auto"/>
          <w:highlight w:val="none"/>
        </w:rPr>
      </w:pPr>
      <w:bookmarkStart w:id="20" w:name="_Toc27937"/>
      <w:bookmarkStart w:id="21" w:name="_Toc27075"/>
      <w:bookmarkStart w:id="22" w:name="_Toc25620"/>
      <w:bookmarkStart w:id="23" w:name="_Toc12786"/>
      <w:r>
        <w:rPr>
          <w:rFonts w:hint="eastAsia" w:ascii="宋体" w:hAnsi="宋体" w:eastAsia="宋体" w:cs="宋体"/>
          <w:color w:val="auto"/>
          <w:highlight w:val="none"/>
        </w:rPr>
        <w:t>第二节 重要事项时间地点一览表</w:t>
      </w:r>
      <w:bookmarkEnd w:id="20"/>
      <w:bookmarkEnd w:id="21"/>
      <w:bookmarkEnd w:id="22"/>
      <w:bookmarkEnd w:id="23"/>
    </w:p>
    <w:p w14:paraId="23231556">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pPr>
    </w:p>
    <w:tbl>
      <w:tblPr>
        <w:tblStyle w:val="30"/>
        <w:tblW w:w="951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19"/>
        <w:gridCol w:w="1541"/>
        <w:gridCol w:w="7453"/>
      </w:tblGrid>
      <w:tr w14:paraId="507474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7D7BA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59CF140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5A210BE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5B48BD2">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15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w:t>
            </w:r>
            <w:r>
              <w:rPr>
                <w:rFonts w:hint="eastAsia" w:ascii="宋体" w:hAnsi="宋体" w:eastAsia="宋体" w:cs="宋体"/>
                <w:color w:val="auto"/>
                <w:kern w:val="0"/>
                <w:sz w:val="24"/>
                <w:szCs w:val="24"/>
                <w:highlight w:val="none"/>
              </w:rPr>
              <w:t>分</w:t>
            </w:r>
          </w:p>
        </w:tc>
      </w:tr>
      <w:tr w14:paraId="7165B6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61194EF">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31F5C6B9">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w:t>
            </w:r>
          </w:p>
          <w:p w14:paraId="12CAF68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件截止时间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4EEE8BCC">
            <w:pPr>
              <w:pStyle w:val="136"/>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11</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 </w:t>
            </w:r>
            <w:r>
              <w:rPr>
                <w:rFonts w:hint="eastAsia" w:ascii="宋体" w:hAnsi="宋体" w:eastAsia="宋体" w:cs="宋体"/>
                <w:color w:val="auto"/>
                <w:kern w:val="0"/>
                <w:sz w:val="24"/>
                <w:szCs w:val="24"/>
                <w:highlight w:val="none"/>
              </w:rPr>
              <w:t>分</w:t>
            </w:r>
          </w:p>
        </w:tc>
      </w:tr>
      <w:tr w14:paraId="62FC82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22307A2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A584CC2">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0ED7BB6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45F920B">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10</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28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 </w:t>
            </w:r>
            <w:r>
              <w:rPr>
                <w:rFonts w:hint="eastAsia" w:ascii="宋体" w:hAnsi="宋体" w:eastAsia="宋体" w:cs="宋体"/>
                <w:color w:val="auto"/>
                <w:kern w:val="0"/>
                <w:sz w:val="24"/>
                <w:szCs w:val="24"/>
                <w:highlight w:val="none"/>
              </w:rPr>
              <w:t>分</w:t>
            </w:r>
          </w:p>
        </w:tc>
      </w:tr>
      <w:tr w14:paraId="55F0A9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1"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5C013E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411866A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308EC07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8913FF">
            <w:pPr>
              <w:pStyle w:val="136"/>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cs="宋体"/>
                <w:snapToGrid w:val="0"/>
                <w:color w:val="auto"/>
                <w:kern w:val="0"/>
                <w:sz w:val="24"/>
                <w:szCs w:val="24"/>
                <w:highlight w:val="none"/>
                <w:u w:val="single"/>
                <w:lang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cs="宋体"/>
                <w:color w:val="auto"/>
                <w:kern w:val="0"/>
                <w:sz w:val="24"/>
                <w:szCs w:val="24"/>
                <w:highlight w:val="none"/>
                <w:u w:val="single"/>
                <w:lang w:val="en-US" w:eastAsia="zh-CN"/>
              </w:rPr>
              <w:t xml:space="preserve">  10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28  </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分至</w:t>
            </w:r>
            <w:r>
              <w:rPr>
                <w:rFonts w:hint="eastAsia" w:ascii="宋体" w:hAnsi="宋体" w:cs="宋体"/>
                <w:snapToGrid w:val="0"/>
                <w:color w:val="auto"/>
                <w:kern w:val="0"/>
                <w:sz w:val="24"/>
                <w:szCs w:val="24"/>
                <w:highlight w:val="none"/>
                <w:u w:val="single"/>
                <w:lang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cs="宋体"/>
                <w:color w:val="auto"/>
                <w:kern w:val="0"/>
                <w:sz w:val="24"/>
                <w:szCs w:val="24"/>
                <w:highlight w:val="none"/>
                <w:u w:val="single"/>
                <w:lang w:val="en-US" w:eastAsia="zh-CN"/>
              </w:rPr>
              <w:t xml:space="preserve"> 10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31 </w:t>
            </w:r>
            <w:r>
              <w:rPr>
                <w:rFonts w:hint="eastAsia" w:ascii="宋体" w:hAnsi="宋体" w:eastAsia="宋体" w:cs="宋体"/>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16</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00</w:t>
            </w:r>
            <w:r>
              <w:rPr>
                <w:rFonts w:hint="eastAsia" w:ascii="宋体" w:hAnsi="宋体" w:eastAsia="宋体" w:cs="宋体"/>
                <w:snapToGrid w:val="0"/>
                <w:color w:val="auto"/>
                <w:kern w:val="0"/>
                <w:sz w:val="24"/>
                <w:szCs w:val="24"/>
                <w:highlight w:val="none"/>
              </w:rPr>
              <w:t>分</w:t>
            </w:r>
          </w:p>
        </w:tc>
      </w:tr>
      <w:tr w14:paraId="2125FD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0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41F2E957">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B013D9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0983540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23317A0">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4946A083">
            <w:pPr>
              <w:pStyle w:val="136"/>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6  </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p w14:paraId="76258BF7">
            <w:pPr>
              <w:pStyle w:val="27"/>
              <w:wordWrap w:val="0"/>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rPr>
              <w:t>投标保证保险投保截止时间：</w:t>
            </w:r>
            <w:r>
              <w:rPr>
                <w:rFonts w:hint="eastAsia"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6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w:t>
            </w:r>
          </w:p>
        </w:tc>
      </w:tr>
      <w:tr w14:paraId="201E5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84"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FA9734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7257C2C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63B45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A3958A7">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w:t>
            </w:r>
            <w:r>
              <w:rPr>
                <w:rFonts w:hint="eastAsia" w:hAnsi="宋体" w:cs="宋体"/>
                <w:color w:val="auto"/>
                <w:kern w:val="0"/>
                <w:sz w:val="24"/>
                <w:szCs w:val="24"/>
                <w:highlight w:val="none"/>
                <w:u w:val="single"/>
                <w:lang w:val="en-US" w:eastAsia="zh-CN"/>
              </w:rPr>
              <w:t>0</w:t>
            </w:r>
            <w:r>
              <w:rPr>
                <w:rFonts w:hint="eastAsia" w:ascii="宋体" w:hAnsi="宋体" w:cs="宋体"/>
                <w:color w:val="auto"/>
                <w:kern w:val="0"/>
                <w:sz w:val="24"/>
                <w:szCs w:val="24"/>
                <w:highlight w:val="none"/>
                <w:u w:val="single"/>
                <w:lang w:val="en-US" w:eastAsia="zh-CN"/>
              </w:rPr>
              <w:t xml:space="preserve">0 </w:t>
            </w:r>
            <w:r>
              <w:rPr>
                <w:rFonts w:hint="eastAsia" w:ascii="宋体" w:hAnsi="宋体" w:eastAsia="宋体" w:cs="宋体"/>
                <w:color w:val="auto"/>
                <w:kern w:val="0"/>
                <w:sz w:val="24"/>
                <w:szCs w:val="24"/>
                <w:highlight w:val="none"/>
              </w:rPr>
              <w:t>分</w:t>
            </w:r>
          </w:p>
        </w:tc>
      </w:tr>
      <w:tr w14:paraId="221217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3"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FC82E6B">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27ACE93D">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77EC89DA">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highlight w:val="none"/>
              </w:rPr>
              <w:t>递交时间</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70E251A">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7</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w:t>
            </w:r>
            <w:r>
              <w:rPr>
                <w:rFonts w:hint="eastAsia" w:hAnsi="宋体" w:cs="宋体"/>
                <w:color w:val="auto"/>
                <w:kern w:val="0"/>
                <w:sz w:val="24"/>
                <w:szCs w:val="24"/>
                <w:highlight w:val="none"/>
                <w:u w:val="single"/>
                <w:lang w:val="en-US" w:eastAsia="zh-CN"/>
              </w:rPr>
              <w:t>3</w:t>
            </w:r>
            <w:r>
              <w:rPr>
                <w:rFonts w:hint="eastAsia" w:ascii="宋体" w:hAnsi="宋体" w:cs="宋体"/>
                <w:color w:val="auto"/>
                <w:kern w:val="0"/>
                <w:sz w:val="24"/>
                <w:szCs w:val="24"/>
                <w:highlight w:val="none"/>
                <w:u w:val="single"/>
                <w:lang w:val="en-US" w:eastAsia="zh-CN"/>
              </w:rPr>
              <w:t xml:space="preserve">0 </w:t>
            </w:r>
            <w:r>
              <w:rPr>
                <w:rFonts w:hint="eastAsia" w:ascii="宋体" w:hAnsi="宋体" w:eastAsia="宋体" w:cs="宋体"/>
                <w:color w:val="auto"/>
                <w:kern w:val="0"/>
                <w:sz w:val="24"/>
                <w:szCs w:val="24"/>
                <w:highlight w:val="none"/>
              </w:rPr>
              <w:t>分</w:t>
            </w:r>
            <w:r>
              <w:rPr>
                <w:rFonts w:hint="eastAsia" w:ascii="宋体" w:hAnsi="宋体" w:eastAsia="宋体" w:cs="宋体"/>
                <w:snapToGrid w:val="0"/>
                <w:color w:val="auto"/>
                <w:kern w:val="0"/>
                <w:sz w:val="24"/>
                <w:szCs w:val="24"/>
                <w:highlight w:val="none"/>
              </w:rPr>
              <w:t>至</w:t>
            </w:r>
            <w:r>
              <w:rPr>
                <w:rFonts w:hint="eastAsia"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 11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w:t>
            </w:r>
            <w:r>
              <w:rPr>
                <w:rFonts w:hint="eastAsia" w:hAnsi="宋体" w:cs="宋体"/>
                <w:color w:val="auto"/>
                <w:kern w:val="0"/>
                <w:sz w:val="24"/>
                <w:szCs w:val="24"/>
                <w:highlight w:val="none"/>
                <w:u w:val="single"/>
                <w:lang w:val="en-US" w:eastAsia="zh-CN"/>
              </w:rPr>
              <w:t>0</w:t>
            </w:r>
            <w:r>
              <w:rPr>
                <w:rFonts w:hint="eastAsia" w:ascii="宋体" w:hAnsi="宋体" w:cs="宋体"/>
                <w:color w:val="auto"/>
                <w:kern w:val="0"/>
                <w:sz w:val="24"/>
                <w:szCs w:val="24"/>
                <w:highlight w:val="none"/>
                <w:u w:val="single"/>
                <w:lang w:val="en-US" w:eastAsia="zh-CN"/>
              </w:rPr>
              <w:t xml:space="preserve">0 </w:t>
            </w:r>
            <w:r>
              <w:rPr>
                <w:rFonts w:hint="eastAsia" w:ascii="宋体" w:hAnsi="宋体" w:eastAsia="宋体" w:cs="宋体"/>
                <w:color w:val="auto"/>
                <w:kern w:val="0"/>
                <w:sz w:val="24"/>
                <w:szCs w:val="24"/>
                <w:highlight w:val="none"/>
              </w:rPr>
              <w:t>分</w:t>
            </w:r>
          </w:p>
        </w:tc>
      </w:tr>
      <w:tr w14:paraId="265F64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2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586D5AED">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4E04AA3">
            <w:pPr>
              <w:pStyle w:val="136"/>
              <w:wordWrap w:val="0"/>
              <w:adjustRightInd w:val="0"/>
              <w:snapToGrid w:val="0"/>
              <w:spacing w:line="360" w:lineRule="exact"/>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投标相关资料（如有）</w:t>
            </w:r>
          </w:p>
          <w:p w14:paraId="278879E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highlight w:val="none"/>
              </w:rPr>
              <w:t>递交地点</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5CD7D8A0">
            <w:pPr>
              <w:adjustRightInd w:val="0"/>
              <w:snapToGrid w:val="0"/>
              <w:spacing w:line="400" w:lineRule="exact"/>
              <w:ind w:firstLine="240" w:firstLineChars="100"/>
              <w:rPr>
                <w:rFonts w:hint="eastAsia" w:ascii="宋体" w:hAnsi="宋体" w:eastAsia="宋体" w:cs="宋体"/>
                <w:snapToGrid w:val="0"/>
                <w:color w:val="auto"/>
                <w:kern w:val="0"/>
                <w:sz w:val="24"/>
                <w:szCs w:val="22"/>
                <w:highlight w:val="none"/>
                <w:lang w:val="en-US" w:eastAsia="zh-CN" w:bidi="ar-SA"/>
              </w:rPr>
            </w:pPr>
            <w:r>
              <w:rPr>
                <w:rFonts w:hint="eastAsia" w:ascii="宋体" w:hAnsi="宋体" w:eastAsia="宋体" w:cs="宋体"/>
                <w:snapToGrid w:val="0"/>
                <w:color w:val="auto"/>
                <w:kern w:val="0"/>
                <w:sz w:val="24"/>
                <w:szCs w:val="22"/>
                <w:highlight w:val="none"/>
                <w:lang w:val="en-US" w:eastAsia="zh-CN" w:bidi="ar-SA"/>
              </w:rPr>
              <w:t>递交场所：韶关市公共资源交易中心乐昌分中心，</w:t>
            </w:r>
          </w:p>
          <w:p w14:paraId="1C3B24CD">
            <w:pPr>
              <w:adjustRightInd w:val="0"/>
              <w:snapToGrid w:val="0"/>
              <w:spacing w:line="400" w:lineRule="exact"/>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2"/>
                <w:highlight w:val="none"/>
                <w:lang w:val="en-US" w:eastAsia="zh-CN" w:bidi="ar-SA"/>
              </w:rPr>
              <w:t>地址：乐昌市昌山北路23号，具体房间号以当日现场通知为准。</w:t>
            </w:r>
          </w:p>
        </w:tc>
      </w:tr>
      <w:tr w14:paraId="5A515F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6"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17BDEA98">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0AB70E54">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78D262B8">
            <w:pPr>
              <w:pStyle w:val="27"/>
              <w:wordWrap w:val="0"/>
              <w:adjustRightInd w:val="0"/>
              <w:snapToGrid w:val="0"/>
              <w:spacing w:line="40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hAnsi="宋体" w:cs="宋体"/>
                <w:color w:val="auto"/>
                <w:kern w:val="0"/>
                <w:sz w:val="24"/>
                <w:szCs w:val="24"/>
                <w:highlight w:val="none"/>
                <w:u w:val="single"/>
                <w:lang w:eastAsia="zh-CN"/>
              </w:rPr>
              <w:t>2025</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 xml:space="preserve">11 </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 xml:space="preserve"> 7 </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rPr>
              <w:t xml:space="preserve"> </w:t>
            </w:r>
            <w:r>
              <w:rPr>
                <w:rFonts w:hint="eastAsia" w:hAnsi="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 xml:space="preserve"> </w:t>
            </w:r>
            <w:r>
              <w:rPr>
                <w:rFonts w:hint="eastAsia" w:hAnsi="宋体" w:cs="宋体"/>
                <w:color w:val="auto"/>
                <w:kern w:val="0"/>
                <w:sz w:val="24"/>
                <w:szCs w:val="24"/>
                <w:highlight w:val="none"/>
                <w:u w:val="single"/>
                <w:lang w:val="en-US" w:eastAsia="zh-CN"/>
              </w:rPr>
              <w:t>0</w:t>
            </w:r>
            <w:r>
              <w:rPr>
                <w:rFonts w:hint="eastAsia" w:ascii="宋体" w:hAnsi="宋体" w:cs="宋体"/>
                <w:color w:val="auto"/>
                <w:kern w:val="0"/>
                <w:sz w:val="24"/>
                <w:szCs w:val="24"/>
                <w:highlight w:val="none"/>
                <w:u w:val="single"/>
                <w:lang w:val="en-US" w:eastAsia="zh-CN"/>
              </w:rPr>
              <w:t>0</w:t>
            </w:r>
            <w:r>
              <w:rPr>
                <w:rFonts w:hint="eastAsia" w:ascii="宋体" w:hAnsi="宋体" w:eastAsia="宋体" w:cs="宋体"/>
                <w:color w:val="auto"/>
                <w:kern w:val="0"/>
                <w:sz w:val="24"/>
                <w:szCs w:val="24"/>
                <w:highlight w:val="none"/>
              </w:rPr>
              <w:t>分</w:t>
            </w:r>
          </w:p>
        </w:tc>
      </w:tr>
      <w:tr w14:paraId="32D67E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0" w:hRule="exact"/>
          <w:jc w:val="center"/>
        </w:trPr>
        <w:tc>
          <w:tcPr>
            <w:tcW w:w="519" w:type="dxa"/>
            <w:tcBorders>
              <w:top w:val="single" w:color="080000" w:sz="4" w:space="0"/>
              <w:left w:val="single" w:color="080000" w:sz="4" w:space="0"/>
              <w:bottom w:val="single" w:color="080000" w:sz="4" w:space="0"/>
              <w:right w:val="single" w:color="080000" w:sz="4" w:space="0"/>
            </w:tcBorders>
            <w:noWrap w:val="0"/>
            <w:vAlign w:val="center"/>
          </w:tcPr>
          <w:p w14:paraId="349B5021">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41" w:type="dxa"/>
            <w:tcBorders>
              <w:top w:val="single" w:color="080000" w:sz="4" w:space="0"/>
              <w:left w:val="single" w:color="080000" w:sz="4" w:space="0"/>
              <w:bottom w:val="single" w:color="080000" w:sz="4" w:space="0"/>
              <w:right w:val="single" w:color="080000" w:sz="4" w:space="0"/>
            </w:tcBorders>
            <w:noWrap w:val="0"/>
            <w:vAlign w:val="center"/>
          </w:tcPr>
          <w:p w14:paraId="63C67210">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0A39CAEE">
            <w:pPr>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开标场所：韶关市公共资源交易中心乐昌分中心，</w:t>
            </w:r>
          </w:p>
          <w:p w14:paraId="07CA8258">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地址：乐昌市昌山北路23号，具体房间号以当日现场通知为准。 </w:t>
            </w:r>
          </w:p>
        </w:tc>
      </w:tr>
      <w:tr w14:paraId="514E4F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7" w:hRule="exact"/>
          <w:jc w:val="center"/>
        </w:trPr>
        <w:tc>
          <w:tcPr>
            <w:tcW w:w="2060" w:type="dxa"/>
            <w:gridSpan w:val="2"/>
            <w:tcBorders>
              <w:top w:val="single" w:color="080000" w:sz="4" w:space="0"/>
              <w:left w:val="single" w:color="080000" w:sz="4" w:space="0"/>
              <w:bottom w:val="single" w:color="080000" w:sz="4" w:space="0"/>
              <w:right w:val="single" w:color="080000" w:sz="4" w:space="0"/>
            </w:tcBorders>
            <w:noWrap w:val="0"/>
            <w:vAlign w:val="center"/>
          </w:tcPr>
          <w:p w14:paraId="0DB7891C">
            <w:pPr>
              <w:pStyle w:val="136"/>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7453" w:type="dxa"/>
            <w:tcBorders>
              <w:top w:val="single" w:color="080000" w:sz="4" w:space="0"/>
              <w:left w:val="single" w:color="080000" w:sz="4" w:space="0"/>
              <w:bottom w:val="single" w:color="080000" w:sz="4" w:space="0"/>
              <w:right w:val="single" w:color="080000" w:sz="4" w:space="0"/>
            </w:tcBorders>
            <w:noWrap w:val="0"/>
            <w:vAlign w:val="center"/>
          </w:tcPr>
          <w:p w14:paraId="172C5FF9">
            <w:pPr>
              <w:pStyle w:val="27"/>
              <w:wordWrap w:val="0"/>
              <w:adjustRightInd w:val="0"/>
              <w:snapToGrid w:val="0"/>
              <w:spacing w:line="400" w:lineRule="exact"/>
              <w:ind w:firstLine="240" w:firstLineChars="100"/>
              <w:jc w:val="left"/>
              <w:rPr>
                <w:rFonts w:hint="eastAsia" w:ascii="宋体" w:hAnsi="宋体" w:eastAsia="宋体" w:cs="宋体"/>
                <w:snapToGrid w:val="0"/>
                <w:color w:val="auto"/>
                <w:kern w:val="0"/>
                <w:highlight w:val="none"/>
              </w:rPr>
            </w:pPr>
            <w:r>
              <w:rPr>
                <w:rFonts w:hint="eastAsia" w:ascii="宋体" w:hAnsi="宋体" w:eastAsia="宋体" w:cs="宋体"/>
                <w:color w:val="auto"/>
                <w:highlight w:val="none"/>
                <w:shd w:val="clear" w:color="auto" w:fill="FFFFFF"/>
              </w:rPr>
              <w:t>投标人应按有关计划时间安排办理企业CA认证、企业入库等，获取招标文件后</w:t>
            </w:r>
            <w:r>
              <w:rPr>
                <w:rFonts w:hint="eastAsia" w:ascii="宋体" w:hAnsi="宋体" w:eastAsia="宋体" w:cs="宋体"/>
                <w:snapToGrid w:val="0"/>
                <w:color w:val="auto"/>
                <w:kern w:val="0"/>
                <w:highlight w:val="none"/>
              </w:rPr>
              <w:t>自行下载招标文件、资料文件及招标答疑书等。若由于投标人自身原因未能及时取得上述资料的，由此发生的任何责任由投标人自负。</w:t>
            </w:r>
          </w:p>
        </w:tc>
      </w:tr>
    </w:tbl>
    <w:p w14:paraId="03EC6095">
      <w:pPr>
        <w:rPr>
          <w:rFonts w:hint="eastAsia"/>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03855E4B">
      <w:pPr>
        <w:pStyle w:val="4"/>
        <w:bidi w:val="0"/>
        <w:outlineLvl w:val="1"/>
        <w:rPr>
          <w:rFonts w:hint="eastAsia" w:ascii="宋体" w:hAnsi="宋体" w:eastAsia="宋体" w:cs="宋体"/>
          <w:color w:val="auto"/>
          <w:highlight w:val="none"/>
        </w:rPr>
      </w:pPr>
      <w:bookmarkStart w:id="24" w:name="_Hlt87793819"/>
      <w:bookmarkEnd w:id="24"/>
      <w:bookmarkStart w:id="25" w:name="_Toc16803"/>
      <w:bookmarkStart w:id="26" w:name="_Toc30390"/>
      <w:bookmarkStart w:id="27" w:name="_Toc18202"/>
      <w:bookmarkStart w:id="28" w:name="_Toc5895"/>
      <w:bookmarkStart w:id="29" w:name="_Toc25549"/>
      <w:bookmarkStart w:id="30" w:name="_Hlt69698705"/>
      <w:bookmarkStart w:id="31" w:name="_Hlt69698754"/>
      <w:r>
        <w:rPr>
          <w:rFonts w:hint="eastAsia" w:ascii="宋体" w:hAnsi="宋体" w:eastAsia="宋体" w:cs="宋体"/>
          <w:color w:val="auto"/>
          <w:highlight w:val="none"/>
        </w:rPr>
        <w:t>第三节 投标人须知</w:t>
      </w:r>
      <w:bookmarkEnd w:id="25"/>
      <w:bookmarkStart w:id="32" w:name="_Hlt69669159"/>
      <w:bookmarkEnd w:id="32"/>
      <w:r>
        <w:rPr>
          <w:rFonts w:hint="eastAsia" w:ascii="宋体" w:hAnsi="宋体" w:eastAsia="宋体" w:cs="宋体"/>
          <w:color w:val="auto"/>
          <w:highlight w:val="none"/>
        </w:rPr>
        <w:t>正文</w:t>
      </w:r>
      <w:bookmarkEnd w:id="26"/>
      <w:bookmarkEnd w:id="27"/>
      <w:bookmarkEnd w:id="28"/>
      <w:bookmarkEnd w:id="29"/>
    </w:p>
    <w:bookmarkEnd w:id="30"/>
    <w:bookmarkEnd w:id="31"/>
    <w:p w14:paraId="36CA6A3A">
      <w:pPr>
        <w:rPr>
          <w:rFonts w:hint="eastAsia" w:ascii="宋体" w:hAnsi="宋体" w:eastAsia="宋体" w:cs="宋体"/>
          <w:color w:val="auto"/>
          <w:highlight w:val="none"/>
        </w:rPr>
      </w:pPr>
    </w:p>
    <w:p w14:paraId="4595CFF0">
      <w:pPr>
        <w:pStyle w:val="148"/>
        <w:snapToGrid w:val="0"/>
        <w:spacing w:line="360" w:lineRule="auto"/>
        <w:ind w:firstLine="480"/>
        <w:jc w:val="left"/>
        <w:rPr>
          <w:rStyle w:val="149"/>
          <w:rFonts w:hint="eastAsia" w:ascii="宋体" w:hAnsi="宋体" w:eastAsia="宋体" w:cs="宋体"/>
          <w:color w:val="auto"/>
          <w:kern w:val="0"/>
          <w:sz w:val="24"/>
          <w:szCs w:val="24"/>
          <w:highlight w:val="none"/>
        </w:rPr>
      </w:pPr>
      <w:bookmarkStart w:id="33" w:name="_Hlt119991399"/>
      <w:bookmarkEnd w:id="33"/>
      <w:bookmarkStart w:id="34" w:name="_Hlt87948285"/>
      <w:bookmarkEnd w:id="34"/>
      <w:bookmarkStart w:id="35" w:name="_Hlt74474735"/>
      <w:bookmarkEnd w:id="35"/>
      <w:bookmarkStart w:id="36" w:name="_Hlt109358474"/>
      <w:bookmarkEnd w:id="36"/>
      <w:bookmarkStart w:id="37" w:name="_Hlt78795222"/>
      <w:bookmarkEnd w:id="37"/>
      <w:bookmarkStart w:id="38" w:name="_Toc26083"/>
      <w:r>
        <w:rPr>
          <w:rStyle w:val="149"/>
          <w:rFonts w:hint="eastAsia" w:ascii="宋体" w:hAnsi="宋体" w:cs="宋体"/>
          <w:color w:val="auto"/>
          <w:kern w:val="0"/>
          <w:sz w:val="24"/>
          <w:szCs w:val="24"/>
          <w:highlight w:val="none"/>
          <w:u w:val="single"/>
          <w:lang w:val="en-US" w:eastAsia="zh-CN"/>
        </w:rPr>
        <w:t>乐昌市“山乡古韵”西京古道乡村振兴示范带项目（秀水段）中排村</w:t>
      </w:r>
      <w:r>
        <w:rPr>
          <w:rFonts w:hint="eastAsia" w:ascii="宋体" w:hAnsi="宋体" w:eastAsia="宋体" w:cs="宋体"/>
          <w:snapToGrid w:val="0"/>
          <w:color w:val="auto"/>
          <w:kern w:val="0"/>
          <w:sz w:val="24"/>
          <w:szCs w:val="24"/>
          <w:highlight w:val="none"/>
        </w:rPr>
        <w:t>经</w:t>
      </w:r>
      <w:r>
        <w:rPr>
          <w:rStyle w:val="149"/>
          <w:rFonts w:hint="eastAsia" w:ascii="宋体" w:hAnsi="宋体" w:eastAsia="宋体" w:cs="宋体"/>
          <w:color w:val="auto"/>
          <w:kern w:val="0"/>
          <w:sz w:val="24"/>
          <w:szCs w:val="24"/>
          <w:highlight w:val="none"/>
          <w:u w:val="single"/>
          <w:lang w:val="en-US" w:eastAsia="zh-CN"/>
        </w:rPr>
        <w:t>乐昌市发展和改革局以《</w:t>
      </w:r>
      <w:r>
        <w:rPr>
          <w:rStyle w:val="149"/>
          <w:rFonts w:hint="eastAsia" w:ascii="宋体" w:hAnsi="宋体" w:cs="宋体"/>
          <w:color w:val="auto"/>
          <w:kern w:val="0"/>
          <w:sz w:val="24"/>
          <w:szCs w:val="24"/>
          <w:highlight w:val="none"/>
          <w:u w:val="single"/>
          <w:lang w:eastAsia="zh-CN"/>
        </w:rPr>
        <w:t>乐昌市发展和改革局关于乐昌市“山乡古韵”西京古道乡村振兴示范带项目(秀水段)中排村项</w:t>
      </w:r>
      <w:r>
        <w:rPr>
          <w:rStyle w:val="149"/>
          <w:rFonts w:hint="eastAsia" w:ascii="宋体" w:hAnsi="宋体" w:cs="宋体"/>
          <w:color w:val="auto"/>
          <w:kern w:val="0"/>
          <w:sz w:val="24"/>
          <w:szCs w:val="24"/>
          <w:highlight w:val="none"/>
          <w:u w:val="single"/>
          <w:lang w:val="en-US" w:eastAsia="zh-CN"/>
        </w:rPr>
        <w:t>目</w:t>
      </w:r>
      <w:r>
        <w:rPr>
          <w:rStyle w:val="149"/>
          <w:rFonts w:hint="eastAsia" w:ascii="宋体" w:hAnsi="宋体" w:cs="宋体"/>
          <w:color w:val="auto"/>
          <w:kern w:val="0"/>
          <w:sz w:val="24"/>
          <w:szCs w:val="24"/>
          <w:highlight w:val="none"/>
          <w:u w:val="single"/>
          <w:lang w:eastAsia="zh-CN"/>
        </w:rPr>
        <w:t>可行性研究报出的批复</w:t>
      </w:r>
      <w:r>
        <w:rPr>
          <w:rStyle w:val="149"/>
          <w:rFonts w:hint="eastAsia" w:ascii="宋体" w:hAnsi="宋体" w:eastAsia="宋体" w:cs="宋体"/>
          <w:color w:val="auto"/>
          <w:kern w:val="0"/>
          <w:sz w:val="24"/>
          <w:szCs w:val="24"/>
          <w:highlight w:val="none"/>
          <w:u w:val="single"/>
        </w:rPr>
        <w:t>》</w:t>
      </w:r>
      <w:r>
        <w:rPr>
          <w:rStyle w:val="149"/>
          <w:rFonts w:hint="eastAsia" w:ascii="宋体" w:hAnsi="宋体" w:cs="宋体"/>
          <w:color w:val="auto"/>
          <w:kern w:val="0"/>
          <w:sz w:val="24"/>
          <w:szCs w:val="24"/>
          <w:highlight w:val="none"/>
          <w:u w:val="single"/>
          <w:lang w:eastAsia="zh-CN"/>
        </w:rPr>
        <w:t>乐发改投审〔2024〕85号</w:t>
      </w:r>
      <w:r>
        <w:rPr>
          <w:rStyle w:val="149"/>
          <w:rFonts w:hint="eastAsia" w:ascii="宋体" w:hAnsi="宋体" w:eastAsia="宋体" w:cs="宋体"/>
          <w:color w:val="auto"/>
          <w:kern w:val="0"/>
          <w:sz w:val="24"/>
          <w:szCs w:val="24"/>
          <w:highlight w:val="none"/>
        </w:rPr>
        <w:t>批准建设，项目代码为</w:t>
      </w:r>
      <w:r>
        <w:rPr>
          <w:rStyle w:val="149"/>
          <w:rFonts w:hint="eastAsia" w:ascii="宋体" w:hAnsi="宋体" w:cs="宋体"/>
          <w:color w:val="auto"/>
          <w:kern w:val="0"/>
          <w:sz w:val="24"/>
          <w:szCs w:val="24"/>
          <w:highlight w:val="none"/>
          <w:u w:val="single"/>
          <w:lang w:eastAsia="zh-CN"/>
        </w:rPr>
        <w:t>2403-440281-04-01-556140</w:t>
      </w:r>
      <w:r>
        <w:rPr>
          <w:rStyle w:val="149"/>
          <w:rFonts w:hint="eastAsia" w:ascii="宋体" w:hAnsi="宋体" w:eastAsia="宋体" w:cs="宋体"/>
          <w:color w:val="auto"/>
          <w:kern w:val="0"/>
          <w:sz w:val="24"/>
          <w:szCs w:val="24"/>
          <w:highlight w:val="none"/>
        </w:rPr>
        <w:t>。本项目主为</w:t>
      </w:r>
      <w:r>
        <w:rPr>
          <w:rStyle w:val="149"/>
          <w:rFonts w:hint="eastAsia" w:ascii="宋体" w:hAnsi="宋体" w:cs="宋体"/>
          <w:color w:val="auto"/>
          <w:kern w:val="0"/>
          <w:sz w:val="24"/>
          <w:szCs w:val="24"/>
          <w:highlight w:val="none"/>
          <w:u w:val="single"/>
          <w:lang w:eastAsia="zh-CN"/>
        </w:rPr>
        <w:t>乐昌市秀水镇人民政府</w:t>
      </w:r>
      <w:r>
        <w:rPr>
          <w:rStyle w:val="149"/>
          <w:rFonts w:hint="eastAsia" w:ascii="宋体" w:hAnsi="宋体" w:eastAsia="宋体" w:cs="宋体"/>
          <w:color w:val="auto"/>
          <w:kern w:val="0"/>
          <w:sz w:val="24"/>
          <w:szCs w:val="24"/>
          <w:highlight w:val="none"/>
        </w:rPr>
        <w:t>，建设资金来自</w:t>
      </w:r>
      <w:r>
        <w:rPr>
          <w:rStyle w:val="149"/>
          <w:rFonts w:hint="eastAsia" w:ascii="宋体" w:hAnsi="宋体" w:eastAsia="宋体" w:cs="宋体"/>
          <w:color w:val="auto"/>
          <w:kern w:val="0"/>
          <w:sz w:val="24"/>
          <w:szCs w:val="24"/>
          <w:highlight w:val="none"/>
          <w:u w:val="single"/>
          <w:lang w:val="en-US"/>
        </w:rPr>
        <w:t xml:space="preserve"> </w:t>
      </w:r>
      <w:r>
        <w:rPr>
          <w:rStyle w:val="149"/>
          <w:rFonts w:hint="eastAsia" w:ascii="宋体" w:hAnsi="宋体" w:cs="宋体"/>
          <w:color w:val="auto"/>
          <w:kern w:val="0"/>
          <w:sz w:val="24"/>
          <w:szCs w:val="24"/>
          <w:highlight w:val="none"/>
          <w:u w:val="single"/>
          <w:lang w:val="en-US" w:eastAsia="zh-CN"/>
        </w:rPr>
        <w:t>上级财政资金及单位自筹</w:t>
      </w:r>
      <w:r>
        <w:rPr>
          <w:rStyle w:val="149"/>
          <w:rFonts w:hint="eastAsia" w:ascii="宋体" w:hAnsi="宋体" w:eastAsia="宋体" w:cs="宋体"/>
          <w:color w:val="auto"/>
          <w:kern w:val="0"/>
          <w:sz w:val="24"/>
          <w:szCs w:val="24"/>
          <w:highlight w:val="none"/>
          <w:u w:val="single"/>
          <w:lang w:eastAsia="zh-CN"/>
        </w:rPr>
        <w:t>，</w:t>
      </w:r>
      <w:r>
        <w:rPr>
          <w:rStyle w:val="149"/>
          <w:rFonts w:hint="eastAsia" w:ascii="宋体" w:hAnsi="宋体" w:eastAsia="宋体" w:cs="宋体"/>
          <w:color w:val="auto"/>
          <w:kern w:val="0"/>
          <w:sz w:val="24"/>
          <w:szCs w:val="24"/>
          <w:highlight w:val="none"/>
        </w:rPr>
        <w:t>出资比例为</w:t>
      </w:r>
      <w:r>
        <w:rPr>
          <w:rStyle w:val="149"/>
          <w:rFonts w:hint="eastAsia" w:ascii="宋体" w:hAnsi="宋体" w:eastAsia="宋体" w:cs="宋体"/>
          <w:color w:val="auto"/>
          <w:kern w:val="0"/>
          <w:sz w:val="24"/>
          <w:szCs w:val="24"/>
          <w:highlight w:val="none"/>
          <w:u w:val="single"/>
        </w:rPr>
        <w:t>100%</w:t>
      </w:r>
      <w:r>
        <w:rPr>
          <w:rStyle w:val="149"/>
          <w:rFonts w:hint="eastAsia" w:ascii="宋体" w:hAnsi="宋体" w:eastAsia="宋体" w:cs="宋体"/>
          <w:color w:val="auto"/>
          <w:kern w:val="0"/>
          <w:sz w:val="24"/>
          <w:szCs w:val="24"/>
          <w:highlight w:val="none"/>
        </w:rPr>
        <w:t>，招标人为</w:t>
      </w:r>
      <w:r>
        <w:rPr>
          <w:rStyle w:val="149"/>
          <w:rFonts w:hint="eastAsia" w:ascii="宋体" w:hAnsi="宋体" w:cs="宋体"/>
          <w:color w:val="auto"/>
          <w:kern w:val="0"/>
          <w:sz w:val="24"/>
          <w:szCs w:val="24"/>
          <w:highlight w:val="none"/>
          <w:u w:val="single"/>
          <w:lang w:eastAsia="zh-CN"/>
        </w:rPr>
        <w:t>乐昌市秀水镇人民政府</w:t>
      </w:r>
      <w:r>
        <w:rPr>
          <w:rStyle w:val="149"/>
          <w:rFonts w:hint="eastAsia" w:ascii="宋体" w:hAnsi="宋体" w:eastAsia="宋体" w:cs="宋体"/>
          <w:color w:val="auto"/>
          <w:kern w:val="0"/>
          <w:sz w:val="24"/>
          <w:szCs w:val="24"/>
          <w:highlight w:val="none"/>
        </w:rPr>
        <w:t>，招标代理机构为</w:t>
      </w:r>
      <w:r>
        <w:rPr>
          <w:rStyle w:val="149"/>
          <w:rFonts w:hint="eastAsia" w:ascii="宋体" w:hAnsi="宋体" w:cs="宋体"/>
          <w:color w:val="auto"/>
          <w:kern w:val="0"/>
          <w:sz w:val="24"/>
          <w:szCs w:val="24"/>
          <w:highlight w:val="none"/>
          <w:u w:val="single"/>
          <w:lang w:eastAsia="zh-CN"/>
        </w:rPr>
        <w:t>韶关太古工程咨询有限公司</w:t>
      </w:r>
      <w:r>
        <w:rPr>
          <w:rStyle w:val="149"/>
          <w:rFonts w:hint="eastAsia" w:ascii="宋体" w:hAnsi="宋体" w:eastAsia="宋体" w:cs="宋体"/>
          <w:color w:val="auto"/>
          <w:kern w:val="0"/>
          <w:sz w:val="24"/>
          <w:szCs w:val="24"/>
          <w:highlight w:val="none"/>
        </w:rPr>
        <w:t>。项目已具备招标条件，现对该项目的</w:t>
      </w:r>
      <w:r>
        <w:rPr>
          <w:rStyle w:val="149"/>
          <w:rFonts w:hint="eastAsia" w:ascii="宋体" w:hAnsi="宋体" w:eastAsia="宋体" w:cs="宋体"/>
          <w:color w:val="auto"/>
          <w:kern w:val="0"/>
          <w:sz w:val="24"/>
          <w:szCs w:val="24"/>
          <w:highlight w:val="none"/>
          <w:u w:val="single"/>
        </w:rPr>
        <w:t>施工</w:t>
      </w:r>
      <w:r>
        <w:rPr>
          <w:rStyle w:val="149"/>
          <w:rFonts w:hint="eastAsia" w:ascii="宋体" w:hAnsi="宋体" w:eastAsia="宋体" w:cs="宋体"/>
          <w:color w:val="auto"/>
          <w:kern w:val="0"/>
          <w:sz w:val="24"/>
          <w:szCs w:val="24"/>
          <w:highlight w:val="none"/>
          <w:u w:val="none"/>
        </w:rPr>
        <w:t>进行</w:t>
      </w:r>
      <w:r>
        <w:rPr>
          <w:rStyle w:val="149"/>
          <w:rFonts w:hint="eastAsia" w:ascii="宋体" w:hAnsi="宋体" w:eastAsia="宋体" w:cs="宋体"/>
          <w:color w:val="auto"/>
          <w:kern w:val="0"/>
          <w:sz w:val="24"/>
          <w:szCs w:val="24"/>
          <w:highlight w:val="none"/>
        </w:rPr>
        <w:t>公开招标。</w:t>
      </w:r>
    </w:p>
    <w:p w14:paraId="5AE483DC">
      <w:pPr>
        <w:pageBreakBefore w:val="0"/>
        <w:kinsoku/>
        <w:overflowPunct/>
        <w:topLinePunct w:val="0"/>
        <w:autoSpaceDE/>
        <w:autoSpaceDN/>
        <w:bidi w:val="0"/>
        <w:spacing w:line="360" w:lineRule="auto"/>
        <w:ind w:firstLine="482" w:firstLineChars="200"/>
        <w:textAlignment w:val="auto"/>
        <w:rPr>
          <w:rFonts w:hint="eastAsia" w:ascii="宋体" w:hAnsi="宋体" w:eastAsia="宋体" w:cs="宋体"/>
          <w:b/>
          <w:snapToGrid w:val="0"/>
          <w:color w:val="auto"/>
          <w:highlight w:val="none"/>
        </w:rPr>
      </w:pPr>
    </w:p>
    <w:p w14:paraId="3DDE2D3F">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ascii="宋体" w:hAnsi="宋体" w:eastAsia="宋体" w:cs="宋体"/>
          <w:color w:val="auto"/>
          <w:highlight w:val="none"/>
        </w:rPr>
      </w:pPr>
      <w:bookmarkStart w:id="39" w:name="_Toc25995"/>
      <w:bookmarkStart w:id="40" w:name="_Toc5334"/>
      <w:r>
        <w:rPr>
          <w:rFonts w:hint="eastAsia" w:ascii="宋体" w:hAnsi="宋体" w:eastAsia="宋体" w:cs="宋体"/>
          <w:color w:val="auto"/>
          <w:highlight w:val="none"/>
        </w:rPr>
        <w:t>1．项目概况、招标范围和标段划分、投标费用</w:t>
      </w:r>
      <w:bookmarkEnd w:id="39"/>
      <w:bookmarkEnd w:id="40"/>
    </w:p>
    <w:p w14:paraId="58A594B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4D684C01">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default" w:hAnsi="宋体" w:cs="宋体"/>
          <w:color w:val="auto"/>
          <w:highlight w:val="none"/>
          <w:lang w:val="en-US" w:eastAsia="zh-CN"/>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Style w:val="149"/>
          <w:rFonts w:hint="eastAsia" w:hAnsi="宋体" w:cs="宋体"/>
          <w:color w:val="auto"/>
          <w:kern w:val="0"/>
          <w:szCs w:val="24"/>
          <w:highlight w:val="none"/>
          <w:u w:val="single"/>
          <w:lang w:eastAsia="zh-CN"/>
        </w:rPr>
        <w:t>乐昌市秀水镇中排村</w:t>
      </w:r>
    </w:p>
    <w:p w14:paraId="0326F547">
      <w:pPr>
        <w:pStyle w:val="148"/>
        <w:snapToGrid w:val="0"/>
        <w:spacing w:line="360" w:lineRule="auto"/>
        <w:ind w:firstLine="480"/>
        <w:jc w:val="left"/>
        <w:rPr>
          <w:rStyle w:val="149"/>
          <w:rFonts w:hint="eastAsia" w:hAnsi="宋体" w:eastAsia="宋体" w:cs="宋体"/>
          <w:color w:val="auto"/>
          <w:kern w:val="0"/>
          <w:szCs w:val="24"/>
          <w:highlight w:val="none"/>
          <w:u w:val="singl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Style w:val="149"/>
          <w:rFonts w:hint="eastAsia" w:hAnsi="宋体" w:cs="宋体"/>
          <w:color w:val="auto"/>
          <w:kern w:val="0"/>
          <w:szCs w:val="24"/>
          <w:highlight w:val="none"/>
          <w:u w:val="single"/>
          <w:lang w:val="en-US" w:eastAsia="zh-CN"/>
        </w:rPr>
        <w:t>公共服务设施、村庄基础配套设施、示范带沿线产业基础配套设施等建设</w:t>
      </w:r>
      <w:r>
        <w:rPr>
          <w:rStyle w:val="149"/>
          <w:rFonts w:hint="eastAsia" w:hAnsi="宋体" w:eastAsia="宋体" w:cs="宋体"/>
          <w:color w:val="auto"/>
          <w:kern w:val="0"/>
          <w:szCs w:val="24"/>
          <w:highlight w:val="none"/>
          <w:u w:val="single"/>
          <w:lang w:val="en-US" w:eastAsia="zh-CN"/>
        </w:rPr>
        <w:t>。</w:t>
      </w:r>
    </w:p>
    <w:p w14:paraId="7622AB82">
      <w:pPr>
        <w:pStyle w:val="148"/>
        <w:snapToGrid w:val="0"/>
        <w:spacing w:line="360" w:lineRule="auto"/>
        <w:ind w:firstLine="480"/>
        <w:jc w:val="left"/>
        <w:rPr>
          <w:rStyle w:val="149"/>
          <w:rFonts w:hint="eastAsia" w:hAnsi="宋体" w:eastAsia="宋体" w:cs="宋体"/>
          <w:color w:val="auto"/>
          <w:kern w:val="0"/>
          <w:szCs w:val="24"/>
          <w:highlight w:val="none"/>
          <w:u w:val="single"/>
          <w:lang w:val="en-US" w:eastAsia="zh-CN"/>
        </w:rPr>
      </w:pPr>
      <w:r>
        <w:rPr>
          <w:rStyle w:val="149"/>
          <w:rFonts w:hint="eastAsia" w:hAnsi="宋体" w:eastAsia="宋体" w:cs="宋体"/>
          <w:b/>
          <w:bCs/>
          <w:color w:val="auto"/>
          <w:kern w:val="0"/>
          <w:szCs w:val="24"/>
          <w:highlight w:val="none"/>
          <w:u w:val="none"/>
          <w:lang w:val="en-US" w:eastAsia="zh-CN"/>
        </w:rPr>
        <w:t>1.1.3 项目总投资：</w:t>
      </w:r>
      <w:r>
        <w:rPr>
          <w:rStyle w:val="149"/>
          <w:rFonts w:hint="eastAsia" w:hAnsi="宋体" w:cs="宋体"/>
          <w:color w:val="auto"/>
          <w:kern w:val="0"/>
          <w:szCs w:val="24"/>
          <w:highlight w:val="none"/>
          <w:u w:val="single"/>
          <w:lang w:val="en-US" w:eastAsia="zh-CN"/>
        </w:rPr>
        <w:t>项目估算总投资1484.54万元，本次施工招标约667.31万元</w:t>
      </w:r>
    </w:p>
    <w:p w14:paraId="4A5E44F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44614154">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Style w:val="149"/>
          <w:rFonts w:hint="eastAsia" w:hAnsi="宋体" w:eastAsia="宋体" w:cs="宋体"/>
          <w:color w:val="auto"/>
          <w:kern w:val="0"/>
          <w:szCs w:val="24"/>
          <w:highlight w:val="none"/>
          <w:u w:val="single"/>
          <w:lang w:val="en-US" w:eastAsia="zh-CN"/>
        </w:rPr>
        <w:t>工程量清单及图纸范围内的工程施工</w:t>
      </w:r>
      <w:r>
        <w:rPr>
          <w:rStyle w:val="149"/>
          <w:rFonts w:hint="eastAsia" w:hAnsi="宋体" w:eastAsia="宋体" w:cs="宋体"/>
          <w:color w:val="auto"/>
          <w:kern w:val="0"/>
          <w:szCs w:val="24"/>
          <w:highlight w:val="none"/>
          <w:u w:val="single"/>
        </w:rPr>
        <w:t>。</w:t>
      </w:r>
      <w:r>
        <w:rPr>
          <w:rFonts w:hint="eastAsia" w:ascii="宋体" w:hAnsi="宋体" w:eastAsia="宋体" w:cs="宋体"/>
          <w:snapToGrid w:val="0"/>
          <w:color w:val="auto"/>
          <w:kern w:val="0"/>
          <w:sz w:val="24"/>
          <w:highlight w:val="none"/>
          <w:u w:val="none"/>
        </w:rPr>
        <w:t xml:space="preserve">       </w:t>
      </w:r>
    </w:p>
    <w:p w14:paraId="2AE7ABEC">
      <w:pPr>
        <w:pStyle w:val="4"/>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41" w:name="_Toc3268"/>
      <w:bookmarkStart w:id="42" w:name="_Toc9332"/>
      <w:bookmarkStart w:id="43" w:name="_Toc19291"/>
      <w:bookmarkStart w:id="44" w:name="_Toc22030"/>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8"/>
      <w:bookmarkEnd w:id="41"/>
      <w:bookmarkEnd w:id="42"/>
      <w:bookmarkEnd w:id="43"/>
      <w:bookmarkEnd w:id="44"/>
    </w:p>
    <w:p w14:paraId="6E63355B">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230FBC73">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5" w:name="_Toc18676"/>
      <w:bookmarkStart w:id="46" w:name="_Toc15329"/>
    </w:p>
    <w:p w14:paraId="762EEDB2">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47" w:name="_Toc9887"/>
      <w:bookmarkStart w:id="48" w:name="_Toc14498"/>
      <w:r>
        <w:rPr>
          <w:rFonts w:hint="eastAsia" w:ascii="宋体" w:hAnsi="宋体" w:eastAsia="宋体" w:cs="宋体"/>
          <w:color w:val="auto"/>
          <w:sz w:val="24"/>
          <w:szCs w:val="24"/>
          <w:highlight w:val="none"/>
        </w:rPr>
        <w:t>2．投标人资格要求</w:t>
      </w:r>
      <w:bookmarkEnd w:id="45"/>
      <w:bookmarkEnd w:id="46"/>
      <w:bookmarkEnd w:id="47"/>
      <w:bookmarkEnd w:id="48"/>
      <w:bookmarkStart w:id="49" w:name="_Hlt74496495"/>
      <w:bookmarkEnd w:id="49"/>
    </w:p>
    <w:p w14:paraId="2F0C2292">
      <w:pPr>
        <w:snapToGrid w:val="0"/>
        <w:ind w:firstLine="482" w:firstLineChars="200"/>
        <w:jc w:val="left"/>
        <w:rPr>
          <w:rStyle w:val="149"/>
          <w:rFonts w:hint="eastAsia" w:ascii="宋体" w:hAnsi="宋体" w:eastAsia="宋体" w:cs="宋体"/>
          <w:color w:val="000000"/>
          <w:kern w:val="0"/>
          <w:highlight w:val="none"/>
        </w:rPr>
      </w:pPr>
      <w:r>
        <w:rPr>
          <w:rStyle w:val="149"/>
          <w:rFonts w:hint="eastAsia" w:ascii="宋体" w:hAnsi="宋体" w:eastAsia="宋体" w:cs="宋体"/>
          <w:b/>
          <w:bCs/>
          <w:color w:val="000000"/>
          <w:kern w:val="0"/>
          <w:highlight w:val="none"/>
        </w:rPr>
        <w:t>2.1</w:t>
      </w:r>
      <w:r>
        <w:rPr>
          <w:rStyle w:val="149"/>
          <w:rFonts w:hint="eastAsia" w:ascii="宋体" w:hAnsi="宋体" w:eastAsia="宋体" w:cs="宋体"/>
          <w:color w:val="000000"/>
          <w:kern w:val="0"/>
          <w:highlight w:val="none"/>
        </w:rPr>
        <w:t xml:space="preserve"> 本工程</w:t>
      </w:r>
      <w:r>
        <w:rPr>
          <w:rStyle w:val="149"/>
          <w:rFonts w:hint="eastAsia" w:ascii="宋体" w:hAnsi="宋体" w:eastAsia="宋体" w:cs="宋体"/>
          <w:b/>
          <w:bCs/>
          <w:color w:val="auto"/>
          <w:kern w:val="0"/>
          <w:highlight w:val="none"/>
          <w:u w:val="single"/>
        </w:rPr>
        <w:t>不接受</w:t>
      </w:r>
      <w:r>
        <w:rPr>
          <w:rStyle w:val="149"/>
          <w:rFonts w:hint="eastAsia" w:ascii="宋体" w:hAnsi="宋体" w:eastAsia="宋体" w:cs="宋体"/>
          <w:color w:val="000000"/>
          <w:kern w:val="0"/>
          <w:highlight w:val="none"/>
        </w:rPr>
        <w:t>联合体投标。</w:t>
      </w:r>
    </w:p>
    <w:p w14:paraId="4931E24B">
      <w:pPr>
        <w:snapToGrid w:val="0"/>
        <w:ind w:firstLine="482" w:firstLineChars="200"/>
        <w:jc w:val="left"/>
        <w:rPr>
          <w:rStyle w:val="149"/>
          <w:rFonts w:hint="eastAsia" w:ascii="宋体" w:hAnsi="宋体" w:eastAsia="宋体" w:cs="宋体"/>
          <w:color w:val="000000"/>
          <w:kern w:val="0"/>
          <w:highlight w:val="none"/>
        </w:rPr>
      </w:pPr>
      <w:r>
        <w:rPr>
          <w:rStyle w:val="149"/>
          <w:rFonts w:hint="eastAsia" w:ascii="宋体" w:hAnsi="宋体" w:eastAsia="宋体" w:cs="宋体"/>
          <w:b/>
          <w:bCs/>
          <w:color w:val="000000"/>
          <w:kern w:val="0"/>
          <w:highlight w:val="none"/>
        </w:rPr>
        <w:t>2.2</w:t>
      </w:r>
      <w:r>
        <w:rPr>
          <w:rStyle w:val="149"/>
          <w:rFonts w:hint="eastAsia" w:ascii="宋体" w:hAnsi="宋体" w:eastAsia="宋体" w:cs="宋体"/>
          <w:color w:val="000000"/>
          <w:kern w:val="0"/>
          <w:highlight w:val="none"/>
        </w:rPr>
        <w:t xml:space="preserve"> 资格资质要求</w:t>
      </w:r>
    </w:p>
    <w:p w14:paraId="602030E3">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2.2.1</w:t>
      </w:r>
      <w:r>
        <w:rPr>
          <w:rStyle w:val="149"/>
          <w:rFonts w:hint="eastAsia" w:ascii="宋体" w:hAnsi="宋体" w:eastAsia="宋体" w:cs="宋体"/>
          <w:color w:val="000000"/>
          <w:kern w:val="0"/>
          <w:sz w:val="24"/>
          <w:szCs w:val="24"/>
          <w:highlight w:val="none"/>
        </w:rPr>
        <w:t xml:space="preserve"> 投标人须具备独立法人资格，按国家法律经营。</w:t>
      </w:r>
    </w:p>
    <w:p w14:paraId="0E902A99">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2.2.2</w:t>
      </w:r>
      <w:r>
        <w:rPr>
          <w:rStyle w:val="149"/>
          <w:rFonts w:hint="eastAsia" w:ascii="宋体" w:hAnsi="宋体" w:eastAsia="宋体" w:cs="宋体"/>
          <w:color w:val="000000"/>
          <w:kern w:val="0"/>
          <w:sz w:val="24"/>
          <w:szCs w:val="24"/>
          <w:highlight w:val="none"/>
        </w:rPr>
        <w:t xml:space="preserve"> 投标人须持有建设行政主管部门颁发的企业资质证书及安全生产许可证。</w:t>
      </w:r>
    </w:p>
    <w:p w14:paraId="2AEA8ECC">
      <w:pPr>
        <w:pStyle w:val="148"/>
        <w:snapToGrid w:val="0"/>
        <w:spacing w:line="360" w:lineRule="auto"/>
        <w:ind w:firstLine="480"/>
        <w:jc w:val="left"/>
        <w:rPr>
          <w:rStyle w:val="149"/>
          <w:rFonts w:hint="eastAsia" w:ascii="宋体" w:hAnsi="宋体" w:eastAsia="宋体" w:cs="宋体"/>
          <w:b/>
          <w:bCs/>
          <w:color w:val="000000"/>
          <w:kern w:val="0"/>
          <w:sz w:val="24"/>
          <w:szCs w:val="24"/>
          <w:highlight w:val="none"/>
          <w:u w:val="single"/>
        </w:rPr>
      </w:pPr>
      <w:r>
        <w:rPr>
          <w:rStyle w:val="149"/>
          <w:rFonts w:hint="eastAsia" w:ascii="宋体" w:hAnsi="宋体" w:eastAsia="宋体" w:cs="宋体"/>
          <w:b/>
          <w:bCs/>
          <w:color w:val="000000"/>
          <w:kern w:val="0"/>
          <w:sz w:val="24"/>
          <w:szCs w:val="24"/>
          <w:highlight w:val="none"/>
        </w:rPr>
        <w:t>2.2.3</w:t>
      </w:r>
      <w:r>
        <w:rPr>
          <w:rStyle w:val="149"/>
          <w:rFonts w:hint="eastAsia" w:ascii="宋体" w:hAnsi="宋体" w:eastAsia="宋体" w:cs="宋体"/>
          <w:color w:val="000000"/>
          <w:kern w:val="0"/>
          <w:sz w:val="24"/>
          <w:szCs w:val="24"/>
          <w:highlight w:val="none"/>
        </w:rPr>
        <w:t xml:space="preserve"> 投标人须具备以下资质：</w:t>
      </w:r>
      <w:r>
        <w:rPr>
          <w:rStyle w:val="149"/>
          <w:rFonts w:hint="eastAsia" w:ascii="宋体" w:hAnsi="宋体" w:eastAsia="宋体" w:cs="宋体"/>
          <w:b/>
          <w:bCs/>
          <w:color w:val="000000"/>
          <w:kern w:val="0"/>
          <w:sz w:val="24"/>
          <w:szCs w:val="24"/>
          <w:highlight w:val="none"/>
          <w:u w:val="single"/>
        </w:rPr>
        <w:t>具备建设行政主管部门颁发的市政公用工程施工总承包三级以上(含三级)或建筑工程施工总承包三级以上（含三级）资质。</w:t>
      </w:r>
    </w:p>
    <w:p w14:paraId="4F46956D">
      <w:pPr>
        <w:pStyle w:val="136"/>
        <w:wordWrap w:val="0"/>
        <w:adjustRightInd w:val="0"/>
        <w:snapToGrid w:val="0"/>
        <w:spacing w:line="360" w:lineRule="auto"/>
        <w:ind w:firstLine="480"/>
        <w:jc w:val="left"/>
        <w:rPr>
          <w:rFonts w:hint="eastAsia" w:ascii="宋体" w:hAnsi="宋体" w:eastAsia="宋体" w:cs="宋体"/>
          <w:snapToGrid w:val="0"/>
          <w:color w:val="000000"/>
          <w:kern w:val="0"/>
          <w:sz w:val="24"/>
          <w:highlight w:val="none"/>
        </w:rPr>
      </w:pPr>
      <w:r>
        <w:rPr>
          <w:rStyle w:val="149"/>
          <w:rFonts w:hint="eastAsia" w:ascii="宋体" w:hAnsi="宋体" w:eastAsia="宋体" w:cs="宋体"/>
          <w:b/>
          <w:bCs/>
          <w:color w:val="000000"/>
          <w:kern w:val="0"/>
          <w:sz w:val="24"/>
          <w:szCs w:val="24"/>
          <w:highlight w:val="none"/>
        </w:rPr>
        <w:t>2.2.4</w:t>
      </w:r>
      <w:r>
        <w:rPr>
          <w:rStyle w:val="149"/>
          <w:rFonts w:hint="eastAsia" w:ascii="宋体" w:hAnsi="宋体" w:eastAsia="宋体" w:cs="宋体"/>
          <w:color w:val="000000"/>
          <w:kern w:val="0"/>
          <w:sz w:val="24"/>
          <w:szCs w:val="24"/>
          <w:highlight w:val="none"/>
        </w:rPr>
        <w:t xml:space="preserve"> </w:t>
      </w:r>
      <w:r>
        <w:rPr>
          <w:rStyle w:val="149"/>
          <w:rFonts w:hint="eastAsia" w:ascii="宋体" w:hAnsi="宋体" w:eastAsia="宋体" w:cs="宋体"/>
          <w:color w:val="000000"/>
          <w:kern w:val="0"/>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r>
        <w:rPr>
          <w:rFonts w:hint="eastAsia" w:ascii="宋体" w:hAnsi="宋体" w:eastAsia="宋体" w:cs="宋体"/>
          <w:snapToGrid w:val="0"/>
          <w:color w:val="000000"/>
          <w:kern w:val="0"/>
          <w:sz w:val="24"/>
          <w:highlight w:val="none"/>
        </w:rPr>
        <w:t>。</w:t>
      </w:r>
    </w:p>
    <w:p w14:paraId="6BCFD6EB">
      <w:pPr>
        <w:pStyle w:val="136"/>
        <w:wordWrap w:val="0"/>
        <w:adjustRightInd w:val="0"/>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w:t>
      </w:r>
      <w:r>
        <w:rPr>
          <w:rStyle w:val="149"/>
          <w:rFonts w:hint="eastAsia" w:ascii="宋体" w:hAnsi="宋体" w:eastAsia="宋体" w:cs="宋体"/>
          <w:color w:val="000000"/>
          <w:kern w:val="0"/>
          <w:sz w:val="24"/>
          <w:szCs w:val="24"/>
          <w:highlight w:val="none"/>
        </w:rPr>
        <w:t xml:space="preserve"> 相关人员要求</w:t>
      </w:r>
    </w:p>
    <w:p w14:paraId="5347A139">
      <w:pPr>
        <w:snapToGrid w:val="0"/>
        <w:ind w:firstLine="482" w:firstLineChars="200"/>
        <w:rPr>
          <w:rStyle w:val="149"/>
          <w:rFonts w:hint="eastAsia" w:ascii="宋体" w:hAnsi="宋体" w:eastAsia="宋体" w:cs="宋体"/>
          <w:b w:val="0"/>
          <w:bCs w:val="0"/>
          <w:color w:val="000000"/>
          <w:kern w:val="0"/>
          <w:highlight w:val="none"/>
        </w:rPr>
      </w:pPr>
      <w:r>
        <w:rPr>
          <w:rStyle w:val="149"/>
          <w:rFonts w:hint="eastAsia" w:ascii="宋体" w:hAnsi="宋体" w:eastAsia="宋体" w:cs="宋体"/>
          <w:b/>
          <w:bCs/>
          <w:color w:val="000000"/>
          <w:kern w:val="0"/>
          <w:highlight w:val="none"/>
        </w:rPr>
        <w:t xml:space="preserve">2.3.1 </w:t>
      </w:r>
      <w:r>
        <w:rPr>
          <w:rStyle w:val="149"/>
          <w:rFonts w:hint="eastAsia" w:ascii="宋体" w:hAnsi="宋体" w:eastAsia="宋体" w:cs="宋体"/>
          <w:b w:val="0"/>
          <w:bCs w:val="0"/>
          <w:color w:val="000000"/>
          <w:kern w:val="0"/>
          <w:highlight w:val="none"/>
        </w:rPr>
        <w:t>拟派项目经理为</w:t>
      </w:r>
      <w:r>
        <w:rPr>
          <w:rStyle w:val="149"/>
          <w:rFonts w:hint="eastAsia" w:ascii="宋体" w:hAnsi="宋体" w:eastAsia="宋体" w:cs="宋体"/>
          <w:b/>
          <w:bCs/>
          <w:color w:val="000000"/>
          <w:kern w:val="0"/>
          <w:highlight w:val="none"/>
          <w:u w:val="single"/>
        </w:rPr>
        <w:t>建筑工程或</w:t>
      </w:r>
      <w:r>
        <w:rPr>
          <w:rStyle w:val="149"/>
          <w:rFonts w:hint="eastAsia" w:ascii="宋体" w:hAnsi="宋体" w:eastAsia="宋体" w:cs="宋体"/>
          <w:b/>
          <w:bCs/>
          <w:color w:val="000000"/>
          <w:kern w:val="0"/>
          <w:highlight w:val="none"/>
          <w:u w:val="single"/>
          <w:lang w:eastAsia="zh-CN"/>
        </w:rPr>
        <w:t>市政公用工程</w:t>
      </w:r>
      <w:r>
        <w:rPr>
          <w:rStyle w:val="149"/>
          <w:rFonts w:hint="eastAsia" w:ascii="宋体" w:hAnsi="宋体" w:eastAsia="宋体" w:cs="宋体"/>
          <w:b w:val="0"/>
          <w:bCs w:val="0"/>
          <w:color w:val="000000"/>
          <w:kern w:val="0"/>
          <w:highlight w:val="none"/>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r>
        <w:rPr>
          <w:rFonts w:hint="eastAsia" w:ascii="宋体" w:hAnsi="宋体" w:eastAsia="宋体" w:cs="宋体"/>
          <w:b w:val="0"/>
          <w:bCs w:val="0"/>
          <w:color w:val="000000"/>
          <w:highlight w:val="none"/>
        </w:rPr>
        <w:t>。</w:t>
      </w:r>
    </w:p>
    <w:p w14:paraId="35CE40D9">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2.3.2</w:t>
      </w:r>
      <w:r>
        <w:rPr>
          <w:rStyle w:val="149"/>
          <w:rFonts w:hint="eastAsia" w:ascii="宋体" w:hAnsi="宋体" w:eastAsia="宋体" w:cs="宋体"/>
          <w:color w:val="000000"/>
          <w:kern w:val="0"/>
          <w:sz w:val="24"/>
          <w:szCs w:val="24"/>
          <w:highlight w:val="none"/>
        </w:rPr>
        <w:t xml:space="preserve"> </w:t>
      </w:r>
      <w:r>
        <w:rPr>
          <w:rFonts w:hint="eastAsia" w:ascii="宋体" w:hAnsi="宋体" w:eastAsia="宋体" w:cs="宋体"/>
          <w:snapToGrid w:val="0"/>
          <w:color w:val="000000"/>
          <w:kern w:val="0"/>
          <w:sz w:val="24"/>
          <w:szCs w:val="24"/>
          <w:highlight w:val="none"/>
        </w:rPr>
        <w:t>拟派项目技术负责人须具备</w:t>
      </w:r>
      <w:r>
        <w:rPr>
          <w:rFonts w:hint="eastAsia" w:ascii="宋体" w:hAnsi="宋体" w:eastAsia="宋体" w:cs="宋体"/>
          <w:b/>
          <w:bCs/>
          <w:snapToGrid w:val="0"/>
          <w:color w:val="000000"/>
          <w:kern w:val="0"/>
          <w:sz w:val="24"/>
          <w:szCs w:val="24"/>
          <w:highlight w:val="none"/>
        </w:rPr>
        <w:t>中级</w:t>
      </w:r>
      <w:r>
        <w:rPr>
          <w:rFonts w:hint="eastAsia" w:ascii="宋体" w:hAnsi="宋体" w:eastAsia="宋体" w:cs="宋体"/>
          <w:snapToGrid w:val="0"/>
          <w:color w:val="000000"/>
          <w:kern w:val="0"/>
          <w:sz w:val="24"/>
          <w:szCs w:val="24"/>
          <w:highlight w:val="none"/>
        </w:rPr>
        <w:t>以上（含中级）技术职称。</w:t>
      </w:r>
    </w:p>
    <w:p w14:paraId="60328B48">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2.3.3</w:t>
      </w:r>
      <w:r>
        <w:rPr>
          <w:rStyle w:val="149"/>
          <w:rFonts w:hint="eastAsia" w:ascii="宋体" w:hAnsi="宋体" w:eastAsia="宋体" w:cs="宋体"/>
          <w:color w:val="000000"/>
          <w:kern w:val="0"/>
          <w:sz w:val="24"/>
          <w:szCs w:val="24"/>
          <w:highlight w:val="none"/>
        </w:rPr>
        <w:t xml:space="preserve"> 拟派专职安全生产管理人员须具备有效安全生产考核合格证明（C证，安全生产考核合格证书或“广东省建筑施工企业管理人员安全生产考核系统”考核合格信息打印页），且不少于1人。</w:t>
      </w:r>
    </w:p>
    <w:p w14:paraId="1BC757DD">
      <w:pPr>
        <w:pStyle w:val="148"/>
        <w:snapToGrid w:val="0"/>
        <w:spacing w:line="360" w:lineRule="auto"/>
        <w:ind w:firstLine="480"/>
        <w:jc w:val="left"/>
        <w:rPr>
          <w:rStyle w:val="149"/>
          <w:rFonts w:hint="eastAsia" w:ascii="宋体" w:hAnsi="宋体" w:eastAsia="宋体" w:cs="宋体"/>
          <w:color w:val="000000"/>
          <w:kern w:val="0"/>
          <w:sz w:val="24"/>
          <w:szCs w:val="24"/>
          <w:highlight w:val="none"/>
        </w:rPr>
      </w:pPr>
      <w:r>
        <w:rPr>
          <w:rStyle w:val="149"/>
          <w:rFonts w:hint="eastAsia" w:ascii="宋体" w:hAnsi="宋体" w:eastAsia="宋体" w:cs="宋体"/>
          <w:b/>
          <w:bCs/>
          <w:color w:val="000000"/>
          <w:kern w:val="0"/>
          <w:sz w:val="24"/>
          <w:szCs w:val="24"/>
          <w:highlight w:val="none"/>
        </w:rPr>
        <w:t>2.3.4</w:t>
      </w:r>
      <w:r>
        <w:rPr>
          <w:rStyle w:val="149"/>
          <w:rFonts w:hint="eastAsia" w:ascii="宋体" w:hAnsi="宋体" w:eastAsia="宋体" w:cs="宋体"/>
          <w:color w:val="000000"/>
          <w:kern w:val="0"/>
          <w:sz w:val="24"/>
          <w:szCs w:val="24"/>
          <w:highlight w:val="none"/>
        </w:rPr>
        <w:t xml:space="preserve"> </w:t>
      </w:r>
      <w:r>
        <w:rPr>
          <w:rFonts w:hint="eastAsia" w:ascii="宋体" w:hAnsi="宋体" w:eastAsia="宋体" w:cs="宋体"/>
          <w:snapToGrid w:val="0"/>
          <w:color w:val="000000"/>
          <w:kern w:val="0"/>
          <w:sz w:val="24"/>
          <w:highlight w:val="none"/>
        </w:rPr>
        <w:t>投标人与其拟派往本项目管理机构的所有人员之间必须具备合法、唯一的劳动聘用关系。拟派人员中具备注册执业资格的，其注册单位须与投标人保持一致</w:t>
      </w:r>
      <w:r>
        <w:rPr>
          <w:rStyle w:val="149"/>
          <w:rFonts w:hint="eastAsia" w:ascii="宋体" w:hAnsi="宋体" w:eastAsia="宋体" w:cs="宋体"/>
          <w:color w:val="000000"/>
          <w:kern w:val="0"/>
          <w:sz w:val="24"/>
          <w:szCs w:val="24"/>
          <w:highlight w:val="none"/>
        </w:rPr>
        <w:t>。</w:t>
      </w:r>
    </w:p>
    <w:p w14:paraId="6F59866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2E596152">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2FA2FC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47F59ED">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16F0BE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3C17337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7B9E440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7085093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43A1964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26F0A0B1">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4DBB0C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7065DE2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783E4A3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3F81204E">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6795486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2DC6C0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4F83AF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4CB7492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278"/>
        <w:gridCol w:w="3884"/>
      </w:tblGrid>
      <w:tr w14:paraId="65F5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04" w:type="dxa"/>
            <w:noWrap w:val="0"/>
            <w:vAlign w:val="center"/>
          </w:tcPr>
          <w:p w14:paraId="6D669027">
            <w:pPr>
              <w:wordWrap w:val="0"/>
              <w:adjustRightInd w:val="0"/>
              <w:snapToGrid w:val="0"/>
              <w:ind w:right="-218" w:rightChars="-91"/>
              <w:rPr>
                <w:rFonts w:hint="eastAsia" w:ascii="宋体" w:hAnsi="宋体" w:eastAsia="宋体" w:cs="宋体"/>
                <w:color w:val="000000"/>
                <w:highlight w:val="none"/>
              </w:rPr>
            </w:pPr>
            <w:r>
              <w:rPr>
                <w:rFonts w:hint="eastAsia" w:ascii="宋体" w:hAnsi="宋体" w:eastAsia="宋体" w:cs="宋体"/>
                <w:color w:val="000000"/>
                <w:highlight w:val="none"/>
              </w:rPr>
              <w:t>序号</w:t>
            </w:r>
          </w:p>
        </w:tc>
        <w:tc>
          <w:tcPr>
            <w:tcW w:w="3278" w:type="dxa"/>
            <w:noWrap w:val="0"/>
            <w:vAlign w:val="center"/>
          </w:tcPr>
          <w:p w14:paraId="30F07712">
            <w:pPr>
              <w:wordWrap w:val="0"/>
              <w:adjustRightInd w:val="0"/>
              <w:snapToGrid w:val="0"/>
              <w:ind w:right="-206" w:rightChars="-86"/>
              <w:jc w:val="center"/>
              <w:rPr>
                <w:rFonts w:hint="eastAsia" w:ascii="宋体" w:hAnsi="宋体" w:eastAsia="宋体" w:cs="宋体"/>
                <w:color w:val="000000"/>
                <w:highlight w:val="none"/>
              </w:rPr>
            </w:pPr>
            <w:r>
              <w:rPr>
                <w:rFonts w:hint="eastAsia" w:ascii="宋体" w:hAnsi="宋体" w:eastAsia="宋体" w:cs="宋体"/>
                <w:color w:val="000000"/>
                <w:highlight w:val="none"/>
              </w:rPr>
              <w:t>单位名称</w:t>
            </w:r>
          </w:p>
        </w:tc>
        <w:tc>
          <w:tcPr>
            <w:tcW w:w="3884" w:type="dxa"/>
            <w:noWrap w:val="0"/>
            <w:vAlign w:val="center"/>
          </w:tcPr>
          <w:p w14:paraId="1AD9099F">
            <w:pPr>
              <w:wordWrap w:val="0"/>
              <w:adjustRightInd w:val="0"/>
              <w:snapToGrid w:val="0"/>
              <w:jc w:val="center"/>
              <w:rPr>
                <w:rFonts w:hint="eastAsia" w:ascii="宋体" w:hAnsi="宋体" w:eastAsia="宋体" w:cs="宋体"/>
                <w:color w:val="000000"/>
                <w:highlight w:val="none"/>
              </w:rPr>
            </w:pPr>
            <w:r>
              <w:rPr>
                <w:rFonts w:hint="eastAsia" w:ascii="宋体" w:hAnsi="宋体" w:eastAsia="宋体" w:cs="宋体"/>
                <w:color w:val="000000"/>
                <w:highlight w:val="none"/>
              </w:rPr>
              <w:t>拒绝原因</w:t>
            </w:r>
          </w:p>
        </w:tc>
      </w:tr>
      <w:tr w14:paraId="4130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432761C5">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w:t>
            </w:r>
          </w:p>
        </w:tc>
        <w:tc>
          <w:tcPr>
            <w:tcW w:w="3278" w:type="dxa"/>
            <w:noWrap w:val="0"/>
            <w:vAlign w:val="center"/>
          </w:tcPr>
          <w:p w14:paraId="6D2CEA41">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eastAsia="zh-CN"/>
              </w:rPr>
              <w:t>中诚圣苑工程设计有限公司</w:t>
            </w:r>
          </w:p>
        </w:tc>
        <w:tc>
          <w:tcPr>
            <w:tcW w:w="3884" w:type="dxa"/>
            <w:noWrap w:val="0"/>
            <w:vAlign w:val="center"/>
          </w:tcPr>
          <w:p w14:paraId="7E106500">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为本招标项目的可行性研究报告编制单位</w:t>
            </w:r>
          </w:p>
        </w:tc>
      </w:tr>
      <w:tr w14:paraId="422B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4" w:type="dxa"/>
            <w:noWrap w:val="0"/>
            <w:vAlign w:val="center"/>
          </w:tcPr>
          <w:p w14:paraId="7C9D5E49">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3278" w:type="dxa"/>
            <w:noWrap w:val="0"/>
            <w:vAlign w:val="center"/>
          </w:tcPr>
          <w:p w14:paraId="6C8FA1CF">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中元天纬集团有限公司</w:t>
            </w:r>
            <w:r>
              <w:rPr>
                <w:rFonts w:hint="eastAsia" w:ascii="宋体" w:hAnsi="宋体" w:eastAsia="宋体" w:cs="宋体"/>
                <w:color w:val="000000"/>
                <w:highlight w:val="none"/>
                <w:lang w:val="en-US" w:eastAsia="zh-CN"/>
              </w:rPr>
              <w:t xml:space="preserve"> </w:t>
            </w:r>
          </w:p>
        </w:tc>
        <w:tc>
          <w:tcPr>
            <w:tcW w:w="3884" w:type="dxa"/>
            <w:noWrap w:val="0"/>
            <w:vAlign w:val="center"/>
          </w:tcPr>
          <w:p w14:paraId="450151FA">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为本招标项目的设计单位</w:t>
            </w:r>
          </w:p>
        </w:tc>
      </w:tr>
      <w:tr w14:paraId="131E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04" w:type="dxa"/>
            <w:noWrap w:val="0"/>
            <w:vAlign w:val="center"/>
          </w:tcPr>
          <w:p w14:paraId="772471FA">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p>
        </w:tc>
        <w:tc>
          <w:tcPr>
            <w:tcW w:w="3278" w:type="dxa"/>
            <w:noWrap w:val="0"/>
            <w:vAlign w:val="center"/>
          </w:tcPr>
          <w:p w14:paraId="43D59B61">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fldChar w:fldCharType="begin"/>
            </w:r>
            <w:r>
              <w:rPr>
                <w:rFonts w:hint="eastAsia" w:ascii="宋体" w:hAnsi="宋体" w:eastAsia="宋体" w:cs="宋体"/>
                <w:color w:val="000000"/>
                <w:highlight w:val="none"/>
                <w:lang w:val="en-US" w:eastAsia="zh-CN"/>
              </w:rPr>
              <w:instrText xml:space="preserve"> HYPERLINK "https://ygp.gdzwfw.gov.cn/zjfwcs/gd-zjcs-pub/zjfw/serviceView/91442000MA55RYB51P" \t "https://ygp.gdzwfw.gov.cn/zjfwcs/gd-zjcs-pub/bidResultNotice/view/_black" </w:instrText>
            </w:r>
            <w:r>
              <w:rPr>
                <w:rFonts w:hint="eastAsia" w:ascii="宋体" w:hAnsi="宋体" w:eastAsia="宋体" w:cs="宋体"/>
                <w:color w:val="000000"/>
                <w:highlight w:val="none"/>
                <w:lang w:val="en-US" w:eastAsia="zh-CN"/>
              </w:rPr>
              <w:fldChar w:fldCharType="separate"/>
            </w:r>
            <w:r>
              <w:rPr>
                <w:rFonts w:hint="eastAsia" w:hAnsi="宋体" w:cs="宋体"/>
                <w:color w:val="000000"/>
                <w:highlight w:val="none"/>
                <w:lang w:val="en-US" w:eastAsia="zh-CN"/>
              </w:rPr>
              <w:t>/</w:t>
            </w:r>
            <w:r>
              <w:rPr>
                <w:rFonts w:hint="default" w:ascii="宋体" w:hAnsi="宋体" w:eastAsia="宋体" w:cs="宋体"/>
                <w:color w:val="000000"/>
                <w:highlight w:val="none"/>
                <w:lang w:val="en-US" w:eastAsia="zh-CN"/>
              </w:rPr>
              <w:fldChar w:fldCharType="end"/>
            </w:r>
          </w:p>
        </w:tc>
        <w:tc>
          <w:tcPr>
            <w:tcW w:w="3884" w:type="dxa"/>
            <w:noWrap w:val="0"/>
            <w:vAlign w:val="center"/>
          </w:tcPr>
          <w:p w14:paraId="1701C597">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为本招标项目的监理单位</w:t>
            </w:r>
          </w:p>
        </w:tc>
      </w:tr>
      <w:tr w14:paraId="7161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732A6F38">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p>
        </w:tc>
        <w:tc>
          <w:tcPr>
            <w:tcW w:w="3278" w:type="dxa"/>
            <w:noWrap w:val="0"/>
            <w:vAlign w:val="center"/>
          </w:tcPr>
          <w:p w14:paraId="469B4F1E">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韶关太古工程咨询有限公司</w:t>
            </w:r>
          </w:p>
        </w:tc>
        <w:tc>
          <w:tcPr>
            <w:tcW w:w="3884" w:type="dxa"/>
            <w:noWrap w:val="0"/>
            <w:vAlign w:val="center"/>
          </w:tcPr>
          <w:p w14:paraId="57288389">
            <w:pPr>
              <w:wordWrap w:val="0"/>
              <w:adjustRightInd w:val="0"/>
              <w:snapToGrid w:val="0"/>
              <w:spacing w:line="240" w:lineRule="auto"/>
              <w:jc w:val="center"/>
              <w:rPr>
                <w:rFonts w:hint="eastAsia" w:ascii="宋体" w:hAnsi="宋体" w:eastAsia="宋体" w:cs="宋体"/>
                <w:color w:val="000000"/>
                <w:highlight w:val="none"/>
              </w:rPr>
            </w:pPr>
            <w:r>
              <w:rPr>
                <w:rFonts w:hint="eastAsia" w:ascii="宋体" w:hAnsi="宋体" w:eastAsia="宋体" w:cs="宋体"/>
                <w:color w:val="000000"/>
                <w:highlight w:val="none"/>
              </w:rPr>
              <w:t>为本招标项目的招标代理机构</w:t>
            </w:r>
          </w:p>
        </w:tc>
      </w:tr>
      <w:tr w14:paraId="054E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04" w:type="dxa"/>
            <w:noWrap w:val="0"/>
            <w:vAlign w:val="center"/>
          </w:tcPr>
          <w:p w14:paraId="5F8815E4">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3278" w:type="dxa"/>
            <w:noWrap w:val="0"/>
            <w:vAlign w:val="center"/>
          </w:tcPr>
          <w:p w14:paraId="2796C3C7">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hAnsi="宋体" w:cs="宋体"/>
                <w:color w:val="000000"/>
                <w:highlight w:val="none"/>
                <w:lang w:val="en-US" w:eastAsia="zh-CN"/>
              </w:rPr>
              <w:t>乐昌市秀水镇人民政府</w:t>
            </w:r>
          </w:p>
        </w:tc>
        <w:tc>
          <w:tcPr>
            <w:tcW w:w="3884" w:type="dxa"/>
            <w:noWrap w:val="0"/>
            <w:vAlign w:val="center"/>
          </w:tcPr>
          <w:p w14:paraId="241B6883">
            <w:pPr>
              <w:wordWrap w:val="0"/>
              <w:adjustRightInd w:val="0"/>
              <w:snapToGrid w:val="0"/>
              <w:spacing w:line="240" w:lineRule="auto"/>
              <w:jc w:val="center"/>
              <w:rPr>
                <w:rFonts w:hint="eastAsia" w:ascii="宋体" w:hAnsi="宋体" w:eastAsia="宋体" w:cs="宋体"/>
                <w:color w:val="000000"/>
                <w:highlight w:val="none"/>
                <w:lang w:eastAsia="zh-CN"/>
              </w:rPr>
            </w:pPr>
            <w:r>
              <w:rPr>
                <w:rFonts w:hint="eastAsia" w:ascii="宋体" w:hAnsi="宋体" w:eastAsia="宋体" w:cs="宋体"/>
                <w:color w:val="000000"/>
                <w:highlight w:val="none"/>
              </w:rPr>
              <w:t>为本招标项目的业主</w:t>
            </w:r>
            <w:r>
              <w:rPr>
                <w:rFonts w:hint="eastAsia" w:ascii="宋体" w:hAnsi="宋体" w:eastAsia="宋体" w:cs="宋体"/>
                <w:color w:val="000000"/>
                <w:highlight w:val="none"/>
                <w:lang w:eastAsia="zh-CN"/>
              </w:rPr>
              <w:t>及</w:t>
            </w:r>
            <w:r>
              <w:rPr>
                <w:rFonts w:hint="eastAsia" w:ascii="宋体" w:hAnsi="宋体" w:eastAsia="宋体" w:cs="宋体"/>
                <w:color w:val="000000"/>
                <w:highlight w:val="none"/>
              </w:rPr>
              <w:t>招标人</w:t>
            </w:r>
          </w:p>
        </w:tc>
      </w:tr>
      <w:tr w14:paraId="4A2D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04" w:type="dxa"/>
            <w:noWrap w:val="0"/>
            <w:vAlign w:val="center"/>
          </w:tcPr>
          <w:p w14:paraId="1442296C">
            <w:pPr>
              <w:pStyle w:val="136"/>
              <w:wordWrap w:val="0"/>
              <w:adjustRightInd w:val="0"/>
              <w:snapToGrid w:val="0"/>
              <w:jc w:val="center"/>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6</w:t>
            </w:r>
          </w:p>
        </w:tc>
        <w:tc>
          <w:tcPr>
            <w:tcW w:w="3278" w:type="dxa"/>
            <w:noWrap w:val="0"/>
            <w:vAlign w:val="center"/>
          </w:tcPr>
          <w:p w14:paraId="6AF97010">
            <w:pPr>
              <w:wordWrap w:val="0"/>
              <w:adjustRightInd w:val="0"/>
              <w:snapToGrid w:val="0"/>
              <w:spacing w:line="240" w:lineRule="auto"/>
              <w:jc w:val="center"/>
              <w:rPr>
                <w:rFonts w:hint="eastAsia" w:ascii="宋体" w:hAnsi="宋体" w:eastAsia="宋体" w:cs="宋体"/>
                <w:color w:val="000000"/>
                <w:highlight w:val="none"/>
              </w:rPr>
            </w:pPr>
            <w:r>
              <w:rPr>
                <w:rFonts w:hint="eastAsia" w:hAnsi="宋体" w:cs="宋体"/>
                <w:color w:val="000000"/>
                <w:highlight w:val="none"/>
                <w:lang w:val="en-US" w:eastAsia="zh-CN"/>
              </w:rPr>
              <w:t>中图设计有限公司</w:t>
            </w:r>
          </w:p>
        </w:tc>
        <w:tc>
          <w:tcPr>
            <w:tcW w:w="3884" w:type="dxa"/>
            <w:noWrap w:val="0"/>
            <w:vAlign w:val="center"/>
          </w:tcPr>
          <w:p w14:paraId="7091C956">
            <w:pPr>
              <w:wordWrap w:val="0"/>
              <w:adjustRightInd w:val="0"/>
              <w:snapToGrid w:val="0"/>
              <w:spacing w:line="240" w:lineRule="auto"/>
              <w:jc w:val="center"/>
              <w:rPr>
                <w:rFonts w:hint="eastAsia" w:ascii="宋体" w:hAnsi="宋体" w:eastAsia="宋体" w:cs="宋体"/>
                <w:color w:val="000000"/>
                <w:highlight w:val="none"/>
              </w:rPr>
            </w:pPr>
            <w:r>
              <w:rPr>
                <w:rStyle w:val="149"/>
                <w:rFonts w:hint="eastAsia" w:ascii="宋体" w:hAnsi="宋体" w:eastAsia="宋体" w:cs="宋体"/>
                <w:color w:val="000000"/>
                <w:kern w:val="0"/>
                <w:highlight w:val="none"/>
              </w:rPr>
              <w:t>为本招标项目的造价咨询单位</w:t>
            </w:r>
          </w:p>
        </w:tc>
      </w:tr>
    </w:tbl>
    <w:p w14:paraId="1A476B6E">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503FBD7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7D7F4981">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highlight w:val="none"/>
        </w:rPr>
      </w:pPr>
      <w:bookmarkStart w:id="50" w:name="_Toc7546"/>
      <w:bookmarkStart w:id="51" w:name="_Toc6745"/>
      <w:bookmarkStart w:id="52" w:name="_Toc4046"/>
      <w:bookmarkStart w:id="53" w:name="_Toc22815"/>
    </w:p>
    <w:p w14:paraId="0143655C">
      <w:pPr>
        <w:pStyle w:val="5"/>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outlineLvl w:val="2"/>
        <w:rPr>
          <w:rFonts w:hint="eastAsia" w:ascii="宋体" w:hAnsi="宋体" w:eastAsia="宋体" w:cs="宋体"/>
          <w:color w:val="auto"/>
          <w:sz w:val="24"/>
          <w:szCs w:val="24"/>
          <w:highlight w:val="none"/>
        </w:rPr>
      </w:pPr>
      <w:bookmarkStart w:id="54" w:name="_Toc1201"/>
      <w:r>
        <w:rPr>
          <w:rFonts w:hint="eastAsia" w:ascii="宋体" w:hAnsi="宋体" w:eastAsia="宋体" w:cs="宋体"/>
          <w:color w:val="auto"/>
          <w:sz w:val="24"/>
          <w:szCs w:val="24"/>
          <w:highlight w:val="none"/>
        </w:rPr>
        <w:t>3．招标文件的获取</w:t>
      </w:r>
      <w:bookmarkEnd w:id="50"/>
      <w:bookmarkEnd w:id="51"/>
      <w:bookmarkEnd w:id="52"/>
      <w:bookmarkEnd w:id="53"/>
      <w:bookmarkEnd w:id="54"/>
    </w:p>
    <w:p w14:paraId="637AA0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15C105C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18BFE6F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0C9C8D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7457E5FF">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49F5C61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1A5717C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103E9E83">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Style w:val="149"/>
          <w:rFonts w:hint="eastAsia" w:hAnsi="宋体" w:cs="宋体"/>
          <w:color w:val="auto"/>
          <w:kern w:val="0"/>
          <w:highlight w:val="none"/>
          <w:u w:val="single"/>
          <w:lang w:val="en-US" w:eastAsia="zh-CN"/>
        </w:rPr>
        <w:t>60000.00</w:t>
      </w:r>
      <w:r>
        <w:rPr>
          <w:rFonts w:hint="eastAsia" w:ascii="宋体" w:hAnsi="宋体" w:eastAsia="宋体" w:cs="宋体"/>
          <w:snapToGrid w:val="0"/>
          <w:color w:val="auto"/>
          <w:kern w:val="0"/>
          <w:sz w:val="24"/>
          <w:szCs w:val="24"/>
          <w:highlight w:val="none"/>
        </w:rPr>
        <w:t xml:space="preserve">的投标保证。  </w:t>
      </w:r>
    </w:p>
    <w:p w14:paraId="173286B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3E96265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57DFEE0">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47EB34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6CBEA8BC">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B15CC5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455F7C5A">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lang w:val="en-US" w:eastAsia="zh-CN" w:bidi="ar-SA"/>
        </w:rPr>
      </w:pPr>
    </w:p>
    <w:p w14:paraId="4E81038E">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55" w:name="_Toc10093"/>
      <w:bookmarkStart w:id="56" w:name="_Toc5590"/>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工期要求</w:t>
      </w:r>
      <w:bookmarkEnd w:id="55"/>
      <w:bookmarkEnd w:id="56"/>
      <w:bookmarkStart w:id="57" w:name="_Toc7508"/>
    </w:p>
    <w:p w14:paraId="4E73DC87">
      <w:pPr>
        <w:pageBreakBefore w:val="0"/>
        <w:numPr>
          <w:ilvl w:val="0"/>
          <w:numId w:val="0"/>
        </w:numPr>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bookmarkStart w:id="58" w:name="_Toc3615"/>
      <w:bookmarkStart w:id="59" w:name="_Toc16606"/>
      <w:r>
        <w:rPr>
          <w:rFonts w:hint="eastAsia" w:hAnsi="宋体" w:cs="宋体"/>
          <w:color w:val="auto"/>
          <w:sz w:val="24"/>
          <w:szCs w:val="24"/>
          <w:highlight w:val="none"/>
          <w:lang w:eastAsia="zh-CN"/>
        </w:rPr>
        <w:t>本招标项目施工工期为</w:t>
      </w:r>
      <w:r>
        <w:rPr>
          <w:rFonts w:hint="eastAsia" w:hAnsi="宋体" w:cs="宋体"/>
          <w:color w:val="auto"/>
          <w:sz w:val="24"/>
          <w:szCs w:val="24"/>
          <w:highlight w:val="none"/>
          <w:u w:val="single"/>
          <w:lang w:val="en-US" w:eastAsia="zh-CN"/>
        </w:rPr>
        <w:t>90</w:t>
      </w:r>
      <w:r>
        <w:rPr>
          <w:rFonts w:hint="eastAsia" w:hAnsi="宋体" w:cs="宋体"/>
          <w:color w:val="auto"/>
          <w:sz w:val="24"/>
          <w:szCs w:val="24"/>
          <w:highlight w:val="none"/>
          <w:lang w:eastAsia="zh-CN"/>
        </w:rPr>
        <w:t>个日历天。中标人必须在招标工期内完成本工程招标范围内的全部内容。</w:t>
      </w:r>
    </w:p>
    <w:p w14:paraId="0875B065">
      <w:pPr>
        <w:pStyle w:val="2"/>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2" w:firstLineChars="200"/>
        <w:textAlignment w:val="auto"/>
        <w:rPr>
          <w:rFonts w:hint="eastAsia" w:ascii="宋体" w:hAnsi="宋体" w:eastAsia="宋体" w:cs="宋体"/>
          <w:b/>
          <w:snapToGrid w:val="0"/>
          <w:color w:val="auto"/>
          <w:sz w:val="24"/>
          <w:szCs w:val="24"/>
          <w:highlight w:val="none"/>
        </w:rPr>
      </w:pPr>
    </w:p>
    <w:p w14:paraId="55137900">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60" w:name="_Toc762"/>
      <w:bookmarkStart w:id="61" w:name="_Toc20551"/>
      <w:r>
        <w:rPr>
          <w:rFonts w:hint="eastAsia" w:ascii="宋体" w:hAnsi="宋体" w:eastAsia="宋体" w:cs="宋体"/>
          <w:color w:val="auto"/>
          <w:sz w:val="24"/>
          <w:szCs w:val="24"/>
          <w:highlight w:val="none"/>
        </w:rPr>
        <w:t>5．质量标准和材料、机械要求</w:t>
      </w:r>
      <w:bookmarkEnd w:id="57"/>
      <w:bookmarkEnd w:id="58"/>
      <w:bookmarkEnd w:id="59"/>
      <w:bookmarkEnd w:id="60"/>
      <w:bookmarkEnd w:id="61"/>
    </w:p>
    <w:p w14:paraId="34756D8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《建筑工程施工质量验收统一标准》(GB50300-2013)和《建筑与市政工程施工质量控制通用规范》（GB55032-2022）合格。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0D60C30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4E9CB1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08F81C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214C554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455038E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62" w:name="_Hlt121563076"/>
      <w:bookmarkEnd w:id="62"/>
      <w:bookmarkStart w:id="63" w:name="_Hlt74493474"/>
      <w:bookmarkEnd w:id="63"/>
      <w:bookmarkStart w:id="64" w:name="_Hlt111690342"/>
      <w:bookmarkEnd w:id="64"/>
      <w:bookmarkStart w:id="65" w:name="_Hlt69699204"/>
      <w:bookmarkEnd w:id="65"/>
      <w:bookmarkStart w:id="66" w:name="_Hlt88974078"/>
      <w:bookmarkEnd w:id="66"/>
      <w:bookmarkStart w:id="67" w:name="_Hlt69356505"/>
      <w:bookmarkEnd w:id="67"/>
      <w:bookmarkStart w:id="68" w:name="_Hlt120502666"/>
      <w:bookmarkEnd w:id="68"/>
      <w:bookmarkStart w:id="69" w:name="_Hlt74496537"/>
      <w:bookmarkEnd w:id="69"/>
      <w:bookmarkStart w:id="70"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3F224E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71" w:name="_Toc26469"/>
      <w:bookmarkStart w:id="72" w:name="_Toc2752"/>
    </w:p>
    <w:p w14:paraId="64E95FB4">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59F76538">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3" w:name="_Toc23462"/>
      <w:bookmarkStart w:id="74" w:name="_Toc18313"/>
      <w:r>
        <w:rPr>
          <w:rFonts w:hint="eastAsia" w:ascii="宋体" w:hAnsi="宋体" w:eastAsia="宋体" w:cs="宋体"/>
          <w:color w:val="auto"/>
          <w:sz w:val="24"/>
          <w:szCs w:val="24"/>
          <w:highlight w:val="none"/>
        </w:rPr>
        <w:t>6．施工条件及现场踏勘</w:t>
      </w:r>
      <w:bookmarkEnd w:id="70"/>
      <w:bookmarkEnd w:id="71"/>
      <w:bookmarkEnd w:id="72"/>
      <w:bookmarkEnd w:id="73"/>
      <w:bookmarkEnd w:id="74"/>
    </w:p>
    <w:p w14:paraId="62FA08E0">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1AA4046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6.2 </w:t>
      </w:r>
      <w:r>
        <w:rPr>
          <w:rFonts w:hint="eastAsia" w:ascii="宋体" w:hAnsi="宋体" w:eastAsia="宋体" w:cs="宋体"/>
          <w:snapToGrid w:val="0"/>
          <w:color w:val="auto"/>
          <w:kern w:val="0"/>
          <w:sz w:val="24"/>
          <w:szCs w:val="24"/>
          <w:highlight w:val="none"/>
          <w:lang w:val="en-US" w:eastAsia="zh-CN" w:bidi="ar-SA"/>
        </w:rPr>
        <w:t>施工用水：</w:t>
      </w:r>
      <w:r>
        <w:rPr>
          <w:rFonts w:hint="eastAsia" w:ascii="宋体" w:hAnsi="宋体" w:eastAsia="宋体" w:cs="宋体"/>
          <w:snapToGrid w:val="0"/>
          <w:color w:val="auto"/>
          <w:kern w:val="0"/>
          <w:sz w:val="24"/>
          <w:szCs w:val="24"/>
          <w:highlight w:val="none"/>
          <w:u w:val="single"/>
          <w:lang w:val="en-US" w:eastAsia="zh-CN" w:bidi="ar-SA"/>
        </w:rPr>
        <w:t>施工用水及水源由投标人自行解决，费用综合考虑在投标报价的综合单价中，不再另外列支计取。</w:t>
      </w:r>
    </w:p>
    <w:p w14:paraId="12FF342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6.3 </w:t>
      </w:r>
      <w:r>
        <w:rPr>
          <w:rFonts w:hint="eastAsia" w:ascii="宋体" w:hAnsi="宋体" w:eastAsia="宋体" w:cs="宋体"/>
          <w:b w:val="0"/>
          <w:bCs w:val="0"/>
          <w:snapToGrid w:val="0"/>
          <w:color w:val="auto"/>
          <w:kern w:val="0"/>
          <w:sz w:val="24"/>
          <w:szCs w:val="24"/>
          <w:highlight w:val="none"/>
        </w:rPr>
        <w:t>施工用电：</w:t>
      </w:r>
      <w:r>
        <w:rPr>
          <w:rFonts w:hint="eastAsia" w:ascii="宋体" w:hAnsi="宋体" w:eastAsia="宋体" w:cs="宋体"/>
          <w:b w:val="0"/>
          <w:bCs w:val="0"/>
          <w:snapToGrid w:val="0"/>
          <w:color w:val="auto"/>
          <w:kern w:val="0"/>
          <w:sz w:val="24"/>
          <w:szCs w:val="24"/>
          <w:highlight w:val="none"/>
          <w:u w:val="single"/>
        </w:rPr>
        <w:t>施工用电及电源由投标人自行解决，费用综合考虑在投标报价的综合单价中，不再另外列支计取。</w:t>
      </w:r>
    </w:p>
    <w:p w14:paraId="197DC73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4BEA10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13410D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506E71D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75" w:name="_Toc18204"/>
    </w:p>
    <w:p w14:paraId="2EE9E8E6">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6" w:name="_Toc7565"/>
      <w:bookmarkStart w:id="77" w:name="_Toc17908"/>
    </w:p>
    <w:p w14:paraId="66B1D953">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78" w:name="_Toc23924"/>
      <w:bookmarkStart w:id="79" w:name="_Toc29845"/>
      <w:r>
        <w:rPr>
          <w:rFonts w:hint="eastAsia" w:ascii="宋体" w:hAnsi="宋体" w:eastAsia="宋体" w:cs="宋体"/>
          <w:color w:val="auto"/>
          <w:sz w:val="24"/>
          <w:szCs w:val="24"/>
          <w:highlight w:val="none"/>
        </w:rPr>
        <w:t>7．招标文件的提问和答疑</w:t>
      </w:r>
      <w:bookmarkEnd w:id="75"/>
      <w:bookmarkEnd w:id="76"/>
      <w:bookmarkEnd w:id="77"/>
      <w:bookmarkEnd w:id="78"/>
      <w:bookmarkEnd w:id="79"/>
      <w:bookmarkStart w:id="80" w:name="_Hlt74496410"/>
      <w:bookmarkEnd w:id="80"/>
    </w:p>
    <w:p w14:paraId="010C9CC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676548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6D7E2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81" w:name="_Hlt69699188"/>
      <w:bookmarkEnd w:id="81"/>
      <w:bookmarkStart w:id="82" w:name="_Hlt92513711"/>
      <w:bookmarkEnd w:id="82"/>
      <w:bookmarkStart w:id="83" w:name="_Hlt92513715"/>
      <w:bookmarkEnd w:id="83"/>
      <w:bookmarkStart w:id="84" w:name="_Toc15556"/>
      <w:bookmarkStart w:id="85" w:name="_Toc12685"/>
      <w:bookmarkStart w:id="86" w:name="_Toc29680"/>
    </w:p>
    <w:p w14:paraId="17B740CB">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470D4F1A">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87" w:name="_Toc21026"/>
      <w:bookmarkStart w:id="88" w:name="_Toc6737"/>
      <w:r>
        <w:rPr>
          <w:rFonts w:hint="eastAsia" w:ascii="宋体" w:hAnsi="宋体" w:eastAsia="宋体" w:cs="宋体"/>
          <w:color w:val="auto"/>
          <w:sz w:val="24"/>
          <w:szCs w:val="24"/>
          <w:highlight w:val="none"/>
        </w:rPr>
        <w:t>8．招标控制价</w:t>
      </w:r>
      <w:bookmarkEnd w:id="84"/>
      <w:bookmarkEnd w:id="85"/>
      <w:bookmarkEnd w:id="87"/>
      <w:bookmarkEnd w:id="88"/>
    </w:p>
    <w:p w14:paraId="5029E1A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06C248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1E40F07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12344C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14:paraId="25E6A4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14:paraId="349556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14:paraId="469728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14:paraId="5D6F25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14:paraId="4EA81C6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sz w:val="24"/>
          <w:szCs w:val="24"/>
          <w:highlight w:val="none"/>
          <w:shd w:val="clear" w:color="auto" w:fill="FFFFFF"/>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b/>
          <w:bCs/>
          <w:color w:val="000000"/>
          <w:sz w:val="24"/>
          <w:szCs w:val="24"/>
          <w:highlight w:val="none"/>
          <w:shd w:val="clear" w:color="auto" w:fill="FFFFFF"/>
        </w:rPr>
        <w:t>本项目的招标控制价为人民币（大写）：</w:t>
      </w:r>
      <w:r>
        <w:rPr>
          <w:rFonts w:hint="eastAsia" w:hAnsi="宋体" w:cs="宋体"/>
          <w:b/>
          <w:bCs/>
          <w:color w:val="000000"/>
          <w:sz w:val="24"/>
          <w:szCs w:val="24"/>
          <w:highlight w:val="none"/>
          <w:u w:val="single"/>
          <w:shd w:val="clear" w:color="auto" w:fill="FFFFFF"/>
          <w:lang w:eastAsia="zh-CN"/>
        </w:rPr>
        <w:t>陆佰陆拾柒万叁仟壹佰叁拾元叁角贰分</w:t>
      </w:r>
      <w:r>
        <w:rPr>
          <w:rFonts w:hint="eastAsia" w:ascii="宋体" w:hAnsi="宋体" w:eastAsia="宋体" w:cs="宋体"/>
          <w:b/>
          <w:bCs/>
          <w:i w:val="0"/>
          <w:iCs w:val="0"/>
          <w:color w:val="000000"/>
          <w:kern w:val="0"/>
          <w:sz w:val="24"/>
          <w:szCs w:val="24"/>
          <w:highlight w:val="none"/>
          <w:u w:val="single"/>
          <w:lang w:val="en-US" w:eastAsia="zh-CN" w:bidi="ar"/>
        </w:rPr>
        <w:t>（¥</w:t>
      </w:r>
      <w:r>
        <w:rPr>
          <w:rFonts w:hint="eastAsia" w:hAnsi="宋体" w:cs="宋体"/>
          <w:b/>
          <w:bCs/>
          <w:i w:val="0"/>
          <w:iCs w:val="0"/>
          <w:color w:val="000000"/>
          <w:kern w:val="0"/>
          <w:sz w:val="24"/>
          <w:szCs w:val="24"/>
          <w:highlight w:val="none"/>
          <w:u w:val="single"/>
          <w:lang w:val="en-US" w:eastAsia="zh-CN" w:bidi="ar"/>
        </w:rPr>
        <w:t>6673130.32</w:t>
      </w:r>
      <w:r>
        <w:rPr>
          <w:rFonts w:hint="eastAsia" w:ascii="宋体" w:hAnsi="宋体" w:eastAsia="宋体" w:cs="宋体"/>
          <w:b/>
          <w:bCs/>
          <w:i w:val="0"/>
          <w:iCs w:val="0"/>
          <w:color w:val="000000"/>
          <w:kern w:val="0"/>
          <w:sz w:val="24"/>
          <w:szCs w:val="24"/>
          <w:highlight w:val="none"/>
          <w:u w:val="single"/>
          <w:lang w:val="en-US" w:eastAsia="zh-CN" w:bidi="ar"/>
        </w:rPr>
        <w:t>元）；</w:t>
      </w:r>
      <w:r>
        <w:rPr>
          <w:rFonts w:hint="eastAsia" w:ascii="宋体" w:hAnsi="宋体" w:eastAsia="宋体" w:cs="宋体"/>
          <w:b/>
          <w:bCs/>
          <w:color w:val="000000"/>
          <w:sz w:val="24"/>
          <w:szCs w:val="24"/>
          <w:highlight w:val="none"/>
          <w:shd w:val="clear" w:color="auto" w:fill="FFFFFF"/>
        </w:rPr>
        <w:t>其中绿色施工安全防护措施费不得</w:t>
      </w:r>
      <w:r>
        <w:rPr>
          <w:rFonts w:hint="eastAsia" w:ascii="宋体" w:hAnsi="宋体" w:eastAsia="宋体" w:cs="宋体"/>
          <w:b/>
          <w:bCs/>
          <w:color w:val="000000"/>
          <w:sz w:val="24"/>
          <w:szCs w:val="24"/>
          <w:highlight w:val="none"/>
          <w:shd w:val="clear" w:color="auto" w:fill="FFFFFF"/>
          <w:lang w:val="en-US" w:eastAsia="zh-CN"/>
        </w:rPr>
        <w:t>低</w:t>
      </w:r>
      <w:r>
        <w:rPr>
          <w:rFonts w:hint="eastAsia" w:ascii="宋体" w:hAnsi="宋体" w:eastAsia="宋体" w:cs="宋体"/>
          <w:b/>
          <w:bCs/>
          <w:color w:val="000000"/>
          <w:sz w:val="24"/>
          <w:szCs w:val="24"/>
          <w:highlight w:val="none"/>
          <w:shd w:val="clear" w:color="auto" w:fill="FFFFFF"/>
        </w:rPr>
        <w:t>于：</w:t>
      </w:r>
      <w:r>
        <w:rPr>
          <w:rFonts w:hint="eastAsia" w:ascii="宋体" w:hAnsi="宋体" w:eastAsia="宋体" w:cs="宋体"/>
          <w:b/>
          <w:bCs/>
          <w:color w:val="000000"/>
          <w:sz w:val="24"/>
          <w:szCs w:val="24"/>
          <w:highlight w:val="none"/>
          <w:u w:val="single"/>
          <w:shd w:val="clear" w:color="auto" w:fill="FFFFFF"/>
          <w:lang w:val="en-US" w:eastAsia="zh-CN"/>
        </w:rPr>
        <w:t>¥</w:t>
      </w:r>
      <w:r>
        <w:rPr>
          <w:rFonts w:hint="eastAsia" w:hAnsi="宋体" w:cs="宋体"/>
          <w:b/>
          <w:bCs/>
          <w:i w:val="0"/>
          <w:iCs w:val="0"/>
          <w:color w:val="000000"/>
          <w:kern w:val="0"/>
          <w:sz w:val="24"/>
          <w:szCs w:val="24"/>
          <w:highlight w:val="none"/>
          <w:u w:val="single"/>
          <w:lang w:val="en-US" w:eastAsia="zh-CN" w:bidi="ar"/>
        </w:rPr>
        <w:t>856277.22</w:t>
      </w:r>
      <w:r>
        <w:rPr>
          <w:rFonts w:hint="eastAsia" w:ascii="宋体" w:hAnsi="宋体" w:eastAsia="宋体" w:cs="宋体"/>
          <w:b/>
          <w:bCs/>
          <w:color w:val="000000"/>
          <w:sz w:val="24"/>
          <w:szCs w:val="24"/>
          <w:highlight w:val="none"/>
          <w:u w:val="single"/>
          <w:shd w:val="clear" w:color="auto" w:fill="FFFFFF"/>
          <w:lang w:val="en-US" w:eastAsia="zh-CN"/>
        </w:rPr>
        <w:t>元</w:t>
      </w:r>
      <w:r>
        <w:rPr>
          <w:rFonts w:hint="eastAsia" w:ascii="宋体" w:hAnsi="宋体" w:eastAsia="宋体" w:cs="宋体"/>
          <w:b/>
          <w:bCs/>
          <w:color w:val="000000"/>
          <w:sz w:val="24"/>
          <w:szCs w:val="24"/>
          <w:highlight w:val="none"/>
          <w:shd w:val="clear" w:color="auto" w:fill="FFFFFF"/>
        </w:rPr>
        <w:t>，暂列金</w:t>
      </w:r>
      <w:r>
        <w:rPr>
          <w:rFonts w:hint="eastAsia" w:ascii="宋体" w:hAnsi="宋体" w:eastAsia="宋体" w:cs="宋体"/>
          <w:b/>
          <w:bCs/>
          <w:color w:val="000000"/>
          <w:sz w:val="24"/>
          <w:szCs w:val="24"/>
          <w:highlight w:val="none"/>
          <w:shd w:val="clear" w:color="auto" w:fill="FFFFFF"/>
          <w:lang w:eastAsia="zh-CN"/>
        </w:rPr>
        <w:t>额（</w:t>
      </w:r>
      <w:r>
        <w:rPr>
          <w:rFonts w:hint="eastAsia" w:ascii="宋体" w:hAnsi="宋体" w:eastAsia="宋体" w:cs="宋体"/>
          <w:b/>
          <w:bCs/>
          <w:color w:val="000000"/>
          <w:sz w:val="24"/>
          <w:szCs w:val="24"/>
          <w:highlight w:val="none"/>
          <w:shd w:val="clear" w:color="auto" w:fill="FFFFFF"/>
          <w:lang w:val="en-US" w:eastAsia="zh-CN"/>
        </w:rPr>
        <w:t>统一报价</w:t>
      </w:r>
      <w:r>
        <w:rPr>
          <w:rFonts w:hint="eastAsia" w:ascii="宋体" w:hAnsi="宋体" w:eastAsia="宋体" w:cs="宋体"/>
          <w:b/>
          <w:bCs/>
          <w:color w:val="000000"/>
          <w:sz w:val="24"/>
          <w:szCs w:val="24"/>
          <w:highlight w:val="none"/>
          <w:shd w:val="clear" w:color="auto" w:fill="FFFFFF"/>
          <w:lang w:eastAsia="zh-CN"/>
        </w:rPr>
        <w:t>）</w:t>
      </w:r>
      <w:r>
        <w:rPr>
          <w:rFonts w:hint="eastAsia" w:ascii="宋体" w:hAnsi="宋体" w:eastAsia="宋体" w:cs="宋体"/>
          <w:b/>
          <w:bCs/>
          <w:color w:val="000000"/>
          <w:sz w:val="24"/>
          <w:szCs w:val="24"/>
          <w:highlight w:val="none"/>
          <w:shd w:val="clear" w:color="auto" w:fill="FFFFFF"/>
        </w:rPr>
        <w:t>为：</w:t>
      </w:r>
      <w:r>
        <w:rPr>
          <w:rFonts w:hint="eastAsia" w:ascii="宋体" w:hAnsi="宋体" w:eastAsia="宋体" w:cs="宋体"/>
          <w:b/>
          <w:bCs/>
          <w:color w:val="000000"/>
          <w:sz w:val="24"/>
          <w:szCs w:val="24"/>
          <w:highlight w:val="none"/>
          <w:u w:val="single"/>
          <w:shd w:val="clear" w:color="auto" w:fill="FFFFFF"/>
          <w:lang w:val="en-US" w:eastAsia="zh-CN"/>
        </w:rPr>
        <w:t>¥</w:t>
      </w:r>
      <w:r>
        <w:rPr>
          <w:rFonts w:hint="eastAsia" w:hAnsi="宋体" w:cs="宋体"/>
          <w:b/>
          <w:bCs/>
          <w:i w:val="0"/>
          <w:iCs w:val="0"/>
          <w:color w:val="000000"/>
          <w:kern w:val="0"/>
          <w:sz w:val="24"/>
          <w:szCs w:val="24"/>
          <w:highlight w:val="none"/>
          <w:u w:val="single"/>
          <w:lang w:val="en-US" w:eastAsia="zh-CN" w:bidi="ar"/>
        </w:rPr>
        <w:t>191000.00</w:t>
      </w:r>
      <w:r>
        <w:rPr>
          <w:rFonts w:hint="eastAsia" w:ascii="宋体" w:hAnsi="宋体" w:eastAsia="宋体" w:cs="宋体"/>
          <w:b/>
          <w:bCs/>
          <w:i w:val="0"/>
          <w:iCs w:val="0"/>
          <w:color w:val="000000"/>
          <w:kern w:val="0"/>
          <w:sz w:val="24"/>
          <w:szCs w:val="24"/>
          <w:highlight w:val="none"/>
          <w:u w:val="single"/>
          <w:lang w:val="en-US" w:eastAsia="zh-CN" w:bidi="ar"/>
        </w:rPr>
        <w:t xml:space="preserve"> </w:t>
      </w:r>
      <w:r>
        <w:rPr>
          <w:rFonts w:hint="eastAsia" w:ascii="宋体" w:hAnsi="宋体" w:eastAsia="宋体" w:cs="宋体"/>
          <w:b/>
          <w:bCs/>
          <w:color w:val="000000"/>
          <w:sz w:val="24"/>
          <w:szCs w:val="24"/>
          <w:highlight w:val="none"/>
          <w:u w:val="single"/>
          <w:shd w:val="clear" w:color="auto" w:fill="FFFFFF"/>
        </w:rPr>
        <w:t>元</w:t>
      </w:r>
      <w:r>
        <w:rPr>
          <w:rFonts w:hint="eastAsia" w:ascii="宋体" w:hAnsi="宋体" w:eastAsia="宋体" w:cs="宋体"/>
          <w:b/>
          <w:bCs/>
          <w:color w:val="000000"/>
          <w:sz w:val="24"/>
          <w:szCs w:val="24"/>
          <w:highlight w:val="none"/>
          <w:shd w:val="clear" w:color="auto" w:fill="FFFFFF"/>
        </w:rPr>
        <w:t>。</w:t>
      </w:r>
    </w:p>
    <w:p w14:paraId="3354FF4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334EB8C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7390631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752EAB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57AB04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0B73EA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10A807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1CB477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424378F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50965302">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89" w:name="_Toc8163"/>
      <w:bookmarkStart w:id="90" w:name="_Toc17205"/>
    </w:p>
    <w:p w14:paraId="48E05CE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91" w:name="_Toc19680"/>
      <w:bookmarkStart w:id="92" w:name="_Toc21198"/>
      <w:r>
        <w:rPr>
          <w:rFonts w:hint="eastAsia" w:ascii="宋体" w:hAnsi="宋体" w:eastAsia="宋体" w:cs="宋体"/>
          <w:color w:val="auto"/>
          <w:sz w:val="24"/>
          <w:szCs w:val="24"/>
          <w:highlight w:val="none"/>
        </w:rPr>
        <w:t>9．投标报价</w:t>
      </w:r>
      <w:bookmarkEnd w:id="86"/>
      <w:bookmarkEnd w:id="89"/>
      <w:bookmarkEnd w:id="90"/>
      <w:bookmarkEnd w:id="91"/>
      <w:bookmarkEnd w:id="92"/>
      <w:bookmarkStart w:id="93" w:name="_Hlt74498519"/>
      <w:bookmarkEnd w:id="93"/>
    </w:p>
    <w:p w14:paraId="041847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48CB99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5AC2837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34685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14:paraId="5543D8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14:paraId="0D5B37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14:paraId="135FAA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14:paraId="55253D2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14:paraId="1584759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14:paraId="363BF50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94" w:name="_Hlt66594003"/>
      <w:bookmarkEnd w:id="94"/>
      <w:r>
        <w:rPr>
          <w:rFonts w:hint="eastAsia" w:ascii="宋体" w:hAnsi="宋体" w:eastAsia="宋体" w:cs="宋体"/>
          <w:snapToGrid w:val="0"/>
          <w:color w:val="auto"/>
          <w:kern w:val="0"/>
          <w:sz w:val="24"/>
          <w:szCs w:val="24"/>
          <w:highlight w:val="none"/>
        </w:rPr>
        <w:t>所谓“一定范围内的风险”是指合同约定的风险。</w:t>
      </w:r>
      <w:bookmarkStart w:id="95" w:name="_Hlt69335755"/>
      <w:bookmarkEnd w:id="95"/>
    </w:p>
    <w:p w14:paraId="48D3264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96" w:name="_Hlt66509056"/>
      <w:bookmarkEnd w:id="96"/>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4A4A0D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3D29B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62E29F7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12DF2A0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21D8F49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14:paraId="755BEE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97" w:name="_（十）投标文件的编制、包装、密封"/>
      <w:bookmarkEnd w:id="97"/>
      <w:bookmarkStart w:id="98" w:name="_Toc28889"/>
      <w:bookmarkStart w:id="99" w:name="_Toc11437"/>
      <w:bookmarkStart w:id="100" w:name="_Toc721"/>
    </w:p>
    <w:p w14:paraId="07AE2930">
      <w:pPr>
        <w:pStyle w:val="4"/>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6F5A0657">
      <w:pPr>
        <w:pStyle w:val="5"/>
        <w:pageBreakBefore w:val="0"/>
        <w:kinsoku/>
        <w:overflowPunct/>
        <w:topLinePunct w:val="0"/>
        <w:autoSpaceDE/>
        <w:autoSpaceDN/>
        <w:bidi w:val="0"/>
        <w:spacing w:beforeLines="0" w:afterLines="0" w:line="360" w:lineRule="auto"/>
        <w:ind w:left="0" w:leftChars="0" w:right="0" w:firstLine="482" w:firstLineChars="200"/>
        <w:outlineLvl w:val="2"/>
        <w:rPr>
          <w:rFonts w:hint="eastAsia" w:ascii="宋体" w:hAnsi="宋体" w:eastAsia="宋体" w:cs="宋体"/>
          <w:color w:val="auto"/>
          <w:sz w:val="24"/>
          <w:szCs w:val="24"/>
          <w:highlight w:val="none"/>
        </w:rPr>
      </w:pPr>
      <w:bookmarkStart w:id="101" w:name="_Toc15652"/>
      <w:bookmarkStart w:id="102" w:name="_Toc23366"/>
      <w:r>
        <w:rPr>
          <w:rFonts w:hint="eastAsia" w:ascii="宋体" w:hAnsi="宋体" w:eastAsia="宋体" w:cs="宋体"/>
          <w:color w:val="auto"/>
          <w:sz w:val="24"/>
          <w:szCs w:val="24"/>
          <w:highlight w:val="none"/>
        </w:rPr>
        <w:t>10．投标文件的编制</w:t>
      </w:r>
      <w:bookmarkStart w:id="103" w:name="_Hlt69332370"/>
      <w:bookmarkEnd w:id="103"/>
      <w:bookmarkStart w:id="104" w:name="_Hlt69208262"/>
      <w:bookmarkEnd w:id="104"/>
      <w:r>
        <w:rPr>
          <w:rFonts w:hint="eastAsia" w:ascii="宋体" w:hAnsi="宋体" w:eastAsia="宋体" w:cs="宋体"/>
          <w:color w:val="auto"/>
          <w:sz w:val="24"/>
          <w:szCs w:val="24"/>
          <w:highlight w:val="none"/>
        </w:rPr>
        <w:t>要求</w:t>
      </w:r>
      <w:bookmarkEnd w:id="98"/>
      <w:bookmarkEnd w:id="99"/>
      <w:bookmarkEnd w:id="100"/>
      <w:bookmarkEnd w:id="101"/>
      <w:bookmarkEnd w:id="102"/>
      <w:bookmarkStart w:id="105" w:name="_Hlt74497202"/>
      <w:bookmarkEnd w:id="105"/>
      <w:bookmarkStart w:id="106" w:name="_Hlt74495594"/>
      <w:bookmarkEnd w:id="106"/>
      <w:bookmarkStart w:id="107" w:name="_Hlt78768224"/>
      <w:bookmarkEnd w:id="107"/>
      <w:bookmarkStart w:id="108" w:name="_Toc17114"/>
    </w:p>
    <w:p w14:paraId="376989A0">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109" w:name="_Toc15062"/>
      <w:bookmarkStart w:id="110" w:name="_Toc28292"/>
      <w:bookmarkStart w:id="111" w:name="_Toc3493"/>
      <w:bookmarkStart w:id="112" w:name="_Toc32090"/>
      <w:bookmarkStart w:id="113" w:name="_Toc8710"/>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108"/>
      <w:bookmarkEnd w:id="109"/>
      <w:bookmarkEnd w:id="110"/>
      <w:bookmarkEnd w:id="111"/>
      <w:bookmarkEnd w:id="112"/>
      <w:bookmarkEnd w:id="113"/>
    </w:p>
    <w:p w14:paraId="5D8A8F83">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C504733">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14" w:name="_Hlt78709790"/>
      <w:bookmarkEnd w:id="114"/>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15" w:name="_Hlt74496890"/>
      <w:bookmarkEnd w:id="115"/>
    </w:p>
    <w:p w14:paraId="1A16B30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07DA1A7A">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4FFF7130">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44203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1473E2AF">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9BBE72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16" w:name="_Toc3004"/>
      <w:bookmarkStart w:id="117" w:name="_Toc27367"/>
      <w:bookmarkStart w:id="118" w:name="_Toc257031159"/>
      <w:bookmarkStart w:id="119" w:name="_Toc2278"/>
      <w:bookmarkStart w:id="120" w:name="_Toc29774"/>
      <w:bookmarkStart w:id="121" w:name="_Toc18037"/>
      <w:bookmarkStart w:id="122" w:name="_Toc10120"/>
      <w:bookmarkStart w:id="123" w:name="_Toc274313880"/>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16"/>
      <w:bookmarkEnd w:id="117"/>
      <w:bookmarkEnd w:id="118"/>
      <w:bookmarkEnd w:id="119"/>
      <w:bookmarkEnd w:id="120"/>
      <w:bookmarkEnd w:id="121"/>
      <w:bookmarkEnd w:id="122"/>
      <w:bookmarkEnd w:id="123"/>
    </w:p>
    <w:p w14:paraId="29EAE6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2934D0D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F1CA5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02ABCB8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34090C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04C8C28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AD3ED5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41E0DE8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页面截图打印页）；</w:t>
      </w:r>
    </w:p>
    <w:p w14:paraId="6E8407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）《投标人基本情况表》（格式七）及所附资料；</w:t>
      </w:r>
    </w:p>
    <w:p w14:paraId="74E5B9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）《项目经理简历表》（格式八）及所附资料；</w:t>
      </w:r>
    </w:p>
    <w:p w14:paraId="19770EF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）《项目经理任职声明》（格式九）；</w:t>
      </w:r>
    </w:p>
    <w:p w14:paraId="455EB0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）《项目技术负责人简历表》（格式十）及所附资料；</w:t>
      </w:r>
    </w:p>
    <w:p w14:paraId="141C9A9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2BC92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775C748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）本节第15.5.1目“评标方法”要求提供的评审资料；</w:t>
      </w:r>
    </w:p>
    <w:p w14:paraId="31765A1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649BCF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ascii="Times New Roman"/>
          <w:b/>
          <w:bCs/>
          <w:snapToGrid w:val="0"/>
          <w:color w:val="auto"/>
          <w:kern w:val="0"/>
          <w:szCs w:val="18"/>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w:t>
      </w:r>
      <w:r>
        <w:rPr>
          <w:rStyle w:val="149"/>
          <w:rFonts w:hint="eastAsia" w:ascii="宋体" w:hAnsi="宋体" w:eastAsia="宋体" w:cs="宋体"/>
          <w:color w:val="auto"/>
          <w:kern w:val="0"/>
          <w:highlight w:val="none"/>
        </w:rPr>
        <w:t>本节第</w:t>
      </w:r>
      <w:r>
        <w:rPr>
          <w:rStyle w:val="149"/>
          <w:rFonts w:hint="eastAsia" w:ascii="宋体" w:hAnsi="宋体" w:eastAsia="宋体" w:cs="宋体"/>
          <w:b/>
          <w:bCs/>
          <w:color w:val="auto"/>
          <w:kern w:val="0"/>
          <w:highlight w:val="none"/>
        </w:rPr>
        <w:t>10.2.1</w:t>
      </w:r>
      <w:r>
        <w:rPr>
          <w:rStyle w:val="149"/>
          <w:rFonts w:hint="eastAsia" w:ascii="宋体" w:hAnsi="宋体" w:eastAsia="宋体" w:cs="宋体"/>
          <w:color w:val="auto"/>
          <w:kern w:val="0"/>
          <w:highlight w:val="none"/>
        </w:rPr>
        <w:t>目中所列出的商务标书组成内容中，第（1）至第（14）项所有投标人均应提供，</w:t>
      </w:r>
      <w:r>
        <w:rPr>
          <w:rStyle w:val="149"/>
          <w:rFonts w:hint="eastAsia" w:ascii="宋体" w:hAnsi="宋体" w:eastAsia="宋体" w:cs="宋体"/>
          <w:b/>
          <w:bCs/>
          <w:color w:val="auto"/>
          <w:kern w:val="0"/>
          <w:highlight w:val="none"/>
        </w:rPr>
        <w:t>应按顺序整理、编排后，逐页（页码起始从封面开始）连续标记页码。</w:t>
      </w:r>
    </w:p>
    <w:p w14:paraId="5F973C6C">
      <w:pPr>
        <w:wordWrap w:val="0"/>
        <w:adjustRightInd w:val="0"/>
        <w:snapToGrid w:val="0"/>
        <w:spacing w:line="394" w:lineRule="exact"/>
        <w:ind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3</w:t>
      </w:r>
      <w:r>
        <w:rPr>
          <w:rFonts w:ascii="Times New Roman"/>
          <w:snapToGrid w:val="0"/>
          <w:color w:val="auto"/>
          <w:kern w:val="0"/>
          <w:highlight w:val="none"/>
        </w:rPr>
        <w:t xml:space="preserve"> </w:t>
      </w:r>
      <w:r>
        <w:rPr>
          <w:rFonts w:ascii="Times New Roman"/>
          <w:bCs/>
          <w:snapToGrid w:val="0"/>
          <w:color w:val="auto"/>
          <w:kern w:val="0"/>
          <w:highlight w:val="none"/>
        </w:rPr>
        <w:t>商</w:t>
      </w:r>
      <w:r>
        <w:rPr>
          <w:rFonts w:hint="eastAsia" w:ascii="宋体" w:hAnsi="宋体" w:eastAsia="宋体" w:cs="宋体"/>
          <w:snapToGrid w:val="0"/>
          <w:color w:val="auto"/>
          <w:kern w:val="0"/>
          <w:sz w:val="24"/>
          <w:szCs w:val="24"/>
          <w:highlight w:val="none"/>
        </w:rPr>
        <w:t>务标书应尽量避免手工涂改、行间插字或删除。如果出现上述情况，改动之处应加盖单位章或由投标人的法定代表人或其委托代理人签字确认。</w:t>
      </w:r>
    </w:p>
    <w:p w14:paraId="429779E8">
      <w:pPr>
        <w:pStyle w:val="5"/>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lang w:val="en-US" w:eastAsia="zh-CN" w:bidi="ar-SA"/>
        </w:rPr>
      </w:pPr>
      <w:bookmarkStart w:id="124" w:name="_Toc30069"/>
      <w:bookmarkStart w:id="125" w:name="_Toc31286"/>
      <w:bookmarkStart w:id="126" w:name="_Toc6621"/>
      <w:bookmarkStart w:id="127" w:name="_Toc24061"/>
      <w:bookmarkStart w:id="128" w:name="_Toc1257"/>
      <w:bookmarkStart w:id="129" w:name="_Toc23486"/>
      <w:bookmarkStart w:id="130" w:name="_Toc274313881"/>
      <w:r>
        <w:rPr>
          <w:rFonts w:hint="eastAsia" w:ascii="宋体" w:hAnsi="宋体" w:eastAsia="宋体" w:cs="宋体"/>
          <w:b/>
          <w:snapToGrid w:val="0"/>
          <w:color w:val="auto"/>
          <w:kern w:val="0"/>
          <w:sz w:val="24"/>
          <w:szCs w:val="24"/>
          <w:highlight w:val="none"/>
          <w:lang w:val="en-US" w:eastAsia="zh-CN" w:bidi="ar-SA"/>
        </w:rPr>
        <w:t>10.3</w:t>
      </w:r>
      <w:bookmarkStart w:id="131" w:name="_Hlt69670035"/>
      <w:bookmarkEnd w:id="131"/>
      <w:r>
        <w:rPr>
          <w:rFonts w:hint="eastAsia" w:ascii="宋体" w:hAnsi="宋体" w:eastAsia="宋体" w:cs="宋体"/>
          <w:b/>
          <w:snapToGrid w:val="0"/>
          <w:color w:val="auto"/>
          <w:kern w:val="0"/>
          <w:sz w:val="24"/>
          <w:szCs w:val="24"/>
          <w:highlight w:val="none"/>
          <w:lang w:val="en-US" w:eastAsia="zh-CN" w:bidi="ar-SA"/>
        </w:rPr>
        <w:t xml:space="preserve"> 经济标书的编制要求</w:t>
      </w:r>
      <w:bookmarkEnd w:id="124"/>
      <w:bookmarkEnd w:id="125"/>
      <w:bookmarkEnd w:id="126"/>
      <w:bookmarkEnd w:id="127"/>
      <w:bookmarkEnd w:id="128"/>
      <w:bookmarkEnd w:id="129"/>
      <w:bookmarkEnd w:id="130"/>
    </w:p>
    <w:p w14:paraId="1D736D8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38BDC6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788CDD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C995F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5826027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1F11800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bookmarkStart w:id="132" w:name="_Hlt69699579"/>
      <w:bookmarkEnd w:id="132"/>
      <w:r>
        <w:rPr>
          <w:rFonts w:hint="eastAsia" w:ascii="宋体" w:hAnsi="宋体" w:eastAsia="宋体" w:cs="宋体"/>
          <w:snapToGrid w:val="0"/>
          <w:color w:val="auto"/>
          <w:kern w:val="0"/>
          <w:sz w:val="24"/>
          <w:szCs w:val="24"/>
          <w:highlight w:val="none"/>
        </w:rPr>
        <w:t>a．《投标总价扉页》（即扉—3）后应附编制人的造价工程师注册证书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w:t>
      </w:r>
      <w:r>
        <w:rPr>
          <w:rFonts w:hint="eastAsia" w:ascii="宋体" w:hAnsi="宋体" w:eastAsia="宋体" w:cs="宋体"/>
          <w:snapToGrid w:val="0"/>
          <w:color w:val="auto"/>
          <w:kern w:val="0"/>
          <w:sz w:val="24"/>
          <w:szCs w:val="24"/>
          <w:highlight w:val="none"/>
          <w:lang w:eastAsia="zh-CN"/>
        </w:rPr>
        <w:t>营业执照</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1A05308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b．投标人认为有必要补充的其他资料（例如关于投标总价下浮率超过15%的书面说明和佐证材料）。</w:t>
      </w:r>
    </w:p>
    <w:p w14:paraId="3385EC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bookmarkStart w:id="133" w:name="_Toc7035"/>
      <w:r>
        <w:rPr>
          <w:rFonts w:hint="eastAsia" w:ascii="宋体" w:hAnsi="宋体" w:eastAsia="宋体" w:cs="宋体"/>
          <w:b/>
          <w:bCs w:val="0"/>
          <w:snapToGrid w:val="0"/>
          <w:color w:val="auto"/>
          <w:kern w:val="0"/>
          <w:sz w:val="24"/>
          <w:szCs w:val="24"/>
          <w:highlight w:val="none"/>
        </w:rPr>
        <w:t>10.3.2</w:t>
      </w:r>
      <w:r>
        <w:rPr>
          <w:rFonts w:hint="eastAsia" w:ascii="宋体" w:hAnsi="宋体" w:eastAsia="宋体" w:cs="宋体"/>
          <w:b w:val="0"/>
          <w:bCs/>
          <w:snapToGrid w:val="0"/>
          <w:color w:val="auto"/>
          <w:kern w:val="0"/>
          <w:sz w:val="24"/>
          <w:szCs w:val="24"/>
          <w:highlight w:val="none"/>
        </w:rPr>
        <w:t xml:space="preserve"> 本节第10.3.1目中所列出的经济标书组成内容中，第（1）至第（3）项所有投标人均应提供</w:t>
      </w:r>
      <w:bookmarkStart w:id="134" w:name="_Hlt145127239"/>
      <w:bookmarkEnd w:id="134"/>
      <w:r>
        <w:rPr>
          <w:rFonts w:hint="eastAsia" w:ascii="宋体" w:hAnsi="宋体" w:eastAsia="宋体" w:cs="宋体"/>
          <w:b w:val="0"/>
          <w:bCs/>
          <w:snapToGrid w:val="0"/>
          <w:color w:val="auto"/>
          <w:kern w:val="0"/>
          <w:sz w:val="24"/>
          <w:szCs w:val="24"/>
          <w:highlight w:val="none"/>
        </w:rPr>
        <w:t>。</w:t>
      </w:r>
    </w:p>
    <w:p w14:paraId="3A2C8DF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10.3.3</w:t>
      </w:r>
      <w:r>
        <w:rPr>
          <w:rFonts w:hint="eastAsia" w:ascii="宋体" w:hAnsi="宋体" w:eastAsia="宋体" w:cs="宋体"/>
          <w:b w:val="0"/>
          <w:bCs/>
          <w:snapToGrid w:val="0"/>
          <w:color w:val="auto"/>
          <w:kern w:val="0"/>
          <w:sz w:val="24"/>
          <w:szCs w:val="24"/>
          <w:highlight w:val="none"/>
        </w:rPr>
        <w:t xml:space="preserve"> 经济标书的组成内容按本节第10.3.1目规定的顺序整理、编排后，逐页（页码起始从封面开始）连续标记页码。</w:t>
      </w:r>
    </w:p>
    <w:p w14:paraId="1A53B52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10.3.</w:t>
      </w:r>
      <w:r>
        <w:rPr>
          <w:rFonts w:hint="eastAsia" w:ascii="宋体" w:hAnsi="宋体" w:eastAsia="宋体" w:cs="宋体"/>
          <w:b/>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经济标书应尽量避免手工涂改、行间插字或删除。如果出现上述情况，改动之处应加盖单位章或由投标人的法定代表人或其委托代理人签字确认。</w:t>
      </w:r>
    </w:p>
    <w:p w14:paraId="68F4486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67324B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6E8AD6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3BBA0B4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5FACC7E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0C715AB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0D3D32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CE543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3E5889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B9EED5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96724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39723D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71C4D9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16501DC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70F60C7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4B0E8E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3B63162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6205A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4F26D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3270A15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786C00D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14:paraId="7D31B05F">
      <w:pPr>
        <w:wordWrap w:val="0"/>
        <w:adjustRightInd w:val="0"/>
        <w:snapToGrid w:val="0"/>
        <w:spacing w:line="394"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highlight w:val="none"/>
          <w:lang w:val="en-US" w:eastAsia="zh-CN"/>
        </w:rPr>
        <w:t>10.4.5</w:t>
      </w:r>
      <w:r>
        <w:rPr>
          <w:rFonts w:hint="eastAsia" w:ascii="宋体" w:hAnsi="宋体" w:eastAsia="宋体" w:cs="宋体"/>
          <w:color w:val="auto"/>
          <w:highlight w:val="none"/>
          <w:lang w:val="en-US" w:eastAsia="zh-CN"/>
        </w:rPr>
        <w:t xml:space="preserve"> 施工组织设计应尽量避免手工涂改、行间插字或删除。如果出现上述情况，改动之处应加盖单位章或由投标人的法定代表人或其委托代理人签字确认</w:t>
      </w:r>
      <w:r>
        <w:rPr>
          <w:rFonts w:hAnsi="宋体" w:cs="宋体"/>
          <w:snapToGrid w:val="0"/>
          <w:color w:val="auto"/>
          <w:kern w:val="0"/>
          <w:highlight w:val="none"/>
        </w:rPr>
        <w:t>。</w:t>
      </w:r>
      <w:r>
        <w:rPr>
          <w:rFonts w:hint="eastAsia" w:ascii="宋体" w:hAnsi="宋体" w:eastAsia="宋体" w:cs="宋体"/>
          <w:snapToGrid w:val="0"/>
          <w:color w:val="auto"/>
          <w:kern w:val="0"/>
          <w:sz w:val="24"/>
          <w:szCs w:val="24"/>
          <w:highlight w:val="none"/>
        </w:rPr>
        <w:t xml:space="preserve"> </w:t>
      </w:r>
    </w:p>
    <w:bookmarkEnd w:id="133"/>
    <w:p w14:paraId="2A4C8D37">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
          <w:snapToGrid w:val="0"/>
          <w:color w:val="auto"/>
          <w:sz w:val="24"/>
          <w:szCs w:val="24"/>
          <w:highlight w:val="none"/>
        </w:rPr>
      </w:pPr>
      <w:bookmarkStart w:id="135" w:name="_Toc18012"/>
      <w:bookmarkStart w:id="136" w:name="_Toc32203"/>
    </w:p>
    <w:p w14:paraId="21E115A1">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Fonts w:hint="eastAsia" w:ascii="宋体" w:hAnsi="宋体" w:eastAsia="宋体" w:cs="宋体"/>
          <w:bCs/>
          <w:snapToGrid w:val="0"/>
          <w:color w:val="auto"/>
          <w:sz w:val="24"/>
          <w:szCs w:val="24"/>
          <w:highlight w:val="none"/>
        </w:rPr>
      </w:pPr>
      <w:bookmarkStart w:id="137" w:name="_Toc5963"/>
      <w:bookmarkStart w:id="138" w:name="_Toc18221"/>
      <w:r>
        <w:rPr>
          <w:rStyle w:val="154"/>
          <w:rFonts w:hint="eastAsia" w:ascii="宋体" w:hAnsi="宋体" w:eastAsia="宋体" w:cs="宋体"/>
          <w:color w:val="auto"/>
          <w:sz w:val="24"/>
          <w:szCs w:val="24"/>
          <w:highlight w:val="none"/>
          <w:lang w:val="en-US" w:eastAsia="zh-CN"/>
        </w:rPr>
        <w:t>11.电子投标</w:t>
      </w:r>
      <w:bookmarkEnd w:id="135"/>
      <w:bookmarkEnd w:id="137"/>
      <w:bookmarkEnd w:id="138"/>
    </w:p>
    <w:p w14:paraId="7B8609C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39" w:name="_Hlt88627590"/>
      <w:bookmarkEnd w:id="139"/>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1F3F53C3">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40" w:name="_Hlt127590288"/>
      <w:bookmarkEnd w:id="140"/>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36"/>
    </w:p>
    <w:p w14:paraId="4B27AF5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b/>
          <w:bCs/>
          <w:snapToGrid w:val="0"/>
          <w:color w:val="auto"/>
          <w:kern w:val="0"/>
          <w:sz w:val="24"/>
          <w:szCs w:val="24"/>
          <w:highlight w:val="none"/>
        </w:rPr>
      </w:pPr>
    </w:p>
    <w:p w14:paraId="73B7EE7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outlineLvl w:val="2"/>
        <w:rPr>
          <w:rStyle w:val="154"/>
          <w:rFonts w:hint="eastAsia" w:ascii="宋体" w:hAnsi="宋体" w:eastAsia="宋体" w:cs="宋体"/>
          <w:color w:val="auto"/>
          <w:kern w:val="2"/>
          <w:sz w:val="24"/>
          <w:szCs w:val="24"/>
          <w:highlight w:val="none"/>
          <w:lang w:val="en-US" w:eastAsia="zh-CN" w:bidi="ar-SA"/>
        </w:rPr>
      </w:pPr>
      <w:bookmarkStart w:id="141" w:name="_Toc5810"/>
      <w:bookmarkStart w:id="142" w:name="_Toc25051"/>
      <w:r>
        <w:rPr>
          <w:rStyle w:val="154"/>
          <w:rFonts w:hint="eastAsia" w:ascii="宋体" w:hAnsi="宋体" w:eastAsia="宋体" w:cs="宋体"/>
          <w:color w:val="auto"/>
          <w:kern w:val="2"/>
          <w:sz w:val="24"/>
          <w:szCs w:val="24"/>
          <w:highlight w:val="none"/>
          <w:lang w:val="en-US" w:eastAsia="zh-CN" w:bidi="ar-SA"/>
        </w:rPr>
        <w:t>12.电子投标及投标解密失败及突发情况的补救方案</w:t>
      </w:r>
      <w:bookmarkEnd w:id="141"/>
    </w:p>
    <w:bookmarkEnd w:id="142"/>
    <w:p w14:paraId="400F453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1A5773E0">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4EF91F51">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0EB1B297">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1CA7AC65">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490F763D">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439B373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75A9216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431A5CD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3" w:name="_Toc31800"/>
      <w:bookmarkStart w:id="144" w:name="_Toc13465"/>
      <w:r>
        <w:rPr>
          <w:rStyle w:val="154"/>
          <w:rFonts w:hint="eastAsia" w:ascii="宋体" w:hAnsi="宋体" w:eastAsia="宋体" w:cs="宋体"/>
          <w:color w:val="auto"/>
          <w:sz w:val="24"/>
          <w:szCs w:val="24"/>
          <w:highlight w:val="none"/>
          <w:lang w:val="en-US" w:eastAsia="zh-CN"/>
        </w:rPr>
        <w:t>13．投标文件的提交</w:t>
      </w:r>
      <w:bookmarkEnd w:id="143"/>
      <w:bookmarkEnd w:id="144"/>
    </w:p>
    <w:p w14:paraId="4D4493B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21BE6C3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79E9E9ED">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29DC68F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13.4</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建设工程交易系统将予以拒收</w:t>
      </w:r>
      <w:r>
        <w:rPr>
          <w:rFonts w:hint="eastAsia" w:ascii="宋体" w:hAnsi="宋体" w:eastAsia="宋体" w:cs="宋体"/>
          <w:snapToGrid w:val="0"/>
          <w:color w:val="auto"/>
          <w:kern w:val="0"/>
          <w:sz w:val="24"/>
          <w:szCs w:val="24"/>
          <w:highlight w:val="none"/>
          <w:lang w:eastAsia="zh-CN"/>
        </w:rPr>
        <w:t>。</w:t>
      </w:r>
    </w:p>
    <w:p w14:paraId="7D283E68">
      <w:pPr>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65BE832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rPr>
        <w:t>13.6</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5AEC299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25E8194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7CCAC4EF">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rPr>
        <w:t>投标文件未按投标格式中注明需签字盖章的要求进行签名（含电子签名）和加盖电子印章，或签名（含电子签名）或电子印章不完整的；</w:t>
      </w:r>
    </w:p>
    <w:p w14:paraId="2ABB643D">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2D44F89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（4）</w:t>
      </w:r>
      <w:r>
        <w:rPr>
          <w:rFonts w:hint="eastAsia" w:ascii="宋体" w:hAnsi="宋体" w:eastAsia="宋体" w:cs="宋体"/>
          <w:snapToGrid w:val="0"/>
          <w:color w:val="auto"/>
          <w:kern w:val="0"/>
          <w:sz w:val="24"/>
          <w:szCs w:val="24"/>
          <w:highlight w:val="none"/>
        </w:rPr>
        <w:t>投标文件损坏或格式不正确的；</w:t>
      </w:r>
    </w:p>
    <w:p w14:paraId="0D6381A5">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投标人代表尚应递交以下的资料（如有）：</w:t>
      </w:r>
    </w:p>
    <w:p w14:paraId="737A4220">
      <w:pPr>
        <w:keepNext w:val="0"/>
        <w:keepLines w:val="0"/>
        <w:pageBreakBefore w:val="0"/>
        <w:widowControl w:val="0"/>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招标文件要求提交的用于评审的证书、证件、证明原件（附一式</w:t>
      </w:r>
      <w:r>
        <w:rPr>
          <w:rFonts w:hint="eastAsia" w:ascii="宋体"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份清单）。</w:t>
      </w:r>
    </w:p>
    <w:p w14:paraId="1163FA5D">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13.9</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F22706">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13.10</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52F537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p>
    <w:p w14:paraId="03AF2552">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45" w:name="_Toc358"/>
      <w:bookmarkStart w:id="146" w:name="_Toc26221"/>
      <w:r>
        <w:rPr>
          <w:rStyle w:val="154"/>
          <w:rFonts w:hint="eastAsia" w:ascii="宋体" w:hAnsi="宋体" w:eastAsia="宋体" w:cs="宋体"/>
          <w:color w:val="auto"/>
          <w:sz w:val="24"/>
          <w:szCs w:val="24"/>
          <w:highlight w:val="none"/>
          <w:lang w:val="en-US" w:eastAsia="zh-CN"/>
        </w:rPr>
        <w:t>14．开标</w:t>
      </w:r>
      <w:bookmarkEnd w:id="145"/>
      <w:bookmarkEnd w:id="146"/>
    </w:p>
    <w:p w14:paraId="0EDAB54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项目实行全流程电子化招标投标，招标人邀请所有正确获取招标文件、电子投标、缴纳投标保证的投标人参加开标，投标人可自主决定是否参加。投标人无须进行现场电子签到，可登录交易平台观看开标实况、提出异议或进行澄清、确认等操作，具体操作投标人可登录全国公共资源交易平台（广东省·韶关市）（https://ygp.gdzwfw.gov.cn/ggzy-portal/#/440200/index），在【服务指南】栏目中下载《韶关市公共资源建设工程交易系统-投标人操作指南》。</w:t>
      </w:r>
    </w:p>
    <w:p w14:paraId="23B31B18">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12785C30">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06884E9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05DF55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47" w:name="_Toc1282"/>
      <w:bookmarkStart w:id="148" w:name="_Toc7418"/>
    </w:p>
    <w:p w14:paraId="30C32B9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47"/>
      <w:bookmarkEnd w:id="148"/>
      <w:bookmarkStart w:id="149" w:name="_Toc4807"/>
      <w:bookmarkStart w:id="150" w:name="_Toc30474"/>
    </w:p>
    <w:p w14:paraId="5D45F4F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49"/>
      <w:bookmarkEnd w:id="150"/>
      <w:bookmarkStart w:id="151" w:name="_Toc28242"/>
      <w:bookmarkStart w:id="152" w:name="_Toc3180"/>
    </w:p>
    <w:p w14:paraId="64A475E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51"/>
      <w:bookmarkEnd w:id="152"/>
      <w:bookmarkStart w:id="153" w:name="_Toc10498"/>
      <w:bookmarkStart w:id="154" w:name="_Toc29778"/>
      <w:r>
        <w:rPr>
          <w:rFonts w:hint="eastAsia" w:ascii="宋体" w:hAnsi="宋体" w:eastAsia="宋体" w:cs="宋体"/>
          <w:snapToGrid w:val="0"/>
          <w:color w:val="auto"/>
          <w:kern w:val="0"/>
          <w:sz w:val="24"/>
          <w:szCs w:val="24"/>
          <w:highlight w:val="none"/>
          <w:lang w:eastAsia="zh-CN"/>
        </w:rPr>
        <w:t>。</w:t>
      </w:r>
    </w:p>
    <w:p w14:paraId="56C20D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（4）招标代理机构会同交易场所工作人员对投标人的电子投标信息进行解密，建设工程交易系统自动生成《投标保证缴纳情况表》和《开标一览表》。</w:t>
      </w:r>
      <w:bookmarkEnd w:id="153"/>
      <w:bookmarkEnd w:id="154"/>
    </w:p>
    <w:p w14:paraId="160423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96EC2B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）招标人代表、唱标人、记录人等有关人员在《投标保证缴纳情况表》以及《开标一览表》上签字确认。</w:t>
      </w:r>
    </w:p>
    <w:p w14:paraId="4DE931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）主持人宣布有关注意事项后，宣布开标结束。</w:t>
      </w:r>
    </w:p>
    <w:p w14:paraId="6CA5E28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color w:val="auto"/>
          <w:highlight w:val="none"/>
        </w:rPr>
      </w:pPr>
      <w:r>
        <w:rPr>
          <w:rFonts w:hint="eastAsia" w:ascii="宋体" w:hAnsi="宋体" w:eastAsia="宋体" w:cs="宋体"/>
          <w:b/>
          <w:bCs/>
          <w:snapToGrid w:val="0"/>
          <w:color w:val="auto"/>
          <w:kern w:val="0"/>
          <w:sz w:val="24"/>
          <w:szCs w:val="24"/>
          <w:highlight w:val="none"/>
          <w:lang w:val="en-US" w:eastAsia="zh-CN"/>
        </w:rPr>
        <w:t>14.3</w:t>
      </w:r>
      <w:r>
        <w:rPr>
          <w:rFonts w:hint="eastAsia" w:ascii="宋体" w:hAnsi="宋体" w:eastAsia="宋体" w:cs="宋体"/>
          <w:b w:val="0"/>
          <w:bCs w:val="0"/>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rPr>
        <w:t>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5BD283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55" w:name="_Hlt127093805"/>
      <w:bookmarkEnd w:id="15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5D37AD50">
      <w:pPr>
        <w:rPr>
          <w:rFonts w:hint="eastAsia"/>
          <w:color w:val="auto"/>
          <w:highlight w:val="none"/>
          <w:lang w:val="en-US" w:eastAsia="zh-CN"/>
        </w:rPr>
      </w:pPr>
      <w:bookmarkStart w:id="156" w:name="_Toc28090"/>
    </w:p>
    <w:p w14:paraId="0F5FEBD5">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2"/>
        <w:rPr>
          <w:rStyle w:val="154"/>
          <w:rFonts w:hint="eastAsia" w:ascii="宋体" w:hAnsi="宋体" w:eastAsia="宋体" w:cs="宋体"/>
          <w:color w:val="auto"/>
          <w:sz w:val="24"/>
          <w:szCs w:val="24"/>
          <w:highlight w:val="none"/>
          <w:lang w:val="en-US" w:eastAsia="zh-CN"/>
        </w:rPr>
      </w:pPr>
      <w:bookmarkStart w:id="157" w:name="_Toc23430"/>
      <w:r>
        <w:rPr>
          <w:rStyle w:val="154"/>
          <w:rFonts w:hint="eastAsia" w:ascii="宋体" w:hAnsi="宋体" w:eastAsia="宋体" w:cs="宋体"/>
          <w:color w:val="auto"/>
          <w:sz w:val="24"/>
          <w:szCs w:val="24"/>
          <w:highlight w:val="none"/>
          <w:lang w:val="en-US" w:eastAsia="zh-CN"/>
        </w:rPr>
        <w:t>15．评标</w:t>
      </w:r>
      <w:bookmarkEnd w:id="156"/>
      <w:bookmarkEnd w:id="157"/>
    </w:p>
    <w:p w14:paraId="3C4F47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26DD88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3AAE781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w:t>
      </w:r>
      <w:r>
        <w:rPr>
          <w:rFonts w:hint="eastAsia" w:hAnsi="宋体" w:cs="宋体"/>
          <w:b w:val="0"/>
          <w:bCs w:val="0"/>
          <w:snapToGrid w:val="0"/>
          <w:color w:val="auto"/>
          <w:kern w:val="0"/>
          <w:sz w:val="24"/>
          <w:szCs w:val="24"/>
          <w:highlight w:val="none"/>
          <w:u w:val="single"/>
          <w:lang w:eastAsia="zh-CN"/>
        </w:rPr>
        <w:t>广东省综合评标评审专家库--韶关区域</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19A5F7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5D1A19B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524B1BD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33C3CAE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4F6BE34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59C67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4CD9AF3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746886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6FE46F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431778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3485BF8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（评标方法名称）进行评标。</w:t>
      </w:r>
    </w:p>
    <w:p w14:paraId="3BCDBA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0FD2720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3B90AF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1D658B6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37D2709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706739A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40540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478DFFA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58C9DE4">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5F1ED9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0EDAD6C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01859C0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4816CB9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0B9A874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1D35A33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401EA6C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4214F4E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35B497E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46E2E3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2B2647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w:t>
      </w:r>
      <w:r>
        <w:rPr>
          <w:rFonts w:hint="eastAsia" w:hAnsi="宋体" w:cs="宋体"/>
          <w:snapToGrid w:val="0"/>
          <w:color w:val="auto"/>
          <w:kern w:val="0"/>
          <w:sz w:val="24"/>
          <w:szCs w:val="24"/>
          <w:highlight w:val="none"/>
          <w:lang w:eastAsia="zh-CN"/>
        </w:rPr>
        <w:t>营业执照彩色扫描件。</w:t>
      </w:r>
    </w:p>
    <w:p w14:paraId="1D2830A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1FC35E2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4B64F74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54FE50C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14C883C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AB4F2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58" w:name="_Hlt121629839"/>
      <w:r>
        <w:rPr>
          <w:rFonts w:hint="eastAsia" w:ascii="宋体" w:hAnsi="宋体" w:eastAsia="宋体" w:cs="宋体"/>
          <w:snapToGrid w:val="0"/>
          <w:color w:val="auto"/>
          <w:kern w:val="0"/>
          <w:sz w:val="24"/>
          <w:szCs w:val="24"/>
          <w:highlight w:val="none"/>
        </w:rPr>
        <w:t>阶段</w:t>
      </w:r>
    </w:p>
    <w:p w14:paraId="702136B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73D563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0DF3632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55A211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64BE045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28E73D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1A33FCC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0158EA0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03B682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73BF5FB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BC76422">
      <w:pPr>
        <w:pageBreakBefore w:val="0"/>
        <w:kinsoku/>
        <w:wordWrap w:val="0"/>
        <w:overflowPunct/>
        <w:topLinePunct w:val="0"/>
        <w:autoSpaceDE/>
        <w:autoSpaceDN/>
        <w:bidi w:val="0"/>
        <w:adjustRightInd w:val="0"/>
        <w:snapToGrid w:val="0"/>
        <w:spacing w:line="360" w:lineRule="auto"/>
        <w:ind w:left="0" w:leftChars="0" w:right="0" w:firstLine="482"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56F88373">
      <w:pPr>
        <w:pageBreakBefore w:val="0"/>
        <w:kinsoku/>
        <w:wordWrap w:val="0"/>
        <w:overflowPunct/>
        <w:topLinePunct w:val="0"/>
        <w:autoSpaceDE/>
        <w:autoSpaceDN/>
        <w:bidi w:val="0"/>
        <w:adjustRightInd w:val="0"/>
        <w:snapToGrid w:val="0"/>
        <w:spacing w:line="360" w:lineRule="auto"/>
        <w:ind w:left="0" w:leftChars="0" w:right="0" w:firstLine="480" w:firstLineChars="20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E1C1035">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7F9B1A2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441F30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4A39723A">
      <w:pPr>
        <w:pageBreakBefore w:val="0"/>
        <w:kinsoku/>
        <w:wordWrap w:val="0"/>
        <w:overflowPunct/>
        <w:topLinePunct w:val="0"/>
        <w:autoSpaceDE/>
        <w:autoSpaceDN/>
        <w:bidi w:val="0"/>
        <w:adjustRightInd w:val="0"/>
        <w:snapToGrid w:val="0"/>
        <w:spacing w:line="360" w:lineRule="auto"/>
        <w:ind w:left="0" w:leftChars="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5923C95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1680C27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4225FB5D">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30"/>
        <w:tblpPr w:leftFromText="180" w:rightFromText="180" w:vertAnchor="text" w:horzAnchor="page" w:tblpX="825" w:tblpY="374"/>
        <w:tblOverlap w:val="never"/>
        <w:tblW w:w="10187" w:type="dxa"/>
        <w:tblInd w:w="0" w:type="dxa"/>
        <w:tblLayout w:type="fixed"/>
        <w:tblCellMar>
          <w:top w:w="0" w:type="dxa"/>
          <w:left w:w="108" w:type="dxa"/>
          <w:bottom w:w="0" w:type="dxa"/>
          <w:right w:w="108" w:type="dxa"/>
        </w:tblCellMar>
      </w:tblPr>
      <w:tblGrid>
        <w:gridCol w:w="1248"/>
        <w:gridCol w:w="3464"/>
        <w:gridCol w:w="496"/>
        <w:gridCol w:w="4979"/>
      </w:tblGrid>
      <w:tr w14:paraId="368C65F6">
        <w:tblPrEx>
          <w:tblCellMar>
            <w:top w:w="0" w:type="dxa"/>
            <w:left w:w="108" w:type="dxa"/>
            <w:bottom w:w="0" w:type="dxa"/>
            <w:right w:w="108" w:type="dxa"/>
          </w:tblCellMar>
        </w:tblPrEx>
        <w:trPr>
          <w:trHeight w:val="537" w:hRule="atLeast"/>
        </w:trPr>
        <w:tc>
          <w:tcPr>
            <w:tcW w:w="10187"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3AC44BE8">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b/>
                <w:bCs/>
                <w:snapToGrid w:val="0"/>
                <w:color w:val="000000"/>
                <w:kern w:val="0"/>
                <w:sz w:val="21"/>
                <w:szCs w:val="21"/>
                <w:highlight w:val="none"/>
                <w:lang w:val="en-US" w:eastAsia="zh-CN" w:bidi="ar-SA"/>
              </w:rPr>
              <w:t>商务部分，满分：</w:t>
            </w:r>
            <w:r>
              <w:rPr>
                <w:rFonts w:hint="eastAsia" w:ascii="宋体" w:hAnsi="宋体" w:eastAsia="宋体" w:cs="宋体"/>
                <w:b/>
                <w:bCs/>
                <w:snapToGrid w:val="0"/>
                <w:color w:val="000000"/>
                <w:kern w:val="0"/>
                <w:sz w:val="21"/>
                <w:szCs w:val="21"/>
                <w:highlight w:val="none"/>
                <w:u w:val="single"/>
                <w:lang w:val="en-US" w:eastAsia="zh-CN" w:bidi="ar-SA"/>
              </w:rPr>
              <w:t xml:space="preserve">80 </w:t>
            </w:r>
            <w:r>
              <w:rPr>
                <w:rFonts w:hint="eastAsia" w:ascii="宋体" w:hAnsi="宋体" w:eastAsia="宋体" w:cs="宋体"/>
                <w:b/>
                <w:bCs/>
                <w:snapToGrid w:val="0"/>
                <w:color w:val="000000"/>
                <w:kern w:val="0"/>
                <w:sz w:val="21"/>
                <w:szCs w:val="21"/>
                <w:highlight w:val="none"/>
                <w:lang w:val="en-US" w:eastAsia="zh-CN" w:bidi="ar-SA"/>
              </w:rPr>
              <w:t>分。</w:t>
            </w:r>
          </w:p>
        </w:tc>
      </w:tr>
      <w:tr w14:paraId="74E25709">
        <w:tblPrEx>
          <w:tblCellMar>
            <w:top w:w="0" w:type="dxa"/>
            <w:left w:w="108" w:type="dxa"/>
            <w:bottom w:w="0" w:type="dxa"/>
            <w:right w:w="108" w:type="dxa"/>
          </w:tblCellMar>
        </w:tblPrEx>
        <w:trPr>
          <w:trHeight w:val="442"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A336FC2">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评分因素</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2B33EDF2">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评分标准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6BD8FBE7">
            <w:pPr>
              <w:keepNext w:val="0"/>
              <w:keepLines w:val="0"/>
              <w:widowControl w:val="0"/>
              <w:suppressLineNumbers w:val="0"/>
              <w:tabs>
                <w:tab w:val="left" w:pos="1354"/>
                <w:tab w:val="left" w:pos="1459"/>
                <w:tab w:val="center" w:pos="3902"/>
                <w:tab w:val="right" w:pos="7805"/>
              </w:tabs>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备注</w:t>
            </w:r>
          </w:p>
        </w:tc>
      </w:tr>
      <w:tr w14:paraId="40363973">
        <w:tblPrEx>
          <w:tblCellMar>
            <w:top w:w="0" w:type="dxa"/>
            <w:left w:w="108" w:type="dxa"/>
            <w:bottom w:w="0" w:type="dxa"/>
            <w:right w:w="108" w:type="dxa"/>
          </w:tblCellMar>
        </w:tblPrEx>
        <w:trPr>
          <w:trHeight w:val="2216"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1127D41A">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企业业绩</w:t>
            </w:r>
          </w:p>
          <w:p w14:paraId="5E63F566">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（20分）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42CF3EDD">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企业近年来（2020年至今）业绩情况：</w:t>
            </w:r>
          </w:p>
          <w:p w14:paraId="0BB3DAD0">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w:t>
            </w:r>
            <w:r>
              <w:rPr>
                <w:rFonts w:hint="eastAsia" w:ascii="宋体" w:hAnsi="宋体" w:eastAsia="宋体" w:cs="宋体"/>
                <w:snapToGrid w:val="0"/>
                <w:color w:val="000000"/>
                <w:kern w:val="0"/>
                <w:sz w:val="21"/>
                <w:szCs w:val="21"/>
                <w:highlight w:val="none"/>
                <w:u w:val="single"/>
                <w:lang w:val="en-US" w:eastAsia="zh-CN" w:bidi="ar-SA"/>
              </w:rPr>
              <w:t xml:space="preserve"> 承接 </w:t>
            </w:r>
            <w:r>
              <w:rPr>
                <w:rFonts w:hint="eastAsia" w:ascii="宋体" w:hAnsi="宋体" w:eastAsia="宋体" w:cs="宋体"/>
                <w:snapToGrid w:val="0"/>
                <w:color w:val="000000"/>
                <w:kern w:val="0"/>
                <w:sz w:val="21"/>
                <w:szCs w:val="21"/>
                <w:highlight w:val="none"/>
                <w:lang w:val="en-US" w:eastAsia="zh-CN" w:bidi="ar-SA"/>
              </w:rPr>
              <w:t>过类似工程的，每个得5分；</w:t>
            </w:r>
          </w:p>
          <w:p w14:paraId="1E30820B">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2.未</w:t>
            </w:r>
            <w:r>
              <w:rPr>
                <w:rFonts w:hint="eastAsia" w:ascii="宋体" w:hAnsi="宋体" w:eastAsia="宋体" w:cs="宋体"/>
                <w:snapToGrid w:val="0"/>
                <w:color w:val="000000"/>
                <w:kern w:val="0"/>
                <w:sz w:val="21"/>
                <w:szCs w:val="21"/>
                <w:highlight w:val="none"/>
                <w:u w:val="single"/>
                <w:lang w:val="en-US" w:eastAsia="zh-CN" w:bidi="ar-SA"/>
              </w:rPr>
              <w:t>承接</w:t>
            </w:r>
            <w:r>
              <w:rPr>
                <w:rFonts w:hint="eastAsia" w:ascii="宋体" w:hAnsi="宋体" w:eastAsia="宋体" w:cs="宋体"/>
                <w:snapToGrid w:val="0"/>
                <w:color w:val="000000"/>
                <w:kern w:val="0"/>
                <w:sz w:val="21"/>
                <w:szCs w:val="21"/>
                <w:highlight w:val="none"/>
                <w:lang w:val="en-US" w:eastAsia="zh-CN" w:bidi="ar-SA"/>
              </w:rPr>
              <w:t>过类似工程的，不予计分。</w:t>
            </w:r>
          </w:p>
          <w:p w14:paraId="7ADEE5B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 xml:space="preserve">说明：本项最高得20分。 </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3CC221A8">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1.类似工程指：</w:t>
            </w:r>
            <w:r>
              <w:rPr>
                <w:rFonts w:hint="eastAsia" w:ascii="宋体" w:hAnsi="宋体" w:eastAsia="宋体" w:cs="宋体"/>
                <w:snapToGrid w:val="0"/>
                <w:color w:val="000000"/>
                <w:kern w:val="0"/>
                <w:sz w:val="21"/>
                <w:szCs w:val="21"/>
                <w:highlight w:val="none"/>
                <w:u w:val="single"/>
                <w:lang w:val="en-US" w:eastAsia="zh-CN" w:bidi="ar-SA"/>
              </w:rPr>
              <w:t>房建或市政</w:t>
            </w:r>
            <w:r>
              <w:rPr>
                <w:rFonts w:hint="eastAsia" w:ascii="宋体" w:hAnsi="宋体" w:eastAsia="宋体" w:cs="宋体"/>
                <w:snapToGrid w:val="0"/>
                <w:color w:val="000000"/>
                <w:kern w:val="0"/>
                <w:sz w:val="21"/>
                <w:szCs w:val="21"/>
                <w:highlight w:val="none"/>
                <w:u w:val="single"/>
                <w:lang w:val="en-US" w:eastAsia="zh-CN" w:bidi="ar-SA"/>
              </w:rPr>
              <w:t>类工程</w:t>
            </w:r>
            <w:r>
              <w:rPr>
                <w:rFonts w:hint="eastAsia" w:ascii="宋体" w:hAnsi="宋体" w:eastAsia="宋体" w:cs="宋体"/>
                <w:snapToGrid w:val="0"/>
                <w:color w:val="000000"/>
                <w:kern w:val="0"/>
                <w:sz w:val="21"/>
                <w:szCs w:val="21"/>
                <w:highlight w:val="none"/>
                <w:lang w:val="en-US" w:eastAsia="zh-CN" w:bidi="ar-SA"/>
              </w:rPr>
              <w:t>，须提供中标通知书或合同协议书关键页彩色扫描件。</w:t>
            </w:r>
          </w:p>
          <w:p w14:paraId="1913B0C6">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2.业绩时间以中标通知书或合同协议书日期为准。</w:t>
            </w:r>
          </w:p>
          <w:p w14:paraId="5B013BB3">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3.未提供扫描件的、业绩不属于类似工程的、业绩时间不符合评分标准和备注规定的，不给予计分。</w:t>
            </w:r>
          </w:p>
        </w:tc>
      </w:tr>
      <w:tr w14:paraId="7AA77573">
        <w:tblPrEx>
          <w:tblCellMar>
            <w:top w:w="0" w:type="dxa"/>
            <w:left w:w="108" w:type="dxa"/>
            <w:bottom w:w="0" w:type="dxa"/>
            <w:right w:w="108" w:type="dxa"/>
          </w:tblCellMar>
        </w:tblPrEx>
        <w:trPr>
          <w:trHeight w:val="3138"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2FE049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企业银行</w:t>
            </w:r>
          </w:p>
          <w:p w14:paraId="0870303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资信评级</w:t>
            </w:r>
          </w:p>
          <w:p w14:paraId="688147FC">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（10分）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432BEC88">
            <w:pPr>
              <w:keepNext w:val="0"/>
              <w:keepLines w:val="0"/>
              <w:widowControl w:val="0"/>
              <w:suppressLineNumbers w:val="0"/>
              <w:wordWrap w:val="0"/>
              <w:adjustRightInd w:val="0"/>
              <w:snapToGrid w:val="0"/>
              <w:spacing w:before="0" w:beforeAutospacing="0" w:after="0" w:afterLines="0" w:afterAutospacing="0" w:line="400" w:lineRule="exact"/>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1．银行资信评（等）级AAA的，得</w:t>
            </w:r>
            <w:r>
              <w:rPr>
                <w:rFonts w:hint="eastAsia" w:ascii="宋体" w:hAnsi="宋体" w:eastAsia="宋体" w:cs="宋体"/>
                <w:snapToGrid w:val="0"/>
                <w:color w:val="000000"/>
                <w:kern w:val="0"/>
                <w:sz w:val="21"/>
                <w:szCs w:val="21"/>
                <w:highlight w:val="none"/>
                <w:u w:val="single"/>
                <w:lang w:val="en-US" w:eastAsia="zh-CN" w:bidi="ar-SA"/>
              </w:rPr>
              <w:t>10</w:t>
            </w:r>
            <w:r>
              <w:rPr>
                <w:rFonts w:hint="eastAsia" w:ascii="宋体" w:hAnsi="宋体" w:eastAsia="宋体" w:cs="宋体"/>
                <w:snapToGrid w:val="0"/>
                <w:color w:val="000000"/>
                <w:kern w:val="0"/>
                <w:sz w:val="21"/>
                <w:szCs w:val="21"/>
                <w:highlight w:val="none"/>
                <w:lang w:val="en-US" w:eastAsia="zh-CN" w:bidi="ar-SA"/>
              </w:rPr>
              <w:t>分；</w:t>
            </w:r>
          </w:p>
          <w:p w14:paraId="28B2C60F">
            <w:pPr>
              <w:keepNext w:val="0"/>
              <w:keepLines w:val="0"/>
              <w:widowControl w:val="0"/>
              <w:suppressLineNumbers w:val="0"/>
              <w:wordWrap w:val="0"/>
              <w:adjustRightInd w:val="0"/>
              <w:snapToGrid w:val="0"/>
              <w:spacing w:before="0" w:beforeAutospacing="0" w:after="0" w:afterLines="0" w:afterAutospacing="0" w:line="400" w:lineRule="exact"/>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2．银行资信评（等）级AA（含AA＋、AA－）的，得</w:t>
            </w:r>
            <w:r>
              <w:rPr>
                <w:rFonts w:hint="eastAsia" w:ascii="宋体" w:hAnsi="宋体" w:eastAsia="宋体" w:cs="宋体"/>
                <w:snapToGrid w:val="0"/>
                <w:color w:val="000000"/>
                <w:kern w:val="0"/>
                <w:sz w:val="21"/>
                <w:szCs w:val="21"/>
                <w:highlight w:val="none"/>
                <w:u w:val="single"/>
                <w:lang w:val="en-US" w:eastAsia="zh-CN" w:bidi="ar-SA"/>
              </w:rPr>
              <w:t>5</w:t>
            </w:r>
            <w:r>
              <w:rPr>
                <w:rFonts w:hint="eastAsia" w:ascii="宋体" w:hAnsi="宋体" w:eastAsia="宋体" w:cs="宋体"/>
                <w:snapToGrid w:val="0"/>
                <w:color w:val="000000"/>
                <w:kern w:val="0"/>
                <w:sz w:val="21"/>
                <w:szCs w:val="21"/>
                <w:highlight w:val="none"/>
                <w:lang w:val="en-US" w:eastAsia="zh-CN" w:bidi="ar-SA"/>
              </w:rPr>
              <w:t>分。</w:t>
            </w:r>
          </w:p>
          <w:p w14:paraId="07FAE570">
            <w:pPr>
              <w:keepNext w:val="0"/>
              <w:keepLines w:val="0"/>
              <w:widowControl w:val="0"/>
              <w:suppressLineNumbers w:val="0"/>
              <w:wordWrap w:val="0"/>
              <w:adjustRightInd w:val="0"/>
              <w:snapToGrid w:val="0"/>
              <w:spacing w:before="0" w:beforeAutospacing="0" w:after="0" w:afterLines="0" w:afterAutospacing="0" w:line="400" w:lineRule="exact"/>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3．银行资信评（等）级A（含A＋、A－）的，得</w:t>
            </w:r>
            <w:r>
              <w:rPr>
                <w:rFonts w:hint="eastAsia" w:ascii="宋体" w:hAnsi="宋体" w:eastAsia="宋体" w:cs="宋体"/>
                <w:snapToGrid w:val="0"/>
                <w:color w:val="000000"/>
                <w:kern w:val="0"/>
                <w:sz w:val="21"/>
                <w:szCs w:val="21"/>
                <w:highlight w:val="none"/>
                <w:u w:val="single"/>
                <w:lang w:val="en-US" w:eastAsia="zh-CN" w:bidi="ar-SA"/>
              </w:rPr>
              <w:t xml:space="preserve"> 1 </w:t>
            </w:r>
            <w:r>
              <w:rPr>
                <w:rFonts w:hint="eastAsia" w:ascii="宋体" w:hAnsi="宋体" w:eastAsia="宋体" w:cs="宋体"/>
                <w:snapToGrid w:val="0"/>
                <w:color w:val="000000"/>
                <w:kern w:val="0"/>
                <w:sz w:val="21"/>
                <w:szCs w:val="21"/>
                <w:highlight w:val="none"/>
                <w:lang w:val="en-US" w:eastAsia="zh-CN" w:bidi="ar-SA"/>
              </w:rPr>
              <w:t>分。</w:t>
            </w:r>
          </w:p>
          <w:p w14:paraId="2A79F45B">
            <w:pPr>
              <w:keepNext w:val="0"/>
              <w:keepLines w:val="0"/>
              <w:pageBreakBefore w:val="0"/>
              <w:widowControl w:val="0"/>
              <w:numPr>
                <w:ilvl w:val="0"/>
                <w:numId w:val="0"/>
              </w:numPr>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leftChars="0" w:right="0" w:rightChars="0"/>
              <w:jc w:val="both"/>
              <w:textAlignment w:val="auto"/>
              <w:outlineLvl w:val="9"/>
              <w:rPr>
                <w:rFonts w:hint="eastAsia" w:ascii="宋体" w:hAnsi="宋体" w:eastAsia="宋体" w:cs="宋体"/>
                <w:b w:val="0"/>
                <w:bCs w:val="0"/>
                <w:caps w:val="0"/>
                <w:smallCaps w:val="0"/>
                <w:snapToGrid w:val="0"/>
                <w:color w:val="000000"/>
                <w:spacing w:val="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4．未获得过以上评（等）级的，或评（等）级证书无效的，不予计分。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90BB34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1．需附在有效期内的资信评（等）级证书（证明）扫描件（或打印件）。</w:t>
            </w:r>
          </w:p>
          <w:p w14:paraId="018BD2D1">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2．评（等）级证书（证明）须由</w:t>
            </w:r>
            <w:r>
              <w:rPr>
                <w:rFonts w:hint="eastAsia" w:ascii="宋体" w:hAnsi="宋体" w:eastAsia="宋体" w:cs="宋体"/>
                <w:snapToGrid w:val="0"/>
                <w:color w:val="000000"/>
                <w:kern w:val="0"/>
                <w:sz w:val="21"/>
                <w:szCs w:val="21"/>
                <w:highlight w:val="none"/>
                <w:u w:val="single"/>
                <w:lang w:val="en-US" w:eastAsia="zh-CN" w:bidi="ar-SA"/>
              </w:rPr>
              <w:t>企业基本账户开户银行/市级或以上金融机构/中国人民银行备案的评估机构</w:t>
            </w:r>
            <w:r>
              <w:rPr>
                <w:rFonts w:hint="eastAsia" w:ascii="宋体" w:hAnsi="宋体" w:eastAsia="宋体" w:cs="宋体"/>
                <w:snapToGrid w:val="0"/>
                <w:color w:val="000000"/>
                <w:kern w:val="0"/>
                <w:sz w:val="21"/>
                <w:szCs w:val="21"/>
                <w:highlight w:val="none"/>
                <w:lang w:val="en-US" w:eastAsia="zh-CN" w:bidi="ar-SA"/>
              </w:rPr>
              <w:t>出具。</w:t>
            </w:r>
          </w:p>
          <w:p w14:paraId="5807B7DC">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3．评（等）级证书（证明）有以下情形之一的，视为无效：</w:t>
            </w:r>
          </w:p>
          <w:p w14:paraId="41B505D1">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①评（等）级证书（证明）不在有效期内的；</w:t>
            </w:r>
          </w:p>
          <w:p w14:paraId="1AB7E4E5">
            <w:pPr>
              <w:keepNext w:val="0"/>
              <w:keepLines w:val="0"/>
              <w:pageBreakBefore w:val="0"/>
              <w:widowControl w:val="0"/>
              <w:suppressLineNumbers w:val="0"/>
              <w:kinsoku/>
              <w:wordWrap w:val="0"/>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0" w:firstLineChars="0"/>
              <w:jc w:val="both"/>
              <w:textAlignment w:val="auto"/>
              <w:outlineLvl w:val="9"/>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②出具机构不符合要求的。</w:t>
            </w:r>
          </w:p>
        </w:tc>
      </w:tr>
      <w:tr w14:paraId="661D22FE">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24B9963A">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
              </w:rPr>
            </w:pPr>
            <w:r>
              <w:rPr>
                <w:rFonts w:hint="eastAsia" w:ascii="宋体" w:hAnsi="宋体" w:eastAsia="宋体" w:cs="宋体"/>
                <w:snapToGrid w:val="0"/>
                <w:color w:val="000000"/>
                <w:kern w:val="0"/>
                <w:sz w:val="21"/>
                <w:szCs w:val="21"/>
                <w:highlight w:val="none"/>
                <w:lang w:val="en-US" w:eastAsia="zh-CN" w:bidi="ar"/>
              </w:rPr>
              <w:t>企业获得认证证书</w:t>
            </w:r>
          </w:p>
          <w:p w14:paraId="78F973AF">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
              </w:rPr>
              <w:t>（</w:t>
            </w:r>
            <w:r>
              <w:rPr>
                <w:rFonts w:hint="eastAsia" w:hAnsi="宋体" w:cs="宋体"/>
                <w:snapToGrid w:val="0"/>
                <w:color w:val="000000"/>
                <w:kern w:val="0"/>
                <w:sz w:val="21"/>
                <w:szCs w:val="21"/>
                <w:highlight w:val="none"/>
                <w:lang w:val="en-US" w:eastAsia="zh-CN" w:bidi="ar"/>
              </w:rPr>
              <w:t>9</w:t>
            </w:r>
            <w:r>
              <w:rPr>
                <w:rFonts w:hint="eastAsia" w:ascii="宋体" w:hAnsi="宋体" w:eastAsia="宋体" w:cs="宋体"/>
                <w:snapToGrid w:val="0"/>
                <w:color w:val="000000"/>
                <w:kern w:val="0"/>
                <w:sz w:val="21"/>
                <w:szCs w:val="21"/>
                <w:highlight w:val="none"/>
                <w:lang w:val="en-US" w:eastAsia="zh-CN" w:bidi="ar"/>
              </w:rPr>
              <w:t>分）</w:t>
            </w:r>
          </w:p>
        </w:tc>
        <w:tc>
          <w:tcPr>
            <w:tcW w:w="3464" w:type="dxa"/>
            <w:tcBorders>
              <w:top w:val="single" w:color="auto" w:sz="4" w:space="0"/>
              <w:left w:val="single" w:color="auto" w:sz="4" w:space="0"/>
              <w:bottom w:val="single" w:color="auto" w:sz="4" w:space="0"/>
              <w:right w:val="single" w:color="auto" w:sz="4" w:space="0"/>
            </w:tcBorders>
            <w:noWrap w:val="0"/>
            <w:vAlign w:val="top"/>
          </w:tcPr>
          <w:p w14:paraId="56B2890F">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投标人具有下列有效的认证证书</w:t>
            </w:r>
            <w:r>
              <w:rPr>
                <w:rFonts w:hint="eastAsia" w:ascii="宋体" w:hAnsi="宋体" w:eastAsia="宋体" w:cs="宋体"/>
                <w:color w:val="000000"/>
                <w:sz w:val="21"/>
                <w:szCs w:val="21"/>
                <w:highlight w:val="none"/>
                <w:lang w:eastAsia="zh-CN"/>
              </w:rPr>
              <w:t>：</w:t>
            </w:r>
          </w:p>
          <w:p w14:paraId="08788CC6">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①</w:t>
            </w:r>
            <w:r>
              <w:rPr>
                <w:rFonts w:hint="eastAsia" w:ascii="宋体" w:hAnsi="宋体" w:eastAsia="宋体" w:cs="宋体"/>
                <w:color w:val="000000"/>
                <w:sz w:val="21"/>
                <w:szCs w:val="21"/>
                <w:highlight w:val="none"/>
              </w:rPr>
              <w:t>质量管理体系认证证书</w:t>
            </w:r>
            <w:r>
              <w:rPr>
                <w:rFonts w:hint="eastAsia" w:ascii="宋体" w:hAnsi="宋体" w:eastAsia="宋体" w:cs="宋体"/>
                <w:color w:val="000000"/>
                <w:sz w:val="21"/>
                <w:szCs w:val="21"/>
                <w:highlight w:val="none"/>
                <w:lang w:eastAsia="zh-CN"/>
              </w:rPr>
              <w:t>；</w:t>
            </w:r>
          </w:p>
          <w:p w14:paraId="54F51FB0">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②</w:t>
            </w:r>
            <w:r>
              <w:rPr>
                <w:rFonts w:hint="eastAsia" w:ascii="宋体" w:hAnsi="宋体" w:eastAsia="宋体" w:cs="宋体"/>
                <w:color w:val="000000"/>
                <w:sz w:val="21"/>
                <w:szCs w:val="21"/>
                <w:highlight w:val="none"/>
              </w:rPr>
              <w:t>职业健康安全管理体系认证证书</w:t>
            </w:r>
            <w:r>
              <w:rPr>
                <w:rFonts w:hint="eastAsia" w:ascii="宋体" w:hAnsi="宋体" w:eastAsia="宋体" w:cs="宋体"/>
                <w:color w:val="000000"/>
                <w:sz w:val="21"/>
                <w:szCs w:val="21"/>
                <w:highlight w:val="none"/>
                <w:lang w:eastAsia="zh-CN"/>
              </w:rPr>
              <w:t>；</w:t>
            </w:r>
          </w:p>
          <w:p w14:paraId="3366C3C9">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③</w:t>
            </w:r>
            <w:r>
              <w:rPr>
                <w:rFonts w:hint="eastAsia" w:ascii="宋体" w:hAnsi="宋体" w:eastAsia="宋体" w:cs="宋体"/>
                <w:color w:val="000000"/>
                <w:sz w:val="21"/>
                <w:szCs w:val="21"/>
                <w:highlight w:val="none"/>
              </w:rPr>
              <w:t>环境管理体系认证证书</w:t>
            </w:r>
            <w:r>
              <w:rPr>
                <w:rFonts w:hint="eastAsia" w:ascii="宋体" w:hAnsi="宋体" w:eastAsia="宋体" w:cs="宋体"/>
                <w:color w:val="000000"/>
                <w:sz w:val="21"/>
                <w:szCs w:val="21"/>
                <w:highlight w:val="none"/>
                <w:lang w:eastAsia="zh-CN"/>
              </w:rPr>
              <w:t>；</w:t>
            </w:r>
          </w:p>
          <w:p w14:paraId="4F306B43">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snapToGrid w:val="0"/>
                <w:color w:val="000000"/>
                <w:kern w:val="0"/>
                <w:sz w:val="21"/>
                <w:szCs w:val="21"/>
                <w:highlight w:val="none"/>
                <w:lang w:val="en-US" w:eastAsia="zh-CN"/>
              </w:rPr>
              <w:t>每获得1项得</w:t>
            </w:r>
            <w:r>
              <w:rPr>
                <w:rFonts w:hint="eastAsia" w:ascii="Times New Roman" w:cs="Times New Roman"/>
                <w:snapToGrid w:val="0"/>
                <w:color w:val="000000"/>
                <w:kern w:val="0"/>
                <w:sz w:val="21"/>
                <w:szCs w:val="21"/>
                <w:highlight w:val="none"/>
                <w:lang w:val="en-US" w:eastAsia="zh-CN"/>
              </w:rPr>
              <w:t>3</w:t>
            </w:r>
            <w:r>
              <w:rPr>
                <w:rFonts w:hint="eastAsia" w:ascii="Times New Roman" w:hAnsi="Times New Roman" w:eastAsia="宋体" w:cs="Times New Roman"/>
                <w:snapToGrid w:val="0"/>
                <w:color w:val="000000"/>
                <w:kern w:val="0"/>
                <w:sz w:val="21"/>
                <w:szCs w:val="21"/>
                <w:highlight w:val="none"/>
                <w:lang w:val="en-US" w:eastAsia="zh-CN"/>
              </w:rPr>
              <w:t>分，满分</w:t>
            </w:r>
            <w:r>
              <w:rPr>
                <w:rFonts w:hint="eastAsia" w:ascii="Times New Roman" w:cs="Times New Roman"/>
                <w:snapToGrid w:val="0"/>
                <w:color w:val="000000"/>
                <w:kern w:val="0"/>
                <w:sz w:val="21"/>
                <w:szCs w:val="21"/>
                <w:highlight w:val="none"/>
                <w:lang w:val="en-US" w:eastAsia="zh-CN"/>
              </w:rPr>
              <w:t>9</w:t>
            </w:r>
            <w:r>
              <w:rPr>
                <w:rFonts w:hint="eastAsia" w:ascii="Times New Roman" w:hAnsi="Times New Roman" w:eastAsia="宋体" w:cs="Times New Roman"/>
                <w:snapToGrid w:val="0"/>
                <w:color w:val="000000"/>
                <w:kern w:val="0"/>
                <w:sz w:val="21"/>
                <w:szCs w:val="21"/>
                <w:highlight w:val="none"/>
                <w:lang w:val="en-US" w:eastAsia="zh-CN"/>
              </w:rPr>
              <w:t>分</w:t>
            </w:r>
          </w:p>
          <w:p w14:paraId="20DD7759">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r>
              <w:rPr>
                <w:rFonts w:hint="eastAsia" w:ascii="Times New Roman" w:hAnsi="Times New Roman" w:eastAsia="宋体" w:cs="Times New Roman"/>
                <w:snapToGrid w:val="0"/>
                <w:color w:val="000000"/>
                <w:kern w:val="0"/>
                <w:sz w:val="21"/>
                <w:szCs w:val="21"/>
                <w:highlight w:val="none"/>
              </w:rPr>
              <w:t>2．未获得以上认证的，不予计分。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23CD9EE7">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需附在有效期内的体系认证证书扫描件</w:t>
            </w:r>
            <w:r>
              <w:rPr>
                <w:rFonts w:hint="eastAsia" w:ascii="宋体" w:hAnsi="宋体" w:eastAsia="宋体" w:cs="宋体"/>
                <w:color w:val="000000"/>
                <w:sz w:val="21"/>
                <w:szCs w:val="21"/>
                <w:highlight w:val="none"/>
                <w:lang w:val="en-US" w:eastAsia="zh-CN"/>
              </w:rPr>
              <w:t>，且证书有效性在国家认证认可监督管理委员会官网（http://www.cnca.gov.cn/)可查，并提供网页截图，未提供不得分。</w:t>
            </w:r>
          </w:p>
          <w:p w14:paraId="7D565C68">
            <w:pPr>
              <w:keepNext w:val="0"/>
              <w:keepLines w:val="0"/>
              <w:suppressLineNumbers w:val="0"/>
              <w:spacing w:before="0" w:beforeAutospacing="0" w:after="0" w:afterAutospacing="0" w:line="360" w:lineRule="auto"/>
              <w:ind w:left="0" w:right="0"/>
              <w:rPr>
                <w:rFonts w:hint="eastAsia" w:ascii="宋体" w:hAnsi="宋体" w:eastAsia="宋体" w:cs="宋体"/>
                <w:color w:val="000000"/>
                <w:sz w:val="21"/>
                <w:szCs w:val="21"/>
                <w:highlight w:val="none"/>
              </w:rPr>
            </w:pPr>
          </w:p>
        </w:tc>
      </w:tr>
      <w:tr w14:paraId="2526CE7B">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2D38B666">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企业财务状况</w:t>
            </w:r>
          </w:p>
          <w:p w14:paraId="79FD8C6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w:t>
            </w:r>
            <w:r>
              <w:rPr>
                <w:rFonts w:hint="eastAsia" w:hAnsi="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kern w:val="0"/>
                <w:sz w:val="21"/>
                <w:szCs w:val="21"/>
                <w:highlight w:val="none"/>
                <w:lang w:val="en-US" w:eastAsia="zh-CN" w:bidi="ar-SA"/>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913D157">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提供投标人基本账户在本项目招标公告发布之日起至投标截止时间期间出现过至少连续3日不少于</w:t>
            </w:r>
            <w:r>
              <w:rPr>
                <w:rFonts w:hint="eastAsia" w:ascii="宋体" w:hAnsi="宋体" w:eastAsia="宋体" w:cs="宋体"/>
                <w:snapToGrid w:val="0"/>
                <w:color w:val="000000"/>
                <w:kern w:val="0"/>
                <w:sz w:val="21"/>
                <w:szCs w:val="21"/>
                <w:highlight w:val="none"/>
                <w:u w:val="single"/>
                <w:lang w:val="en-US" w:eastAsia="zh-CN" w:bidi="ar-SA"/>
              </w:rPr>
              <w:t>200</w:t>
            </w:r>
            <w:r>
              <w:rPr>
                <w:rFonts w:hint="eastAsia" w:ascii="宋体" w:hAnsi="宋体" w:eastAsia="宋体" w:cs="宋体"/>
                <w:snapToGrid w:val="0"/>
                <w:color w:val="000000"/>
                <w:kern w:val="0"/>
                <w:sz w:val="21"/>
                <w:szCs w:val="21"/>
                <w:highlight w:val="none"/>
                <w:lang w:val="en-US" w:eastAsia="zh-CN" w:bidi="ar-SA"/>
              </w:rPr>
              <w:t>万</w:t>
            </w:r>
            <w:r>
              <w:rPr>
                <w:rFonts w:hint="eastAsia" w:ascii="宋体" w:hAnsi="宋体" w:eastAsia="宋体" w:cs="宋体"/>
                <w:snapToGrid w:val="0"/>
                <w:color w:val="000000"/>
                <w:kern w:val="0"/>
                <w:sz w:val="21"/>
                <w:szCs w:val="21"/>
                <w:highlight w:val="none"/>
                <w:lang w:val="en-US" w:eastAsia="zh-CN" w:bidi="ar-SA"/>
              </w:rPr>
              <w:t>元存款余额资金流水证明的，得</w:t>
            </w:r>
            <w:r>
              <w:rPr>
                <w:rFonts w:hint="eastAsia" w:hAnsi="宋体" w:cs="宋体"/>
                <w:snapToGrid w:val="0"/>
                <w:color w:val="000000"/>
                <w:kern w:val="0"/>
                <w:sz w:val="21"/>
                <w:szCs w:val="21"/>
                <w:highlight w:val="none"/>
                <w:lang w:val="en-US" w:eastAsia="zh-CN" w:bidi="ar-SA"/>
              </w:rPr>
              <w:t>10</w:t>
            </w:r>
            <w:r>
              <w:rPr>
                <w:rFonts w:hint="eastAsia" w:ascii="宋体" w:hAnsi="宋体" w:eastAsia="宋体" w:cs="宋体"/>
                <w:snapToGrid w:val="0"/>
                <w:color w:val="000000"/>
                <w:kern w:val="0"/>
                <w:sz w:val="21"/>
                <w:szCs w:val="21"/>
                <w:highlight w:val="none"/>
                <w:lang w:val="en-US" w:eastAsia="zh-CN" w:bidi="ar-SA"/>
              </w:rPr>
              <w:t>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DB74D0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1．需附在有效期内的有关证明扫描件（或打印件）。</w:t>
            </w:r>
          </w:p>
          <w:p w14:paraId="431DDA77">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2．存款余额资金流水证明有以下情形之一的，视为无效，不予计分：</w:t>
            </w:r>
          </w:p>
          <w:p w14:paraId="77EC1B72">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①存款账户不是基本账户的；</w:t>
            </w:r>
          </w:p>
          <w:p w14:paraId="2FA0B72B">
            <w:pPr>
              <w:keepNext w:val="0"/>
              <w:keepLines w:val="0"/>
              <w:widowControl w:val="0"/>
              <w:suppressLineNumbers w:val="0"/>
              <w:wordWrap w:val="0"/>
              <w:adjustRightInd w:val="0"/>
              <w:snapToGrid w:val="0"/>
              <w:spacing w:before="0" w:beforeAutospacing="0" w:after="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②存款时间不符合要求的；</w:t>
            </w:r>
          </w:p>
          <w:p w14:paraId="384F19A8">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ascii="宋体" w:hAnsi="宋体" w:eastAsia="宋体" w:cs="宋体"/>
                <w:i/>
                <w:iCs/>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③存款额度不符合要求的。</w:t>
            </w:r>
          </w:p>
        </w:tc>
      </w:tr>
      <w:tr w14:paraId="37475720">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026E130F">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center"/>
              <w:rPr>
                <w:rFonts w:hint="default"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企业评价（9分）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5207EC8">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投标人获得：</w:t>
            </w:r>
          </w:p>
          <w:p w14:paraId="43F69033">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①</w:t>
            </w:r>
            <w:r>
              <w:rPr>
                <w:rFonts w:hint="eastAsia" w:ascii="宋体" w:hAnsi="宋体" w:eastAsia="宋体" w:cs="宋体"/>
                <w:snapToGrid w:val="0"/>
                <w:color w:val="000000"/>
                <w:kern w:val="0"/>
                <w:sz w:val="21"/>
                <w:szCs w:val="21"/>
                <w:highlight w:val="none"/>
                <w:lang w:val="en-US" w:eastAsia="zh-CN" w:bidi="ar-SA"/>
              </w:rPr>
              <w:t>社会责任认证证书；</w:t>
            </w:r>
          </w:p>
          <w:p w14:paraId="34519DC2">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②</w:t>
            </w:r>
            <w:r>
              <w:rPr>
                <w:rFonts w:hint="eastAsia" w:ascii="宋体" w:hAnsi="宋体" w:eastAsia="宋体" w:cs="宋体"/>
                <w:snapToGrid w:val="0"/>
                <w:color w:val="000000"/>
                <w:kern w:val="0"/>
                <w:sz w:val="21"/>
                <w:szCs w:val="21"/>
                <w:highlight w:val="none"/>
                <w:lang w:val="en-US" w:eastAsia="zh-CN" w:bidi="ar-SA"/>
              </w:rPr>
              <w:t>建设工程项目总承包服务规范认证证书；</w:t>
            </w:r>
          </w:p>
          <w:p w14:paraId="7789FE73">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③</w:t>
            </w:r>
            <w:r>
              <w:rPr>
                <w:rFonts w:hint="eastAsia" w:ascii="宋体" w:hAnsi="宋体" w:eastAsia="宋体" w:cs="宋体"/>
                <w:snapToGrid w:val="0"/>
                <w:color w:val="000000"/>
                <w:kern w:val="0"/>
                <w:sz w:val="21"/>
                <w:szCs w:val="21"/>
                <w:highlight w:val="none"/>
                <w:lang w:val="en-US" w:eastAsia="zh-CN" w:bidi="ar-SA"/>
              </w:rPr>
              <w:t>施工现场安全与职业健康规范认证证书。</w:t>
            </w:r>
          </w:p>
          <w:p w14:paraId="3F7EBFBB">
            <w:pPr>
              <w:keepNext w:val="0"/>
              <w:keepLines w:val="0"/>
              <w:widowControl w:val="0"/>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每获得1项认证得3分，最高得</w:t>
            </w:r>
            <w:r>
              <w:rPr>
                <w:rFonts w:hint="eastAsia" w:hAnsi="宋体" w:cs="宋体"/>
                <w:snapToGrid w:val="0"/>
                <w:color w:val="000000"/>
                <w:kern w:val="0"/>
                <w:sz w:val="21"/>
                <w:szCs w:val="21"/>
                <w:highlight w:val="none"/>
                <w:lang w:val="en-US" w:eastAsia="zh-CN" w:bidi="ar-SA"/>
              </w:rPr>
              <w:t>9</w:t>
            </w:r>
            <w:r>
              <w:rPr>
                <w:rFonts w:hint="eastAsia" w:ascii="宋体" w:hAnsi="宋体" w:eastAsia="宋体" w:cs="宋体"/>
                <w:snapToGrid w:val="0"/>
                <w:color w:val="000000"/>
                <w:kern w:val="0"/>
                <w:sz w:val="21"/>
                <w:szCs w:val="21"/>
                <w:highlight w:val="none"/>
                <w:lang w:val="en-US" w:eastAsia="zh-CN" w:bidi="ar-SA"/>
              </w:rPr>
              <w:t>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796ADC25">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1.需附在有效期内的体系认证证书扫描件，且证书有效性在国家认证认可监督管理委员会官网（http://www.cnca.gov.cn/)可查，并提供网页截图，未提供不得分。</w:t>
            </w:r>
          </w:p>
          <w:p w14:paraId="74387DD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2.</w:t>
            </w:r>
            <w:r>
              <w:rPr>
                <w:rFonts w:hint="eastAsia" w:ascii="宋体" w:hAnsi="宋体" w:eastAsia="宋体" w:cs="宋体"/>
                <w:snapToGrid w:val="0"/>
                <w:color w:val="000000"/>
                <w:kern w:val="0"/>
                <w:sz w:val="21"/>
                <w:szCs w:val="21"/>
                <w:highlight w:val="none"/>
                <w:lang w:val="en-US" w:eastAsia="zh-CN" w:bidi="ar-SA"/>
              </w:rPr>
              <w:t>证书</w:t>
            </w:r>
            <w:r>
              <w:rPr>
                <w:rFonts w:hint="eastAsia" w:hAnsi="宋体" w:cs="宋体"/>
                <w:snapToGrid w:val="0"/>
                <w:color w:val="000000"/>
                <w:kern w:val="0"/>
                <w:sz w:val="21"/>
                <w:szCs w:val="21"/>
                <w:highlight w:val="none"/>
                <w:lang w:val="en-US" w:eastAsia="zh-CN" w:bidi="ar-SA"/>
              </w:rPr>
              <w:t>①</w:t>
            </w:r>
            <w:r>
              <w:rPr>
                <w:rFonts w:hint="eastAsia" w:ascii="宋体" w:hAnsi="宋体" w:eastAsia="宋体" w:cs="宋体"/>
                <w:snapToGrid w:val="0"/>
                <w:color w:val="000000"/>
                <w:kern w:val="0"/>
                <w:sz w:val="21"/>
                <w:szCs w:val="21"/>
                <w:highlight w:val="none"/>
                <w:lang w:val="en-US" w:eastAsia="zh-CN" w:bidi="ar-SA"/>
              </w:rPr>
              <w:t>达到SB/T10963-2013、RB/T179-2018 及 ZSGP CTS0001-2023的标准要求</w:t>
            </w:r>
            <w:r>
              <w:rPr>
                <w:rFonts w:hint="eastAsia" w:hAnsi="宋体" w:cs="宋体"/>
                <w:snapToGrid w:val="0"/>
                <w:color w:val="000000"/>
                <w:kern w:val="0"/>
                <w:sz w:val="21"/>
                <w:szCs w:val="21"/>
                <w:highlight w:val="none"/>
                <w:lang w:val="en-US" w:eastAsia="zh-CN" w:bidi="ar-SA"/>
              </w:rPr>
              <w:t>；</w:t>
            </w:r>
            <w:r>
              <w:rPr>
                <w:rFonts w:hint="eastAsia" w:ascii="宋体" w:hAnsi="宋体" w:eastAsia="宋体" w:cs="宋体"/>
                <w:snapToGrid w:val="0"/>
                <w:color w:val="000000"/>
                <w:kern w:val="0"/>
                <w:sz w:val="21"/>
                <w:szCs w:val="21"/>
                <w:highlight w:val="none"/>
                <w:lang w:val="en-US" w:eastAsia="zh-CN" w:bidi="ar-SA"/>
              </w:rPr>
              <w:t>证书</w:t>
            </w:r>
            <w:r>
              <w:rPr>
                <w:rFonts w:hint="eastAsia" w:hAnsi="宋体" w:cs="宋体"/>
                <w:snapToGrid w:val="0"/>
                <w:color w:val="000000"/>
                <w:kern w:val="0"/>
                <w:sz w:val="21"/>
                <w:szCs w:val="21"/>
                <w:highlight w:val="none"/>
                <w:lang w:val="en-US" w:eastAsia="zh-CN" w:bidi="ar-SA"/>
              </w:rPr>
              <w:t>②</w:t>
            </w:r>
            <w:r>
              <w:rPr>
                <w:rFonts w:hint="eastAsia" w:ascii="宋体" w:hAnsi="宋体" w:eastAsia="宋体" w:cs="宋体"/>
                <w:snapToGrid w:val="0"/>
                <w:color w:val="000000"/>
                <w:kern w:val="0"/>
                <w:sz w:val="21"/>
                <w:szCs w:val="21"/>
                <w:highlight w:val="none"/>
                <w:lang w:val="en-US" w:eastAsia="zh-CN" w:bidi="ar-SA"/>
              </w:rPr>
              <w:t>达到GB/T50358-2017及ZSGP CTS0001-2023的标准要求</w:t>
            </w:r>
            <w:r>
              <w:rPr>
                <w:rFonts w:hint="eastAsia" w:hAnsi="宋体" w:cs="宋体"/>
                <w:snapToGrid w:val="0"/>
                <w:color w:val="000000"/>
                <w:kern w:val="0"/>
                <w:sz w:val="21"/>
                <w:szCs w:val="21"/>
                <w:highlight w:val="none"/>
                <w:lang w:val="en-US" w:eastAsia="zh-CN" w:bidi="ar-SA"/>
              </w:rPr>
              <w:t>；</w:t>
            </w:r>
            <w:r>
              <w:rPr>
                <w:rFonts w:hint="eastAsia" w:ascii="宋体" w:hAnsi="宋体" w:eastAsia="宋体" w:cs="宋体"/>
                <w:snapToGrid w:val="0"/>
                <w:color w:val="000000"/>
                <w:kern w:val="0"/>
                <w:sz w:val="21"/>
                <w:szCs w:val="21"/>
                <w:highlight w:val="none"/>
                <w:lang w:val="en-US" w:eastAsia="zh-CN" w:bidi="ar-SA"/>
              </w:rPr>
              <w:t>证书③达到GB55034-2022及ZSGPCTS0001-2023的标准要求</w:t>
            </w:r>
          </w:p>
          <w:p w14:paraId="69FE535D">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hAnsi="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3.有以下情形之一的，该证书视为无效，不予计分：</w:t>
            </w:r>
          </w:p>
          <w:p w14:paraId="14E6099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hAnsi="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①认证证书不在有效期内的；</w:t>
            </w:r>
          </w:p>
          <w:p w14:paraId="453E3E70">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eastAsia" w:hAnsi="宋体" w:cs="宋体"/>
                <w:snapToGrid w:val="0"/>
                <w:color w:val="000000"/>
                <w:kern w:val="0"/>
                <w:sz w:val="21"/>
                <w:szCs w:val="21"/>
                <w:highlight w:val="none"/>
                <w:lang w:val="en-US" w:eastAsia="zh-CN" w:bidi="ar-SA"/>
              </w:rPr>
            </w:pPr>
            <w:r>
              <w:rPr>
                <w:rFonts w:hint="eastAsia" w:hAnsi="宋体" w:cs="宋体"/>
                <w:snapToGrid w:val="0"/>
                <w:color w:val="000000"/>
                <w:kern w:val="0"/>
                <w:sz w:val="21"/>
                <w:szCs w:val="21"/>
                <w:highlight w:val="none"/>
                <w:lang w:val="en-US" w:eastAsia="zh-CN" w:bidi="ar-SA"/>
              </w:rPr>
              <w:t>②认证不达标或依据标准不符合要求的；</w:t>
            </w:r>
          </w:p>
          <w:p w14:paraId="1ABB0EB1">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right="0"/>
              <w:jc w:val="both"/>
              <w:rPr>
                <w:rFonts w:hint="default"/>
                <w:highlight w:val="none"/>
                <w:lang w:val="en-US" w:eastAsia="zh-CN"/>
              </w:rPr>
            </w:pPr>
            <w:r>
              <w:rPr>
                <w:rFonts w:hint="eastAsia" w:hAnsi="宋体" w:cs="宋体"/>
                <w:snapToGrid w:val="0"/>
                <w:color w:val="000000"/>
                <w:kern w:val="0"/>
                <w:sz w:val="21"/>
                <w:szCs w:val="21"/>
                <w:highlight w:val="none"/>
                <w:lang w:val="en-US" w:eastAsia="zh-CN" w:bidi="ar-SA"/>
              </w:rPr>
              <w:t>③获证时间不符合要求的。</w:t>
            </w:r>
          </w:p>
        </w:tc>
      </w:tr>
      <w:tr w14:paraId="720ECFED">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922101E">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纳税信用情况</w:t>
            </w:r>
          </w:p>
          <w:p w14:paraId="19063C04">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w:t>
            </w:r>
            <w:r>
              <w:rPr>
                <w:rFonts w:hint="eastAsia" w:hAnsi="宋体" w:cs="宋体"/>
                <w:snapToGrid w:val="0"/>
                <w:color w:val="000000"/>
                <w:kern w:val="0"/>
                <w:sz w:val="21"/>
                <w:szCs w:val="21"/>
                <w:highlight w:val="none"/>
                <w:lang w:val="en-US" w:eastAsia="zh-CN" w:bidi="ar-SA"/>
              </w:rPr>
              <w:t>6</w:t>
            </w:r>
            <w:r>
              <w:rPr>
                <w:rFonts w:hint="eastAsia" w:ascii="宋体" w:hAnsi="宋体" w:eastAsia="宋体" w:cs="宋体"/>
                <w:snapToGrid w:val="0"/>
                <w:color w:val="000000"/>
                <w:kern w:val="0"/>
                <w:sz w:val="21"/>
                <w:szCs w:val="21"/>
                <w:highlight w:val="none"/>
                <w:lang w:val="en-US" w:eastAsia="zh-CN" w:bidi="ar-SA"/>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1D34393F">
            <w:pPr>
              <w:keepNext w:val="0"/>
              <w:keepLines w:val="0"/>
              <w:pageBreakBefore w:val="0"/>
              <w:widowControl/>
              <w:numPr>
                <w:ilvl w:val="0"/>
                <w:numId w:val="0"/>
              </w:numPr>
              <w:suppressLineNumbers w:val="0"/>
              <w:kinsoku/>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宋体" w:hAnsi="宋体" w:eastAsia="宋体" w:cs="宋体"/>
                <w:snapToGrid w:val="0"/>
                <w:color w:val="000000"/>
                <w:kern w:val="2"/>
                <w:sz w:val="21"/>
                <w:szCs w:val="21"/>
                <w:highlight w:val="none"/>
                <w:lang w:val="en-US" w:eastAsia="zh-CN" w:bidi="ar-SA"/>
              </w:rPr>
            </w:pPr>
            <w:r>
              <w:rPr>
                <w:rFonts w:hint="eastAsia" w:ascii="宋体" w:hAnsi="宋体" w:eastAsia="宋体" w:cs="宋体"/>
                <w:snapToGrid w:val="0"/>
                <w:color w:val="000000"/>
                <w:kern w:val="2"/>
                <w:sz w:val="21"/>
                <w:szCs w:val="21"/>
                <w:highlight w:val="none"/>
                <w:lang w:val="en-US" w:eastAsia="zh-CN" w:bidi="ar-SA"/>
              </w:rPr>
              <w:t>近年来（2020年1月1日至今）企业获得过纳税信用A级纳税人的，得</w:t>
            </w:r>
            <w:r>
              <w:rPr>
                <w:rFonts w:hint="eastAsia" w:hAnsi="宋体" w:cs="宋体"/>
                <w:snapToGrid w:val="0"/>
                <w:color w:val="000000"/>
                <w:kern w:val="2"/>
                <w:sz w:val="21"/>
                <w:szCs w:val="21"/>
                <w:highlight w:val="none"/>
                <w:lang w:val="en-US" w:eastAsia="zh-CN" w:bidi="ar-SA"/>
              </w:rPr>
              <w:t>6</w:t>
            </w:r>
            <w:r>
              <w:rPr>
                <w:rFonts w:hint="eastAsia" w:ascii="宋体" w:hAnsi="宋体" w:eastAsia="宋体" w:cs="宋体"/>
                <w:snapToGrid w:val="0"/>
                <w:color w:val="000000"/>
                <w:kern w:val="2"/>
                <w:sz w:val="21"/>
                <w:szCs w:val="21"/>
                <w:highlight w:val="none"/>
                <w:lang w:val="en-US" w:eastAsia="zh-CN" w:bidi="ar-SA"/>
              </w:rPr>
              <w:t>分。</w:t>
            </w:r>
          </w:p>
          <w:p w14:paraId="2C3E938C">
            <w:pPr>
              <w:keepNext w:val="0"/>
              <w:keepLines w:val="0"/>
              <w:pageBreakBefore w:val="0"/>
              <w:widowControl/>
              <w:numPr>
                <w:ilvl w:val="0"/>
                <w:numId w:val="0"/>
              </w:numPr>
              <w:suppressLineNumbers w:val="0"/>
              <w:kinsoku/>
              <w:overflowPunct/>
              <w:topLinePunct w:val="0"/>
              <w:autoSpaceDE/>
              <w:autoSpaceDN/>
              <w:bidi w:val="0"/>
              <w:adjustRightInd w:val="0"/>
              <w:snapToGrid w:val="0"/>
              <w:spacing w:before="0" w:beforeAutospacing="0" w:after="0" w:afterAutospacing="0" w:line="360" w:lineRule="auto"/>
              <w:ind w:left="0" w:right="0"/>
              <w:textAlignment w:val="baseline"/>
              <w:rPr>
                <w:rFonts w:hint="eastAsia" w:ascii="宋体" w:hAnsi="宋体" w:eastAsia="宋体" w:cs="宋体"/>
                <w:snapToGrid w:val="0"/>
                <w:color w:val="000000"/>
                <w:kern w:val="2"/>
                <w:sz w:val="21"/>
                <w:szCs w:val="21"/>
                <w:highlight w:val="none"/>
                <w:lang w:val="en-US" w:eastAsia="zh-CN" w:bidi="ar-SA"/>
              </w:rPr>
            </w:pPr>
            <w:r>
              <w:rPr>
                <w:rFonts w:hint="eastAsia" w:ascii="宋体" w:hAnsi="宋体" w:eastAsia="宋体" w:cs="宋体"/>
                <w:snapToGrid w:val="0"/>
                <w:color w:val="000000"/>
                <w:kern w:val="2"/>
                <w:sz w:val="21"/>
                <w:szCs w:val="21"/>
                <w:highlight w:val="none"/>
                <w:lang w:val="en-US" w:eastAsia="zh-CN" w:bidi="ar-SA"/>
              </w:rPr>
              <w:t>说明：本项最高得</w:t>
            </w:r>
            <w:r>
              <w:rPr>
                <w:rFonts w:hint="eastAsia" w:hAnsi="宋体" w:cs="宋体"/>
                <w:snapToGrid w:val="0"/>
                <w:color w:val="000000"/>
                <w:kern w:val="2"/>
                <w:sz w:val="21"/>
                <w:szCs w:val="21"/>
                <w:highlight w:val="none"/>
                <w:lang w:val="en-US" w:eastAsia="zh-CN" w:bidi="ar-SA"/>
              </w:rPr>
              <w:t>6</w:t>
            </w:r>
            <w:r>
              <w:rPr>
                <w:rFonts w:hint="eastAsia" w:ascii="宋体" w:hAnsi="宋体" w:eastAsia="宋体" w:cs="宋体"/>
                <w:snapToGrid w:val="0"/>
                <w:color w:val="000000"/>
                <w:kern w:val="2"/>
                <w:sz w:val="21"/>
                <w:szCs w:val="21"/>
                <w:highlight w:val="none"/>
                <w:lang w:val="en-US" w:eastAsia="zh-CN" w:bidi="ar-SA"/>
              </w:rPr>
              <w:t>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2DCB174A">
            <w:pPr>
              <w:keepNext w:val="0"/>
              <w:keepLines w:val="0"/>
              <w:widowControl w:val="0"/>
              <w:numPr>
                <w:ilvl w:val="0"/>
                <w:numId w:val="2"/>
              </w:numPr>
              <w:suppressLineNumbers w:val="0"/>
              <w:wordWrap w:val="0"/>
              <w:adjustRightInd w:val="0"/>
              <w:snapToGrid w:val="0"/>
              <w:spacing w:before="0" w:beforeAutospacing="0" w:after="120" w:afterLines="0" w:afterAutospacing="0" w:line="400" w:lineRule="exact"/>
              <w:ind w:left="0" w:right="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必须提供企业纳税信用A级纳税人证明材料（或证书）及国家税务总局网上查询截图，否则不得分。</w:t>
            </w:r>
          </w:p>
          <w:p w14:paraId="5ED3E008">
            <w:pPr>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0" w:beforeAutospacing="0" w:after="120" w:afterLines="0" w:afterAutospacing="0" w:line="360" w:lineRule="auto"/>
              <w:ind w:left="0" w:leftChars="0" w:right="0" w:firstLine="0" w:firstLineChars="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2.只计算投标人自身（不计算投标人的分公司、子公司及分支机构）。</w:t>
            </w:r>
          </w:p>
        </w:tc>
      </w:tr>
      <w:tr w14:paraId="5D6DD7B6">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332BF027">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企业安全质量管理</w:t>
            </w:r>
          </w:p>
          <w:p w14:paraId="4F8DFFD6">
            <w:pPr>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w:t>
            </w:r>
            <w:r>
              <w:rPr>
                <w:rFonts w:hint="eastAsia" w:hAnsi="宋体" w:cs="宋体"/>
                <w:snapToGrid w:val="0"/>
                <w:color w:val="000000"/>
                <w:kern w:val="0"/>
                <w:sz w:val="21"/>
                <w:szCs w:val="21"/>
                <w:highlight w:val="none"/>
                <w:lang w:val="en-US" w:eastAsia="zh-CN" w:bidi="ar-SA"/>
              </w:rPr>
              <w:t>6</w:t>
            </w:r>
            <w:r>
              <w:rPr>
                <w:rFonts w:hint="eastAsia" w:ascii="宋体" w:hAnsi="宋体" w:eastAsia="宋体" w:cs="宋体"/>
                <w:snapToGrid w:val="0"/>
                <w:color w:val="000000"/>
                <w:kern w:val="0"/>
                <w:sz w:val="21"/>
                <w:szCs w:val="21"/>
                <w:highlight w:val="none"/>
                <w:lang w:val="en-US" w:eastAsia="zh-CN" w:bidi="ar-SA"/>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D83568C">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1.近年来（2020年1月1日至今）投标人未发生事故等级为一般事故及以上的生产安全事故、一般质量事故及以上的工程质量事故的，得</w:t>
            </w:r>
            <w:r>
              <w:rPr>
                <w:rFonts w:hint="eastAsia" w:hAnsi="宋体" w:cs="宋体"/>
                <w:snapToGrid w:val="0"/>
                <w:color w:val="000000"/>
                <w:kern w:val="0"/>
                <w:sz w:val="21"/>
                <w:szCs w:val="21"/>
                <w:highlight w:val="none"/>
                <w:u w:val="single"/>
                <w:lang w:val="en-US" w:eastAsia="zh-CN" w:bidi="ar-SA"/>
              </w:rPr>
              <w:t>6</w:t>
            </w:r>
            <w:r>
              <w:rPr>
                <w:rFonts w:hint="eastAsia" w:ascii="宋体" w:hAnsi="宋体" w:eastAsia="宋体" w:cs="宋体"/>
                <w:snapToGrid w:val="0"/>
                <w:color w:val="000000"/>
                <w:kern w:val="0"/>
                <w:sz w:val="21"/>
                <w:szCs w:val="21"/>
                <w:highlight w:val="none"/>
                <w:lang w:val="en-US" w:eastAsia="zh-CN" w:bidi="ar-SA"/>
              </w:rPr>
              <w:t>分；</w:t>
            </w:r>
          </w:p>
          <w:p w14:paraId="3E628C8E">
            <w:pPr>
              <w:keepNext w:val="0"/>
              <w:keepLines w:val="0"/>
              <w:widowControl w:val="0"/>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2.其他情形的，不予计分。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37D6C361">
            <w:pPr>
              <w:keepNext w:val="0"/>
              <w:keepLines w:val="0"/>
              <w:widowControl w:val="0"/>
              <w:numPr>
                <w:ilvl w:val="0"/>
                <w:numId w:val="0"/>
              </w:numPr>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1.需提供本单位承诺书（格式自定）并加盖本单位公章。</w:t>
            </w:r>
          </w:p>
          <w:p w14:paraId="354598E3">
            <w:pPr>
              <w:keepNext w:val="0"/>
              <w:keepLines w:val="0"/>
              <w:widowControl w:val="0"/>
              <w:numPr>
                <w:ilvl w:val="0"/>
                <w:numId w:val="0"/>
              </w:numPr>
              <w:suppressLineNumbers w:val="0"/>
              <w:wordWrap w:val="0"/>
              <w:adjustRightInd w:val="0"/>
              <w:snapToGrid w:val="0"/>
              <w:spacing w:before="0" w:beforeAutospacing="0" w:after="0" w:afterAutospacing="0" w:line="360" w:lineRule="auto"/>
              <w:ind w:left="0" w:right="0"/>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2.未提供本单位承诺书并加盖本单位公章的，按第2项标准处理。</w:t>
            </w:r>
          </w:p>
        </w:tc>
      </w:tr>
      <w:tr w14:paraId="600278FB">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C853642">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企业荣誉</w:t>
            </w:r>
          </w:p>
          <w:p w14:paraId="43F0DD52">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（10分）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6A643A7">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1.企业近年度（2020年度至今）获得过省级或以上商业联合会颁发的诚信兴商企业证书的得10分；</w:t>
            </w:r>
          </w:p>
          <w:p w14:paraId="2E500DC6">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2.其他情形的，不予计分。</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1A0720F0">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1.证书由省级或以上商业联合会颁发，须提供有关证书扫描件，否则不得分。</w:t>
            </w:r>
          </w:p>
          <w:p w14:paraId="27A76E99">
            <w:pPr>
              <w:keepNext w:val="0"/>
              <w:keepLines w:val="0"/>
              <w:widowControl w:val="0"/>
              <w:numPr>
                <w:ilvl w:val="0"/>
                <w:numId w:val="0"/>
              </w:numPr>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2.颁发机构、获奖时间不符合评分标准和备注规定的，不予得分。</w:t>
            </w:r>
          </w:p>
        </w:tc>
      </w:tr>
      <w:tr w14:paraId="2F02F408">
        <w:tblPrEx>
          <w:tblCellMar>
            <w:top w:w="0" w:type="dxa"/>
            <w:left w:w="108" w:type="dxa"/>
            <w:bottom w:w="0" w:type="dxa"/>
            <w:right w:w="108" w:type="dxa"/>
          </w:tblCellMar>
        </w:tblPrEx>
        <w:trPr>
          <w:trHeight w:val="427" w:hRule="atLeast"/>
        </w:trPr>
        <w:tc>
          <w:tcPr>
            <w:tcW w:w="10187"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B9A154E">
            <w:pPr>
              <w:keepNext w:val="0"/>
              <w:keepLines w:val="0"/>
              <w:widowControl w:val="0"/>
              <w:suppressLineNumbers w:val="0"/>
              <w:wordWrap w:val="0"/>
              <w:adjustRightInd w:val="0"/>
              <w:snapToGrid w:val="0"/>
              <w:spacing w:before="0" w:beforeAutospacing="0" w:after="0" w:afterLines="0" w:afterAutospacing="0" w:line="360" w:lineRule="auto"/>
              <w:ind w:left="0" w:right="0"/>
              <w:jc w:val="left"/>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b/>
                <w:bCs/>
                <w:snapToGrid w:val="0"/>
                <w:color w:val="000000"/>
                <w:kern w:val="0"/>
                <w:sz w:val="21"/>
                <w:szCs w:val="21"/>
                <w:highlight w:val="none"/>
                <w:lang w:val="en-US" w:eastAsia="zh-CN" w:bidi="ar-SA"/>
              </w:rPr>
              <w:t>技术部分（施工组织设计），满分：</w:t>
            </w:r>
            <w:r>
              <w:rPr>
                <w:rFonts w:hint="eastAsia" w:ascii="宋体" w:hAnsi="宋体" w:eastAsia="宋体" w:cs="宋体"/>
                <w:b/>
                <w:bCs/>
                <w:snapToGrid w:val="0"/>
                <w:color w:val="000000"/>
                <w:kern w:val="0"/>
                <w:sz w:val="21"/>
                <w:szCs w:val="21"/>
                <w:highlight w:val="none"/>
                <w:u w:val="single"/>
                <w:lang w:val="en-US" w:eastAsia="zh-CN" w:bidi="ar-SA"/>
              </w:rPr>
              <w:t>20</w:t>
            </w:r>
            <w:r>
              <w:rPr>
                <w:rFonts w:hint="eastAsia" w:ascii="宋体" w:hAnsi="宋体" w:eastAsia="宋体" w:cs="宋体"/>
                <w:b/>
                <w:bCs/>
                <w:snapToGrid w:val="0"/>
                <w:color w:val="000000"/>
                <w:kern w:val="0"/>
                <w:sz w:val="21"/>
                <w:szCs w:val="21"/>
                <w:highlight w:val="none"/>
                <w:lang w:val="en-US" w:eastAsia="zh-CN" w:bidi="ar-SA"/>
              </w:rPr>
              <w:t>分。</w:t>
            </w:r>
          </w:p>
        </w:tc>
      </w:tr>
      <w:tr w14:paraId="4DE5797D">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2C4C4990">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评分因素</w:t>
            </w:r>
          </w:p>
        </w:tc>
        <w:tc>
          <w:tcPr>
            <w:tcW w:w="3960" w:type="dxa"/>
            <w:gridSpan w:val="2"/>
            <w:tcBorders>
              <w:top w:val="single" w:color="auto" w:sz="4" w:space="0"/>
              <w:left w:val="single" w:color="auto" w:sz="4" w:space="0"/>
              <w:bottom w:val="single" w:color="auto" w:sz="4" w:space="0"/>
              <w:right w:val="single" w:color="auto" w:sz="4" w:space="0"/>
            </w:tcBorders>
            <w:noWrap w:val="0"/>
            <w:vAlign w:val="center"/>
          </w:tcPr>
          <w:p w14:paraId="2FCBF725">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评分标准</w:t>
            </w:r>
          </w:p>
        </w:tc>
        <w:tc>
          <w:tcPr>
            <w:tcW w:w="4979" w:type="dxa"/>
            <w:tcBorders>
              <w:top w:val="single" w:color="auto" w:sz="4" w:space="0"/>
              <w:left w:val="single" w:color="auto" w:sz="4" w:space="0"/>
              <w:bottom w:val="single" w:color="auto" w:sz="4" w:space="0"/>
              <w:right w:val="single" w:color="auto" w:sz="4" w:space="0"/>
            </w:tcBorders>
            <w:noWrap w:val="0"/>
            <w:vAlign w:val="center"/>
          </w:tcPr>
          <w:p w14:paraId="323EC992">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备注</w:t>
            </w:r>
          </w:p>
        </w:tc>
      </w:tr>
      <w:tr w14:paraId="5D216A25">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C77F5F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总体概述</w:t>
            </w:r>
          </w:p>
          <w:p w14:paraId="205BB39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7C823C4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4C6DA552">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59885FF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3E85ECD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0F96D9A2">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1E73F6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【良】对项目总体有一定认识，表述清晰、完整，措施具体有效；施工段划分呼应总体表述，划分清晰，符合规范要求。</w:t>
            </w:r>
          </w:p>
          <w:p w14:paraId="20CA59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【中】对项目总体有认识，有一定的措施但部分不具体；施工段划分较合理，符合规范要求。</w:t>
            </w:r>
          </w:p>
          <w:p w14:paraId="63FE943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【差】对项目认识不足，表述不清晰，措施不具体；施工段划分不合理。</w:t>
            </w:r>
          </w:p>
        </w:tc>
      </w:tr>
      <w:tr w14:paraId="529C4DCC">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5A61007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施工总进度计划及保证措施</w:t>
            </w:r>
          </w:p>
          <w:p w14:paraId="697FBC6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32C7E34B">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26D6CF3C">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4EF5ADD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37BFDEA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8C98F65">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127E0B60">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553824DC">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5990EDD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【差】关键线路不准确，计划编制不合理。关键节点的控制不可行。人、材、机需求和进场计划与进度计划不相呼应，不能满足施工需要。没有违约责任承诺。</w:t>
            </w:r>
          </w:p>
        </w:tc>
      </w:tr>
      <w:tr w14:paraId="26256241">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5E027FA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质量保证措施</w:t>
            </w:r>
          </w:p>
          <w:p w14:paraId="3077A0E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1BF59E0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30861E4B">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4995E788">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21E6C59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4FC65F7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6940666B">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75D67FA5">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【中】具体措施可行。满足招标文件的质量要求。投标人企业注册地或分支机构所在地与项目所在地的距离或全资子公司与项目所在地距离300公里内、投标人在相同地质条件业绩情况等相关证明资料。</w:t>
            </w:r>
          </w:p>
          <w:p w14:paraId="2865E28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【差】措施不可行，没有质量违约责任承诺。</w:t>
            </w:r>
          </w:p>
        </w:tc>
      </w:tr>
      <w:tr w14:paraId="435C241E">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029426A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施工技术措施</w:t>
            </w:r>
          </w:p>
          <w:p w14:paraId="7BA3E6E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7A26AC3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68E143F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15B8550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211B51C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1E9BAA8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7990097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2D9CB60">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3FFC6C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【差】对项目关键技术有表述，对重点、难点有建议，解决方案不可行。采用的新技术针对性不强或验证材料不可靠，对节约投资、工期没有具体收益。无违约责任承诺。</w:t>
            </w:r>
          </w:p>
        </w:tc>
      </w:tr>
      <w:tr w14:paraId="1577493F">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980F5E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绿色施工、安全防护、文明施工措施计划</w:t>
            </w:r>
          </w:p>
          <w:p w14:paraId="5120AF0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3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26BCBF5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180BB9D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4875AF4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7935D37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077D857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【优】针对项目实际情况，有先进、具体、完整、可行的措施，采用规范准确、清晰。</w:t>
            </w:r>
          </w:p>
          <w:p w14:paraId="41F52E4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【良】针对项目实际情况，有合理的措施且具体、完整，采用规范准确。</w:t>
            </w:r>
          </w:p>
          <w:p w14:paraId="42312B3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【中】有基本合理的措施，采用规范准确。</w:t>
            </w:r>
          </w:p>
          <w:p w14:paraId="2279C8B5">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【差】措施不力，采用规范不正确。</w:t>
            </w:r>
          </w:p>
        </w:tc>
      </w:tr>
      <w:tr w14:paraId="7C830143">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63632DD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施工平面</w:t>
            </w:r>
          </w:p>
          <w:p w14:paraId="172F281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布置和临时设施布置</w:t>
            </w:r>
          </w:p>
          <w:p w14:paraId="4A730BB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2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1EC1714C">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32D4B2F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1B8CD4B1">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5B0DF99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568195D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【优】总体布置有针对性、合理，较好满足施工需要，符合绿色施工、安全防护、文明施工要求。</w:t>
            </w:r>
          </w:p>
          <w:p w14:paraId="5D0E3EE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【良】总体布置合理，能满足施工需要，基本符合绿色施工、安全防护、文明施工要求。</w:t>
            </w:r>
          </w:p>
          <w:p w14:paraId="78A75819">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【中】总体布置基本合理，基本满足施工需要。</w:t>
            </w:r>
          </w:p>
          <w:p w14:paraId="0218F41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【差】总体布置不合理，不符合绿色施工、安全防护、文明施工要求。</w:t>
            </w:r>
          </w:p>
        </w:tc>
      </w:tr>
      <w:tr w14:paraId="712E23BF">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33B1C51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项目管理机构</w:t>
            </w:r>
          </w:p>
          <w:p w14:paraId="03C21F8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 xml:space="preserve"> 分）</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5794426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【优】得该项评分因素分值的90%～100%（含90%）。</w:t>
            </w:r>
          </w:p>
          <w:p w14:paraId="4CD11796">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【良】得该项评分因素分值的80%～90%（含80%）。</w:t>
            </w:r>
          </w:p>
          <w:p w14:paraId="7A0CED54">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【中】得该项评分因素分值的70%～80%（含70%）。</w:t>
            </w:r>
          </w:p>
          <w:p w14:paraId="150105BD">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【差】得该项评分因素分值的60～70%（含60%）。</w:t>
            </w:r>
          </w:p>
        </w:tc>
        <w:tc>
          <w:tcPr>
            <w:tcW w:w="5475" w:type="dxa"/>
            <w:gridSpan w:val="2"/>
            <w:tcBorders>
              <w:top w:val="single" w:color="auto" w:sz="4" w:space="0"/>
              <w:left w:val="single" w:color="auto" w:sz="4" w:space="0"/>
              <w:bottom w:val="single" w:color="auto" w:sz="4" w:space="0"/>
              <w:right w:val="single" w:color="auto" w:sz="4" w:space="0"/>
            </w:tcBorders>
            <w:noWrap w:val="0"/>
            <w:vAlign w:val="center"/>
          </w:tcPr>
          <w:p w14:paraId="01767E40">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【优】组织机构形式合理，有完善的指挥系统，生产及质量、绿色施工、安全、文明施工、创优达标监控系统、联络协调系统，人员配备齐全、专业分配合理。</w:t>
            </w:r>
          </w:p>
          <w:p w14:paraId="73F87F0A">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【良】组织机构形式合理，指挥系统，生产及质量、绿色施工、安全、文明施工、创优达标监控系统、联络协调系统齐全，人员配备齐全、专业分配合理。</w:t>
            </w:r>
          </w:p>
          <w:p w14:paraId="1019E14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【中】组织机构形式基本合理，有指挥系统，生产及质量、绿色施工、安全、文明施工、创优达标监控系统、联络协调系统齐全，人员配备基本齐全、专业分配基本合理。</w:t>
            </w:r>
          </w:p>
          <w:p w14:paraId="390EFF17">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【差】组织机构形式合理，指挥系统，生产及质量、绿色施工、安全、文明施工、创优达标监控系统、联络协调系统不齐全，人员配备不齐全、专业分配不合理。</w:t>
            </w:r>
          </w:p>
        </w:tc>
      </w:tr>
      <w:tr w14:paraId="5250CE2D">
        <w:tblPrEx>
          <w:tblCellMar>
            <w:top w:w="0" w:type="dxa"/>
            <w:left w:w="108" w:type="dxa"/>
            <w:bottom w:w="0" w:type="dxa"/>
            <w:right w:w="108" w:type="dxa"/>
          </w:tblCellMar>
        </w:tblPrEx>
        <w:trPr>
          <w:trHeight w:val="23" w:hRule="atLeast"/>
        </w:trPr>
        <w:tc>
          <w:tcPr>
            <w:tcW w:w="10187"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0756BEB4">
            <w:pPr>
              <w:keepNext w:val="0"/>
              <w:keepLines w:val="0"/>
              <w:widowControl w:val="0"/>
              <w:suppressLineNumbers w:val="0"/>
              <w:wordWrap w:val="0"/>
              <w:adjustRightInd w:val="0"/>
              <w:snapToGrid w:val="0"/>
              <w:spacing w:before="0" w:beforeAutospacing="0" w:after="0" w:afterAutospacing="0" w:line="360" w:lineRule="auto"/>
              <w:ind w:left="0" w:right="0"/>
              <w:jc w:val="both"/>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b/>
                <w:bCs/>
                <w:snapToGrid w:val="0"/>
                <w:color w:val="000000"/>
                <w:kern w:val="0"/>
                <w:sz w:val="21"/>
                <w:szCs w:val="21"/>
                <w:highlight w:val="none"/>
                <w:lang w:val="en-US" w:eastAsia="zh-CN" w:bidi="ar-SA"/>
              </w:rPr>
              <w:t>投标报价部分，满分：100分。</w:t>
            </w:r>
          </w:p>
        </w:tc>
      </w:tr>
      <w:tr w14:paraId="39DF3B6B">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9090CB8">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评分事项</w:t>
            </w:r>
          </w:p>
        </w:tc>
        <w:tc>
          <w:tcPr>
            <w:tcW w:w="8939" w:type="dxa"/>
            <w:gridSpan w:val="3"/>
            <w:tcBorders>
              <w:top w:val="single" w:color="auto" w:sz="4" w:space="0"/>
              <w:left w:val="single" w:color="auto" w:sz="4" w:space="0"/>
              <w:bottom w:val="single" w:color="auto" w:sz="4" w:space="0"/>
              <w:right w:val="single" w:color="auto" w:sz="4" w:space="0"/>
            </w:tcBorders>
            <w:noWrap w:val="0"/>
            <w:vAlign w:val="center"/>
          </w:tcPr>
          <w:p w14:paraId="4A07260E">
            <w:pPr>
              <w:keepNext w:val="0"/>
              <w:keepLines w:val="0"/>
              <w:widowControl w:val="0"/>
              <w:suppressLineNumbers w:val="0"/>
              <w:wordWrap w:val="0"/>
              <w:adjustRightInd w:val="0"/>
              <w:snapToGrid w:val="0"/>
              <w:spacing w:before="0" w:beforeAutospacing="0" w:after="0" w:afterLines="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评分方法</w:t>
            </w:r>
          </w:p>
        </w:tc>
      </w:tr>
      <w:tr w14:paraId="3E50E794">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047214C2">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评标基准价D</w:t>
            </w:r>
          </w:p>
        </w:tc>
        <w:tc>
          <w:tcPr>
            <w:tcW w:w="8939" w:type="dxa"/>
            <w:gridSpan w:val="3"/>
            <w:tcBorders>
              <w:top w:val="single" w:color="auto" w:sz="4" w:space="0"/>
              <w:left w:val="single" w:color="auto" w:sz="4" w:space="0"/>
              <w:bottom w:val="single" w:color="auto" w:sz="4" w:space="0"/>
              <w:right w:val="single" w:color="auto" w:sz="4" w:space="0"/>
            </w:tcBorders>
            <w:noWrap w:val="0"/>
            <w:vAlign w:val="center"/>
          </w:tcPr>
          <w:p w14:paraId="3EACD529">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（1）确定招标控制价下浮系数n：用1～21号球分别代表一个下浮系数，由评委代表从这21个号码中随机抽取</w:t>
            </w:r>
            <w:r>
              <w:rPr>
                <w:rFonts w:hint="eastAsia" w:ascii="宋体" w:hAnsi="宋体" w:eastAsia="宋体" w:cs="宋体"/>
                <w:snapToGrid w:val="0"/>
                <w:color w:val="000000"/>
                <w:kern w:val="0"/>
                <w:sz w:val="21"/>
                <w:szCs w:val="21"/>
                <w:highlight w:val="none"/>
                <w:u w:val="single"/>
              </w:rPr>
              <w:t xml:space="preserve"> 3 </w:t>
            </w:r>
            <w:r>
              <w:rPr>
                <w:rFonts w:hint="eastAsia" w:ascii="宋体" w:hAnsi="宋体" w:eastAsia="宋体" w:cs="宋体"/>
                <w:snapToGrid w:val="0"/>
                <w:color w:val="000000"/>
                <w:kern w:val="0"/>
                <w:sz w:val="21"/>
                <w:szCs w:val="21"/>
                <w:highlight w:val="none"/>
              </w:rPr>
              <w:t>次，每次抽取1个号码，抽出的号球不参与下次抽取。所抽取的3个号码对应下浮系数的算术平均值作为招标控制价下浮系数n。具体号码对应的下浮系数可参考下表。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37B0042D">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2179012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b/>
                      <w:snapToGrid w:val="0"/>
                      <w:color w:val="000000"/>
                      <w:kern w:val="0"/>
                      <w:sz w:val="21"/>
                      <w:szCs w:val="21"/>
                      <w:highlight w:val="none"/>
                    </w:rPr>
                  </w:pPr>
                  <w:r>
                    <w:rPr>
                      <w:rFonts w:hint="eastAsia" w:ascii="宋体" w:hAnsi="宋体" w:eastAsia="宋体" w:cs="宋体"/>
                      <w:bCs/>
                      <w:snapToGrid w:val="0"/>
                      <w:color w:val="000000"/>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F909C9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276C94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A88E52A">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2352A9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9351E1C">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37B669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DA1F009">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7</w:t>
                  </w:r>
                </w:p>
              </w:tc>
            </w:tr>
            <w:tr w14:paraId="552625B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7B41B798">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635E40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0E8A129">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81F42F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497382C">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A21BF7F">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4672FB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DA59226">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1.6</w:t>
                  </w:r>
                </w:p>
              </w:tc>
            </w:tr>
            <w:tr w14:paraId="5A16DCA6">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07E16BE7">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b/>
                      <w:snapToGrid w:val="0"/>
                      <w:color w:val="000000"/>
                      <w:kern w:val="0"/>
                      <w:sz w:val="21"/>
                      <w:szCs w:val="21"/>
                      <w:highlight w:val="none"/>
                    </w:rPr>
                  </w:pPr>
                  <w:r>
                    <w:rPr>
                      <w:rFonts w:hint="eastAsia" w:ascii="宋体" w:hAnsi="宋体" w:eastAsia="宋体" w:cs="宋体"/>
                      <w:bCs/>
                      <w:snapToGrid w:val="0"/>
                      <w:color w:val="000000"/>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52F1656">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33B3EB7">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7FF3E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303E234">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A9DACF">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EA41224">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0F4ECB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14</w:t>
                  </w:r>
                </w:p>
              </w:tc>
            </w:tr>
            <w:tr w14:paraId="50E9C019">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3EE1DF52">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4F6A5B0">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9F45064">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2B0E4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246B00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8C38C3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3E604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890AEB8">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2.3</w:t>
                  </w:r>
                </w:p>
              </w:tc>
            </w:tr>
            <w:tr w14:paraId="15767D49">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2817A967">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b/>
                      <w:snapToGrid w:val="0"/>
                      <w:color w:val="000000"/>
                      <w:kern w:val="0"/>
                      <w:sz w:val="21"/>
                      <w:szCs w:val="21"/>
                      <w:highlight w:val="none"/>
                    </w:rPr>
                  </w:pPr>
                  <w:r>
                    <w:rPr>
                      <w:rFonts w:hint="eastAsia" w:ascii="宋体" w:hAnsi="宋体" w:eastAsia="宋体" w:cs="宋体"/>
                      <w:bCs/>
                      <w:snapToGrid w:val="0"/>
                      <w:color w:val="000000"/>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F413A9D">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8E21B9C">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D0287F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44F70C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C1F3F7B">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428BAA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F43E8C3">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21</w:t>
                  </w:r>
                </w:p>
              </w:tc>
            </w:tr>
            <w:tr w14:paraId="178A5862">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noWrap w:val="0"/>
                  <w:vAlign w:val="center"/>
                </w:tcPr>
                <w:p w14:paraId="38617B4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4F8BD2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4AA1111">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66FE5C2">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325EDEE">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71F82BB">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F2FA9BB">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C3587F5">
                  <w:pPr>
                    <w:keepNext w:val="0"/>
                    <w:keepLines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3.0</w:t>
                  </w:r>
                </w:p>
              </w:tc>
            </w:tr>
          </w:tbl>
          <w:p w14:paraId="57A100A7">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（2）评标基准价D＝招标控制价×（1－n）</w:t>
            </w:r>
          </w:p>
        </w:tc>
      </w:tr>
      <w:tr w14:paraId="3EC790D1">
        <w:tblPrEx>
          <w:tblCellMar>
            <w:top w:w="0" w:type="dxa"/>
            <w:left w:w="108" w:type="dxa"/>
            <w:bottom w:w="0" w:type="dxa"/>
            <w:right w:w="108" w:type="dxa"/>
          </w:tblCellMar>
        </w:tblPrEx>
        <w:trPr>
          <w:trHeight w:val="23" w:hRule="atLeast"/>
        </w:trPr>
        <w:tc>
          <w:tcPr>
            <w:tcW w:w="1248" w:type="dxa"/>
            <w:tcBorders>
              <w:top w:val="single" w:color="auto" w:sz="4" w:space="0"/>
              <w:left w:val="single" w:color="auto" w:sz="4" w:space="0"/>
              <w:bottom w:val="single" w:color="auto" w:sz="4" w:space="0"/>
              <w:right w:val="single" w:color="auto" w:sz="4" w:space="0"/>
            </w:tcBorders>
            <w:noWrap w:val="0"/>
            <w:vAlign w:val="center"/>
          </w:tcPr>
          <w:p w14:paraId="4A3716CD">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投标报价</w:t>
            </w:r>
          </w:p>
          <w:p w14:paraId="6BA3DE05">
            <w:pPr>
              <w:keepNext w:val="0"/>
              <w:keepLines w:val="0"/>
              <w:widowControl w:val="0"/>
              <w:suppressLineNumbers w:val="0"/>
              <w:wordWrap w:val="0"/>
              <w:adjustRightInd w:val="0"/>
              <w:snapToGrid w:val="0"/>
              <w:spacing w:before="0" w:beforeAutospacing="0" w:after="0" w:afterAutospacing="0" w:line="360" w:lineRule="auto"/>
              <w:ind w:left="0" w:right="0"/>
              <w:jc w:val="center"/>
              <w:rPr>
                <w:rFonts w:hint="eastAsia" w:ascii="宋体" w:hAnsi="宋体" w:eastAsia="宋体" w:cs="宋体"/>
                <w:snapToGrid w:val="0"/>
                <w:color w:val="000000"/>
                <w:kern w:val="0"/>
                <w:sz w:val="21"/>
                <w:szCs w:val="21"/>
                <w:highlight w:val="none"/>
                <w:lang w:val="en-US" w:eastAsia="zh-CN" w:bidi="ar-SA"/>
              </w:rPr>
            </w:pPr>
            <w:r>
              <w:rPr>
                <w:rFonts w:hint="eastAsia" w:ascii="宋体" w:hAnsi="宋体" w:eastAsia="宋体" w:cs="宋体"/>
                <w:snapToGrid w:val="0"/>
                <w:color w:val="000000"/>
                <w:kern w:val="0"/>
                <w:sz w:val="21"/>
                <w:szCs w:val="21"/>
                <w:highlight w:val="none"/>
                <w:lang w:val="en-US" w:eastAsia="zh-CN" w:bidi="ar-SA"/>
              </w:rPr>
              <w:t>得分N</w:t>
            </w:r>
          </w:p>
        </w:tc>
        <w:tc>
          <w:tcPr>
            <w:tcW w:w="8939" w:type="dxa"/>
            <w:gridSpan w:val="3"/>
            <w:tcBorders>
              <w:top w:val="single" w:color="auto" w:sz="4" w:space="0"/>
              <w:left w:val="single" w:color="auto" w:sz="4" w:space="0"/>
              <w:bottom w:val="single" w:color="auto" w:sz="4" w:space="0"/>
              <w:right w:val="single" w:color="auto" w:sz="4" w:space="0"/>
            </w:tcBorders>
            <w:noWrap w:val="0"/>
            <w:vAlign w:val="center"/>
          </w:tcPr>
          <w:p w14:paraId="6A341F6B">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采用内插法计算某投标人的投标报价得分N，即当投标人的投标总价等于评标基准价时得</w:t>
            </w:r>
            <w:r>
              <w:rPr>
                <w:rFonts w:hint="eastAsia" w:ascii="宋体" w:hAnsi="宋体" w:eastAsia="宋体" w:cs="宋体"/>
                <w:snapToGrid w:val="0"/>
                <w:color w:val="000000"/>
                <w:kern w:val="0"/>
                <w:sz w:val="21"/>
                <w:szCs w:val="21"/>
                <w:highlight w:val="none"/>
                <w:lang w:val="en-US" w:eastAsia="zh-CN"/>
              </w:rPr>
              <w:t>100</w:t>
            </w:r>
            <w:r>
              <w:rPr>
                <w:rFonts w:hint="eastAsia" w:ascii="宋体" w:hAnsi="宋体" w:eastAsia="宋体" w:cs="宋体"/>
                <w:snapToGrid w:val="0"/>
                <w:color w:val="000000"/>
                <w:kern w:val="0"/>
                <w:sz w:val="21"/>
                <w:szCs w:val="21"/>
                <w:highlight w:val="none"/>
              </w:rPr>
              <w:t>分，每高于评标基准价一个百分点扣</w:t>
            </w:r>
            <w:r>
              <w:rPr>
                <w:rFonts w:hint="eastAsia" w:ascii="宋体" w:hAnsi="宋体" w:eastAsia="宋体" w:cs="宋体"/>
                <w:snapToGrid w:val="0"/>
                <w:color w:val="000000"/>
                <w:kern w:val="0"/>
                <w:sz w:val="21"/>
                <w:szCs w:val="21"/>
                <w:highlight w:val="none"/>
                <w:lang w:val="en-US" w:eastAsia="zh-CN"/>
              </w:rPr>
              <w:t>1</w:t>
            </w:r>
            <w:r>
              <w:rPr>
                <w:rFonts w:hint="eastAsia" w:ascii="宋体" w:hAnsi="宋体" w:eastAsia="宋体" w:cs="宋体"/>
                <w:snapToGrid w:val="0"/>
                <w:color w:val="000000"/>
                <w:kern w:val="0"/>
                <w:sz w:val="21"/>
                <w:szCs w:val="21"/>
                <w:highlight w:val="none"/>
              </w:rPr>
              <w:t>分, 每低于评标基准价一个百分点扣</w:t>
            </w:r>
            <w:r>
              <w:rPr>
                <w:rFonts w:hint="eastAsia" w:ascii="宋体" w:hAnsi="宋体" w:eastAsia="宋体" w:cs="宋体"/>
                <w:snapToGrid w:val="0"/>
                <w:color w:val="000000"/>
                <w:kern w:val="0"/>
                <w:sz w:val="21"/>
                <w:szCs w:val="21"/>
                <w:highlight w:val="none"/>
                <w:lang w:val="en-US" w:eastAsia="zh-CN"/>
              </w:rPr>
              <w:t>0.5</w:t>
            </w:r>
            <w:r>
              <w:rPr>
                <w:rFonts w:hint="eastAsia" w:ascii="宋体" w:hAnsi="宋体" w:eastAsia="宋体" w:cs="宋体"/>
                <w:snapToGrid w:val="0"/>
                <w:color w:val="000000"/>
                <w:kern w:val="0"/>
                <w:sz w:val="21"/>
                <w:szCs w:val="21"/>
                <w:highlight w:val="none"/>
              </w:rPr>
              <w:t>分，扣完为止。公式如下：</w:t>
            </w:r>
          </w:p>
          <w:p w14:paraId="6037E406">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N＝</w:t>
            </w:r>
            <w:r>
              <w:rPr>
                <w:rFonts w:hint="eastAsia" w:ascii="宋体" w:hAnsi="宋体" w:eastAsia="宋体" w:cs="宋体"/>
                <w:snapToGrid w:val="0"/>
                <w:color w:val="000000"/>
                <w:kern w:val="0"/>
                <w:sz w:val="21"/>
                <w:szCs w:val="21"/>
                <w:highlight w:val="none"/>
                <w:lang w:val="en-US" w:eastAsia="zh-CN"/>
              </w:rPr>
              <w:t>10</w:t>
            </w:r>
            <w:r>
              <w:rPr>
                <w:rFonts w:hint="eastAsia" w:ascii="宋体" w:hAnsi="宋体" w:eastAsia="宋体" w:cs="宋体"/>
                <w:snapToGrid w:val="0"/>
                <w:color w:val="000000"/>
                <w:kern w:val="0"/>
                <w:sz w:val="21"/>
                <w:szCs w:val="21"/>
                <w:highlight w:val="none"/>
              </w:rPr>
              <w:t>0－（| Di－D | ÷D）×100×E</w:t>
            </w:r>
          </w:p>
          <w:p w14:paraId="3F1B03CC">
            <w:pPr>
              <w:keepNext w:val="0"/>
              <w:keepLines w:val="0"/>
              <w:suppressLineNumbers w:val="0"/>
              <w:wordWrap w:val="0"/>
              <w:adjustRightInd w:val="0"/>
              <w:snapToGrid w:val="0"/>
              <w:spacing w:before="0" w:beforeAutospacing="0" w:after="0" w:afterAutospacing="0" w:line="360" w:lineRule="auto"/>
              <w:ind w:left="0" w:right="0" w:firstLine="420" w:firstLineChars="200"/>
              <w:jc w:val="left"/>
              <w:rPr>
                <w:rFonts w:hint="eastAsia" w:ascii="宋体" w:hAnsi="宋体" w:eastAsia="宋体" w:cs="宋体"/>
                <w:snapToGrid w:val="0"/>
                <w:color w:val="000000"/>
                <w:kern w:val="0"/>
                <w:sz w:val="21"/>
                <w:szCs w:val="21"/>
                <w:highlight w:val="none"/>
              </w:rPr>
            </w:pPr>
            <w:r>
              <w:rPr>
                <w:rFonts w:hint="eastAsia" w:ascii="宋体" w:hAnsi="宋体" w:eastAsia="宋体" w:cs="宋体"/>
                <w:snapToGrid w:val="0"/>
                <w:color w:val="000000"/>
                <w:kern w:val="0"/>
                <w:sz w:val="21"/>
                <w:szCs w:val="21"/>
                <w:highlight w:val="none"/>
              </w:rPr>
              <w:t>式中：D为评标基准价；Di为某投标人的投标总价；E为扣分因子，当Di＞D时，E＝</w:t>
            </w:r>
            <w:r>
              <w:rPr>
                <w:rFonts w:hint="eastAsia" w:ascii="宋体" w:hAnsi="宋体" w:eastAsia="宋体" w:cs="宋体"/>
                <w:snapToGrid w:val="0"/>
                <w:color w:val="000000"/>
                <w:kern w:val="0"/>
                <w:sz w:val="21"/>
                <w:szCs w:val="21"/>
                <w:highlight w:val="none"/>
                <w:lang w:val="en-US" w:eastAsia="zh-CN"/>
              </w:rPr>
              <w:t>1</w:t>
            </w:r>
            <w:r>
              <w:rPr>
                <w:rFonts w:hint="eastAsia" w:ascii="宋体" w:hAnsi="宋体" w:eastAsia="宋体" w:cs="宋体"/>
                <w:snapToGrid w:val="0"/>
                <w:color w:val="000000"/>
                <w:kern w:val="0"/>
                <w:sz w:val="21"/>
                <w:szCs w:val="21"/>
                <w:highlight w:val="none"/>
              </w:rPr>
              <w:t>；当Di＜D时，E＝</w:t>
            </w:r>
            <w:r>
              <w:rPr>
                <w:rFonts w:hint="eastAsia" w:ascii="宋体" w:hAnsi="宋体" w:eastAsia="宋体" w:cs="宋体"/>
                <w:snapToGrid w:val="0"/>
                <w:color w:val="000000"/>
                <w:kern w:val="0"/>
                <w:sz w:val="21"/>
                <w:szCs w:val="21"/>
                <w:highlight w:val="none"/>
                <w:lang w:val="en-US" w:eastAsia="zh-CN"/>
              </w:rPr>
              <w:t>0.5</w:t>
            </w:r>
            <w:r>
              <w:rPr>
                <w:rFonts w:hint="eastAsia" w:ascii="宋体" w:hAnsi="宋体" w:eastAsia="宋体" w:cs="宋体"/>
                <w:snapToGrid w:val="0"/>
                <w:color w:val="000000"/>
                <w:kern w:val="0"/>
                <w:sz w:val="21"/>
                <w:szCs w:val="21"/>
                <w:highlight w:val="none"/>
              </w:rPr>
              <w:t>。</w:t>
            </w:r>
          </w:p>
        </w:tc>
      </w:tr>
    </w:tbl>
    <w:p w14:paraId="30B7098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highlight w:val="none"/>
        </w:rPr>
      </w:pPr>
    </w:p>
    <w:p w14:paraId="1C525CD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2FF4F10F">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4B694142">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43EBFA0E">
      <w:pPr>
        <w:spacing w:line="360" w:lineRule="auto"/>
        <w:rPr>
          <w:rFonts w:hint="eastAsia" w:ascii="宋体" w:hAnsi="宋体" w:eastAsia="宋体" w:cs="宋体"/>
          <w:color w:val="auto"/>
          <w:highlight w:val="none"/>
          <w:lang w:val="en-US" w:eastAsia="zh-CN"/>
        </w:rPr>
      </w:pPr>
    </w:p>
    <w:p w14:paraId="03206E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59" w:name="_Toc5361"/>
      <w:bookmarkStart w:id="160" w:name="_Toc2839"/>
      <w:r>
        <w:rPr>
          <w:rStyle w:val="154"/>
          <w:rFonts w:hint="eastAsia" w:ascii="宋体" w:hAnsi="宋体" w:eastAsia="宋体" w:cs="宋体"/>
          <w:color w:val="auto"/>
          <w:highlight w:val="none"/>
          <w:lang w:val="en-US" w:eastAsia="zh-CN"/>
        </w:rPr>
        <w:t>16．中标候选人公示</w:t>
      </w:r>
      <w:bookmarkEnd w:id="159"/>
      <w:bookmarkEnd w:id="160"/>
    </w:p>
    <w:p w14:paraId="60FF6C28">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582A47E4">
      <w:pPr>
        <w:wordWrap w:val="0"/>
        <w:adjustRightInd w:val="0"/>
        <w:snapToGrid w:val="0"/>
        <w:spacing w:line="360" w:lineRule="auto"/>
        <w:ind w:firstLine="480" w:firstLineChars="200"/>
        <w:rPr>
          <w:rFonts w:hint="eastAsia" w:ascii="宋体" w:hAnsi="宋体" w:eastAsia="宋体" w:cs="宋体"/>
          <w:i w:val="0"/>
          <w:iCs w:val="0"/>
          <w:snapToGrid w:val="0"/>
          <w:color w:val="auto"/>
          <w:kern w:val="0"/>
          <w:szCs w:val="24"/>
          <w:highlight w:val="none"/>
        </w:rPr>
      </w:pPr>
      <w:r>
        <w:rPr>
          <w:rFonts w:hint="eastAsia" w:ascii="宋体" w:hAnsi="宋体" w:eastAsia="宋体" w:cs="宋体"/>
          <w:i w:val="0"/>
          <w:iCs w:val="0"/>
          <w:snapToGrid w:val="0"/>
          <w:color w:val="auto"/>
          <w:kern w:val="0"/>
          <w:szCs w:val="24"/>
          <w:highlight w:val="none"/>
        </w:rPr>
        <w:t>备注：1.依据《招标投标法》的规定,依法必须进行招标的项目,招标人应当自确定中标人之15日内向有关行政监督部门提交招投标情况得书面报告。</w:t>
      </w:r>
    </w:p>
    <w:p w14:paraId="6BE4A06C">
      <w:pPr>
        <w:wordWrap w:val="0"/>
        <w:adjustRightInd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i w:val="0"/>
          <w:iCs w:val="0"/>
          <w:snapToGrid w:val="0"/>
          <w:color w:val="auto"/>
          <w:kern w:val="0"/>
          <w:szCs w:val="24"/>
          <w:highlight w:val="none"/>
        </w:rPr>
        <w:t>2.项目招标代理应配合、协助招标人按时完成报送工作。取消招标文件事前备案后，没有及时在项目业主确认招标文件时仍未取得全流程监督意见的，未按时完成或者没有履行招标人责任制实现必要告知的，将按《韶关市建筑业企业及注册执业人员诚信管理管理办法》相关内容进行信用扣分。</w:t>
      </w:r>
    </w:p>
    <w:p w14:paraId="7873757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905F2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17CC216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AC2DA6C">
      <w:pPr>
        <w:wordWrap w:val="0"/>
        <w:adjustRightInd w:val="0"/>
        <w:snapToGrid w:val="0"/>
        <w:spacing w:line="360" w:lineRule="auto"/>
        <w:outlineLvl w:val="1"/>
        <w:rPr>
          <w:rFonts w:hint="eastAsia" w:ascii="宋体" w:hAnsi="宋体" w:eastAsia="宋体" w:cs="宋体"/>
          <w:snapToGrid w:val="0"/>
          <w:color w:val="auto"/>
          <w:kern w:val="0"/>
          <w:highlight w:val="none"/>
        </w:rPr>
      </w:pPr>
      <w:bookmarkStart w:id="161" w:name="_Toc13630"/>
      <w:r>
        <w:rPr>
          <w:rFonts w:hint="eastAsia" w:ascii="宋体" w:hAnsi="宋体" w:eastAsia="宋体" w:cs="宋体"/>
          <w:b/>
          <w:bCs/>
          <w:snapToGrid w:val="0"/>
          <w:color w:val="auto"/>
          <w:kern w:val="0"/>
          <w:highlight w:val="none"/>
        </w:rPr>
        <w:t>第四节 否决投标条件</w:t>
      </w:r>
      <w:bookmarkEnd w:id="161"/>
    </w:p>
    <w:p w14:paraId="3B3ACFB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6D37E46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2" w:name="_Toc18979"/>
      <w:bookmarkStart w:id="163" w:name="_Toc18351"/>
      <w:bookmarkStart w:id="164" w:name="_Toc25780"/>
      <w:bookmarkStart w:id="165" w:name="_Toc28628"/>
      <w:bookmarkStart w:id="166" w:name="_Toc27291"/>
      <w:bookmarkStart w:id="167" w:name="_Toc867"/>
      <w:r>
        <w:rPr>
          <w:rStyle w:val="154"/>
          <w:rFonts w:hint="eastAsia" w:ascii="宋体" w:hAnsi="宋体" w:eastAsia="宋体" w:cs="宋体"/>
          <w:color w:val="auto"/>
          <w:highlight w:val="none"/>
          <w:lang w:val="en-US" w:eastAsia="zh-CN"/>
        </w:rPr>
        <w:t>1．资格评审环节</w:t>
      </w:r>
      <w:bookmarkEnd w:id="162"/>
      <w:bookmarkEnd w:id="163"/>
      <w:bookmarkEnd w:id="164"/>
      <w:bookmarkEnd w:id="165"/>
      <w:bookmarkEnd w:id="166"/>
      <w:bookmarkEnd w:id="167"/>
    </w:p>
    <w:p w14:paraId="7C7C80C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0081D7E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03EC090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565F9D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4471FF5">
      <w:pPr>
        <w:keepNext w:val="0"/>
        <w:keepLines w:val="0"/>
        <w:pageBreakBefore w:val="0"/>
        <w:kinsoku/>
        <w:overflowPunct/>
        <w:topLinePunct w:val="0"/>
        <w:autoSpaceDE/>
        <w:autoSpaceDN/>
        <w:bidi w:val="0"/>
        <w:snapToGrid w:val="0"/>
        <w:spacing w:line="288" w:lineRule="auto"/>
        <w:ind w:firstLine="480"/>
        <w:rPr>
          <w:rStyle w:val="149"/>
          <w:rFonts w:hint="eastAsia" w:ascii="宋体" w:hAnsi="宋体" w:eastAsia="宋体" w:cs="宋体"/>
          <w:b/>
          <w:bCs/>
          <w:color w:val="auto"/>
          <w:kern w:val="0"/>
          <w:highlight w:val="none"/>
        </w:rPr>
      </w:pPr>
      <w:r>
        <w:rPr>
          <w:rStyle w:val="149"/>
          <w:rFonts w:hint="eastAsia" w:ascii="宋体" w:hAnsi="宋体" w:eastAsia="宋体" w:cs="宋体"/>
          <w:b/>
          <w:bCs/>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C67F27D">
      <w:pPr>
        <w:wordWrap w:val="0"/>
        <w:adjustRightInd w:val="0"/>
        <w:snapToGrid w:val="0"/>
        <w:spacing w:line="440" w:lineRule="exact"/>
        <w:ind w:firstLine="480"/>
        <w:rPr>
          <w:rFonts w:hint="eastAsia" w:ascii="宋体" w:hAnsi="宋体" w:eastAsia="宋体" w:cs="宋体"/>
          <w:snapToGrid w:val="0"/>
          <w:color w:val="auto"/>
          <w:kern w:val="0"/>
          <w:highlight w:val="none"/>
          <w:lang w:val="en-US" w:eastAsia="zh-CN"/>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r>
        <w:rPr>
          <w:rFonts w:ascii="Times New Roman"/>
          <w:b/>
          <w:bCs/>
          <w:snapToGrid w:val="0"/>
          <w:color w:val="auto"/>
          <w:kern w:val="0"/>
          <w:highlight w:val="none"/>
        </w:rPr>
        <w:t>。</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 xml:space="preserve">  </w:t>
      </w:r>
    </w:p>
    <w:p w14:paraId="51F6C87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0DE8E6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5EEDE52C">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73801DE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543B33F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3C274CE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32D8DF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68" w:name="_Toc21476"/>
      <w:bookmarkStart w:id="169" w:name="_Toc12980"/>
      <w:bookmarkStart w:id="170" w:name="_Toc30923"/>
      <w:bookmarkStart w:id="171" w:name="_Toc3746"/>
      <w:bookmarkStart w:id="172" w:name="_Toc19719"/>
      <w:bookmarkStart w:id="173" w:name="_Toc21442"/>
      <w:r>
        <w:rPr>
          <w:rStyle w:val="154"/>
          <w:rFonts w:hint="eastAsia" w:ascii="宋体" w:hAnsi="宋体" w:eastAsia="宋体" w:cs="宋体"/>
          <w:color w:val="auto"/>
          <w:highlight w:val="none"/>
          <w:lang w:val="en-US" w:eastAsia="zh-CN"/>
        </w:rPr>
        <w:t>2．形式评审环节</w:t>
      </w:r>
      <w:bookmarkEnd w:id="168"/>
      <w:bookmarkEnd w:id="169"/>
      <w:bookmarkEnd w:id="170"/>
      <w:bookmarkEnd w:id="171"/>
      <w:bookmarkEnd w:id="172"/>
      <w:bookmarkEnd w:id="173"/>
    </w:p>
    <w:p w14:paraId="19D5A33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0703639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0C87E48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2C2E5A0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67A33F4C">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0E9BC14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74" w:name="_Toc22362"/>
      <w:bookmarkStart w:id="175" w:name="_Toc23068"/>
      <w:bookmarkStart w:id="176" w:name="_Toc8201"/>
      <w:bookmarkStart w:id="177" w:name="_Toc13299"/>
      <w:bookmarkStart w:id="178" w:name="_Toc31483"/>
      <w:bookmarkStart w:id="179" w:name="_Toc27344"/>
      <w:r>
        <w:rPr>
          <w:rStyle w:val="154"/>
          <w:rFonts w:hint="eastAsia" w:ascii="宋体" w:hAnsi="宋体" w:eastAsia="宋体" w:cs="宋体"/>
          <w:color w:val="auto"/>
          <w:highlight w:val="none"/>
          <w:lang w:val="en-US" w:eastAsia="zh-CN"/>
        </w:rPr>
        <w:t>3．响应性评审环节</w:t>
      </w:r>
      <w:bookmarkEnd w:id="174"/>
      <w:bookmarkEnd w:id="175"/>
      <w:bookmarkEnd w:id="176"/>
      <w:bookmarkEnd w:id="177"/>
      <w:bookmarkEnd w:id="178"/>
      <w:bookmarkEnd w:id="179"/>
    </w:p>
    <w:p w14:paraId="76C62C6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1EAF529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057682E8">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4A33AED9">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37FEF0C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）投标人委托造价咨询单位编制《投标总价》，但未在《投标总价》封面（即扉-3）加盖造价咨询人公章的；未提供造价咨询人的营业执照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5ADB4B2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3C6273C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006DF94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0F0BEE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Style w:val="154"/>
          <w:rFonts w:hint="eastAsia" w:ascii="宋体" w:hAnsi="宋体" w:eastAsia="宋体" w:cs="宋体"/>
          <w:color w:val="auto"/>
          <w:highlight w:val="none"/>
          <w:lang w:val="en-US" w:eastAsia="zh-CN"/>
        </w:rPr>
      </w:pPr>
      <w:bookmarkStart w:id="180" w:name="_Toc15543"/>
      <w:bookmarkStart w:id="181" w:name="_Toc24919"/>
      <w:r>
        <w:rPr>
          <w:rStyle w:val="154"/>
          <w:rFonts w:hint="eastAsia" w:ascii="宋体" w:hAnsi="宋体" w:eastAsia="宋体" w:cs="宋体"/>
          <w:color w:val="auto"/>
          <w:highlight w:val="none"/>
          <w:lang w:val="en-US" w:eastAsia="zh-CN"/>
        </w:rPr>
        <w:t>4．其他</w:t>
      </w:r>
      <w:bookmarkEnd w:id="180"/>
      <w:bookmarkEnd w:id="181"/>
    </w:p>
    <w:p w14:paraId="272D39F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55DB105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E4BCAD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bookmarkEnd w:id="158"/>
    </w:p>
    <w:p w14:paraId="767B6FB0">
      <w:pPr>
        <w:snapToGrid w:val="0"/>
        <w:spacing w:line="440" w:lineRule="exact"/>
        <w:ind w:firstLine="480" w:firstLineChars="200"/>
        <w:rPr>
          <w:rStyle w:val="149"/>
          <w:rFonts w:ascii="Times New Roman" w:cs="Times New Roman"/>
          <w:color w:val="auto"/>
          <w:kern w:val="0"/>
          <w:highlight w:val="none"/>
        </w:rPr>
      </w:pPr>
      <w:r>
        <w:rPr>
          <w:rStyle w:val="149"/>
          <w:rFonts w:hint="eastAsia" w:hAnsi="宋体"/>
          <w:color w:val="auto"/>
          <w:kern w:val="0"/>
          <w:highlight w:val="none"/>
        </w:rPr>
        <w:t>①</w:t>
      </w:r>
      <w:r>
        <w:rPr>
          <w:rStyle w:val="149"/>
          <w:rFonts w:hint="eastAsia" w:ascii="Times New Roman"/>
          <w:color w:val="auto"/>
          <w:kern w:val="0"/>
          <w:highlight w:val="none"/>
        </w:rPr>
        <w:t>不同投标人的投标文件两处以上（含两处）错、漏一致；</w:t>
      </w:r>
    </w:p>
    <w:p w14:paraId="4B9324D0">
      <w:pPr>
        <w:snapToGrid w:val="0"/>
        <w:spacing w:line="440" w:lineRule="exact"/>
        <w:rPr>
          <w:rStyle w:val="149"/>
          <w:rFonts w:ascii="Times New Roman" w:cs="Times New Roman"/>
          <w:color w:val="auto"/>
          <w:kern w:val="0"/>
          <w:highlight w:val="none"/>
        </w:rPr>
      </w:pPr>
      <w:r>
        <w:rPr>
          <w:rStyle w:val="149"/>
          <w:rFonts w:ascii="Times New Roman" w:cs="Times New Roman"/>
          <w:color w:val="auto"/>
          <w:kern w:val="0"/>
          <w:highlight w:val="none"/>
        </w:rPr>
        <w:t xml:space="preserve">    </w:t>
      </w:r>
      <w:r>
        <w:rPr>
          <w:rStyle w:val="149"/>
          <w:rFonts w:hint="eastAsia" w:hAnsi="宋体"/>
          <w:color w:val="auto"/>
          <w:kern w:val="0"/>
          <w:highlight w:val="none"/>
        </w:rPr>
        <w:t>②</w:t>
      </w:r>
      <w:r>
        <w:rPr>
          <w:rStyle w:val="149"/>
          <w:rFonts w:hint="eastAsia" w:ascii="Times New Roman"/>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1224371F">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③不同投标人的投标各项报价存在异常一致或者呈规律性变化；</w:t>
      </w:r>
    </w:p>
    <w:p w14:paraId="532C8ED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④不同投标人的投标文件由同一单位或者同一个人编制；</w:t>
      </w:r>
    </w:p>
    <w:p w14:paraId="548A51B9">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⑤不同投标人的投标文件中项目班子成员出现同一人；</w:t>
      </w:r>
    </w:p>
    <w:p w14:paraId="35D22DCC">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⑥不同投标人的投标文件由同一电脑编制，或投标报价用同一个预算编制软件密码锁制作或出自同一电子文档；</w:t>
      </w:r>
    </w:p>
    <w:p w14:paraId="050820A5">
      <w:pPr>
        <w:snapToGrid w:val="0"/>
        <w:spacing w:line="440" w:lineRule="exact"/>
        <w:ind w:firstLine="480"/>
        <w:rPr>
          <w:rStyle w:val="149"/>
          <w:rFonts w:ascii="Times New Roman" w:cs="Times New Roman"/>
          <w:color w:val="auto"/>
          <w:kern w:val="0"/>
          <w:highlight w:val="none"/>
        </w:rPr>
      </w:pPr>
      <w:r>
        <w:rPr>
          <w:rStyle w:val="149"/>
          <w:rFonts w:hint="eastAsia" w:ascii="Times New Roman"/>
          <w:color w:val="auto"/>
          <w:kern w:val="0"/>
          <w:highlight w:val="none"/>
        </w:rPr>
        <w:t>⑦不同投标人的投标保证由同一企业或同一账户资金缴纳；</w:t>
      </w:r>
    </w:p>
    <w:p w14:paraId="3DB390F8">
      <w:pPr>
        <w:snapToGrid w:val="0"/>
        <w:spacing w:line="440" w:lineRule="exact"/>
        <w:ind w:firstLine="480"/>
        <w:rPr>
          <w:rStyle w:val="149"/>
          <w:rFonts w:hint="eastAsia" w:ascii="Times New Roman"/>
          <w:color w:val="auto"/>
          <w:kern w:val="0"/>
          <w:highlight w:val="none"/>
        </w:rPr>
      </w:pPr>
      <w:r>
        <w:rPr>
          <w:rStyle w:val="149"/>
          <w:rFonts w:hint="eastAsia" w:ascii="Times New Roman"/>
          <w:color w:val="auto"/>
          <w:kern w:val="0"/>
          <w:highlight w:val="none"/>
        </w:rPr>
        <w:t>⑧不同投标人委托同一个人或注册在同一家企业的注册人员或同一家企业为其投标提供投标咨询、商务报价、技术咨询（招标工程本身要求采用专有技术的除外）等服务。</w:t>
      </w:r>
      <w:bookmarkStart w:id="182" w:name="_Hlt112206772"/>
      <w:bookmarkEnd w:id="182"/>
      <w:bookmarkStart w:id="183" w:name="_Hlt70150994"/>
      <w:bookmarkEnd w:id="183"/>
      <w:bookmarkStart w:id="184" w:name="_Hlt87952408"/>
      <w:bookmarkEnd w:id="184"/>
      <w:bookmarkStart w:id="185" w:name="_Hlt69669771"/>
      <w:bookmarkEnd w:id="185"/>
      <w:bookmarkStart w:id="186" w:name="_Toc24543"/>
      <w:bookmarkStart w:id="187" w:name="_Hlt69698741"/>
      <w:bookmarkStart w:id="188" w:name="_Hlt69698769"/>
      <w:bookmarkStart w:id="189" w:name="_Toc20451"/>
      <w:bookmarkStart w:id="190" w:name="_Hlt69698722"/>
    </w:p>
    <w:p w14:paraId="780C4AA7">
      <w:pPr>
        <w:snapToGrid w:val="0"/>
        <w:spacing w:line="440" w:lineRule="exact"/>
        <w:ind w:firstLine="480"/>
        <w:rPr>
          <w:rStyle w:val="149"/>
          <w:rFonts w:hint="eastAsia" w:ascii="Times New Roman"/>
          <w:color w:val="auto"/>
          <w:kern w:val="0"/>
          <w:highlight w:val="none"/>
        </w:rPr>
      </w:pPr>
    </w:p>
    <w:p w14:paraId="11BB5104">
      <w:pPr>
        <w:snapToGrid w:val="0"/>
        <w:spacing w:line="440" w:lineRule="exact"/>
        <w:ind w:firstLine="480"/>
        <w:rPr>
          <w:rStyle w:val="149"/>
          <w:rFonts w:hint="eastAsia" w:ascii="Times New Roman"/>
          <w:color w:val="auto"/>
          <w:kern w:val="0"/>
          <w:highlight w:val="none"/>
        </w:rPr>
      </w:pPr>
    </w:p>
    <w:p w14:paraId="0053E2CB">
      <w:pPr>
        <w:snapToGrid w:val="0"/>
        <w:spacing w:line="440" w:lineRule="exact"/>
        <w:ind w:firstLine="480"/>
        <w:rPr>
          <w:rStyle w:val="149"/>
          <w:rFonts w:hint="eastAsia" w:ascii="Times New Roman"/>
          <w:color w:val="auto"/>
          <w:kern w:val="0"/>
          <w:highlight w:val="none"/>
        </w:rPr>
      </w:pPr>
    </w:p>
    <w:p w14:paraId="494893C7">
      <w:pPr>
        <w:snapToGrid w:val="0"/>
        <w:spacing w:line="440" w:lineRule="exact"/>
        <w:ind w:firstLine="480"/>
        <w:rPr>
          <w:rStyle w:val="149"/>
          <w:rFonts w:hint="eastAsia" w:ascii="Times New Roman"/>
          <w:color w:val="auto"/>
          <w:kern w:val="0"/>
          <w:highlight w:val="none"/>
        </w:rPr>
      </w:pPr>
    </w:p>
    <w:p w14:paraId="09187EE3">
      <w:pPr>
        <w:snapToGrid w:val="0"/>
        <w:spacing w:line="440" w:lineRule="exact"/>
        <w:ind w:firstLine="480"/>
        <w:rPr>
          <w:rStyle w:val="149"/>
          <w:rFonts w:hint="eastAsia" w:ascii="Times New Roman"/>
          <w:color w:val="auto"/>
          <w:kern w:val="0"/>
          <w:highlight w:val="none"/>
        </w:rPr>
      </w:pPr>
    </w:p>
    <w:p w14:paraId="18696C00">
      <w:pPr>
        <w:snapToGrid w:val="0"/>
        <w:spacing w:line="440" w:lineRule="exact"/>
        <w:ind w:firstLine="480"/>
        <w:rPr>
          <w:rStyle w:val="149"/>
          <w:rFonts w:hint="eastAsia" w:ascii="Times New Roman"/>
          <w:color w:val="auto"/>
          <w:kern w:val="0"/>
          <w:highlight w:val="none"/>
        </w:rPr>
      </w:pPr>
    </w:p>
    <w:p w14:paraId="1665791B">
      <w:pPr>
        <w:snapToGrid w:val="0"/>
        <w:spacing w:line="440" w:lineRule="exact"/>
        <w:ind w:firstLine="480"/>
        <w:rPr>
          <w:rStyle w:val="149"/>
          <w:rFonts w:hint="eastAsia" w:ascii="Times New Roman"/>
          <w:color w:val="auto"/>
          <w:kern w:val="0"/>
          <w:highlight w:val="none"/>
        </w:rPr>
      </w:pPr>
    </w:p>
    <w:p w14:paraId="2764CED5">
      <w:pPr>
        <w:snapToGrid w:val="0"/>
        <w:spacing w:line="440" w:lineRule="exact"/>
        <w:ind w:firstLine="480"/>
        <w:rPr>
          <w:rStyle w:val="149"/>
          <w:rFonts w:hint="eastAsia" w:ascii="Times New Roman"/>
          <w:color w:val="auto"/>
          <w:kern w:val="0"/>
          <w:highlight w:val="none"/>
        </w:rPr>
      </w:pPr>
    </w:p>
    <w:p w14:paraId="26FB171F">
      <w:pPr>
        <w:snapToGrid w:val="0"/>
        <w:spacing w:line="440" w:lineRule="exact"/>
        <w:ind w:firstLine="480"/>
        <w:rPr>
          <w:rStyle w:val="149"/>
          <w:rFonts w:hint="eastAsia" w:ascii="Times New Roman"/>
          <w:color w:val="auto"/>
          <w:kern w:val="0"/>
          <w:highlight w:val="none"/>
        </w:rPr>
      </w:pPr>
    </w:p>
    <w:p w14:paraId="3C34111E">
      <w:pPr>
        <w:snapToGrid w:val="0"/>
        <w:spacing w:line="440" w:lineRule="exact"/>
        <w:ind w:firstLine="480"/>
        <w:rPr>
          <w:rStyle w:val="149"/>
          <w:rFonts w:hint="eastAsia" w:ascii="Times New Roman"/>
          <w:color w:val="auto"/>
          <w:kern w:val="0"/>
          <w:highlight w:val="none"/>
        </w:rPr>
      </w:pPr>
    </w:p>
    <w:p w14:paraId="56C37808">
      <w:pPr>
        <w:snapToGrid w:val="0"/>
        <w:spacing w:line="440" w:lineRule="exact"/>
        <w:ind w:firstLine="480"/>
        <w:rPr>
          <w:rStyle w:val="149"/>
          <w:rFonts w:hint="eastAsia" w:ascii="Times New Roman"/>
          <w:color w:val="auto"/>
          <w:kern w:val="0"/>
          <w:highlight w:val="none"/>
        </w:rPr>
      </w:pPr>
    </w:p>
    <w:p w14:paraId="48C0DA5F">
      <w:pPr>
        <w:snapToGrid w:val="0"/>
        <w:spacing w:line="440" w:lineRule="exact"/>
        <w:ind w:firstLine="480"/>
        <w:rPr>
          <w:rStyle w:val="149"/>
          <w:rFonts w:hint="eastAsia" w:ascii="Times New Roman"/>
          <w:color w:val="auto"/>
          <w:kern w:val="0"/>
          <w:highlight w:val="none"/>
        </w:rPr>
      </w:pPr>
    </w:p>
    <w:p w14:paraId="22061A40">
      <w:pPr>
        <w:snapToGrid w:val="0"/>
        <w:spacing w:line="440" w:lineRule="exact"/>
        <w:ind w:firstLine="480"/>
        <w:rPr>
          <w:rStyle w:val="149"/>
          <w:rFonts w:hint="eastAsia" w:ascii="Times New Roman"/>
          <w:color w:val="auto"/>
          <w:kern w:val="0"/>
          <w:highlight w:val="none"/>
        </w:rPr>
      </w:pPr>
    </w:p>
    <w:p w14:paraId="55DED7E1">
      <w:pPr>
        <w:rPr>
          <w:rFonts w:hint="eastAsia" w:ascii="宋体" w:hAnsi="宋体" w:eastAsia="宋体" w:cs="宋体"/>
          <w:b/>
          <w:snapToGrid w:val="0"/>
          <w:color w:val="auto"/>
          <w:sz w:val="24"/>
          <w:highlight w:val="none"/>
          <w:lang w:val="en-US" w:eastAsia="zh-CN"/>
        </w:rPr>
      </w:pPr>
      <w:bookmarkStart w:id="191" w:name="_Toc29773"/>
      <w:r>
        <w:rPr>
          <w:rFonts w:hint="eastAsia" w:ascii="宋体" w:hAnsi="宋体" w:eastAsia="宋体" w:cs="宋体"/>
          <w:b/>
          <w:snapToGrid w:val="0"/>
          <w:color w:val="auto"/>
          <w:sz w:val="24"/>
          <w:highlight w:val="none"/>
          <w:lang w:val="en-US" w:eastAsia="zh-CN"/>
        </w:rPr>
        <w:br w:type="page"/>
      </w:r>
    </w:p>
    <w:p w14:paraId="29F19798">
      <w:pPr>
        <w:snapToGrid w:val="0"/>
        <w:spacing w:line="440" w:lineRule="exact"/>
        <w:ind w:firstLine="480"/>
        <w:jc w:val="center"/>
        <w:outlineLvl w:val="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sz w:val="24"/>
          <w:highlight w:val="none"/>
          <w:lang w:val="en-US" w:eastAsia="zh-CN"/>
        </w:rPr>
        <w:t>第</w:t>
      </w:r>
      <w:bookmarkStart w:id="192" w:name="_Hlt69669171"/>
      <w:bookmarkEnd w:id="192"/>
      <w:r>
        <w:rPr>
          <w:rFonts w:hint="eastAsia" w:ascii="宋体" w:hAnsi="宋体" w:eastAsia="宋体" w:cs="宋体"/>
          <w:b/>
          <w:snapToGrid w:val="0"/>
          <w:color w:val="auto"/>
          <w:sz w:val="24"/>
          <w:highlight w:val="none"/>
          <w:lang w:val="en-US" w:eastAsia="zh-CN"/>
        </w:rPr>
        <w:t>二章</w:t>
      </w:r>
      <w:bookmarkStart w:id="193" w:name="_Hlt87793839"/>
      <w:bookmarkEnd w:id="193"/>
      <w:r>
        <w:rPr>
          <w:rFonts w:hint="eastAsia" w:ascii="宋体" w:hAnsi="宋体" w:eastAsia="宋体" w:cs="宋体"/>
          <w:b/>
          <w:snapToGrid w:val="0"/>
          <w:color w:val="auto"/>
          <w:sz w:val="24"/>
          <w:highlight w:val="none"/>
          <w:lang w:val="en-US" w:eastAsia="zh-CN"/>
        </w:rPr>
        <w:t xml:space="preserve"> 中标人须知</w:t>
      </w:r>
      <w:bookmarkEnd w:id="186"/>
      <w:bookmarkEnd w:id="187"/>
      <w:bookmarkEnd w:id="188"/>
      <w:bookmarkEnd w:id="189"/>
      <w:bookmarkEnd w:id="190"/>
      <w:bookmarkEnd w:id="191"/>
    </w:p>
    <w:p w14:paraId="72BDAD02">
      <w:pPr>
        <w:pStyle w:val="5"/>
        <w:bidi w:val="0"/>
        <w:spacing w:line="360" w:lineRule="auto"/>
        <w:ind w:firstLine="482" w:firstLineChars="200"/>
        <w:outlineLvl w:val="2"/>
        <w:rPr>
          <w:rFonts w:hint="eastAsia"/>
          <w:color w:val="auto"/>
          <w:highlight w:val="none"/>
        </w:rPr>
      </w:pPr>
      <w:bookmarkStart w:id="194" w:name="_Toc12725"/>
      <w:bookmarkStart w:id="195" w:name="_Toc2206"/>
      <w:bookmarkStart w:id="196" w:name="_Toc28684"/>
      <w:bookmarkStart w:id="197" w:name="_Toc19632"/>
      <w:bookmarkStart w:id="198" w:name="_Hlt69698713"/>
      <w:bookmarkStart w:id="199" w:name="_Hlt69698765"/>
      <w:bookmarkStart w:id="200" w:name="_Hlt69698776"/>
      <w:bookmarkStart w:id="201" w:name="_Toc28918"/>
      <w:r>
        <w:rPr>
          <w:rFonts w:hint="eastAsia"/>
          <w:color w:val="auto"/>
          <w:highlight w:val="none"/>
        </w:rPr>
        <w:t>1．中标通知书</w:t>
      </w:r>
      <w:bookmarkEnd w:id="194"/>
      <w:bookmarkEnd w:id="195"/>
    </w:p>
    <w:p w14:paraId="09B8884C">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812CA2B">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4788E5AA">
      <w:pPr>
        <w:pStyle w:val="5"/>
        <w:bidi w:val="0"/>
        <w:spacing w:line="360" w:lineRule="auto"/>
        <w:ind w:firstLine="482" w:firstLineChars="200"/>
        <w:outlineLvl w:val="2"/>
        <w:rPr>
          <w:rFonts w:hint="eastAsia"/>
          <w:color w:val="auto"/>
          <w:highlight w:val="none"/>
        </w:rPr>
      </w:pPr>
      <w:bookmarkStart w:id="202" w:name="_Toc14349"/>
      <w:bookmarkStart w:id="203" w:name="_Toc15220"/>
      <w:r>
        <w:rPr>
          <w:rFonts w:hint="eastAsia"/>
          <w:color w:val="auto"/>
          <w:highlight w:val="none"/>
        </w:rPr>
        <w:t>2．中标结果公示</w:t>
      </w:r>
      <w:bookmarkEnd w:id="202"/>
      <w:bookmarkEnd w:id="203"/>
    </w:p>
    <w:p w14:paraId="7288CA55">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60D61684">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0351D1D6">
      <w:pPr>
        <w:pStyle w:val="5"/>
        <w:pageBreakBefore w:val="0"/>
        <w:kinsoku/>
        <w:overflowPunct/>
        <w:topLinePunct w:val="0"/>
        <w:autoSpaceDE/>
        <w:autoSpaceDN/>
        <w:bidi w:val="0"/>
        <w:spacing w:beforeLines="0" w:afterLines="0" w:line="360" w:lineRule="auto"/>
        <w:ind w:firstLine="482" w:firstLineChars="200"/>
        <w:textAlignment w:val="auto"/>
        <w:outlineLvl w:val="2"/>
        <w:rPr>
          <w:rFonts w:hint="eastAsia"/>
          <w:color w:val="auto"/>
          <w:highlight w:val="none"/>
        </w:rPr>
      </w:pPr>
      <w:bookmarkStart w:id="204" w:name="_Toc19717"/>
      <w:bookmarkStart w:id="205" w:name="_Toc10406"/>
      <w:r>
        <w:rPr>
          <w:rFonts w:hint="eastAsia"/>
          <w:color w:val="auto"/>
          <w:highlight w:val="none"/>
        </w:rPr>
        <w:t>3．履约保证</w:t>
      </w:r>
      <w:bookmarkEnd w:id="204"/>
      <w:bookmarkEnd w:id="205"/>
    </w:p>
    <w:p w14:paraId="71E38F26">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 的履约保证。 </w:t>
      </w:r>
    </w:p>
    <w:p w14:paraId="40BAEDE5">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3.2</w:t>
      </w:r>
      <w:r>
        <w:rPr>
          <w:rFonts w:hint="eastAsia" w:ascii="宋体" w:hAnsi="宋体" w:eastAsia="宋体" w:cs="宋体"/>
          <w:snapToGrid w:val="0"/>
          <w:color w:val="auto"/>
          <w:kern w:val="0"/>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5C02F9C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caps w:val="0"/>
          <w:smallCaps w:val="0"/>
          <w:snapToGrid w:val="0"/>
          <w:color w:val="auto"/>
          <w:spacing w:val="0"/>
          <w:kern w:val="0"/>
          <w:sz w:val="24"/>
          <w:szCs w:val="20"/>
          <w:highlight w:val="none"/>
          <w:u w:val="none" w:color="auto"/>
          <w:lang w:val="en-US" w:eastAsia="zh-CN" w:bidi="ar-SA"/>
        </w:rPr>
        <w:t>3.3</w:t>
      </w:r>
      <w:r>
        <w:rPr>
          <w:rFonts w:hint="eastAsia" w:ascii="宋体" w:hAnsi="宋体" w:eastAsia="宋体" w:cs="宋体"/>
          <w:caps w:val="0"/>
          <w:smallCaps w:val="0"/>
          <w:snapToGrid w:val="0"/>
          <w:color w:val="auto"/>
          <w:spacing w:val="0"/>
          <w:kern w:val="0"/>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highlight w:val="none"/>
        </w:rPr>
        <w:t>并由招标人通报建设行政管理部门。如采用</w:t>
      </w:r>
      <w:r>
        <w:rPr>
          <w:rFonts w:hint="eastAsia" w:ascii="宋体" w:hAnsi="宋体" w:eastAsia="宋体" w:cs="宋体"/>
          <w:snapToGrid w:val="0"/>
          <w:color w:val="auto"/>
          <w:kern w:val="0"/>
          <w:highlight w:val="none"/>
          <w:lang w:eastAsia="zh-CN"/>
        </w:rPr>
        <w:t>商业保函、银行保函或保险合同</w:t>
      </w:r>
      <w:r>
        <w:rPr>
          <w:rFonts w:hint="eastAsia" w:ascii="宋体" w:hAnsi="宋体" w:eastAsia="宋体" w:cs="宋体"/>
          <w:snapToGrid w:val="0"/>
          <w:color w:val="auto"/>
          <w:kern w:val="0"/>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highlight w:val="none"/>
          <w:lang w:eastAsia="zh-CN"/>
        </w:rPr>
        <w:t>商业保函、银行保函或保险合同。</w:t>
      </w:r>
    </w:p>
    <w:p w14:paraId="692333B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BC08B2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项目通过竣工验收之日后28天内，发包人将履约保证退还给承包人。</w:t>
      </w:r>
    </w:p>
    <w:p w14:paraId="5CEF5CF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33D1CF2C">
      <w:pPr>
        <w:pStyle w:val="5"/>
        <w:bidi w:val="0"/>
        <w:spacing w:line="360" w:lineRule="auto"/>
        <w:outlineLvl w:val="2"/>
        <w:rPr>
          <w:rFonts w:hint="eastAsia"/>
          <w:color w:val="auto"/>
          <w:highlight w:val="none"/>
        </w:rPr>
      </w:pPr>
      <w:bookmarkStart w:id="206" w:name="_Toc9821"/>
      <w:bookmarkStart w:id="207" w:name="_Toc28115"/>
      <w:r>
        <w:rPr>
          <w:rFonts w:hint="eastAsia"/>
          <w:color w:val="auto"/>
          <w:highlight w:val="none"/>
        </w:rPr>
        <w:t>4．合同订立</w:t>
      </w:r>
      <w:bookmarkEnd w:id="206"/>
      <w:bookmarkEnd w:id="207"/>
    </w:p>
    <w:p w14:paraId="2CB858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77D1282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1496DF4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795CB541">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BF391B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3470AE2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D60043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3BA0FFC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63169326">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3737AB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0F00EAC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4218B84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5AA6D15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4CE238BE">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1543F408">
      <w:pPr>
        <w:pStyle w:val="5"/>
        <w:bidi w:val="0"/>
        <w:spacing w:line="360" w:lineRule="auto"/>
        <w:ind w:firstLine="964"/>
        <w:outlineLvl w:val="2"/>
        <w:rPr>
          <w:rFonts w:hint="eastAsia" w:ascii="宋体" w:hAnsi="宋体" w:eastAsia="宋体" w:cs="Times New Roman"/>
          <w:color w:val="auto"/>
          <w:highlight w:val="none"/>
        </w:rPr>
      </w:pPr>
      <w:bookmarkStart w:id="208" w:name="_Toc6695"/>
      <w:bookmarkStart w:id="209" w:name="_Toc9495"/>
      <w:r>
        <w:rPr>
          <w:rFonts w:hint="eastAsia" w:ascii="宋体" w:hAnsi="宋体" w:eastAsia="宋体" w:cs="Times New Roman"/>
          <w:color w:val="auto"/>
          <w:highlight w:val="none"/>
        </w:rPr>
        <w:t>5．放弃中标的处理</w:t>
      </w:r>
      <w:bookmarkEnd w:id="208"/>
      <w:bookmarkEnd w:id="209"/>
    </w:p>
    <w:p w14:paraId="5538040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517ACB5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8BB2A19">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78FC8797">
      <w:pPr>
        <w:pStyle w:val="5"/>
        <w:bidi w:val="0"/>
        <w:spacing w:line="360" w:lineRule="auto"/>
        <w:ind w:firstLine="964"/>
        <w:outlineLvl w:val="2"/>
        <w:rPr>
          <w:rFonts w:hint="eastAsia" w:ascii="宋体" w:hAnsi="宋体" w:eastAsia="宋体" w:cs="Times New Roman"/>
          <w:color w:val="auto"/>
          <w:highlight w:val="none"/>
        </w:rPr>
      </w:pPr>
      <w:bookmarkStart w:id="210" w:name="_Toc9642"/>
      <w:bookmarkStart w:id="211" w:name="_Toc9139"/>
      <w:r>
        <w:rPr>
          <w:rFonts w:hint="eastAsia" w:ascii="宋体" w:hAnsi="宋体" w:eastAsia="宋体" w:cs="Times New Roman"/>
          <w:color w:val="auto"/>
          <w:highlight w:val="none"/>
        </w:rPr>
        <w:t>6．专业工程分包</w:t>
      </w:r>
      <w:bookmarkEnd w:id="210"/>
      <w:bookmarkEnd w:id="211"/>
    </w:p>
    <w:p w14:paraId="24DE9FE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08398F8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5E21F0AB">
      <w:pPr>
        <w:pStyle w:val="5"/>
        <w:bidi w:val="0"/>
        <w:spacing w:line="360" w:lineRule="auto"/>
        <w:ind w:firstLine="964"/>
        <w:outlineLvl w:val="2"/>
        <w:rPr>
          <w:rFonts w:hint="eastAsia" w:ascii="宋体" w:hAnsi="宋体" w:eastAsia="宋体" w:cs="Times New Roman"/>
          <w:color w:val="auto"/>
          <w:highlight w:val="none"/>
        </w:rPr>
      </w:pPr>
      <w:bookmarkStart w:id="212" w:name="_Toc9817"/>
      <w:bookmarkStart w:id="213" w:name="_Toc1389"/>
      <w:r>
        <w:rPr>
          <w:rFonts w:hint="eastAsia" w:ascii="宋体" w:hAnsi="宋体" w:eastAsia="宋体" w:cs="Times New Roman"/>
          <w:color w:val="auto"/>
          <w:highlight w:val="none"/>
        </w:rPr>
        <w:t>7．工人工资支付专用账户</w:t>
      </w:r>
      <w:bookmarkEnd w:id="212"/>
      <w:bookmarkEnd w:id="213"/>
    </w:p>
    <w:p w14:paraId="520E8B2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7.1</w:t>
      </w:r>
      <w:r>
        <w:rPr>
          <w:rFonts w:hint="eastAsia" w:ascii="宋体" w:hAnsi="宋体" w:eastAsia="宋体" w:cs="宋体"/>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70E9203C">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snapToGrid w:val="0"/>
          <w:color w:val="auto"/>
          <w:kern w:val="0"/>
          <w:highlight w:val="none"/>
        </w:rPr>
      </w:pPr>
      <w:bookmarkStart w:id="214" w:name="_Toc16391"/>
      <w:bookmarkStart w:id="215" w:name="_Toc10614"/>
      <w:r>
        <w:rPr>
          <w:rFonts w:hint="eastAsia" w:ascii="宋体" w:hAnsi="宋体" w:eastAsia="宋体" w:cs="宋体"/>
          <w:b/>
          <w:bCs/>
          <w:snapToGrid w:val="0"/>
          <w:color w:val="auto"/>
          <w:kern w:val="0"/>
          <w:highlight w:val="none"/>
        </w:rPr>
        <w:t>7.2</w:t>
      </w:r>
      <w:r>
        <w:rPr>
          <w:rFonts w:hint="eastAsia" w:ascii="宋体" w:hAnsi="宋体" w:eastAsia="宋体" w:cs="宋体"/>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214"/>
      <w:bookmarkEnd w:id="215"/>
    </w:p>
    <w:p w14:paraId="1802F323">
      <w:pPr>
        <w:pStyle w:val="2"/>
        <w:keepNext/>
        <w:keepLines/>
        <w:pageBreakBefore w:val="0"/>
        <w:widowControl w:val="0"/>
        <w:kinsoku/>
        <w:wordWrap/>
        <w:overflowPunct/>
        <w:topLinePunct w:val="0"/>
        <w:autoSpaceDE/>
        <w:autoSpaceDN/>
        <w:bidi w:val="0"/>
        <w:adjustRightInd/>
        <w:snapToGrid/>
        <w:spacing w:before="0" w:after="0" w:line="360" w:lineRule="auto"/>
        <w:ind w:firstLine="482"/>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7.3</w:t>
      </w:r>
      <w:r>
        <w:rPr>
          <w:rFonts w:hint="eastAsia" w:ascii="宋体" w:hAnsi="宋体" w:eastAsia="宋体" w:cs="宋体"/>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AB3C3B">
      <w:pPr>
        <w:pStyle w:val="5"/>
        <w:bidi w:val="0"/>
        <w:spacing w:line="360" w:lineRule="auto"/>
        <w:ind w:firstLine="964"/>
        <w:outlineLvl w:val="2"/>
        <w:rPr>
          <w:rFonts w:hint="eastAsia" w:cs="Times New Roman"/>
          <w:color w:val="auto"/>
          <w:highlight w:val="none"/>
          <w:lang w:val="en-US" w:eastAsia="zh-CN"/>
        </w:rPr>
      </w:pPr>
      <w:bookmarkStart w:id="216" w:name="_Toc19718"/>
      <w:bookmarkStart w:id="217" w:name="_Toc8166"/>
    </w:p>
    <w:p w14:paraId="7CF7A43E">
      <w:pPr>
        <w:pStyle w:val="5"/>
        <w:bidi w:val="0"/>
        <w:spacing w:line="360" w:lineRule="auto"/>
        <w:ind w:firstLine="964"/>
        <w:outlineLvl w:val="2"/>
        <w:rPr>
          <w:rFonts w:hint="eastAsia" w:ascii="宋体" w:hAnsi="宋体" w:eastAsia="宋体" w:cs="Times New Roman"/>
          <w:color w:val="auto"/>
          <w:highlight w:val="none"/>
        </w:rPr>
      </w:pPr>
      <w:r>
        <w:rPr>
          <w:rFonts w:hint="eastAsia" w:cs="Times New Roman"/>
          <w:color w:val="auto"/>
          <w:highlight w:val="none"/>
          <w:lang w:val="en-US" w:eastAsia="zh-CN"/>
        </w:rPr>
        <w:t>8</w:t>
      </w:r>
      <w:r>
        <w:rPr>
          <w:rFonts w:hint="eastAsia" w:ascii="宋体" w:hAnsi="宋体" w:eastAsia="宋体" w:cs="Times New Roman"/>
          <w:color w:val="auto"/>
          <w:highlight w:val="none"/>
        </w:rPr>
        <w:t>．工期进度</w:t>
      </w:r>
      <w:bookmarkEnd w:id="216"/>
      <w:bookmarkEnd w:id="217"/>
    </w:p>
    <w:p w14:paraId="2AD56E7E">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eastAsia="zh-CN"/>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w:t>
      </w:r>
      <w:r>
        <w:rPr>
          <w:rFonts w:hint="eastAsia" w:hAnsi="宋体" w:cs="宋体"/>
          <w:snapToGrid w:val="0"/>
          <w:color w:val="auto"/>
          <w:kern w:val="0"/>
          <w:szCs w:val="24"/>
          <w:highlight w:val="none"/>
          <w:lang w:eastAsia="zh-CN"/>
        </w:rPr>
        <w:t>本招标项目施工工期为</w:t>
      </w:r>
      <w:r>
        <w:rPr>
          <w:rFonts w:hint="eastAsia" w:hAnsi="宋体" w:cs="宋体"/>
          <w:snapToGrid w:val="0"/>
          <w:color w:val="auto"/>
          <w:kern w:val="0"/>
          <w:szCs w:val="24"/>
          <w:highlight w:val="none"/>
          <w:lang w:val="en-US" w:eastAsia="zh-CN"/>
        </w:rPr>
        <w:t>90</w:t>
      </w:r>
      <w:r>
        <w:rPr>
          <w:rFonts w:hint="eastAsia" w:hAnsi="宋体" w:cs="宋体"/>
          <w:snapToGrid w:val="0"/>
          <w:color w:val="auto"/>
          <w:kern w:val="0"/>
          <w:szCs w:val="24"/>
          <w:highlight w:val="none"/>
          <w:lang w:eastAsia="zh-CN"/>
        </w:rPr>
        <w:t>个日历天。中标人必须在招标工期内完成本工程招标范围内的全部内容。</w:t>
      </w:r>
    </w:p>
    <w:p w14:paraId="243D28F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施工工期从承包人收到监理单位签发的开工令之日起计，至竣工验收合格之日止。</w:t>
      </w:r>
    </w:p>
    <w:p w14:paraId="059E580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8</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由于承包人原因造成工期延误的，承包人须在逾期第壹天起每天按合同价的</w:t>
      </w:r>
      <w:r>
        <w:rPr>
          <w:rFonts w:hint="eastAsia" w:ascii="宋体" w:hAnsi="宋体" w:eastAsia="宋体" w:cs="宋体"/>
          <w:snapToGrid w:val="0"/>
          <w:color w:val="auto"/>
          <w:kern w:val="0"/>
          <w:highlight w:val="none"/>
          <w:u w:val="single"/>
        </w:rPr>
        <w:t>1‰</w:t>
      </w:r>
      <w:r>
        <w:rPr>
          <w:rFonts w:hint="eastAsia" w:ascii="宋体" w:hAnsi="宋体" w:eastAsia="宋体" w:cs="宋体"/>
          <w:snapToGrid w:val="0"/>
          <w:color w:val="auto"/>
          <w:kern w:val="0"/>
          <w:highlight w:val="none"/>
        </w:rPr>
        <w:t>向招标人返纳逾期竣工违约金。逾期竣工违约金的最高限额为合同价款的</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w:t>
      </w:r>
      <w:r>
        <w:rPr>
          <w:rFonts w:hint="eastAsia" w:ascii="宋体" w:hAnsi="宋体" w:eastAsia="宋体" w:cs="宋体"/>
          <w:iCs/>
          <w:snapToGrid w:val="0"/>
          <w:color w:val="auto"/>
          <w:kern w:val="0"/>
          <w:highlight w:val="none"/>
        </w:rPr>
        <w:t>。</w:t>
      </w:r>
    </w:p>
    <w:p w14:paraId="1FBD65A2">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3F313E50">
      <w:pPr>
        <w:pStyle w:val="5"/>
        <w:bidi w:val="0"/>
        <w:spacing w:line="360" w:lineRule="auto"/>
        <w:ind w:firstLine="964"/>
        <w:outlineLvl w:val="2"/>
        <w:rPr>
          <w:rFonts w:hint="eastAsia" w:ascii="宋体" w:hAnsi="宋体" w:eastAsia="宋体" w:cs="Times New Roman"/>
          <w:color w:val="auto"/>
          <w:highlight w:val="none"/>
        </w:rPr>
      </w:pPr>
      <w:bookmarkStart w:id="218" w:name="_Toc13609"/>
      <w:bookmarkStart w:id="219" w:name="_Toc30701"/>
      <w:r>
        <w:rPr>
          <w:rFonts w:hint="eastAsia"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．项目管理机构</w:t>
      </w:r>
      <w:bookmarkEnd w:id="218"/>
      <w:bookmarkEnd w:id="219"/>
    </w:p>
    <w:p w14:paraId="347B9A8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承包人派驻的项目管理班子成员必须为其投标文件确定的人员，否则发包人有权终止合同。</w:t>
      </w:r>
    </w:p>
    <w:p w14:paraId="0630025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031C385">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hAnsi="宋体" w:cs="宋体"/>
          <w:b/>
          <w:bCs/>
          <w:snapToGrid w:val="0"/>
          <w:color w:val="auto"/>
          <w:kern w:val="0"/>
          <w:highlight w:val="none"/>
          <w:lang w:val="en-US" w:eastAsia="zh-CN"/>
        </w:rPr>
        <w:t>9</w:t>
      </w:r>
      <w:r>
        <w:rPr>
          <w:rFonts w:hint="eastAsia" w:ascii="宋体" w:hAnsi="宋体" w:eastAsia="宋体" w:cs="宋体"/>
          <w:b/>
          <w:bCs/>
          <w:snapToGrid w:val="0"/>
          <w:color w:val="auto"/>
          <w:kern w:val="0"/>
          <w:highlight w:val="none"/>
        </w:rPr>
        <w:t>.3根据项目实施进度情况，发包人有权要求承包人增派项目管理人员，以满足项目的现场管理工作要求。</w:t>
      </w:r>
    </w:p>
    <w:p w14:paraId="465DFAA0">
      <w:pPr>
        <w:pStyle w:val="5"/>
        <w:bidi w:val="0"/>
        <w:spacing w:line="360" w:lineRule="auto"/>
        <w:ind w:firstLine="964"/>
        <w:rPr>
          <w:rFonts w:hint="eastAsia" w:ascii="宋体" w:hAnsi="宋体" w:eastAsia="宋体" w:cs="Times New Roman"/>
          <w:color w:val="auto"/>
          <w:highlight w:val="none"/>
        </w:rPr>
      </w:pPr>
    </w:p>
    <w:p w14:paraId="64A7B709">
      <w:pPr>
        <w:pStyle w:val="5"/>
        <w:bidi w:val="0"/>
        <w:spacing w:line="360" w:lineRule="auto"/>
        <w:ind w:firstLine="964"/>
        <w:outlineLvl w:val="2"/>
        <w:rPr>
          <w:rFonts w:hint="eastAsia" w:ascii="宋体" w:hAnsi="宋体" w:eastAsia="宋体" w:cs="Times New Roman"/>
          <w:color w:val="auto"/>
          <w:highlight w:val="none"/>
        </w:rPr>
      </w:pPr>
      <w:bookmarkStart w:id="220" w:name="_Toc16095"/>
      <w:bookmarkStart w:id="221" w:name="_Toc1598"/>
      <w:r>
        <w:rPr>
          <w:rFonts w:hint="eastAsia" w:cs="Times New Roman"/>
          <w:color w:val="auto"/>
          <w:highlight w:val="none"/>
          <w:lang w:val="en-US" w:eastAsia="zh-CN"/>
        </w:rPr>
        <w:t>10</w:t>
      </w:r>
      <w:r>
        <w:rPr>
          <w:rFonts w:hint="eastAsia" w:ascii="宋体" w:hAnsi="宋体" w:eastAsia="宋体" w:cs="Times New Roman"/>
          <w:color w:val="auto"/>
          <w:highlight w:val="none"/>
        </w:rPr>
        <w:t>．现场管理</w:t>
      </w:r>
      <w:bookmarkEnd w:id="220"/>
      <w:bookmarkEnd w:id="221"/>
    </w:p>
    <w:p w14:paraId="2A72B47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10</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10FC7F8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.2</w:t>
      </w:r>
      <w:r>
        <w:rPr>
          <w:rFonts w:hint="eastAsia" w:ascii="宋体" w:hAnsi="宋体" w:eastAsia="宋体" w:cs="宋体"/>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24368C96">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0</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 xml:space="preserve"> 为保证施工现场的环境卫生，承包人在本招标项目施工过程中，所有的车辆必须按发包人规定的行车路线行驶。</w:t>
      </w:r>
    </w:p>
    <w:p w14:paraId="103934B7">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p>
    <w:p w14:paraId="0A1D3CFA">
      <w:pPr>
        <w:pStyle w:val="5"/>
        <w:bidi w:val="0"/>
        <w:spacing w:line="360" w:lineRule="auto"/>
        <w:ind w:firstLine="964"/>
        <w:outlineLvl w:val="2"/>
        <w:rPr>
          <w:rFonts w:hint="eastAsia" w:ascii="宋体" w:hAnsi="宋体" w:eastAsia="宋体" w:cs="Times New Roman"/>
          <w:color w:val="auto"/>
          <w:highlight w:val="none"/>
        </w:rPr>
      </w:pPr>
      <w:bookmarkStart w:id="222" w:name="_Toc30091"/>
      <w:bookmarkStart w:id="223" w:name="_Toc10956"/>
      <w:r>
        <w:rPr>
          <w:rFonts w:hint="eastAsia" w:cs="Times New Roman"/>
          <w:color w:val="auto"/>
          <w:highlight w:val="none"/>
          <w:lang w:val="en-US" w:eastAsia="zh-CN"/>
        </w:rPr>
        <w:t>11</w:t>
      </w:r>
      <w:r>
        <w:rPr>
          <w:rFonts w:hint="eastAsia" w:ascii="宋体" w:hAnsi="宋体" w:eastAsia="宋体" w:cs="Times New Roman"/>
          <w:color w:val="auto"/>
          <w:highlight w:val="none"/>
        </w:rPr>
        <w:t>．监督实施</w:t>
      </w:r>
      <w:bookmarkEnd w:id="222"/>
      <w:bookmarkEnd w:id="223"/>
    </w:p>
    <w:p w14:paraId="2D47543D">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F264A0D">
      <w:pPr>
        <w:wordWrap w:val="0"/>
        <w:adjustRightInd w:val="0"/>
        <w:snapToGrid w:val="0"/>
        <w:spacing w:line="360" w:lineRule="auto"/>
        <w:ind w:firstLine="560"/>
        <w:rPr>
          <w:rFonts w:hint="eastAsia" w:ascii="宋体" w:hAnsi="宋体" w:eastAsia="宋体" w:cs="宋体"/>
          <w:snapToGrid w:val="0"/>
          <w:color w:val="auto"/>
          <w:kern w:val="0"/>
          <w:highlight w:val="none"/>
        </w:rPr>
      </w:pPr>
    </w:p>
    <w:p w14:paraId="5C42D79F">
      <w:pPr>
        <w:pStyle w:val="5"/>
        <w:bidi w:val="0"/>
        <w:spacing w:line="360" w:lineRule="auto"/>
        <w:ind w:firstLine="964"/>
        <w:outlineLvl w:val="2"/>
        <w:rPr>
          <w:rFonts w:hint="eastAsia" w:ascii="宋体" w:hAnsi="宋体" w:eastAsia="宋体" w:cs="Times New Roman"/>
          <w:color w:val="auto"/>
          <w:highlight w:val="none"/>
        </w:rPr>
      </w:pPr>
      <w:bookmarkStart w:id="224" w:name="_Toc22159"/>
      <w:bookmarkStart w:id="225" w:name="_Toc18319"/>
      <w:r>
        <w:rPr>
          <w:rFonts w:hint="eastAsia" w:cs="Times New Roman"/>
          <w:color w:val="auto"/>
          <w:highlight w:val="none"/>
          <w:lang w:val="en-US" w:eastAsia="zh-CN"/>
        </w:rPr>
        <w:t>12</w:t>
      </w:r>
      <w:r>
        <w:rPr>
          <w:rFonts w:hint="eastAsia" w:ascii="宋体" w:hAnsi="宋体" w:eastAsia="宋体" w:cs="Times New Roman"/>
          <w:color w:val="auto"/>
          <w:highlight w:val="none"/>
        </w:rPr>
        <w:t>．主材的采购和使用</w:t>
      </w:r>
      <w:bookmarkEnd w:id="224"/>
      <w:bookmarkEnd w:id="225"/>
    </w:p>
    <w:p w14:paraId="13508D6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3B3FB01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4919E8CA">
      <w:pPr>
        <w:pStyle w:val="5"/>
        <w:bidi w:val="0"/>
        <w:spacing w:line="360" w:lineRule="auto"/>
        <w:ind w:firstLine="964"/>
        <w:outlineLvl w:val="2"/>
        <w:rPr>
          <w:rFonts w:hint="eastAsia" w:ascii="宋体" w:hAnsi="宋体" w:eastAsia="宋体" w:cs="Times New Roman"/>
          <w:color w:val="auto"/>
          <w:highlight w:val="none"/>
        </w:rPr>
      </w:pPr>
      <w:bookmarkStart w:id="226" w:name="_Toc23325"/>
      <w:bookmarkStart w:id="227" w:name="_Toc12082"/>
      <w:r>
        <w:rPr>
          <w:rFonts w:hint="eastAsia" w:cs="Times New Roman"/>
          <w:color w:val="auto"/>
          <w:highlight w:val="none"/>
          <w:lang w:val="en-US" w:eastAsia="zh-CN"/>
        </w:rPr>
        <w:t>13</w:t>
      </w:r>
      <w:r>
        <w:rPr>
          <w:rFonts w:hint="eastAsia" w:ascii="宋体" w:hAnsi="宋体" w:eastAsia="宋体" w:cs="Times New Roman"/>
          <w:color w:val="auto"/>
          <w:highlight w:val="none"/>
        </w:rPr>
        <w:t>．竣工资料移交</w:t>
      </w:r>
      <w:bookmarkEnd w:id="226"/>
      <w:bookmarkEnd w:id="227"/>
    </w:p>
    <w:p w14:paraId="79ABF43C">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项目竣工验收时，</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人应向监理单位和</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rPr>
        <w:t>捌</w:t>
      </w:r>
      <w:r>
        <w:rPr>
          <w:rFonts w:hint="eastAsia" w:hAnsi="宋体" w:cs="宋体"/>
          <w:bCs/>
          <w:snapToGrid w:val="0"/>
          <w:color w:val="auto"/>
          <w:kern w:val="0"/>
          <w:highlight w:val="none"/>
          <w:u w:val="single"/>
          <w:lang w:val="en-US" w:eastAsia="zh-CN"/>
        </w:rPr>
        <w:t xml:space="preserve"> </w:t>
      </w:r>
      <w:r>
        <w:rPr>
          <w:rFonts w:hint="eastAsia" w:hAnsi="宋体" w:cs="宋体"/>
          <w:bCs/>
          <w:snapToGrid w:val="0"/>
          <w:color w:val="auto"/>
          <w:kern w:val="0"/>
          <w:highlight w:val="none"/>
        </w:rPr>
        <w:t>份</w:t>
      </w:r>
      <w:r>
        <w:rPr>
          <w:rFonts w:hint="eastAsia" w:ascii="宋体" w:hAnsi="宋体" w:eastAsia="宋体" w:cs="宋体"/>
          <w:bCs/>
          <w:snapToGrid w:val="0"/>
          <w:color w:val="auto"/>
          <w:kern w:val="0"/>
          <w:highlight w:val="none"/>
        </w:rPr>
        <w:t>。</w:t>
      </w:r>
    </w:p>
    <w:p w14:paraId="4BACF0CC">
      <w:pPr>
        <w:wordWrap w:val="0"/>
        <w:adjustRightInd w:val="0"/>
        <w:snapToGrid w:val="0"/>
        <w:spacing w:line="360" w:lineRule="auto"/>
        <w:ind w:firstLine="560"/>
        <w:rPr>
          <w:rFonts w:hint="eastAsia" w:ascii="宋体" w:hAnsi="宋体" w:eastAsia="宋体" w:cs="宋体"/>
          <w:bCs/>
          <w:snapToGrid w:val="0"/>
          <w:color w:val="auto"/>
          <w:kern w:val="0"/>
          <w:highlight w:val="none"/>
        </w:rPr>
      </w:pPr>
    </w:p>
    <w:p w14:paraId="00F7809A">
      <w:pPr>
        <w:pStyle w:val="5"/>
        <w:bidi w:val="0"/>
        <w:spacing w:line="360" w:lineRule="auto"/>
        <w:ind w:firstLine="964"/>
        <w:outlineLvl w:val="2"/>
        <w:rPr>
          <w:rFonts w:hint="eastAsia" w:ascii="宋体" w:hAnsi="宋体" w:eastAsia="宋体" w:cs="Times New Roman"/>
          <w:color w:val="auto"/>
          <w:highlight w:val="none"/>
        </w:rPr>
      </w:pPr>
      <w:bookmarkStart w:id="228" w:name="_Toc148"/>
      <w:bookmarkStart w:id="229" w:name="_Toc22773"/>
      <w:r>
        <w:rPr>
          <w:rFonts w:hint="eastAsia" w:ascii="宋体" w:hAnsi="宋体" w:eastAsia="宋体" w:cs="Times New Roman"/>
          <w:color w:val="auto"/>
          <w:highlight w:val="none"/>
        </w:rPr>
        <w:t>1</w:t>
      </w:r>
      <w:r>
        <w:rPr>
          <w:rFonts w:hint="eastAsia" w:cs="Times New Roman"/>
          <w:color w:val="auto"/>
          <w:highlight w:val="none"/>
          <w:lang w:val="en-US" w:eastAsia="zh-CN"/>
        </w:rPr>
        <w:t>4</w:t>
      </w:r>
      <w:r>
        <w:rPr>
          <w:rFonts w:hint="eastAsia" w:ascii="宋体" w:hAnsi="宋体" w:eastAsia="宋体" w:cs="Times New Roman"/>
          <w:color w:val="auto"/>
          <w:highlight w:val="none"/>
        </w:rPr>
        <w:t>．质量保证</w:t>
      </w:r>
      <w:bookmarkEnd w:id="228"/>
      <w:bookmarkEnd w:id="229"/>
    </w:p>
    <w:p w14:paraId="03F89798">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w:t>
      </w:r>
      <w:r>
        <w:rPr>
          <w:rFonts w:hint="eastAsia" w:hAnsi="宋体" w:cs="宋体"/>
          <w:b/>
          <w:bCs/>
          <w:snapToGrid w:val="0"/>
          <w:color w:val="auto"/>
          <w:kern w:val="0"/>
          <w:highlight w:val="none"/>
          <w:lang w:val="en-US" w:eastAsia="zh-CN"/>
        </w:rPr>
        <w:t>4</w:t>
      </w:r>
      <w:r>
        <w:rPr>
          <w:rFonts w:hint="eastAsia" w:ascii="宋体" w:hAnsi="宋体" w:eastAsia="宋体" w:cs="宋体"/>
          <w:b/>
          <w:bCs/>
          <w:snapToGrid w:val="0"/>
          <w:color w:val="auto"/>
          <w:kern w:val="0"/>
          <w:highlight w:val="none"/>
        </w:rPr>
        <w:t>.1</w:t>
      </w:r>
      <w:r>
        <w:rPr>
          <w:rFonts w:hint="eastAsia" w:ascii="宋体" w:hAnsi="宋体" w:eastAsia="宋体" w:cs="宋体"/>
          <w:bCs/>
          <w:snapToGrid w:val="0"/>
          <w:color w:val="auto"/>
          <w:kern w:val="0"/>
          <w:highlight w:val="none"/>
        </w:rPr>
        <w:t xml:space="preserve"> 本招标项目缺陷责任期为</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年（自通过竣工验收之日起计），在此期间预留金额为结算价</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3</w:t>
      </w:r>
      <w:r>
        <w:rPr>
          <w:rFonts w:hint="eastAsia" w:ascii="宋体" w:hAnsi="宋体" w:eastAsia="宋体" w:cs="宋体"/>
          <w:bCs/>
          <w:snapToGrid w:val="0"/>
          <w:color w:val="auto"/>
          <w:kern w:val="0"/>
          <w:highlight w:val="none"/>
          <w:u w:val="single"/>
        </w:rPr>
        <w:t xml:space="preserve"> % </w:t>
      </w:r>
      <w:r>
        <w:rPr>
          <w:rFonts w:hint="eastAsia" w:ascii="宋体" w:hAnsi="宋体" w:eastAsia="宋体" w:cs="宋体"/>
          <w:bCs/>
          <w:snapToGrid w:val="0"/>
          <w:color w:val="auto"/>
          <w:kern w:val="0"/>
          <w:highlight w:val="none"/>
        </w:rPr>
        <w:t>的质量保证。</w:t>
      </w:r>
    </w:p>
    <w:p w14:paraId="2445E039">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.2</w:t>
      </w:r>
      <w:r>
        <w:rPr>
          <w:rFonts w:hint="eastAsia" w:ascii="宋体" w:hAnsi="宋体" w:eastAsia="宋体" w:cs="宋体"/>
          <w:bCs/>
          <w:snapToGrid w:val="0"/>
          <w:color w:val="auto"/>
          <w:kern w:val="0"/>
          <w:highlight w:val="none"/>
        </w:rPr>
        <w:t xml:space="preserve"> 质量保证的形式包括质量保证金、质量保证担保、质量保证保险三种，由承包人自主选择。</w:t>
      </w:r>
    </w:p>
    <w:p w14:paraId="71A74EB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（1）采用质量保证金形式的，在结清审定总造价时一次性扣留相应金额作为质量保证金。</w:t>
      </w:r>
    </w:p>
    <w:p w14:paraId="7B3B31EB">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Cs/>
          <w:snapToGrid w:val="0"/>
          <w:color w:val="auto"/>
          <w:kern w:val="0"/>
          <w:highlight w:val="none"/>
        </w:rPr>
        <w:t>。</w:t>
      </w:r>
    </w:p>
    <w:p w14:paraId="0CDB8A90">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.3</w:t>
      </w:r>
      <w:r>
        <w:rPr>
          <w:rFonts w:hint="eastAsia" w:ascii="宋体" w:hAnsi="宋体" w:eastAsia="宋体" w:cs="宋体"/>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BE780BF">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由他人原因造成的缺陷，发包人负责组织维修，承包人不承担费用，且发包人不得从质量保证中扣除费用。</w:t>
      </w:r>
    </w:p>
    <w:p w14:paraId="32BAC0ED">
      <w:pPr>
        <w:wordWrap w:val="0"/>
        <w:adjustRightInd w:val="0"/>
        <w:snapToGrid w:val="0"/>
        <w:spacing w:line="360" w:lineRule="auto"/>
        <w:ind w:firstLine="560"/>
        <w:rPr>
          <w:rFonts w:hint="eastAsia" w:ascii="宋体" w:hAnsi="宋体" w:eastAsia="宋体" w:cs="宋体"/>
          <w:bCs/>
          <w:snapToGrid w:val="0"/>
          <w:color w:val="auto"/>
          <w:kern w:val="0"/>
          <w:highlight w:val="none"/>
        </w:rPr>
      </w:pPr>
      <w:r>
        <w:rPr>
          <w:rFonts w:hint="eastAsia" w:hAnsi="宋体" w:cs="宋体"/>
          <w:b/>
          <w:bCs/>
          <w:snapToGrid w:val="0"/>
          <w:color w:val="auto"/>
          <w:kern w:val="0"/>
          <w:highlight w:val="none"/>
          <w:lang w:val="en-US" w:eastAsia="zh-CN"/>
        </w:rPr>
        <w:t>14</w:t>
      </w:r>
      <w:r>
        <w:rPr>
          <w:rFonts w:hint="eastAsia" w:ascii="宋体" w:hAnsi="宋体" w:eastAsia="宋体" w:cs="宋体"/>
          <w:b/>
          <w:bCs/>
          <w:snapToGrid w:val="0"/>
          <w:color w:val="auto"/>
          <w:kern w:val="0"/>
          <w:highlight w:val="none"/>
        </w:rPr>
        <w:t>.4</w:t>
      </w:r>
      <w:r>
        <w:rPr>
          <w:rFonts w:hint="eastAsia" w:ascii="宋体" w:hAnsi="宋体" w:eastAsia="宋体" w:cs="宋体"/>
          <w:bCs/>
          <w:snapToGrid w:val="0"/>
          <w:color w:val="auto"/>
          <w:kern w:val="0"/>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1FE33D35">
      <w:pPr>
        <w:pStyle w:val="5"/>
        <w:bidi w:val="0"/>
        <w:spacing w:line="360" w:lineRule="auto"/>
        <w:ind w:firstLine="964"/>
        <w:rPr>
          <w:rFonts w:hint="eastAsia" w:ascii="宋体" w:hAnsi="宋体" w:eastAsia="宋体" w:cs="Times New Roman"/>
          <w:color w:val="auto"/>
          <w:highlight w:val="none"/>
        </w:rPr>
      </w:pPr>
    </w:p>
    <w:p w14:paraId="693CBEB0">
      <w:pPr>
        <w:pStyle w:val="5"/>
        <w:bidi w:val="0"/>
        <w:spacing w:line="360" w:lineRule="auto"/>
        <w:ind w:firstLine="964"/>
        <w:outlineLvl w:val="2"/>
        <w:rPr>
          <w:rFonts w:hint="eastAsia" w:ascii="宋体" w:hAnsi="宋体" w:eastAsia="宋体" w:cs="Times New Roman"/>
          <w:color w:val="auto"/>
          <w:highlight w:val="none"/>
        </w:rPr>
      </w:pPr>
      <w:bookmarkStart w:id="230" w:name="_Toc14587"/>
      <w:bookmarkStart w:id="231" w:name="_Toc10832"/>
      <w:r>
        <w:rPr>
          <w:rFonts w:hint="eastAsia" w:cs="Times New Roman"/>
          <w:color w:val="auto"/>
          <w:highlight w:val="none"/>
          <w:lang w:val="en-US" w:eastAsia="zh-CN"/>
        </w:rPr>
        <w:t>15</w:t>
      </w:r>
      <w:r>
        <w:rPr>
          <w:rFonts w:hint="eastAsia" w:ascii="宋体" w:hAnsi="宋体" w:eastAsia="宋体" w:cs="Times New Roman"/>
          <w:color w:val="auto"/>
          <w:highlight w:val="none"/>
        </w:rPr>
        <w:t>．不良行为处理</w:t>
      </w:r>
      <w:bookmarkEnd w:id="230"/>
      <w:bookmarkEnd w:id="231"/>
    </w:p>
    <w:p w14:paraId="52508B8E">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036055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（1）转包、违法分包或违反投标承诺分包工程的；</w:t>
      </w:r>
    </w:p>
    <w:p w14:paraId="2AE7784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（2）非原参加投标中标的项目经理负责组织施工或在实施过程中擅自更换项目经理的、项目的其他主要管理人员与中标文件确定的人员不相符的；</w:t>
      </w:r>
    </w:p>
    <w:p w14:paraId="53DF95CA">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（3）投标文件确定的大型机械设备没有进入施工现场的；</w:t>
      </w:r>
    </w:p>
    <w:p w14:paraId="443B5A06">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（4）与建设单位、监理单位串通，签认虚假工程量或工程造价的；</w:t>
      </w:r>
    </w:p>
    <w:p w14:paraId="69CBD472">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（5）项目经理施工现场管理不到位的；</w:t>
      </w:r>
    </w:p>
    <w:p w14:paraId="0593A38C">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（6）项目经理在非本人资格证书注册单位从事工程项目施工管理的；</w:t>
      </w:r>
    </w:p>
    <w:p w14:paraId="4E5EB71D">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（7）项目经理同时承担超过一项工程项目的；</w:t>
      </w:r>
    </w:p>
    <w:p w14:paraId="52684FA9">
      <w:pPr>
        <w:pStyle w:val="140"/>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（8）违反有关法律、法规、规章规定的其它行为。</w:t>
      </w:r>
    </w:p>
    <w:p w14:paraId="0312BB05">
      <w:pPr>
        <w:pStyle w:val="5"/>
        <w:bidi w:val="0"/>
        <w:spacing w:line="360" w:lineRule="auto"/>
        <w:ind w:firstLine="964"/>
        <w:rPr>
          <w:rFonts w:hint="eastAsia" w:ascii="宋体" w:hAnsi="宋体" w:eastAsia="宋体" w:cs="Times New Roman"/>
          <w:color w:val="auto"/>
          <w:highlight w:val="none"/>
        </w:rPr>
      </w:pPr>
    </w:p>
    <w:p w14:paraId="6BC5D4D5">
      <w:pPr>
        <w:pStyle w:val="5"/>
        <w:bidi w:val="0"/>
        <w:spacing w:line="360" w:lineRule="auto"/>
        <w:ind w:firstLine="964"/>
        <w:outlineLvl w:val="2"/>
        <w:rPr>
          <w:rFonts w:hint="eastAsia" w:ascii="宋体" w:hAnsi="宋体" w:eastAsia="宋体" w:cs="宋体"/>
          <w:color w:val="auto"/>
          <w:highlight w:val="none"/>
        </w:rPr>
      </w:pPr>
      <w:bookmarkStart w:id="232" w:name="_Toc19780"/>
      <w:bookmarkStart w:id="233" w:name="_Toc31179"/>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rPr>
        <w:t>．信用评价条款内容</w:t>
      </w:r>
      <w:bookmarkEnd w:id="232"/>
      <w:bookmarkEnd w:id="233"/>
    </w:p>
    <w:p w14:paraId="50998EAD">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053A2263">
      <w:pPr>
        <w:pStyle w:val="102"/>
        <w:wordWrap w:val="0"/>
        <w:adjustRightInd w:val="0"/>
        <w:snapToGrid w:val="0"/>
        <w:spacing w:line="360" w:lineRule="auto"/>
        <w:ind w:firstLine="560"/>
        <w:rPr>
          <w:rFonts w:hint="eastAsia" w:ascii="宋体" w:hAnsi="宋体" w:eastAsia="宋体" w:cs="宋体"/>
          <w:snapToGrid w:val="0"/>
          <w:color w:val="auto"/>
          <w:kern w:val="0"/>
          <w:szCs w:val="28"/>
          <w:highlight w:val="none"/>
        </w:rPr>
      </w:pPr>
    </w:p>
    <w:p w14:paraId="6D6C0A03">
      <w:pPr>
        <w:pStyle w:val="102"/>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lang w:eastAsia="zh-CN"/>
        </w:rPr>
      </w:pPr>
      <w:r>
        <w:rPr>
          <w:rFonts w:hint="eastAsia" w:ascii="宋体" w:hAnsi="宋体" w:eastAsia="宋体" w:cs="宋体"/>
          <w:b/>
          <w:color w:val="auto"/>
          <w:kern w:val="0"/>
          <w:sz w:val="24"/>
          <w:szCs w:val="20"/>
          <w:highlight w:val="none"/>
          <w:lang w:val="en-US" w:eastAsia="zh-CN" w:bidi="ar-SA"/>
        </w:rPr>
        <w:t>17.</w:t>
      </w:r>
      <w:r>
        <w:rPr>
          <w:rFonts w:hint="eastAsia" w:ascii="宋体" w:hAnsi="宋体" w:eastAsia="宋体" w:cs="宋体"/>
          <w:b w:val="0"/>
          <w:bCs w:val="0"/>
          <w:snapToGrid w:val="0"/>
          <w:color w:val="auto"/>
          <w:kern w:val="0"/>
          <w:szCs w:val="28"/>
          <w:highlight w:val="none"/>
        </w:rPr>
        <w:t>认真贯彻执行国家关于环境保护的方针政策，遵守国家有关法规、规范、标准，确保出水各项指标均能达到乐昌市环保验收标准。</w:t>
      </w:r>
    </w:p>
    <w:p w14:paraId="0228C921">
      <w:pPr>
        <w:pStyle w:val="5"/>
        <w:bidi w:val="0"/>
        <w:spacing w:line="360" w:lineRule="auto"/>
        <w:ind w:firstLine="964"/>
        <w:rPr>
          <w:rFonts w:hint="eastAsia" w:ascii="宋体" w:hAnsi="宋体" w:eastAsia="宋体" w:cs="宋体"/>
          <w:color w:val="auto"/>
          <w:highlight w:val="none"/>
        </w:rPr>
      </w:pPr>
    </w:p>
    <w:p w14:paraId="7079ECB3">
      <w:pPr>
        <w:pStyle w:val="5"/>
        <w:bidi w:val="0"/>
        <w:spacing w:line="360" w:lineRule="auto"/>
        <w:ind w:firstLine="964"/>
        <w:outlineLvl w:val="2"/>
        <w:rPr>
          <w:rFonts w:hint="eastAsia" w:ascii="宋体" w:hAnsi="宋体" w:eastAsia="宋体" w:cs="宋体"/>
          <w:color w:val="auto"/>
          <w:highlight w:val="none"/>
        </w:rPr>
      </w:pPr>
      <w:bookmarkStart w:id="234" w:name="_Toc3069"/>
      <w:bookmarkStart w:id="235" w:name="_Toc22158"/>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．其他事项（招标人自行补充）</w:t>
      </w:r>
      <w:bookmarkEnd w:id="234"/>
      <w:bookmarkEnd w:id="235"/>
    </w:p>
    <w:p w14:paraId="517C4C41">
      <w:pPr>
        <w:pStyle w:val="102"/>
        <w:snapToGrid w:val="0"/>
        <w:spacing w:line="360" w:lineRule="auto"/>
        <w:ind w:firstLine="482" w:firstLineChars="200"/>
        <w:rPr>
          <w:rFonts w:hint="eastAsia" w:ascii="宋体" w:hAnsi="宋体" w:eastAsia="宋体" w:cs="宋体"/>
          <w:color w:val="auto"/>
          <w:highlight w:val="none"/>
          <w:shd w:val="clear" w:color="auto" w:fill="FFFFFF"/>
        </w:rPr>
      </w:pPr>
      <w:bookmarkStart w:id="236" w:name="_Toc24436"/>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w:t>
      </w:r>
      <w:r>
        <w:rPr>
          <w:rFonts w:hint="eastAsia" w:ascii="宋体" w:hAnsi="宋体" w:eastAsia="宋体" w:cs="宋体"/>
          <w:color w:val="auto"/>
          <w:highlight w:val="none"/>
          <w:shd w:val="clear" w:color="auto" w:fill="FFFFFF"/>
        </w:rPr>
        <w:t>中标人须为招标人提供现场管理的交通便利（开工至质保期满）。中标人不得以任何理由提出任何费用及补偿要求。</w:t>
      </w:r>
    </w:p>
    <w:p w14:paraId="49FC6ED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.2</w:t>
      </w:r>
      <w:r>
        <w:rPr>
          <w:rFonts w:hint="eastAsia" w:ascii="宋体" w:hAnsi="宋体" w:eastAsia="宋体" w:cs="宋体"/>
          <w:color w:val="auto"/>
          <w:highlight w:val="none"/>
          <w:shd w:val="clear" w:color="auto" w:fill="FFFFFF"/>
        </w:rPr>
        <w:t>工程竣工验收后15日内，中标人应按市城建档案馆的要求（质量、数量），将编制成册的施工档案资料（含声像档案和电子档案）提供给招标人、市城建档案馆、市住管局、管养单位及监理单位，并承担档案涉及的所有费用（制作标准和相关要求按市城建档案馆的有关规定执行）。中标人提交符合城建档案馆要求的竣工资料经招标人确认签收后，即可办理工程结算手续。</w:t>
      </w:r>
    </w:p>
    <w:p w14:paraId="3FFC82A6">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.3</w:t>
      </w:r>
      <w:r>
        <w:rPr>
          <w:rFonts w:hint="eastAsia" w:ascii="宋体" w:hAnsi="宋体" w:eastAsia="宋体" w:cs="宋体"/>
          <w:color w:val="auto"/>
          <w:highlight w:val="none"/>
          <w:shd w:val="clear" w:color="auto" w:fill="FFFFFF"/>
        </w:rPr>
        <w:t>为保证施工现场的环境卫生，中标人在本项目施工过程中，所有的车辆必须按招标人规定的行车路线行驶。并负责施工现场及受施工影响周边道路的卫生。</w:t>
      </w:r>
    </w:p>
    <w:p w14:paraId="1A6C48A4">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.4</w:t>
      </w:r>
      <w:r>
        <w:rPr>
          <w:rFonts w:hint="eastAsia" w:ascii="宋体" w:hAnsi="宋体" w:eastAsia="宋体" w:cs="宋体"/>
          <w:color w:val="auto"/>
          <w:highlight w:val="none"/>
          <w:shd w:val="clear" w:color="auto" w:fill="FFFFFF"/>
        </w:rPr>
        <w:t>中标人对建筑垃圾须按《韶关市建筑垃圾管理条例》（2021年5月1日起施行）的相关规定进行排放和运输，投标人在投标报价时综合考虑在报价内，招标人不另行支付该部分费用。</w:t>
      </w:r>
    </w:p>
    <w:p w14:paraId="3DCF711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.5</w:t>
      </w:r>
      <w:r>
        <w:rPr>
          <w:rFonts w:hint="eastAsia" w:ascii="宋体" w:hAnsi="宋体" w:eastAsia="宋体" w:cs="宋体"/>
          <w:color w:val="auto"/>
          <w:highlight w:val="none"/>
          <w:shd w:val="clear" w:color="auto" w:fill="FFFFFF"/>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08D9533">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.6</w:t>
      </w:r>
      <w:r>
        <w:rPr>
          <w:rFonts w:hint="eastAsia" w:ascii="宋体" w:hAnsi="宋体" w:eastAsia="宋体" w:cs="宋体"/>
          <w:color w:val="auto"/>
          <w:highlight w:val="none"/>
          <w:shd w:val="clear" w:color="auto" w:fill="FFFFFF"/>
        </w:rPr>
        <w:t>（一）用人单位应当在建设项目动工前，在建设项目所在地商业银行设立工人工资支付专用账户。</w:t>
      </w:r>
    </w:p>
    <w:p w14:paraId="479A5421">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（二）用人单位应当在用工之日起15日内为每一位工人办理个人银行账户。</w:t>
      </w:r>
    </w:p>
    <w:p w14:paraId="789CFC6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284BB79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731C3E5A">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3412E1A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.7</w:t>
      </w:r>
      <w:r>
        <w:rPr>
          <w:rFonts w:hint="eastAsia" w:ascii="宋体" w:hAnsi="宋体" w:eastAsia="宋体" w:cs="宋体"/>
          <w:color w:val="auto"/>
          <w:highlight w:val="none"/>
          <w:shd w:val="clear" w:color="auto" w:fill="FFFFFF"/>
        </w:rPr>
        <w:t>中标人应做好周边设施（含军用光缆、燃气、供电、供水、排水、排污、人行道、路灯、治安监控、交通电警等）的成品保护，如因中标人原因导致上述设施发生损坏，中标人无条件按招标人规定的期限内修复，涉及索赔的由中标人自行解决，否则按招标文件相关约定扣除违约金。</w:t>
      </w:r>
    </w:p>
    <w:p w14:paraId="5036F55E">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.8</w:t>
      </w:r>
      <w:r>
        <w:rPr>
          <w:rFonts w:hint="eastAsia" w:ascii="宋体" w:hAnsi="宋体" w:eastAsia="宋体" w:cs="宋体"/>
          <w:color w:val="auto"/>
          <w:highlight w:val="none"/>
          <w:shd w:val="clear" w:color="auto" w:fill="FFFFFF"/>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并且必须按调整后的规模及内容完成工程建设。</w:t>
      </w:r>
    </w:p>
    <w:p w14:paraId="7C520631">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.9</w:t>
      </w:r>
      <w:r>
        <w:rPr>
          <w:rFonts w:hint="eastAsia" w:ascii="宋体" w:hAnsi="宋体" w:eastAsia="宋体" w:cs="宋体"/>
          <w:color w:val="auto"/>
          <w:highlight w:val="none"/>
          <w:shd w:val="clear" w:color="auto" w:fill="FFFFFF"/>
        </w:rPr>
        <w:t>中标单位必须在中标通知书发出之日起一个月内完成现场临时设施（施工用水用电、围蔽、板房、洗车槽、相关公示牌等）施工，因中标人原因导致逾期的，逾期第壹天起每天按2000元作违约处理。</w:t>
      </w:r>
    </w:p>
    <w:p w14:paraId="65631A15">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.10</w:t>
      </w:r>
      <w:r>
        <w:rPr>
          <w:rFonts w:hint="eastAsia" w:ascii="宋体" w:hAnsi="宋体" w:eastAsia="宋体" w:cs="宋体"/>
          <w:color w:val="auto"/>
          <w:highlight w:val="none"/>
          <w:shd w:val="clear" w:color="auto" w:fill="FFFFFF"/>
        </w:rPr>
        <w:t>危险性较大的分部分项工程安全管理约定</w:t>
      </w:r>
    </w:p>
    <w:p w14:paraId="4B120439">
      <w:pPr>
        <w:pStyle w:val="102"/>
        <w:snapToGrid w:val="0"/>
        <w:spacing w:line="360" w:lineRule="auto"/>
        <w:ind w:firstLine="480" w:firstLineChars="20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关于关切落实《危险性较大的分部分项工程安全管理规定》有关工作的通知（韶市建字[2021]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14C1657B">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.11 </w:t>
      </w:r>
      <w:r>
        <w:rPr>
          <w:rFonts w:hint="eastAsia" w:ascii="宋体" w:hAnsi="宋体" w:eastAsia="宋体" w:cs="宋体"/>
          <w:color w:val="auto"/>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5D0ABF38">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.12</w:t>
      </w:r>
      <w:r>
        <w:rPr>
          <w:rFonts w:hint="eastAsia" w:ascii="宋体" w:hAnsi="宋体" w:eastAsia="宋体" w:cs="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 1万元人民币/次。</w:t>
      </w:r>
    </w:p>
    <w:p w14:paraId="200DD993">
      <w:pPr>
        <w:pStyle w:val="102"/>
        <w:snapToGrid w:val="0"/>
        <w:spacing w:line="360" w:lineRule="auto"/>
        <w:ind w:firstLine="482" w:firstLineChars="200"/>
        <w:rPr>
          <w:rFonts w:hint="eastAsia" w:ascii="宋体" w:hAnsi="宋体" w:eastAsia="宋体" w:cs="宋体"/>
          <w:b/>
          <w:bCs/>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.13 </w:t>
      </w:r>
      <w:r>
        <w:rPr>
          <w:rFonts w:hint="eastAsia" w:ascii="宋体" w:hAnsi="宋体" w:eastAsia="宋体" w:cs="宋体"/>
          <w:color w:val="auto"/>
          <w:highlight w:val="none"/>
          <w:shd w:val="clear" w:color="auto" w:fill="FFFFFF"/>
        </w:rPr>
        <w:t>中标人中标后必须按规定及时缴交工人工资保证金、沉降观测费用、环保噪声排污费、安全防护文明施工措施费等。</w:t>
      </w:r>
    </w:p>
    <w:p w14:paraId="36EF735C">
      <w:pPr>
        <w:pStyle w:val="102"/>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.14 </w:t>
      </w:r>
      <w:r>
        <w:rPr>
          <w:rFonts w:hint="eastAsia" w:ascii="宋体" w:hAnsi="宋体" w:eastAsia="宋体" w:cs="宋体"/>
          <w:color w:val="auto"/>
          <w:highlight w:val="none"/>
          <w:shd w:val="clear" w:color="auto" w:fill="FFFFFF"/>
        </w:rPr>
        <w:t>工程质量保修期按《中华人民共和国建筑法》、《建设工程质量管理条例》等相关规定实施。</w:t>
      </w:r>
    </w:p>
    <w:p w14:paraId="29F6C6E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.15 </w:t>
      </w:r>
      <w:r>
        <w:rPr>
          <w:rFonts w:hint="eastAsia" w:ascii="宋体" w:hAnsi="宋体" w:eastAsia="宋体" w:cs="宋体"/>
          <w:color w:val="auto"/>
          <w:highlight w:val="none"/>
          <w:shd w:val="clear" w:color="auto" w:fill="FFFFFF"/>
        </w:rPr>
        <w:t>根据项目所在地的政府办相关批复要求，本项目的供水管道施工完成后，清洗、消毒、检测必须按城市供水部门的要求完成，并由中标人缴纳相关费用。</w:t>
      </w:r>
    </w:p>
    <w:p w14:paraId="71A4D2EC">
      <w:pPr>
        <w:pStyle w:val="102"/>
        <w:wordWrap w:val="0"/>
        <w:adjustRightInd w:val="0"/>
        <w:snapToGrid w:val="0"/>
        <w:spacing w:line="360" w:lineRule="auto"/>
        <w:ind w:firstLine="560"/>
        <w:rPr>
          <w:rFonts w:hint="eastAsia" w:ascii="宋体" w:hAnsi="宋体" w:eastAsia="宋体" w:cs="宋体"/>
          <w:color w:val="auto"/>
          <w:highlight w:val="none"/>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.16 </w:t>
      </w:r>
      <w:r>
        <w:rPr>
          <w:rFonts w:hint="eastAsia" w:ascii="宋体" w:hAnsi="宋体" w:eastAsia="宋体" w:cs="宋体"/>
          <w:color w:val="auto"/>
          <w:highlight w:val="none"/>
          <w:shd w:val="clear" w:color="auto" w:fill="FFFFFF"/>
        </w:rPr>
        <w:t>如项目实施过程中发生了工程变更及工程签证，中标人需根据招标人发布的《工程变更管理办法》和《工程签证管理办法》完善工程变更签证相关程序。</w:t>
      </w:r>
    </w:p>
    <w:p w14:paraId="51099D41">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 xml:space="preserve">.17 </w:t>
      </w:r>
      <w:r>
        <w:rPr>
          <w:rFonts w:hint="eastAsia" w:ascii="宋体" w:hAnsi="宋体" w:eastAsia="宋体" w:cs="宋体"/>
          <w:color w:val="auto"/>
          <w:highlight w:val="none"/>
          <w:shd w:val="clear" w:color="auto" w:fill="FFFFFF"/>
        </w:rPr>
        <w:t>中标人需按相关规定要求，设置本工程符合相关要求的永久性标牌及规划公示牌，投标人在投标报价时综合考虑在报价内，招标人不另行支付该部分费用。</w:t>
      </w:r>
    </w:p>
    <w:p w14:paraId="6DC2CB58">
      <w:pPr>
        <w:pStyle w:val="102"/>
        <w:wordWrap w:val="0"/>
        <w:adjustRightInd w:val="0"/>
        <w:snapToGrid w:val="0"/>
        <w:spacing w:line="360" w:lineRule="auto"/>
        <w:ind w:firstLine="56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w:t>
      </w:r>
      <w:r>
        <w:rPr>
          <w:rFonts w:hint="eastAsia" w:ascii="宋体" w:hAnsi="宋体" w:eastAsia="宋体" w:cs="宋体"/>
          <w:b/>
          <w:bCs/>
          <w:color w:val="auto"/>
          <w:highlight w:val="none"/>
          <w:shd w:val="clear" w:color="auto" w:fill="FFFFFF"/>
          <w:lang w:val="en-US" w:eastAsia="zh-CN"/>
        </w:rPr>
        <w:t>8</w:t>
      </w:r>
      <w:r>
        <w:rPr>
          <w:rFonts w:hint="eastAsia" w:ascii="宋体" w:hAnsi="宋体" w:eastAsia="宋体" w:cs="宋体"/>
          <w:b/>
          <w:bCs/>
          <w:color w:val="auto"/>
          <w:highlight w:val="none"/>
          <w:shd w:val="clear" w:color="auto" w:fill="FFFFFF"/>
        </w:rPr>
        <w:t>.18</w:t>
      </w:r>
      <w:r>
        <w:rPr>
          <w:rFonts w:hint="eastAsia" w:ascii="宋体" w:hAnsi="宋体" w:eastAsia="宋体" w:cs="宋体"/>
          <w:color w:val="auto"/>
          <w:highlight w:val="none"/>
          <w:shd w:val="clear" w:color="auto" w:fill="FFFFFF"/>
        </w:rPr>
        <w:t xml:space="preserve"> </w:t>
      </w:r>
      <w:r>
        <w:rPr>
          <w:rFonts w:hint="eastAsia" w:ascii="宋体" w:hAnsi="宋体" w:eastAsia="宋体" w:cs="宋体"/>
          <w:b/>
          <w:bCs/>
          <w:color w:val="auto"/>
          <w:highlight w:val="none"/>
          <w:shd w:val="clear" w:color="auto" w:fill="FFFFFF"/>
        </w:rPr>
        <w:t xml:space="preserve"> </w:t>
      </w:r>
      <w:r>
        <w:rPr>
          <w:rFonts w:hint="eastAsia" w:ascii="宋体" w:hAnsi="宋体" w:eastAsia="宋体" w:cs="宋体"/>
          <w:color w:val="auto"/>
          <w:highlight w:val="none"/>
          <w:shd w:val="clear" w:color="auto" w:fill="FFFFFF"/>
        </w:rPr>
        <w:t>中标人应按项目所在地的住房和城乡建设管理局、项目所在地的人力资源和社会保障局等职能部门对用工实名制的相关规定,落实工人及相关软硬件设施要求。</w:t>
      </w:r>
    </w:p>
    <w:p w14:paraId="3CCBF0E9">
      <w:pP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br w:type="page"/>
      </w:r>
    </w:p>
    <w:p w14:paraId="2C6129C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37" w:name="_Toc32435"/>
      <w:r>
        <w:rPr>
          <w:rFonts w:hint="eastAsia" w:ascii="宋体" w:hAnsi="宋体" w:eastAsia="宋体" w:cs="宋体"/>
          <w:b/>
          <w:snapToGrid w:val="0"/>
          <w:color w:val="auto"/>
          <w:sz w:val="24"/>
          <w:highlight w:val="none"/>
          <w:lang w:val="en-US" w:eastAsia="zh-CN"/>
        </w:rPr>
        <w:t>第三章</w:t>
      </w:r>
      <w:bookmarkStart w:id="238" w:name="_Hlt87793831"/>
      <w:bookmarkEnd w:id="238"/>
      <w:r>
        <w:rPr>
          <w:rFonts w:hint="eastAsia" w:ascii="宋体" w:hAnsi="宋体" w:eastAsia="宋体" w:cs="宋体"/>
          <w:b/>
          <w:snapToGrid w:val="0"/>
          <w:color w:val="auto"/>
          <w:sz w:val="24"/>
          <w:highlight w:val="none"/>
          <w:lang w:val="en-US" w:eastAsia="zh-CN"/>
        </w:rPr>
        <w:t xml:space="preserve"> 拟签订合同的主要条款</w:t>
      </w:r>
      <w:bookmarkEnd w:id="196"/>
      <w:bookmarkEnd w:id="197"/>
      <w:bookmarkEnd w:id="236"/>
      <w:bookmarkEnd w:id="237"/>
    </w:p>
    <w:bookmarkEnd w:id="198"/>
    <w:bookmarkEnd w:id="199"/>
    <w:p w14:paraId="316369FB">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239" w:name="_Toc322793288"/>
      <w:bookmarkStart w:id="240" w:name="_Toc326916629"/>
      <w:bookmarkStart w:id="241" w:name="_Toc2688"/>
    </w:p>
    <w:bookmarkEnd w:id="200"/>
    <w:bookmarkEnd w:id="201"/>
    <w:bookmarkEnd w:id="239"/>
    <w:bookmarkEnd w:id="240"/>
    <w:bookmarkEnd w:id="241"/>
    <w:p w14:paraId="72BD911F">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2" w:name="_Toc16306"/>
      <w:bookmarkStart w:id="243" w:name="_Toc10983"/>
      <w:bookmarkStart w:id="244" w:name="_Toc30819"/>
      <w:bookmarkStart w:id="245" w:name="_Toc20638"/>
      <w:bookmarkStart w:id="246" w:name="_Toc21669"/>
      <w:bookmarkStart w:id="247" w:name="_Hlt69698796"/>
      <w:r>
        <w:rPr>
          <w:rFonts w:hint="eastAsia" w:hAnsi="宋体" w:cs="宋体"/>
          <w:b/>
          <w:snapToGrid w:val="0"/>
          <w:color w:val="auto"/>
          <w:highlight w:val="none"/>
        </w:rPr>
        <w:t>1．工程承包方式</w:t>
      </w:r>
      <w:bookmarkEnd w:id="242"/>
      <w:bookmarkEnd w:id="243"/>
      <w:bookmarkEnd w:id="244"/>
      <w:bookmarkEnd w:id="245"/>
    </w:p>
    <w:p w14:paraId="0477D75D">
      <w:pPr>
        <w:wordWrap w:val="0"/>
        <w:adjustRightInd w:val="0"/>
        <w:snapToGrid w:val="0"/>
        <w:spacing w:line="360" w:lineRule="auto"/>
        <w:ind w:firstLine="482" w:firstLineChars="200"/>
        <w:rPr>
          <w:rFonts w:hint="eastAsia" w:hAnsi="宋体" w:cs="宋体"/>
          <w:snapToGrid w:val="0"/>
          <w:color w:val="auto"/>
          <w:kern w:val="0"/>
          <w:highlight w:val="none"/>
        </w:rPr>
      </w:pPr>
      <w:r>
        <w:rPr>
          <w:rFonts w:hint="eastAsia" w:hAnsi="宋体" w:cs="宋体"/>
          <w:b/>
          <w:bCs/>
          <w:snapToGrid w:val="0"/>
          <w:color w:val="auto"/>
          <w:kern w:val="0"/>
          <w:highlight w:val="none"/>
        </w:rPr>
        <w:t>1.1</w:t>
      </w:r>
      <w:r>
        <w:rPr>
          <w:rFonts w:hint="eastAsia" w:hAnsi="宋体" w:cs="宋体"/>
          <w:snapToGrid w:val="0"/>
          <w:color w:val="auto"/>
          <w:kern w:val="0"/>
          <w:highlight w:val="none"/>
        </w:rPr>
        <w:t xml:space="preserve"> 承包人以中标价按包工包料、包质量、包安全包文明施工、包工期方式总承包施工，不允许转包和违法分包，如果确需分包须与发包人协商，在得到发包人和监理单位同意后报建设行政主管部门备案。</w:t>
      </w:r>
    </w:p>
    <w:p w14:paraId="66F80699">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1.1.1</w:t>
      </w:r>
      <w:r>
        <w:rPr>
          <w:rFonts w:hint="eastAsia" w:hAnsi="宋体" w:cs="宋体"/>
          <w:snapToGrid w:val="0"/>
          <w:color w:val="auto"/>
          <w:kern w:val="0"/>
          <w:highlight w:val="none"/>
        </w:rPr>
        <w:t xml:space="preserve"> 包工包料：材料符合招标文件要求并报验使用；办理用工保险。</w:t>
      </w:r>
    </w:p>
    <w:p w14:paraId="4991CEF5">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1.1.2</w:t>
      </w:r>
      <w:r>
        <w:rPr>
          <w:rFonts w:hint="eastAsia" w:hAnsi="宋体" w:cs="宋体"/>
          <w:snapToGrid w:val="0"/>
          <w:color w:val="auto"/>
          <w:kern w:val="0"/>
          <w:highlight w:val="none"/>
        </w:rPr>
        <w:t xml:space="preserve"> 包质量：符合招标文件要求。</w:t>
      </w:r>
    </w:p>
    <w:p w14:paraId="47035594">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1.1.3</w:t>
      </w:r>
      <w:r>
        <w:rPr>
          <w:rFonts w:hint="eastAsia" w:hAnsi="宋体" w:cs="宋体"/>
          <w:snapToGrid w:val="0"/>
          <w:color w:val="auto"/>
          <w:kern w:val="0"/>
          <w:highlight w:val="none"/>
        </w:rPr>
        <w:t xml:space="preserve"> 包安全包文明施工：符合招标文件要求。</w:t>
      </w:r>
    </w:p>
    <w:p w14:paraId="0371F37C">
      <w:pPr>
        <w:wordWrap w:val="0"/>
        <w:adjustRightInd w:val="0"/>
        <w:snapToGrid w:val="0"/>
        <w:spacing w:line="360" w:lineRule="auto"/>
        <w:ind w:firstLine="560"/>
        <w:rPr>
          <w:rFonts w:hint="eastAsia" w:hAnsi="宋体" w:cs="宋体"/>
          <w:snapToGrid w:val="0"/>
          <w:color w:val="auto"/>
          <w:kern w:val="0"/>
          <w:highlight w:val="none"/>
        </w:rPr>
      </w:pPr>
      <w:r>
        <w:rPr>
          <w:rFonts w:hint="eastAsia" w:hAnsi="宋体" w:cs="宋体"/>
          <w:b/>
          <w:bCs/>
          <w:snapToGrid w:val="0"/>
          <w:color w:val="auto"/>
          <w:kern w:val="0"/>
          <w:highlight w:val="none"/>
        </w:rPr>
        <w:t xml:space="preserve">1.1.4 </w:t>
      </w:r>
      <w:r>
        <w:rPr>
          <w:rFonts w:hint="eastAsia" w:hAnsi="宋体" w:cs="宋体"/>
          <w:snapToGrid w:val="0"/>
          <w:color w:val="auto"/>
          <w:kern w:val="0"/>
          <w:highlight w:val="none"/>
        </w:rPr>
        <w:t>包工期：本招标项目施工必须在招标工期内完成。</w:t>
      </w:r>
    </w:p>
    <w:p w14:paraId="4538BE2C">
      <w:pPr>
        <w:pStyle w:val="4"/>
        <w:wordWrap w:val="0"/>
        <w:autoSpaceDE/>
        <w:autoSpaceDN/>
        <w:snapToGrid w:val="0"/>
        <w:spacing w:line="360" w:lineRule="auto"/>
        <w:jc w:val="both"/>
        <w:outlineLvl w:val="1"/>
        <w:rPr>
          <w:rFonts w:hint="eastAsia" w:hAnsi="宋体" w:cs="宋体"/>
          <w:b/>
          <w:snapToGrid w:val="0"/>
          <w:color w:val="auto"/>
          <w:highlight w:val="none"/>
        </w:rPr>
      </w:pPr>
      <w:bookmarkStart w:id="248" w:name="_Toc9811"/>
      <w:bookmarkStart w:id="249" w:name="_Toc5555"/>
      <w:bookmarkStart w:id="250" w:name="_Toc16130"/>
      <w:bookmarkStart w:id="251" w:name="_Toc14656"/>
      <w:bookmarkStart w:id="252" w:name="_Toc14079373"/>
      <w:bookmarkStart w:id="253" w:name="_Toc4363"/>
      <w:r>
        <w:rPr>
          <w:rFonts w:hint="eastAsia" w:hAnsi="宋体" w:cs="宋体"/>
          <w:b/>
          <w:snapToGrid w:val="0"/>
          <w:color w:val="auto"/>
          <w:highlight w:val="none"/>
        </w:rPr>
        <w:t>2．工程结算原则</w:t>
      </w:r>
      <w:bookmarkEnd w:id="248"/>
      <w:bookmarkEnd w:id="249"/>
      <w:bookmarkEnd w:id="250"/>
      <w:bookmarkEnd w:id="251"/>
    </w:p>
    <w:p w14:paraId="4B820F54">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2.1</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人的投标总价为中标价，即为签约合同价。</w:t>
      </w:r>
    </w:p>
    <w:p w14:paraId="621DCD83">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2.2</w:t>
      </w:r>
      <w:r>
        <w:rPr>
          <w:rFonts w:hint="eastAsia" w:hAnsi="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0C3585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w:t>
      </w:r>
      <w:r>
        <w:rPr>
          <w:rFonts w:hint="eastAsia" w:hAnsi="宋体" w:cs="宋体"/>
          <w:snapToGrid w:val="0"/>
          <w:color w:val="auto"/>
          <w:kern w:val="0"/>
          <w:szCs w:val="24"/>
          <w:highlight w:val="none"/>
        </w:rPr>
        <w:t xml:space="preserve"> 施工合同履行期间，若出现下列情形的，发、承包双方应当按照以下规定调整合同价款：</w:t>
      </w:r>
    </w:p>
    <w:p w14:paraId="7B4CA72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w:t>
      </w:r>
      <w:r>
        <w:rPr>
          <w:rFonts w:hint="eastAsia" w:hAnsi="宋体" w:cs="宋体"/>
          <w:snapToGrid w:val="0"/>
          <w:color w:val="auto"/>
          <w:kern w:val="0"/>
          <w:szCs w:val="24"/>
          <w:highlight w:val="none"/>
        </w:rPr>
        <w:t xml:space="preserve"> 法律法规变化</w:t>
      </w:r>
    </w:p>
    <w:p w14:paraId="2D1032D5">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BABB386">
      <w:pPr>
        <w:wordWrap w:val="0"/>
        <w:adjustRightInd w:val="0"/>
        <w:snapToGrid w:val="0"/>
        <w:spacing w:line="360" w:lineRule="auto"/>
        <w:ind w:firstLine="480"/>
        <w:rPr>
          <w:rFonts w:hint="eastAsia" w:hAnsi="宋体" w:cs="宋体"/>
          <w:snapToGrid w:val="0"/>
          <w:color w:val="auto"/>
          <w:kern w:val="0"/>
          <w:highlight w:val="none"/>
          <w:u w:val="single"/>
        </w:rPr>
      </w:pPr>
      <w:r>
        <w:rPr>
          <w:rFonts w:hint="eastAsia" w:hAnsi="宋体" w:cs="宋体"/>
          <w:b/>
          <w:bCs/>
          <w:snapToGrid w:val="0"/>
          <w:color w:val="auto"/>
          <w:kern w:val="0"/>
          <w:highlight w:val="none"/>
        </w:rPr>
        <w:t>注：本招标文件所称“基准日”，均指投标文件递交截止时间（见第一章第二节“重要事项时间地点一览表”）前28天。</w:t>
      </w:r>
    </w:p>
    <w:p w14:paraId="2DCBECA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2.3.1.2</w:t>
      </w:r>
      <w:r>
        <w:rPr>
          <w:rFonts w:hint="eastAsia" w:hAnsi="宋体" w:cs="宋体"/>
          <w:snapToGrid w:val="0"/>
          <w:color w:val="auto"/>
          <w:kern w:val="0"/>
          <w:szCs w:val="24"/>
          <w:highlight w:val="none"/>
        </w:rPr>
        <w:t xml:space="preserve"> 因承包人原因导致工程延误，本章第</w:t>
      </w:r>
      <w:r>
        <w:rPr>
          <w:rFonts w:hint="eastAsia" w:hAnsi="宋体" w:cs="宋体"/>
          <w:b/>
          <w:bCs/>
          <w:snapToGrid w:val="0"/>
          <w:color w:val="auto"/>
          <w:kern w:val="0"/>
          <w:szCs w:val="24"/>
          <w:highlight w:val="none"/>
        </w:rPr>
        <w:t>2.3.1.1</w:t>
      </w:r>
      <w:r>
        <w:rPr>
          <w:rFonts w:hint="eastAsia" w:hAnsi="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38CA2AE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w:t>
      </w:r>
      <w:r>
        <w:rPr>
          <w:rFonts w:hint="eastAsia" w:hAnsi="宋体" w:cs="宋体"/>
          <w:snapToGrid w:val="0"/>
          <w:color w:val="auto"/>
          <w:kern w:val="0"/>
          <w:szCs w:val="24"/>
          <w:highlight w:val="none"/>
        </w:rPr>
        <w:t xml:space="preserve"> 工程量偏差或变化</w:t>
      </w:r>
    </w:p>
    <w:p w14:paraId="51ECC03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5184BAB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对于合理报价的清单项目，当工程量增加超过15%时，增加部分的工程量的综合单价以</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该分部分项工程量清单项目原综合单价</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为基价调低</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%；当工程量减少超过15%时，减少后剩余部分的工程量的综合单价以</w:t>
      </w:r>
      <w:r>
        <w:rPr>
          <w:rFonts w:hint="eastAsia" w:hAnsi="宋体" w:cs="宋体"/>
          <w:b/>
          <w:bCs/>
          <w:snapToGrid w:val="0"/>
          <w:color w:val="auto"/>
          <w:kern w:val="0"/>
          <w:szCs w:val="24"/>
          <w:highlight w:val="none"/>
          <w:u w:val="single"/>
        </w:rPr>
        <w:t xml:space="preserve">该分部分项工程量清单项目原综合单价 </w:t>
      </w:r>
      <w:r>
        <w:rPr>
          <w:rFonts w:hint="eastAsia" w:hAnsi="宋体" w:cs="宋体"/>
          <w:snapToGrid w:val="0"/>
          <w:color w:val="auto"/>
          <w:kern w:val="0"/>
          <w:szCs w:val="24"/>
          <w:highlight w:val="none"/>
        </w:rPr>
        <w:t>为基价调高</w:t>
      </w:r>
      <w:r>
        <w:rPr>
          <w:rFonts w:hint="eastAsia" w:hAnsi="宋体" w:cs="宋体"/>
          <w:b/>
          <w:color w:val="auto"/>
          <w:szCs w:val="24"/>
          <w:highlight w:val="none"/>
          <w:u w:val="single"/>
        </w:rPr>
        <w:t>该分部分项工程量清单项目原综合单价的</w:t>
      </w:r>
      <w:r>
        <w:rPr>
          <w:rFonts w:hint="eastAsia" w:hAnsi="宋体" w:cs="宋体"/>
          <w:snapToGrid w:val="0"/>
          <w:color w:val="auto"/>
          <w:kern w:val="0"/>
          <w:szCs w:val="24"/>
          <w:highlight w:val="none"/>
          <w:u w:val="single"/>
        </w:rPr>
        <w:t xml:space="preserve"> </w:t>
      </w:r>
      <w:r>
        <w:rPr>
          <w:rFonts w:hint="eastAsia" w:hAnsi="宋体" w:cs="宋体"/>
          <w:b/>
          <w:bCs/>
          <w:snapToGrid w:val="0"/>
          <w:color w:val="auto"/>
          <w:kern w:val="0"/>
          <w:szCs w:val="24"/>
          <w:highlight w:val="none"/>
          <w:u w:val="single"/>
        </w:rPr>
        <w:t>3</w:t>
      </w:r>
      <w:r>
        <w:rPr>
          <w:rFonts w:hint="eastAsia" w:hAnsi="宋体" w:cs="宋体"/>
          <w:snapToGrid w:val="0"/>
          <w:color w:val="auto"/>
          <w:kern w:val="0"/>
          <w:szCs w:val="24"/>
          <w:highlight w:val="none"/>
          <w:u w:val="single"/>
        </w:rPr>
        <w:t xml:space="preserve"> </w:t>
      </w:r>
      <w:r>
        <w:rPr>
          <w:rFonts w:hint="eastAsia" w:hAnsi="宋体" w:cs="宋体"/>
          <w:snapToGrid w:val="0"/>
          <w:color w:val="auto"/>
          <w:kern w:val="0"/>
          <w:szCs w:val="24"/>
          <w:highlight w:val="none"/>
        </w:rPr>
        <w:t>%。</w:t>
      </w:r>
    </w:p>
    <w:p w14:paraId="6AFF3681">
      <w:pPr>
        <w:wordWrap w:val="0"/>
        <w:adjustRightInd w:val="0"/>
        <w:snapToGrid w:val="0"/>
        <w:spacing w:line="360" w:lineRule="auto"/>
        <w:ind w:firstLine="48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对于按照第二章“中标人须知”第4.2条被认定为不平衡报价的清单项目，其综合单价按照以下方法调整：</w:t>
      </w:r>
      <w:r>
        <w:rPr>
          <w:rFonts w:hint="eastAsia" w:hAnsi="宋体" w:cs="宋体"/>
          <w:snapToGrid w:val="0"/>
          <w:color w:val="auto"/>
          <w:kern w:val="0"/>
          <w:szCs w:val="24"/>
          <w:highlight w:val="none"/>
          <w:u w:val="single"/>
        </w:rPr>
        <w:t>以招标控制价中的《分部分项工程和单价措施项目清单与计价表》子目相对应综合单价×（1-中标下浮率）。</w:t>
      </w:r>
    </w:p>
    <w:p w14:paraId="675295B6">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2.3.2.2</w:t>
      </w:r>
      <w:r>
        <w:rPr>
          <w:rFonts w:hint="eastAsia" w:hAnsi="宋体" w:cs="宋体"/>
          <w:snapToGrid w:val="0"/>
          <w:color w:val="auto"/>
          <w:kern w:val="0"/>
          <w:szCs w:val="24"/>
          <w:highlight w:val="none"/>
        </w:rPr>
        <w:t xml:space="preserve"> 如果工程量出现本章第</w:t>
      </w:r>
      <w:r>
        <w:rPr>
          <w:rFonts w:hint="eastAsia" w:hAnsi="宋体" w:cs="宋体"/>
          <w:b/>
          <w:bCs/>
          <w:snapToGrid w:val="0"/>
          <w:color w:val="auto"/>
          <w:kern w:val="0"/>
          <w:szCs w:val="24"/>
          <w:highlight w:val="none"/>
        </w:rPr>
        <w:t>2.3.2.1</w:t>
      </w:r>
      <w:r>
        <w:rPr>
          <w:rFonts w:hint="eastAsia" w:hAnsi="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46EAA94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 xml:space="preserve"> 工程变更</w:t>
      </w:r>
    </w:p>
    <w:p w14:paraId="4DBF497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 xml:space="preserve"> 合同履行期间，因工程变更引起已标价工程量清单项目发生变化时，按照以下规定调整：</w:t>
      </w:r>
    </w:p>
    <w:p w14:paraId="3E48A21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（1）已标价工程量清单中有适用于变更工程项目的，采用该项目的单价。</w:t>
      </w:r>
      <w:r>
        <w:rPr>
          <w:rFonts w:hint="eastAsia" w:hAnsi="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hAnsi="宋体" w:cs="宋体"/>
          <w:b/>
          <w:bCs/>
          <w:snapToGrid w:val="0"/>
          <w:color w:val="auto"/>
          <w:kern w:val="0"/>
          <w:szCs w:val="24"/>
          <w:highlight w:val="none"/>
          <w:u w:val="single"/>
        </w:rPr>
        <w:t>：</w:t>
      </w:r>
      <w:r>
        <w:rPr>
          <w:rFonts w:hint="eastAsia" w:hAnsi="宋体" w:cs="宋体"/>
          <w:snapToGrid w:val="0"/>
          <w:color w:val="auto"/>
          <w:kern w:val="0"/>
          <w:szCs w:val="24"/>
          <w:highlight w:val="none"/>
          <w:u w:val="single"/>
        </w:rPr>
        <w:t>以招标控制价中的《分部分项工程和单价措施项目清单与计价表》子目相对应综合单价×（1-中标下浮率）。</w:t>
      </w:r>
    </w:p>
    <w:p w14:paraId="0345597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（2）已标价工程量清单中没有适用但有类似于变更工程项目的，可在合理范围内参照类似项目的单价。</w:t>
      </w:r>
      <w:r>
        <w:rPr>
          <w:rFonts w:hint="eastAsia" w:hAnsi="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hAnsi="宋体" w:cs="宋体"/>
          <w:snapToGrid w:val="0"/>
          <w:color w:val="auto"/>
          <w:kern w:val="0"/>
          <w:szCs w:val="24"/>
          <w:highlight w:val="none"/>
        </w:rPr>
        <w:t>变更工程造价必须经监理公司核实，并经招标人核定后方可支付。</w:t>
      </w:r>
    </w:p>
    <w:p w14:paraId="132E2FC2">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384B0FE">
      <w:pPr>
        <w:numPr>
          <w:ilvl w:val="0"/>
          <w:numId w:val="3"/>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中标下浮率＝（1－中标价÷经财审审核的招标控制价）×100%</w:t>
      </w:r>
    </w:p>
    <w:p w14:paraId="0671C1D4">
      <w:pPr>
        <w:numPr>
          <w:ilvl w:val="0"/>
          <w:numId w:val="3"/>
        </w:num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F00719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9BDBCE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（1）绿色施工安全防护措施费应按照实际发生变化的措施项目计算。</w:t>
      </w:r>
    </w:p>
    <w:p w14:paraId="05787FB4">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（2）采用单价计算的措施项目费，应按照实际发生变化的措施项目，按本章第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w:t>
      </w:r>
    </w:p>
    <w:p w14:paraId="0D25FF66">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（3）按总价或系数计算的措施项目费，应按照实际发生变化的措施项目费调整并考虑中标下浮率因素，即调整金额</w:t>
      </w:r>
      <w:r>
        <w:rPr>
          <w:rFonts w:hint="eastAsia" w:hAnsi="宋体" w:cs="宋体"/>
          <w:bCs/>
          <w:snapToGrid w:val="0"/>
          <w:color w:val="auto"/>
          <w:kern w:val="0"/>
          <w:szCs w:val="28"/>
          <w:highlight w:val="none"/>
        </w:rPr>
        <w:t>＝按照实际变化调整</w:t>
      </w:r>
      <w:r>
        <w:rPr>
          <w:rFonts w:hint="eastAsia" w:hAnsi="宋体" w:cs="宋体"/>
          <w:snapToGrid w:val="0"/>
          <w:color w:val="auto"/>
          <w:kern w:val="0"/>
          <w:szCs w:val="24"/>
          <w:highlight w:val="none"/>
        </w:rPr>
        <w:t>后的金额</w:t>
      </w:r>
      <w:r>
        <w:rPr>
          <w:rFonts w:hint="eastAsia" w:hAnsi="宋体" w:cs="宋体"/>
          <w:bCs/>
          <w:snapToGrid w:val="0"/>
          <w:color w:val="auto"/>
          <w:kern w:val="0"/>
          <w:szCs w:val="28"/>
          <w:highlight w:val="none"/>
        </w:rPr>
        <w:t>×</w:t>
      </w:r>
      <w:r>
        <w:rPr>
          <w:rFonts w:hint="eastAsia" w:hAnsi="宋体" w:cs="宋体"/>
          <w:snapToGrid w:val="0"/>
          <w:color w:val="auto"/>
          <w:kern w:val="0"/>
          <w:szCs w:val="24"/>
          <w:highlight w:val="none"/>
        </w:rPr>
        <w:t>中标下浮率。</w:t>
      </w:r>
    </w:p>
    <w:p w14:paraId="1F763763">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175802F7">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2.3.3.3</w:t>
      </w:r>
      <w:r>
        <w:rPr>
          <w:rFonts w:hint="eastAsia" w:hAnsi="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7099E11D">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2.3.4</w:t>
      </w:r>
      <w:r>
        <w:rPr>
          <w:rFonts w:hint="eastAsia" w:hAnsi="宋体" w:cs="宋体"/>
          <w:snapToGrid w:val="0"/>
          <w:color w:val="auto"/>
          <w:kern w:val="0"/>
          <w:szCs w:val="24"/>
          <w:highlight w:val="none"/>
        </w:rPr>
        <w:t xml:space="preserve"> 项目特征不符</w:t>
      </w:r>
    </w:p>
    <w:p w14:paraId="4A33355F">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hAnsi="宋体" w:cs="宋体"/>
          <w:b/>
          <w:bCs/>
          <w:snapToGrid w:val="0"/>
          <w:color w:val="auto"/>
          <w:kern w:val="0"/>
          <w:szCs w:val="24"/>
          <w:highlight w:val="none"/>
        </w:rPr>
        <w:t>2.3.3</w:t>
      </w:r>
      <w:r>
        <w:rPr>
          <w:rFonts w:hint="eastAsia" w:hAnsi="宋体" w:cs="宋体"/>
          <w:snapToGrid w:val="0"/>
          <w:color w:val="auto"/>
          <w:kern w:val="0"/>
          <w:szCs w:val="24"/>
          <w:highlight w:val="none"/>
        </w:rPr>
        <w:t>目相关条款的规定重新确定相应工程量清单项目的综合单价，并调整合同价款。</w:t>
      </w:r>
    </w:p>
    <w:p w14:paraId="7FBBFBB9">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工程造价调整项目如果是中标人投标书清单项目中没有的项目或图纸会审时出现的增加项目，以及“招标文件”中要求统一报价的项目，按《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以及施工当月乐昌市建筑经济信息材料参考价计算，管理费、利润率，规费、税金按有关规定计算，措施项目费相应调整，其他项目费不作调整。图纸会审时，中标人应提前认真审核招标清单是否有漏项、错项、如发现要及时向招标人提出，否则由中标人承担。</w:t>
      </w:r>
    </w:p>
    <w:p w14:paraId="5F3D7BA7">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w:t>
      </w:r>
      <w:r>
        <w:rPr>
          <w:rFonts w:hint="eastAsia" w:hAnsi="宋体" w:cs="宋体"/>
          <w:snapToGrid w:val="0"/>
          <w:color w:val="auto"/>
          <w:kern w:val="0"/>
          <w:szCs w:val="24"/>
          <w:highlight w:val="none"/>
        </w:rPr>
        <w:t xml:space="preserve"> 招标工程量清单缺项</w:t>
      </w:r>
    </w:p>
    <w:p w14:paraId="6B62F61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2.3.5.1</w:t>
      </w:r>
      <w:r>
        <w:rPr>
          <w:rFonts w:hint="eastAsia" w:hAnsi="宋体" w:cs="宋体"/>
          <w:snapToGrid w:val="0"/>
          <w:color w:val="auto"/>
          <w:kern w:val="0"/>
          <w:szCs w:val="24"/>
          <w:highlight w:val="none"/>
        </w:rPr>
        <w:t xml:space="preserve"> 合同履行期间，由于招标工程量清单中缺项，新增分部分项工程清单项目，应按照本章第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子目的规定确定单价，并调整合同价款。</w:t>
      </w:r>
    </w:p>
    <w:p w14:paraId="58DED942">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2.3.5.2</w:t>
      </w:r>
      <w:r>
        <w:rPr>
          <w:rFonts w:hint="eastAsia" w:hAnsi="宋体" w:cs="宋体"/>
          <w:snapToGrid w:val="0"/>
          <w:color w:val="auto"/>
          <w:kern w:val="0"/>
          <w:szCs w:val="24"/>
          <w:highlight w:val="none"/>
        </w:rPr>
        <w:t xml:space="preserve"> 新增分部分项工程清单项目后，引起措施项目发生变化的，应按照本章第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子目的规定，在承包人提交的实施方案被发包人批准后调整合同价款。</w:t>
      </w:r>
    </w:p>
    <w:p w14:paraId="12F29DC8">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2.3.5.3</w:t>
      </w:r>
      <w:r>
        <w:rPr>
          <w:rFonts w:hint="eastAsia" w:hAnsi="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hAnsi="宋体" w:cs="宋体"/>
          <w:b/>
          <w:bCs/>
          <w:snapToGrid w:val="0"/>
          <w:color w:val="auto"/>
          <w:kern w:val="0"/>
          <w:szCs w:val="24"/>
          <w:highlight w:val="none"/>
        </w:rPr>
        <w:t>2.3.3.1</w:t>
      </w:r>
      <w:r>
        <w:rPr>
          <w:rFonts w:hint="eastAsia" w:hAnsi="宋体" w:cs="宋体"/>
          <w:snapToGrid w:val="0"/>
          <w:color w:val="auto"/>
          <w:kern w:val="0"/>
          <w:szCs w:val="24"/>
          <w:highlight w:val="none"/>
        </w:rPr>
        <w:t>子目、第</w:t>
      </w:r>
      <w:r>
        <w:rPr>
          <w:rFonts w:hint="eastAsia" w:hAnsi="宋体" w:cs="宋体"/>
          <w:b/>
          <w:bCs/>
          <w:snapToGrid w:val="0"/>
          <w:color w:val="auto"/>
          <w:kern w:val="0"/>
          <w:szCs w:val="24"/>
          <w:highlight w:val="none"/>
        </w:rPr>
        <w:t>2.3.3.2</w:t>
      </w:r>
      <w:r>
        <w:rPr>
          <w:rFonts w:hint="eastAsia" w:hAnsi="宋体" w:cs="宋体"/>
          <w:snapToGrid w:val="0"/>
          <w:color w:val="auto"/>
          <w:kern w:val="0"/>
          <w:szCs w:val="24"/>
          <w:highlight w:val="none"/>
        </w:rPr>
        <w:t>子目的规定调整合同价款。</w:t>
      </w:r>
    </w:p>
    <w:p w14:paraId="462F771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w:t>
      </w:r>
      <w:r>
        <w:rPr>
          <w:rFonts w:hint="eastAsia" w:hAnsi="宋体" w:cs="宋体"/>
          <w:bCs/>
          <w:snapToGrid w:val="0"/>
          <w:color w:val="auto"/>
          <w:kern w:val="0"/>
          <w:szCs w:val="28"/>
          <w:highlight w:val="none"/>
        </w:rPr>
        <w:t xml:space="preserve"> 物价变化</w:t>
      </w:r>
    </w:p>
    <w:p w14:paraId="225F9498">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2.3.6.1</w:t>
      </w:r>
      <w:r>
        <w:rPr>
          <w:rFonts w:hint="eastAsia" w:hAnsi="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hAnsi="宋体" w:cs="宋体"/>
          <w:snapToGrid w:val="0"/>
          <w:color w:val="auto"/>
          <w:kern w:val="0"/>
          <w:szCs w:val="24"/>
          <w:highlight w:val="none"/>
        </w:rPr>
        <w:t>以下简称“中标人工费”</w:t>
      </w:r>
      <w:r>
        <w:rPr>
          <w:rFonts w:hint="eastAsia" w:hAnsi="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67D5863">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bCs/>
          <w:snapToGrid w:val="0"/>
          <w:color w:val="auto"/>
          <w:kern w:val="0"/>
          <w:szCs w:val="28"/>
          <w:highlight w:val="none"/>
        </w:rPr>
        <w:t>结算人工费＝中标人工费×F</w:t>
      </w:r>
      <w:r>
        <w:rPr>
          <w:rFonts w:hint="eastAsia" w:hAnsi="宋体" w:cs="宋体"/>
          <w:bCs/>
          <w:snapToGrid w:val="0"/>
          <w:color w:val="auto"/>
          <w:kern w:val="0"/>
          <w:szCs w:val="28"/>
          <w:highlight w:val="none"/>
          <w:vertAlign w:val="subscript"/>
        </w:rPr>
        <w:t>1</w:t>
      </w:r>
    </w:p>
    <w:p w14:paraId="676A7DCB">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bCs/>
          <w:snapToGrid w:val="0"/>
          <w:color w:val="auto"/>
          <w:kern w:val="0"/>
          <w:szCs w:val="28"/>
          <w:highlight w:val="none"/>
        </w:rPr>
        <w:t>式中，F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为施工当月项目所在地工程造价管理机构发布的动态人工调整系数。</w:t>
      </w:r>
    </w:p>
    <w:p w14:paraId="5587CCB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2.3.6.2</w:t>
      </w:r>
      <w:r>
        <w:rPr>
          <w:rFonts w:hint="eastAsia" w:hAnsi="宋体" w:cs="宋体"/>
          <w:snapToGrid w:val="0"/>
          <w:color w:val="auto"/>
          <w:kern w:val="0"/>
          <w:szCs w:val="24"/>
          <w:highlight w:val="none"/>
        </w:rPr>
        <w:t xml:space="preserve"> 本招标项目约定，材料、工程设备单价涨跌风险幅度值A为</w:t>
      </w:r>
      <w:r>
        <w:rPr>
          <w:rFonts w:hint="eastAsia" w:hAnsi="宋体" w:cs="宋体"/>
          <w:snapToGrid w:val="0"/>
          <w:color w:val="auto"/>
          <w:kern w:val="0"/>
          <w:szCs w:val="24"/>
          <w:highlight w:val="none"/>
          <w:u w:val="single"/>
        </w:rPr>
        <w:t xml:space="preserve"> 5% </w:t>
      </w:r>
      <w:r>
        <w:rPr>
          <w:rFonts w:hint="eastAsia" w:hAnsi="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106ECD9">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5808895B">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5" o:spt="75" type="#_x0000_t75" style="height:33.95pt;width:200.95pt;" o:ole="t" filled="f" stroked="f" coordsize="21600,21600">
            <v:path/>
            <v:fill on="f" focussize="0,0"/>
            <v:stroke on="f"/>
            <v:imagedata r:id="rId10" o:title=""/>
            <o:lock v:ext="edit" grouping="f" rotation="f" text="f" aspectratio="t"/>
            <w10:wrap type="none"/>
            <w10:anchorlock/>
          </v:shape>
          <o:OLEObject Type="Embed" ProgID="Equation.KSEE3" ShapeID="_x0000_i1025" DrawAspect="Content" ObjectID="_1468075725" r:id="rId9">
            <o:LockedField>false</o:LockedField>
          </o:OLEObject>
        </w:object>
      </w:r>
    </w:p>
    <w:p w14:paraId="17DDDFBA">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6" o:spt="75" type="#_x0000_t75" style="height:33.95pt;width:198.95pt;" o:ole="t" filled="f" stroked="f" coordsize="21600,21600">
            <v:path/>
            <v:fill on="f" focussize="0,0"/>
            <v:stroke on="f"/>
            <v:imagedata r:id="rId12" o:title=""/>
            <o:lock v:ext="edit" grouping="f" rotation="f" text="f" aspectratio="t"/>
            <w10:wrap type="none"/>
            <w10:anchorlock/>
          </v:shape>
          <o:OLEObject Type="Embed" ProgID="Equation.KSEE3" ShapeID="_x0000_i1026" DrawAspect="Content" ObjectID="_1468075726" r:id="rId11">
            <o:LockedField>false</o:LockedField>
          </o:OLEObject>
        </w:object>
      </w:r>
    </w:p>
    <w:p w14:paraId="0A1DCB76">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．如果中标单价高于基准单价，该材料、工程设备的结算单价调整公式为：</w:t>
      </w:r>
    </w:p>
    <w:p w14:paraId="1F7FA894">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7" o:spt="75" type="#_x0000_t75" style="height:33.95pt;width:198.95pt;" o:ole="t" filled="f" stroked="f" coordsize="21600,21600">
            <v:path/>
            <v:fill on="f" focussize="0,0"/>
            <v:stroke on="f"/>
            <v:imagedata r:id="rId14" o:title=""/>
            <o:lock v:ext="edit" grouping="f" rotation="f" text="f" aspectratio="t"/>
            <w10:wrap type="none"/>
            <w10:anchorlock/>
          </v:shape>
          <o:OLEObject Type="Embed" ProgID="Equation.KSEE3" ShapeID="_x0000_i1027" DrawAspect="Content" ObjectID="_1468075727" r:id="rId13">
            <o:LockedField>false</o:LockedField>
          </o:OLEObject>
        </w:object>
      </w:r>
    </w:p>
    <w:p w14:paraId="7391382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28" o:spt="75" type="#_x0000_t75" style="height:33.95pt;width:200.95pt;" o:ole="t" filled="f" stroked="f" coordsize="21600,21600">
            <v:path/>
            <v:fill on="f" focussize="0,0"/>
            <v:stroke on="f"/>
            <v:imagedata r:id="rId16" o:title=""/>
            <o:lock v:ext="edit" grouping="f" rotation="f" text="f" aspectratio="t"/>
            <w10:wrap type="none"/>
            <w10:anchorlock/>
          </v:shape>
          <o:OLEObject Type="Embed" ProgID="Equation.KSEE3" ShapeID="_x0000_i1028" DrawAspect="Content" ObjectID="_1468075728" r:id="rId15">
            <o:LockedField>false</o:LockedField>
          </o:OLEObject>
        </w:object>
      </w:r>
    </w:p>
    <w:p w14:paraId="45FBDA31">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．如果中标单价等于基准单价，该材料、工程设备的结算单价调整公式为：</w:t>
      </w:r>
    </w:p>
    <w:p w14:paraId="355F9833">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29" o:spt="75" type="#_x0000_t75" style="height:33.95pt;width:200.95pt;" o:ole="t" filled="f" stroked="f" coordsize="21600,21600">
            <v:path/>
            <v:fill on="f" focussize="0,0"/>
            <v:stroke on="f"/>
            <v:imagedata r:id="rId18" o:title=""/>
            <o:lock v:ext="edit" grouping="f" rotation="f" text="f" aspectratio="t"/>
            <w10:wrap type="none"/>
            <w10:anchorlock/>
          </v:shape>
          <o:OLEObject Type="Embed" ProgID="Equation.KSEE3" ShapeID="_x0000_i1029" DrawAspect="Content" ObjectID="_1468075729" r:id="rId17">
            <o:LockedField>false</o:LockedField>
          </o:OLEObject>
        </w:object>
      </w:r>
    </w:p>
    <w:p w14:paraId="3ACC1155">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20" o:title=""/>
            <o:lock v:ext="edit" grouping="f" rotation="f" text="f" aspectratio="t"/>
            <w10:wrap type="none"/>
            <w10:anchorlock/>
          </v:shape>
          <o:OLEObject Type="Embed" ProgID="Equation.KSEE3" ShapeID="_x0000_i1030" DrawAspect="Content" ObjectID="_1468075730" r:id="rId19">
            <o:LockedField>false</o:LockedField>
          </o:OLEObject>
        </w:object>
      </w:r>
    </w:p>
    <w:p w14:paraId="44EEA1E1">
      <w:pPr>
        <w:wordWrap w:val="0"/>
        <w:adjustRightInd w:val="0"/>
        <w:snapToGrid w:val="0"/>
        <w:spacing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以上公式中，F1为中标单价；F0为基准单价、指项目所在地工程造价管理机构招标控制价审定当月发布的材料、工程设备单价； F2为施工当月项目所在地工程造价管理机构发布的材料、工程设备单价；A为合同约定的材料、工程设备单价涨跌风险幅度值。</w:t>
      </w:r>
    </w:p>
    <w:p w14:paraId="5BD9651F">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bCs/>
          <w:snapToGrid w:val="0"/>
          <w:color w:val="auto"/>
          <w:kern w:val="0"/>
          <w:szCs w:val="24"/>
          <w:highlight w:val="none"/>
        </w:rPr>
        <w:t>2.3.6.3</w:t>
      </w:r>
      <w:r>
        <w:rPr>
          <w:rFonts w:hint="eastAsia" w:hAnsi="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548ED0AC">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2.3.6.4</w:t>
      </w:r>
      <w:r>
        <w:rPr>
          <w:rFonts w:hint="eastAsia" w:hAnsi="宋体" w:cs="宋体"/>
          <w:snapToGrid w:val="0"/>
          <w:color w:val="auto"/>
          <w:kern w:val="0"/>
          <w:szCs w:val="24"/>
          <w:highlight w:val="none"/>
        </w:rPr>
        <w:t xml:space="preserve"> 本招标项目约定，施工机具台班单价涨跌风险幅度值B为</w:t>
      </w:r>
      <w:r>
        <w:rPr>
          <w:rFonts w:hint="eastAsia" w:hAnsi="宋体" w:cs="宋体"/>
          <w:snapToGrid w:val="0"/>
          <w:color w:val="auto"/>
          <w:kern w:val="0"/>
          <w:szCs w:val="24"/>
          <w:highlight w:val="none"/>
          <w:u w:val="single"/>
        </w:rPr>
        <w:t xml:space="preserve"> 10% </w:t>
      </w:r>
      <w:r>
        <w:rPr>
          <w:rFonts w:hint="eastAsia" w:hAnsi="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3101927F">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A7544FC">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22" o:title=""/>
            <o:lock v:ext="edit" grouping="f" rotation="f" text="f" aspectratio="t"/>
            <w10:wrap type="none"/>
            <w10:anchorlock/>
          </v:shape>
          <o:OLEObject Type="Embed" ProgID="Equation.KSEE3" ShapeID="_x0000_i1031" DrawAspect="Content" ObjectID="_1468075731" r:id="rId21">
            <o:LockedField>false</o:LockedField>
          </o:OLEObject>
        </w:object>
      </w:r>
    </w:p>
    <w:p w14:paraId="2C34A7EF">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24" o:title=""/>
            <o:lock v:ext="edit" grouping="f" rotation="f" text="f" aspectratio="t"/>
            <w10:wrap type="none"/>
            <w10:anchorlock/>
          </v:shape>
          <o:OLEObject Type="Embed" ProgID="Equation.KSEE3" ShapeID="_x0000_i1032" DrawAspect="Content" ObjectID="_1468075732" r:id="rId23">
            <o:LockedField>false</o:LockedField>
          </o:OLEObject>
        </w:object>
      </w:r>
    </w:p>
    <w:p w14:paraId="04E69683">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．如果中标单价高于基准单价，该施工机具台班的结算单价调整公式为：</w:t>
      </w:r>
    </w:p>
    <w:p w14:paraId="63E5BB05">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3" DrawAspect="Content" ObjectID="_1468075733" r:id="rId25">
            <o:LockedField>false</o:LockedField>
          </o:OLEObject>
        </w:object>
      </w:r>
    </w:p>
    <w:p w14:paraId="5BEA0314">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4" DrawAspect="Content" ObjectID="_1468075734" r:id="rId27">
            <o:LockedField>false</o:LockedField>
          </o:OLEObject>
        </w:object>
      </w:r>
    </w:p>
    <w:p w14:paraId="0FA04BC8">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．如果中标单价等于基准单价，该施工机具台班的结算单价调整公式为：</w:t>
      </w:r>
    </w:p>
    <w:p w14:paraId="5B92AD2F">
      <w:pPr>
        <w:wordWrap w:val="0"/>
        <w:adjustRightInd w:val="0"/>
        <w:snapToGri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涨价时，</w:t>
      </w:r>
      <w:r>
        <w:rPr>
          <w:rFonts w:hint="eastAsia" w:hAnsi="宋体" w:cs="宋体"/>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5" DrawAspect="Content" ObjectID="_1468075735" r:id="rId29">
            <o:LockedField>false</o:LockedField>
          </o:OLEObject>
        </w:object>
      </w:r>
    </w:p>
    <w:p w14:paraId="59BFB5ED">
      <w:pPr>
        <w:wordWrap w:val="0"/>
        <w:adjustRightInd w:val="0"/>
        <w:spacing w:before="360" w:beforeLines="150" w:after="240" w:afterLines="100" w:line="360" w:lineRule="auto"/>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跌价时，</w:t>
      </w:r>
      <w:r>
        <w:rPr>
          <w:rFonts w:hint="eastAsia" w:hAnsi="宋体" w:cs="宋体"/>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6" DrawAspect="Content" ObjectID="_1468075736" r:id="rId31">
            <o:LockedField>false</o:LockedField>
          </o:OLEObject>
        </w:object>
      </w:r>
    </w:p>
    <w:p w14:paraId="769A50B9">
      <w:pPr>
        <w:wordWrap w:val="0"/>
        <w:adjustRightInd w:val="0"/>
        <w:snapToGrid w:val="0"/>
        <w:spacing w:line="360" w:lineRule="auto"/>
        <w:ind w:firstLine="480" w:firstLineChars="200"/>
        <w:rPr>
          <w:rFonts w:hint="eastAsia" w:hAnsi="宋体" w:cs="宋体"/>
          <w:bCs/>
          <w:snapToGrid w:val="0"/>
          <w:color w:val="auto"/>
          <w:kern w:val="0"/>
          <w:szCs w:val="28"/>
          <w:highlight w:val="none"/>
        </w:rPr>
      </w:pPr>
      <w:r>
        <w:rPr>
          <w:rFonts w:hint="eastAsia" w:hAnsi="宋体" w:cs="宋体"/>
          <w:snapToGrid w:val="0"/>
          <w:color w:val="auto"/>
          <w:kern w:val="0"/>
          <w:szCs w:val="24"/>
          <w:highlight w:val="none"/>
        </w:rPr>
        <w:t>以上公式中，</w:t>
      </w:r>
      <w:r>
        <w:rPr>
          <w:rFonts w:hint="eastAsia" w:hAnsi="宋体" w:cs="宋体"/>
          <w:bCs/>
          <w:snapToGrid w:val="0"/>
          <w:color w:val="auto"/>
          <w:kern w:val="0"/>
          <w:szCs w:val="28"/>
          <w:highlight w:val="none"/>
        </w:rPr>
        <w:t>F</w:t>
      </w:r>
      <w:r>
        <w:rPr>
          <w:rFonts w:hint="eastAsia" w:hAnsi="宋体" w:cs="宋体"/>
          <w:bCs/>
          <w:snapToGrid w:val="0"/>
          <w:color w:val="auto"/>
          <w:kern w:val="0"/>
          <w:szCs w:val="28"/>
          <w:highlight w:val="none"/>
          <w:vertAlign w:val="subscript"/>
        </w:rPr>
        <w:t>1</w:t>
      </w:r>
      <w:r>
        <w:rPr>
          <w:rFonts w:hint="eastAsia" w:hAnsi="宋体" w:cs="宋体"/>
          <w:bCs/>
          <w:snapToGrid w:val="0"/>
          <w:color w:val="auto"/>
          <w:kern w:val="0"/>
          <w:szCs w:val="28"/>
          <w:highlight w:val="none"/>
        </w:rPr>
        <w:t>为中标单价；F</w:t>
      </w:r>
      <w:r>
        <w:rPr>
          <w:rFonts w:hint="eastAsia" w:hAnsi="宋体" w:cs="宋体"/>
          <w:bCs/>
          <w:snapToGrid w:val="0"/>
          <w:color w:val="auto"/>
          <w:kern w:val="0"/>
          <w:szCs w:val="28"/>
          <w:highlight w:val="none"/>
          <w:vertAlign w:val="subscript"/>
        </w:rPr>
        <w:t>0</w:t>
      </w:r>
      <w:r>
        <w:rPr>
          <w:rFonts w:hint="eastAsia" w:hAnsi="宋体" w:cs="宋体"/>
          <w:bCs/>
          <w:snapToGrid w:val="0"/>
          <w:color w:val="auto"/>
          <w:kern w:val="0"/>
          <w:szCs w:val="28"/>
          <w:highlight w:val="none"/>
        </w:rPr>
        <w:t>为基准单价、指项目所在地工程造价管理机构招标控制价审定当月发布的材料、工程设备单价；F</w:t>
      </w:r>
      <w:r>
        <w:rPr>
          <w:rFonts w:hint="eastAsia" w:hAnsi="宋体" w:cs="宋体"/>
          <w:bCs/>
          <w:snapToGrid w:val="0"/>
          <w:color w:val="auto"/>
          <w:kern w:val="0"/>
          <w:szCs w:val="28"/>
          <w:highlight w:val="none"/>
          <w:vertAlign w:val="subscript"/>
        </w:rPr>
        <w:t>2</w:t>
      </w:r>
      <w:r>
        <w:rPr>
          <w:rFonts w:hint="eastAsia" w:hAnsi="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6EBF5F0D">
      <w:pPr>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w:t>
      </w:r>
      <w:r>
        <w:rPr>
          <w:rFonts w:hint="eastAsia" w:hAnsi="宋体" w:cs="宋体"/>
          <w:bCs/>
          <w:snapToGrid w:val="0"/>
          <w:color w:val="auto"/>
          <w:kern w:val="0"/>
          <w:szCs w:val="28"/>
          <w:highlight w:val="none"/>
        </w:rPr>
        <w:t xml:space="preserve"> 暂估价和暂列金额</w:t>
      </w:r>
    </w:p>
    <w:p w14:paraId="32D09A01">
      <w:pPr>
        <w:adjustRightInd w:val="0"/>
        <w:snapToGrid w:val="0"/>
        <w:spacing w:line="360" w:lineRule="auto"/>
        <w:ind w:firstLine="561"/>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2.3.7.1</w:t>
      </w:r>
      <w:r>
        <w:rPr>
          <w:rFonts w:hint="eastAsia" w:hAnsi="宋体" w:cs="宋体"/>
          <w:bCs/>
          <w:snapToGrid w:val="0"/>
          <w:color w:val="auto"/>
          <w:kern w:val="0"/>
          <w:szCs w:val="28"/>
          <w:highlight w:val="none"/>
        </w:rPr>
        <w:t xml:space="preserve"> 暂估价项目按第一章第三节“投标人须知正文”第</w:t>
      </w:r>
      <w:r>
        <w:rPr>
          <w:rFonts w:hint="eastAsia" w:hAnsi="宋体" w:cs="宋体"/>
          <w:b/>
          <w:bCs/>
          <w:snapToGrid w:val="0"/>
          <w:color w:val="auto"/>
          <w:kern w:val="0"/>
          <w:highlight w:val="none"/>
        </w:rPr>
        <w:t>8.5</w:t>
      </w:r>
      <w:r>
        <w:rPr>
          <w:rFonts w:hint="eastAsia" w:hAnsi="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70042126">
      <w:pPr>
        <w:tabs>
          <w:tab w:val="left" w:pos="3120"/>
        </w:tabs>
        <w:wordWrap w:val="0"/>
        <w:adjustRightInd w:val="0"/>
        <w:snapToGrid w:val="0"/>
        <w:spacing w:line="360" w:lineRule="auto"/>
        <w:ind w:firstLine="482" w:firstLineChars="2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2.3.7.2</w:t>
      </w:r>
      <w:r>
        <w:rPr>
          <w:rFonts w:hint="eastAsia" w:hAnsi="宋体" w:cs="宋体"/>
          <w:bCs/>
          <w:snapToGrid w:val="0"/>
          <w:color w:val="auto"/>
          <w:kern w:val="0"/>
          <w:szCs w:val="28"/>
          <w:highlight w:val="none"/>
        </w:rPr>
        <w:t xml:space="preserve"> 暂列金额由发包人掌握和使用。暂列金额项目若有发生，按第一章第三节“投标人须知正文”第</w:t>
      </w:r>
      <w:r>
        <w:rPr>
          <w:rFonts w:hint="eastAsia" w:hAnsi="宋体" w:cs="宋体"/>
          <w:b/>
          <w:snapToGrid w:val="0"/>
          <w:color w:val="auto"/>
          <w:kern w:val="0"/>
          <w:szCs w:val="28"/>
          <w:highlight w:val="none"/>
        </w:rPr>
        <w:t>8.6</w:t>
      </w:r>
      <w:r>
        <w:rPr>
          <w:rFonts w:hint="eastAsia" w:hAnsi="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r>
        <w:rPr>
          <w:rFonts w:hint="eastAsia" w:ascii="Times New Roman"/>
          <w:bCs/>
          <w:snapToGrid w:val="0"/>
          <w:color w:val="auto"/>
          <w:kern w:val="0"/>
          <w:szCs w:val="28"/>
          <w:highlight w:val="none"/>
        </w:rPr>
        <w:t>暂列金结算时按实际发生签证计算，经审核后按中标下浮率下浮后作为最终结算价。</w:t>
      </w:r>
    </w:p>
    <w:p w14:paraId="3CDA3F4C">
      <w:pPr>
        <w:pStyle w:val="60"/>
        <w:spacing w:line="360" w:lineRule="auto"/>
        <w:ind w:firstLine="480"/>
        <w:jc w:val="left"/>
        <w:rPr>
          <w:rFonts w:hint="eastAsia" w:ascii="宋体" w:hAnsi="宋体" w:cs="宋体"/>
          <w:b w:val="0"/>
          <w:snapToGrid w:val="0"/>
          <w:color w:val="auto"/>
          <w:kern w:val="0"/>
          <w:sz w:val="24"/>
          <w:highlight w:val="none"/>
        </w:rPr>
      </w:pPr>
      <w:r>
        <w:rPr>
          <w:rFonts w:hint="eastAsia" w:ascii="宋体" w:hAnsi="宋体" w:cs="宋体"/>
          <w:snapToGrid w:val="0"/>
          <w:color w:val="auto"/>
          <w:kern w:val="0"/>
          <w:sz w:val="24"/>
          <w:highlight w:val="none"/>
        </w:rPr>
        <w:t>2.3.8</w:t>
      </w:r>
      <w:r>
        <w:rPr>
          <w:rFonts w:hint="eastAsia" w:ascii="宋体" w:hAnsi="宋体" w:cs="宋体"/>
          <w:bCs/>
          <w:snapToGrid w:val="0"/>
          <w:color w:val="auto"/>
          <w:kern w:val="0"/>
          <w:sz w:val="24"/>
          <w:highlight w:val="none"/>
        </w:rPr>
        <w:t xml:space="preserve"> </w:t>
      </w:r>
      <w:r>
        <w:rPr>
          <w:rFonts w:hint="eastAsia" w:ascii="宋体" w:hAnsi="宋体" w:cs="宋体"/>
          <w:b w:val="0"/>
          <w:snapToGrid w:val="0"/>
          <w:color w:val="auto"/>
          <w:kern w:val="0"/>
          <w:sz w:val="24"/>
          <w:highlight w:val="none"/>
        </w:rPr>
        <w:t xml:space="preserve"> </w:t>
      </w:r>
      <w:r>
        <w:rPr>
          <w:rFonts w:hint="eastAsia"/>
          <w:b w:val="0"/>
          <w:snapToGrid w:val="0"/>
          <w:color w:val="auto"/>
          <w:kern w:val="0"/>
          <w:sz w:val="24"/>
          <w:highlight w:val="none"/>
        </w:rPr>
        <w:t>预算包干费：1.房屋建筑与装饰工程预算包干费按分部分项的人工费与施工机具费之和的7%计算，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2.市政工程预算包干费按分部分项的人工费与施工机具费之和的6%计算，预算包干包括：施工雨(污)水的排除、因地形影响造成的场内料具二次运输、施工材料堆放场地的整理、施工中的临时停水停电、基础埋深2m以内挖土方的塌方、日间照明施工增加费(不包括地下室和特殊工程)、完工清场后的垃圾外运、地上(地下)设施，建筑物的临时保护设施费和二次加工基地设施费、雨季施工增加费、己完工程及设备保护等，包干的内容不再依据方案或签证计算费用。3.园林绿化工程预算包干费按分部分项的人工费与施工机具费之和的6%计算，预算包干内容包括：施工雨(污)水的排除；场内料具二次运输；树穴内的泥浆清除；工程用水加压措施；施工材料堆放场地的整理；工程成品的保护；施工中的临时停水停电；日间施工照明增加费；完工后的场地清理。4.安装工程预算包干费按分部分项的人工费与施工机具费之和的10%计算，预算包干内容包括：施工雨(污)水的排除、因地形影响造成的场内料具二次运输、20m高以下的工程用水加压措施、施工材料堆放场地的整理、机电安装后的补洞(槽)工料费、工程成品保护费、施工中的临时停水停电、基础埋深2m以内挖土方的塌方、日间照明施工增加费(不包括地下室和特殊工程)、完工清场后的垃圾外运等。对于以上预算包干内容，承包人不得提出额外付款或延长工期等要求。对此类要求，发包人不作任何考虑及答复</w:t>
      </w:r>
      <w:r>
        <w:rPr>
          <w:rFonts w:hint="eastAsia" w:ascii="宋体" w:hAnsi="宋体" w:cs="宋体"/>
          <w:b w:val="0"/>
          <w:snapToGrid w:val="0"/>
          <w:color w:val="auto"/>
          <w:kern w:val="0"/>
          <w:sz w:val="24"/>
          <w:highlight w:val="none"/>
        </w:rPr>
        <w:t>。</w:t>
      </w:r>
    </w:p>
    <w:p w14:paraId="14AA442E">
      <w:pPr>
        <w:wordWrap w:val="0"/>
        <w:adjustRightInd w:val="0"/>
        <w:snapToGrid w:val="0"/>
        <w:spacing w:line="360" w:lineRule="auto"/>
        <w:ind w:firstLine="723" w:firstLineChars="300"/>
        <w:rPr>
          <w:rFonts w:hint="eastAsia" w:hAnsi="宋体" w:cs="宋体"/>
          <w:bCs/>
          <w:snapToGrid w:val="0"/>
          <w:color w:val="auto"/>
          <w:kern w:val="0"/>
          <w:szCs w:val="28"/>
          <w:highlight w:val="none"/>
        </w:rPr>
      </w:pPr>
      <w:r>
        <w:rPr>
          <w:rFonts w:hint="eastAsia" w:hAnsi="宋体" w:cs="宋体"/>
          <w:b/>
          <w:snapToGrid w:val="0"/>
          <w:color w:val="auto"/>
          <w:kern w:val="0"/>
          <w:szCs w:val="28"/>
          <w:highlight w:val="none"/>
        </w:rPr>
        <w:t>2.3.9</w:t>
      </w:r>
      <w:r>
        <w:rPr>
          <w:rFonts w:hint="eastAsia" w:hAnsi="宋体" w:cs="宋体"/>
          <w:bCs/>
          <w:snapToGrid w:val="0"/>
          <w:color w:val="auto"/>
          <w:kern w:val="0"/>
          <w:szCs w:val="28"/>
          <w:highlight w:val="none"/>
        </w:rPr>
        <w:t xml:space="preserve"> 其余事项（如不可抗力、索赔、现场签证等）的调整原则按照《建设工程工程量清单计价规范》（GB50500—2013）有关规定执行。</w:t>
      </w:r>
    </w:p>
    <w:p w14:paraId="19D9AAC1">
      <w:pPr>
        <w:wordWrap w:val="0"/>
        <w:adjustRightInd w:val="0"/>
        <w:snapToGrid w:val="0"/>
        <w:spacing w:line="360" w:lineRule="auto"/>
        <w:ind w:firstLine="482" w:firstLineChars="200"/>
        <w:rPr>
          <w:rFonts w:hint="eastAsia" w:hAnsi="宋体" w:cs="宋体"/>
          <w:b/>
          <w:snapToGrid w:val="0"/>
          <w:color w:val="auto"/>
          <w:kern w:val="0"/>
          <w:szCs w:val="28"/>
          <w:highlight w:val="none"/>
        </w:rPr>
      </w:pPr>
      <w:r>
        <w:rPr>
          <w:rFonts w:hint="eastAsia" w:hAnsi="宋体" w:cs="宋体"/>
          <w:b/>
          <w:bCs/>
          <w:snapToGrid w:val="0"/>
          <w:color w:val="auto"/>
          <w:kern w:val="0"/>
          <w:szCs w:val="24"/>
          <w:highlight w:val="none"/>
        </w:rPr>
        <w:t>2.4</w:t>
      </w:r>
      <w:r>
        <w:rPr>
          <w:rFonts w:hint="eastAsia" w:hAnsi="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p>
    <w:p w14:paraId="517D7DA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2.5</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人不得以不完全了解现场情况为理由，提出额外付款或延长工期等要求。对此类要求，发包人不作任何考虑及答复。</w:t>
      </w:r>
    </w:p>
    <w:p w14:paraId="74BE7702">
      <w:pPr>
        <w:wordWrap w:val="0"/>
        <w:adjustRightInd w:val="0"/>
        <w:snapToGrid w:val="0"/>
        <w:spacing w:line="360" w:lineRule="auto"/>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2.6</w:t>
      </w:r>
      <w:r>
        <w:rPr>
          <w:rFonts w:hint="eastAsia" w:hAnsi="宋体" w:cs="宋体"/>
          <w:snapToGrid w:val="0"/>
          <w:color w:val="auto"/>
          <w:kern w:val="0"/>
          <w:szCs w:val="24"/>
          <w:highlight w:val="none"/>
        </w:rPr>
        <w:t xml:space="preserve"> </w:t>
      </w:r>
      <w:r>
        <w:rPr>
          <w:rFonts w:hint="eastAsia" w:hAnsi="宋体" w:cs="宋体"/>
          <w:snapToGrid w:val="0"/>
          <w:color w:val="auto"/>
          <w:kern w:val="0"/>
          <w:highlight w:val="none"/>
        </w:rPr>
        <w:t>承包</w:t>
      </w:r>
      <w:r>
        <w:rPr>
          <w:rFonts w:hint="eastAsia" w:hAnsi="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66D3B2CC">
      <w:pPr>
        <w:wordWrap w:val="0"/>
        <w:adjustRightInd w:val="0"/>
        <w:snapToGrid w:val="0"/>
        <w:spacing w:line="360" w:lineRule="auto"/>
        <w:ind w:firstLine="48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2.7</w:t>
      </w:r>
      <w:r>
        <w:rPr>
          <w:rFonts w:hint="eastAsia" w:hAnsi="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4C0C5E80">
      <w:pPr>
        <w:wordWrap w:val="0"/>
        <w:adjustRightInd w:val="0"/>
        <w:snapToGrid w:val="0"/>
        <w:spacing w:line="360" w:lineRule="auto"/>
        <w:ind w:firstLine="56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2.8</w:t>
      </w:r>
      <w:r>
        <w:rPr>
          <w:rFonts w:hint="eastAsia" w:hAnsi="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6AEB36D">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2.9 </w:t>
      </w:r>
      <w:r>
        <w:rPr>
          <w:rFonts w:hint="eastAsia" w:hAnsi="宋体" w:cs="宋体"/>
          <w:snapToGrid w:val="0"/>
          <w:color w:val="auto"/>
          <w:kern w:val="0"/>
          <w:szCs w:val="24"/>
          <w:highlight w:val="none"/>
        </w:rPr>
        <w:t>暂估价的结算原则：本工程暂估价为招标人在工程量清单中提供的用于支付必然发生但暂时不能确定价格的材料、工程设备的单价以及专业工程的金额。材料暂估价结算时提供购买发票、转账凭证、合同等佐证依据，其结算原则按本章“2.工程结算原则”有关条款进行结算。各部分暂估价的结算价不得超过暂估价。</w:t>
      </w:r>
    </w:p>
    <w:p w14:paraId="73C746A3">
      <w:pPr>
        <w:wordWrap w:val="0"/>
        <w:adjustRightInd w:val="0"/>
        <w:snapToGrid w:val="0"/>
        <w:spacing w:line="360" w:lineRule="auto"/>
        <w:ind w:firstLine="560"/>
        <w:rPr>
          <w:rFonts w:hint="eastAsia" w:hAnsi="宋体" w:cs="宋体"/>
          <w:b/>
          <w:bCs/>
          <w:snapToGrid w:val="0"/>
          <w:color w:val="auto"/>
          <w:kern w:val="0"/>
          <w:szCs w:val="24"/>
          <w:highlight w:val="none"/>
        </w:rPr>
      </w:pPr>
      <w:r>
        <w:rPr>
          <w:rFonts w:hint="eastAsia" w:hAnsi="宋体" w:cs="宋体"/>
          <w:b/>
          <w:bCs/>
          <w:snapToGrid w:val="0"/>
          <w:color w:val="auto"/>
          <w:kern w:val="0"/>
          <w:szCs w:val="24"/>
          <w:highlight w:val="none"/>
        </w:rPr>
        <w:t xml:space="preserve">2.10 </w:t>
      </w:r>
      <w:r>
        <w:rPr>
          <w:rFonts w:hint="eastAsia" w:hAnsi="宋体" w:cs="宋体"/>
          <w:snapToGrid w:val="0"/>
          <w:color w:val="auto"/>
          <w:kern w:val="0"/>
          <w:szCs w:val="24"/>
          <w:highlight w:val="none"/>
        </w:rPr>
        <w:t>暂列金额的结算原则：暂列金额由发包人掌握使用，工程合同履行期间，由于发包人的要求（注：必须要有发包人的书面通知）导致发生设计变更或合同约定调整因素出现时的工程价款调整以及发生的索赔、现场签证等，其工程量按实调整，其造价调整按本章“2工程结算原则”有关条款进行调整。暂列金额如有余额归发包人。</w:t>
      </w:r>
    </w:p>
    <w:p w14:paraId="41B925D2">
      <w:pPr>
        <w:wordWrap w:val="0"/>
        <w:adjustRightInd w:val="0"/>
        <w:snapToGrid w:val="0"/>
        <w:spacing w:line="360" w:lineRule="auto"/>
        <w:ind w:firstLine="560"/>
        <w:rPr>
          <w:rFonts w:hint="eastAsia" w:hAnsi="宋体" w:cs="宋体"/>
          <w:b/>
          <w:bCs/>
          <w:snapToGrid w:val="0"/>
          <w:color w:val="auto"/>
          <w:kern w:val="0"/>
          <w:szCs w:val="24"/>
          <w:highlight w:val="none"/>
        </w:rPr>
      </w:pPr>
      <w:bookmarkStart w:id="254" w:name="_Toc8343"/>
      <w:r>
        <w:rPr>
          <w:rFonts w:hint="eastAsia" w:hAnsi="宋体" w:cs="宋体"/>
          <w:b/>
          <w:bCs/>
          <w:snapToGrid w:val="0"/>
          <w:color w:val="auto"/>
          <w:kern w:val="0"/>
          <w:szCs w:val="24"/>
          <w:highlight w:val="none"/>
        </w:rPr>
        <w:t>2.11</w:t>
      </w:r>
      <w:r>
        <w:rPr>
          <w:rFonts w:hint="eastAsia" w:hAnsi="宋体" w:cs="宋体"/>
          <w:snapToGrid w:val="0"/>
          <w:color w:val="auto"/>
          <w:kern w:val="0"/>
          <w:szCs w:val="24"/>
          <w:highlight w:val="none"/>
        </w:rPr>
        <w:t>结算总价在招标控制价范围内按实结算，结算总价不得超过本次招标的招标控制价。项目实施过程中涉及工程造价控制、计量、价差调整等事项，最终以乐昌市财政投资评审中心的审核意见为准。</w:t>
      </w:r>
      <w:bookmarkEnd w:id="254"/>
    </w:p>
    <w:p w14:paraId="3A07ED1D">
      <w:pPr>
        <w:pStyle w:val="4"/>
        <w:wordWrap w:val="0"/>
        <w:autoSpaceDE/>
        <w:autoSpaceDN/>
        <w:snapToGrid w:val="0"/>
        <w:spacing w:before="120" w:beforeLines="50" w:line="360" w:lineRule="auto"/>
        <w:jc w:val="both"/>
        <w:outlineLvl w:val="1"/>
        <w:rPr>
          <w:rFonts w:hint="eastAsia" w:hAnsi="宋体" w:cs="宋体"/>
          <w:b/>
          <w:snapToGrid w:val="0"/>
          <w:color w:val="auto"/>
          <w:highlight w:val="none"/>
        </w:rPr>
      </w:pPr>
      <w:bookmarkStart w:id="255" w:name="_Toc11883"/>
      <w:bookmarkStart w:id="256" w:name="_Toc231"/>
      <w:bookmarkStart w:id="257" w:name="_Toc10791"/>
      <w:r>
        <w:rPr>
          <w:rFonts w:hint="eastAsia" w:hAnsi="宋体" w:cs="宋体"/>
          <w:b/>
          <w:snapToGrid w:val="0"/>
          <w:color w:val="auto"/>
          <w:highlight w:val="none"/>
        </w:rPr>
        <w:t>3．工程付款办法</w:t>
      </w:r>
      <w:bookmarkEnd w:id="255"/>
      <w:bookmarkEnd w:id="256"/>
      <w:bookmarkEnd w:id="257"/>
    </w:p>
    <w:p w14:paraId="33FBFF51">
      <w:pPr>
        <w:wordWrap w:val="0"/>
        <w:adjustRightInd w:val="0"/>
        <w:snapToGrid w:val="0"/>
        <w:spacing w:line="360" w:lineRule="auto"/>
        <w:ind w:firstLine="482" w:firstLineChars="200"/>
        <w:rPr>
          <w:rFonts w:hint="eastAsia" w:hAnsi="宋体" w:cs="宋体"/>
          <w:b/>
          <w:bCs/>
          <w:color w:val="auto"/>
          <w:kern w:val="0"/>
          <w:szCs w:val="24"/>
          <w:highlight w:val="none"/>
        </w:rPr>
      </w:pPr>
      <w:r>
        <w:rPr>
          <w:rFonts w:hint="eastAsia" w:hAnsi="宋体" w:cs="宋体"/>
          <w:b/>
          <w:bCs/>
          <w:color w:val="auto"/>
          <w:kern w:val="0"/>
          <w:szCs w:val="24"/>
          <w:highlight w:val="none"/>
          <w:lang w:bidi="ar"/>
        </w:rPr>
        <w:t>3.1</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支付 </w:t>
      </w:r>
      <w:r>
        <w:rPr>
          <w:rFonts w:hint="eastAsia" w:hAnsi="宋体" w:cs="宋体"/>
          <w:color w:val="auto"/>
          <w:kern w:val="0"/>
          <w:szCs w:val="24"/>
          <w:highlight w:val="none"/>
          <w:lang w:bidi="ar"/>
        </w:rPr>
        <w:t>施工预付款。</w:t>
      </w:r>
    </w:p>
    <w:p w14:paraId="51473133">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w:t>
      </w:r>
      <w:r>
        <w:rPr>
          <w:rFonts w:hint="eastAsia" w:hAnsi="宋体" w:cs="宋体"/>
          <w:color w:val="auto"/>
          <w:kern w:val="0"/>
          <w:szCs w:val="24"/>
          <w:highlight w:val="none"/>
          <w:lang w:bidi="ar"/>
        </w:rPr>
        <w:t xml:space="preserve"> 施工预付款必须专用于合同工程，并按以下原则支付和抵扣：</w:t>
      </w:r>
    </w:p>
    <w:p w14:paraId="4AC6AB85">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3.2.1</w:t>
      </w:r>
      <w:r>
        <w:rPr>
          <w:rFonts w:hint="eastAsia" w:hAnsi="宋体" w:cs="宋体"/>
          <w:color w:val="auto"/>
          <w:kern w:val="0"/>
          <w:szCs w:val="24"/>
          <w:highlight w:val="none"/>
          <w:lang w:bidi="ar"/>
        </w:rPr>
        <w:t xml:space="preserve"> 施工预付款支付比例为：按施工合同价的</w:t>
      </w:r>
      <w:r>
        <w:rPr>
          <w:rFonts w:hint="eastAsia" w:hAnsi="宋体" w:cs="宋体"/>
          <w:color w:val="auto"/>
          <w:kern w:val="0"/>
          <w:szCs w:val="24"/>
          <w:highlight w:val="none"/>
          <w:u w:val="single"/>
          <w:lang w:bidi="ar"/>
        </w:rPr>
        <w:t xml:space="preserve"> 30% </w:t>
      </w:r>
      <w:r>
        <w:rPr>
          <w:rFonts w:hint="eastAsia" w:hAnsi="宋体" w:cs="宋体"/>
          <w:color w:val="auto"/>
          <w:kern w:val="0"/>
          <w:szCs w:val="24"/>
          <w:highlight w:val="none"/>
          <w:lang w:bidi="ar"/>
        </w:rPr>
        <w:t>支付。（不含暂列金额）</w:t>
      </w:r>
    </w:p>
    <w:p w14:paraId="0AF6D10B">
      <w:pPr>
        <w:wordWrap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3.2.2</w:t>
      </w:r>
      <w:r>
        <w:rPr>
          <w:rFonts w:hint="eastAsia" w:hAnsi="宋体" w:cs="宋体"/>
          <w:color w:val="auto"/>
          <w:kern w:val="0"/>
          <w:szCs w:val="24"/>
          <w:highlight w:val="none"/>
          <w:lang w:bidi="ar"/>
        </w:rPr>
        <w:t xml:space="preserve"> 本招标项目</w:t>
      </w:r>
      <w:r>
        <w:rPr>
          <w:rFonts w:hint="eastAsia" w:hAnsi="宋体" w:cs="宋体"/>
          <w:color w:val="auto"/>
          <w:kern w:val="0"/>
          <w:szCs w:val="24"/>
          <w:highlight w:val="none"/>
          <w:u w:val="single"/>
          <w:lang w:bidi="ar"/>
        </w:rPr>
        <w:t xml:space="preserve"> </w:t>
      </w:r>
      <w:r>
        <w:rPr>
          <w:rFonts w:hint="eastAsia" w:hAnsi="宋体" w:cs="宋体"/>
          <w:color w:val="auto"/>
          <w:kern w:val="0"/>
          <w:szCs w:val="24"/>
          <w:highlight w:val="none"/>
          <w:u w:val="single"/>
          <w:lang w:val="en-US" w:eastAsia="zh-CN" w:bidi="ar"/>
        </w:rPr>
        <w:t>不</w:t>
      </w:r>
      <w:r>
        <w:rPr>
          <w:rFonts w:hint="eastAsia" w:hAnsi="宋体" w:cs="宋体"/>
          <w:color w:val="auto"/>
          <w:kern w:val="0"/>
          <w:szCs w:val="24"/>
          <w:highlight w:val="none"/>
          <w:u w:val="single"/>
          <w:lang w:bidi="ar"/>
        </w:rPr>
        <w:t xml:space="preserve">要求 </w:t>
      </w:r>
      <w:r>
        <w:rPr>
          <w:rFonts w:hint="eastAsia" w:hAnsi="宋体" w:cs="宋体"/>
          <w:color w:val="auto"/>
          <w:kern w:val="0"/>
          <w:szCs w:val="24"/>
          <w:highlight w:val="none"/>
          <w:lang w:bidi="ar"/>
        </w:rPr>
        <w:t>承包人提供与预付款等额的预付款保函。</w:t>
      </w:r>
    </w:p>
    <w:p w14:paraId="51AED2BE">
      <w:pPr>
        <w:wordWrap w:val="0"/>
        <w:adjustRightInd w:val="0"/>
        <w:snapToGrid w:val="0"/>
        <w:spacing w:line="360" w:lineRule="auto"/>
        <w:ind w:firstLine="482" w:firstLineChars="200"/>
        <w:rPr>
          <w:rFonts w:hint="eastAsia" w:ascii="Times New Roman"/>
          <w:snapToGrid w:val="0"/>
          <w:color w:val="auto"/>
          <w:kern w:val="0"/>
          <w:highlight w:val="none"/>
        </w:rPr>
      </w:pPr>
      <w:r>
        <w:rPr>
          <w:rFonts w:hint="eastAsia" w:hAnsi="宋体" w:cs="宋体"/>
          <w:b/>
          <w:bCs/>
          <w:color w:val="auto"/>
          <w:kern w:val="0"/>
          <w:szCs w:val="24"/>
          <w:highlight w:val="none"/>
          <w:lang w:bidi="ar"/>
        </w:rPr>
        <w:t>3.2.3</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13411ABD">
      <w:pPr>
        <w:wordWrap w:val="0"/>
        <w:adjustRightInd w:val="0"/>
        <w:snapToGrid w:val="0"/>
        <w:spacing w:line="360" w:lineRule="auto"/>
        <w:ind w:firstLine="482" w:firstLineChars="200"/>
        <w:rPr>
          <w:rFonts w:hint="default" w:ascii="Times New Roman" w:eastAsia="宋体"/>
          <w:snapToGrid w:val="0"/>
          <w:color w:val="auto"/>
          <w:kern w:val="0"/>
          <w:highlight w:val="none"/>
          <w:lang w:val="en-US" w:eastAsia="zh-CN"/>
        </w:rPr>
      </w:pPr>
      <w:r>
        <w:rPr>
          <w:rFonts w:hint="eastAsia" w:hAnsi="宋体" w:cs="宋体"/>
          <w:b/>
          <w:bCs/>
          <w:color w:val="auto"/>
          <w:kern w:val="0"/>
          <w:szCs w:val="24"/>
          <w:highlight w:val="none"/>
          <w:lang w:bidi="ar"/>
        </w:rPr>
        <w:t>3.2.4</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lang w:val="en-US" w:eastAsia="zh-CN"/>
        </w:rPr>
        <w:t>因</w:t>
      </w:r>
      <w:r>
        <w:rPr>
          <w:rFonts w:hint="eastAsia" w:ascii="Times New Roman"/>
          <w:snapToGrid w:val="0"/>
          <w:color w:val="auto"/>
          <w:kern w:val="0"/>
          <w:highlight w:val="none"/>
        </w:rPr>
        <w:t>发包人</w:t>
      </w:r>
      <w:r>
        <w:rPr>
          <w:rFonts w:hint="eastAsia" w:ascii="Times New Roman"/>
          <w:snapToGrid w:val="0"/>
          <w:color w:val="auto"/>
          <w:kern w:val="0"/>
          <w:highlight w:val="none"/>
          <w:lang w:val="en-US" w:eastAsia="zh-CN"/>
        </w:rPr>
        <w:t>使用的是财政资金，发包人的付款时间为向政府财政部门提出办理支付申请手续的时间（不含政府财政部门审核的时间），在规定时间内提出支付申请手续后即视为甲方已经按期申请支付，具体支付情况以财政资金到位情况为准。</w:t>
      </w:r>
    </w:p>
    <w:p w14:paraId="5E0CF81D">
      <w:pPr>
        <w:wordWrap w:val="0"/>
        <w:adjustRightInd w:val="0"/>
        <w:snapToGrid w:val="0"/>
        <w:spacing w:line="360" w:lineRule="auto"/>
        <w:ind w:firstLine="482" w:firstLineChars="200"/>
        <w:rPr>
          <w:rFonts w:hint="eastAsia"/>
          <w:color w:val="auto"/>
          <w:highlight w:val="none"/>
        </w:rPr>
      </w:pPr>
      <w:r>
        <w:rPr>
          <w:rFonts w:hint="eastAsia" w:hAnsi="宋体" w:cs="宋体"/>
          <w:b/>
          <w:bCs/>
          <w:color w:val="auto"/>
          <w:kern w:val="0"/>
          <w:szCs w:val="24"/>
          <w:highlight w:val="none"/>
          <w:lang w:bidi="ar"/>
        </w:rPr>
        <w:t>3.2.5</w:t>
      </w:r>
      <w:r>
        <w:rPr>
          <w:rFonts w:hint="eastAsia" w:hAnsi="宋体" w:cs="宋体"/>
          <w:color w:val="auto"/>
          <w:kern w:val="0"/>
          <w:szCs w:val="24"/>
          <w:highlight w:val="none"/>
          <w:lang w:bidi="ar"/>
        </w:rPr>
        <w:t xml:space="preserve"> </w:t>
      </w:r>
      <w:r>
        <w:rPr>
          <w:rFonts w:hint="eastAsia" w:ascii="Times New Roman"/>
          <w:snapToGrid w:val="0"/>
          <w:color w:val="auto"/>
          <w:kern w:val="0"/>
          <w:highlight w:val="none"/>
        </w:rPr>
        <w:t>预付款应从每支付期应支付给承包人的工程进度款中扣回，直到扣回的金额达到合同约定的预付款金额为止。</w:t>
      </w:r>
    </w:p>
    <w:p w14:paraId="716E5F7F">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3.3</w:t>
      </w:r>
      <w:r>
        <w:rPr>
          <w:rFonts w:hint="eastAsia" w:hAnsi="宋体" w:cs="宋体"/>
          <w:color w:val="auto"/>
          <w:kern w:val="0"/>
          <w:szCs w:val="24"/>
          <w:highlight w:val="none"/>
          <w:lang w:bidi="ar"/>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5FF3B3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3.4</w:t>
      </w:r>
      <w:r>
        <w:rPr>
          <w:rFonts w:hint="eastAsia" w:hAnsi="宋体" w:cs="宋体"/>
          <w:color w:val="auto"/>
          <w:kern w:val="0"/>
          <w:szCs w:val="24"/>
          <w:highlight w:val="none"/>
          <w:lang w:bidi="ar"/>
        </w:rPr>
        <w:t xml:space="preserve"> 每月的工程进度款按工程实际完成工程量的</w:t>
      </w:r>
      <w:r>
        <w:rPr>
          <w:rFonts w:hint="eastAsia" w:hAnsi="宋体" w:cs="宋体"/>
          <w:color w:val="auto"/>
          <w:kern w:val="0"/>
          <w:szCs w:val="24"/>
          <w:highlight w:val="none"/>
          <w:u w:val="single"/>
          <w:lang w:bidi="ar"/>
        </w:rPr>
        <w:t xml:space="preserve"> 80% </w:t>
      </w:r>
      <w:r>
        <w:rPr>
          <w:rFonts w:hint="eastAsia" w:hAnsi="宋体" w:cs="宋体"/>
          <w:color w:val="auto"/>
          <w:kern w:val="0"/>
          <w:szCs w:val="24"/>
          <w:highlight w:val="none"/>
          <w:lang w:bidi="ar"/>
        </w:rPr>
        <w:t>支付</w:t>
      </w:r>
      <w:r>
        <w:rPr>
          <w:rFonts w:hint="eastAsia" w:hAnsi="宋体" w:cs="宋体"/>
          <w:color w:val="auto"/>
          <w:kern w:val="0"/>
          <w:szCs w:val="24"/>
          <w:highlight w:val="none"/>
          <w:lang w:eastAsia="zh-CN" w:bidi="ar"/>
        </w:rPr>
        <w:t>（</w:t>
      </w:r>
      <w:r>
        <w:rPr>
          <w:rFonts w:hint="eastAsia" w:ascii="Times New Roman"/>
          <w:snapToGrid w:val="0"/>
          <w:color w:val="auto"/>
          <w:kern w:val="0"/>
          <w:highlight w:val="none"/>
          <w:lang w:val="en-US" w:eastAsia="zh-CN"/>
        </w:rPr>
        <w:t>具体支付情况以财政资金到位情况为准</w:t>
      </w:r>
      <w:r>
        <w:rPr>
          <w:rFonts w:hint="eastAsia" w:hAnsi="宋体" w:cs="宋体"/>
          <w:color w:val="auto"/>
          <w:kern w:val="0"/>
          <w:szCs w:val="24"/>
          <w:highlight w:val="none"/>
          <w:lang w:eastAsia="zh-CN" w:bidi="ar"/>
        </w:rPr>
        <w:t>）</w:t>
      </w:r>
      <w:r>
        <w:rPr>
          <w:rFonts w:hint="eastAsia" w:hAnsi="宋体" w:cs="宋体"/>
          <w:color w:val="auto"/>
          <w:kern w:val="0"/>
          <w:szCs w:val="24"/>
          <w:highlight w:val="none"/>
          <w:lang w:bidi="ar"/>
        </w:rPr>
        <w:t>。</w:t>
      </w:r>
    </w:p>
    <w:p w14:paraId="56DECDEE">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3.5</w:t>
      </w:r>
      <w:r>
        <w:rPr>
          <w:rFonts w:hint="eastAsia" w:hAnsi="宋体" w:cs="宋体"/>
          <w:color w:val="auto"/>
          <w:kern w:val="0"/>
          <w:szCs w:val="24"/>
          <w:highlight w:val="none"/>
          <w:lang w:bidi="ar"/>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0961A517">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bCs/>
          <w:color w:val="auto"/>
          <w:kern w:val="0"/>
          <w:szCs w:val="24"/>
          <w:highlight w:val="none"/>
          <w:lang w:bidi="ar"/>
        </w:rPr>
        <w:t>3.6</w:t>
      </w:r>
      <w:r>
        <w:rPr>
          <w:rFonts w:hint="eastAsia" w:hAnsi="宋体" w:cs="宋体"/>
          <w:color w:val="auto"/>
          <w:kern w:val="0"/>
          <w:szCs w:val="24"/>
          <w:highlight w:val="none"/>
          <w:lang w:bidi="ar"/>
        </w:rPr>
        <w:t xml:space="preserve"> 变更工程造价必须经监理单位核实，并经发包人核定后方可支付。</w:t>
      </w:r>
    </w:p>
    <w:p w14:paraId="43BB0A47">
      <w:pPr>
        <w:wordWrap w:val="0"/>
        <w:adjustRightInd w:val="0"/>
        <w:snapToGrid w:val="0"/>
        <w:spacing w:line="360" w:lineRule="auto"/>
        <w:ind w:firstLine="482" w:firstLineChars="200"/>
        <w:rPr>
          <w:rFonts w:hint="eastAsia" w:hAnsi="宋体" w:cs="宋体"/>
          <w:bCs/>
          <w:color w:val="auto"/>
          <w:kern w:val="0"/>
          <w:szCs w:val="24"/>
          <w:highlight w:val="none"/>
        </w:rPr>
      </w:pPr>
      <w:r>
        <w:rPr>
          <w:rFonts w:hint="eastAsia" w:hAnsi="宋体" w:cs="宋体"/>
          <w:b/>
          <w:bCs/>
          <w:color w:val="auto"/>
          <w:kern w:val="0"/>
          <w:szCs w:val="24"/>
          <w:highlight w:val="none"/>
          <w:lang w:bidi="ar"/>
        </w:rPr>
        <w:t>3.7</w:t>
      </w:r>
      <w:r>
        <w:rPr>
          <w:rFonts w:hint="eastAsia" w:hAnsi="宋体" w:cs="宋体"/>
          <w:color w:val="auto"/>
          <w:kern w:val="0"/>
          <w:szCs w:val="24"/>
          <w:highlight w:val="none"/>
          <w:lang w:bidi="ar"/>
        </w:rPr>
        <w:t xml:space="preserve"> 结算审核完成后，于次月支付至合同价格的97%，剩余3%转为质量保证金</w:t>
      </w:r>
      <w:r>
        <w:rPr>
          <w:rFonts w:hint="eastAsia" w:hAnsi="宋体" w:cs="宋体"/>
          <w:bCs/>
          <w:color w:val="auto"/>
          <w:kern w:val="0"/>
          <w:szCs w:val="24"/>
          <w:highlight w:val="none"/>
          <w:lang w:bidi="ar"/>
        </w:rPr>
        <w:t>。</w:t>
      </w:r>
    </w:p>
    <w:p w14:paraId="0728E499">
      <w:pPr>
        <w:wordWrap w:val="0"/>
        <w:adjustRightInd w:val="0"/>
        <w:snapToGrid w:val="0"/>
        <w:spacing w:line="360" w:lineRule="auto"/>
        <w:ind w:firstLine="482" w:firstLineChars="200"/>
        <w:rPr>
          <w:rFonts w:hint="eastAsia" w:hAnsi="宋体" w:cs="宋体"/>
          <w:color w:val="auto"/>
          <w:kern w:val="0"/>
          <w:szCs w:val="24"/>
          <w:highlight w:val="none"/>
        </w:rPr>
      </w:pPr>
      <w:r>
        <w:rPr>
          <w:rFonts w:hint="eastAsia" w:hAnsi="宋体" w:cs="宋体"/>
          <w:b/>
          <w:color w:val="auto"/>
          <w:kern w:val="0"/>
          <w:szCs w:val="24"/>
          <w:highlight w:val="none"/>
          <w:lang w:bidi="ar"/>
        </w:rPr>
        <w:t>3.8</w:t>
      </w:r>
      <w:r>
        <w:rPr>
          <w:rFonts w:hint="eastAsia" w:hAnsi="宋体" w:cs="宋体"/>
          <w:bCs/>
          <w:color w:val="auto"/>
          <w:kern w:val="0"/>
          <w:szCs w:val="24"/>
          <w:highlight w:val="none"/>
          <w:lang w:bidi="ar"/>
        </w:rPr>
        <w:t xml:space="preserve"> 本招标项目缺陷责任期为</w:t>
      </w:r>
      <w:r>
        <w:rPr>
          <w:rFonts w:hint="eastAsia" w:hAnsi="宋体" w:cs="宋体"/>
          <w:bCs/>
          <w:color w:val="auto"/>
          <w:kern w:val="0"/>
          <w:szCs w:val="24"/>
          <w:highlight w:val="none"/>
          <w:u w:val="single"/>
          <w:lang w:bidi="ar"/>
        </w:rPr>
        <w:t>2</w:t>
      </w:r>
      <w:r>
        <w:rPr>
          <w:rFonts w:hint="eastAsia" w:hAnsi="宋体" w:cs="宋体"/>
          <w:bCs/>
          <w:color w:val="auto"/>
          <w:kern w:val="0"/>
          <w:szCs w:val="24"/>
          <w:highlight w:val="none"/>
          <w:lang w:bidi="ar"/>
        </w:rPr>
        <w:t>年（自通过竣工验收之日起计）。</w:t>
      </w:r>
      <w:r>
        <w:rPr>
          <w:rFonts w:hint="eastAsia" w:hAnsi="宋体" w:cs="宋体"/>
          <w:color w:val="auto"/>
          <w:kern w:val="0"/>
          <w:szCs w:val="24"/>
          <w:highlight w:val="none"/>
          <w:lang w:bidi="ar"/>
        </w:rPr>
        <w:t>缺陷责任期到期后，承包人向发包人申请退还质量保证。发包人收到退还申请后，于14天内会同承包人进行核实。经双方核实且均无异议后，发包人在核实之日起</w:t>
      </w:r>
      <w:r>
        <w:rPr>
          <w:rFonts w:hint="eastAsia" w:hAnsi="宋体" w:cs="宋体"/>
          <w:color w:val="auto"/>
          <w:kern w:val="0"/>
          <w:szCs w:val="24"/>
          <w:highlight w:val="none"/>
          <w:u w:val="single"/>
          <w:lang w:bidi="ar"/>
        </w:rPr>
        <w:t xml:space="preserve"> 14 </w:t>
      </w:r>
      <w:r>
        <w:rPr>
          <w:rFonts w:hint="eastAsia" w:hAnsi="宋体" w:cs="宋体"/>
          <w:color w:val="auto"/>
          <w:kern w:val="0"/>
          <w:szCs w:val="24"/>
          <w:highlight w:val="none"/>
          <w:lang w:bidi="ar"/>
        </w:rPr>
        <w:t>天内将应返保证金（或银行保函）退还承包人。</w:t>
      </w:r>
    </w:p>
    <w:p w14:paraId="0177A90D">
      <w:pPr>
        <w:wordWrap w:val="0"/>
        <w:autoSpaceDE w:val="0"/>
        <w:adjustRightInd w:val="0"/>
        <w:snapToGrid w:val="0"/>
        <w:spacing w:line="360" w:lineRule="auto"/>
        <w:ind w:firstLine="482" w:firstLineChars="200"/>
        <w:rPr>
          <w:rFonts w:hint="eastAsia" w:hAnsi="宋体" w:cs="宋体"/>
          <w:color w:val="auto"/>
          <w:szCs w:val="24"/>
          <w:highlight w:val="none"/>
        </w:rPr>
      </w:pPr>
      <w:r>
        <w:rPr>
          <w:rFonts w:hint="eastAsia" w:hAnsi="宋体" w:cs="宋体"/>
          <w:b/>
          <w:bCs/>
          <w:color w:val="auto"/>
          <w:szCs w:val="24"/>
          <w:highlight w:val="none"/>
          <w:lang w:bidi="ar"/>
        </w:rPr>
        <w:t>3.9</w:t>
      </w:r>
      <w:r>
        <w:rPr>
          <w:rFonts w:hint="eastAsia" w:hAnsi="宋体" w:cs="宋体"/>
          <w:color w:val="auto"/>
          <w:szCs w:val="24"/>
          <w:highlight w:val="none"/>
          <w:lang w:bidi="ar"/>
        </w:rPr>
        <w:t xml:space="preserve"> 暂列金额结算方式：</w:t>
      </w:r>
      <w:r>
        <w:rPr>
          <w:rFonts w:hint="eastAsia" w:hAnsi="宋体" w:cs="宋体"/>
          <w:color w:val="auto"/>
          <w:kern w:val="0"/>
          <w:szCs w:val="24"/>
          <w:highlight w:val="none"/>
          <w:u w:val="single"/>
          <w:lang w:bidi="ar"/>
        </w:rPr>
        <w:t>暂列金额按实际发生在结算审核完成后支付</w:t>
      </w:r>
      <w:r>
        <w:rPr>
          <w:rFonts w:hint="eastAsia" w:hAnsi="宋体" w:cs="宋体"/>
          <w:color w:val="auto"/>
          <w:kern w:val="0"/>
          <w:szCs w:val="24"/>
          <w:highlight w:val="none"/>
          <w:lang w:bidi="ar"/>
        </w:rPr>
        <w:t>。</w:t>
      </w:r>
    </w:p>
    <w:p w14:paraId="2ACE4215">
      <w:pPr>
        <w:wordWrap w:val="0"/>
        <w:autoSpaceDE w:val="0"/>
        <w:adjustRightInd w:val="0"/>
        <w:snapToGrid w:val="0"/>
        <w:spacing w:line="360" w:lineRule="auto"/>
        <w:ind w:firstLine="482" w:firstLineChars="200"/>
        <w:rPr>
          <w:rFonts w:hint="eastAsia" w:hAnsi="宋体" w:cs="宋体"/>
          <w:color w:val="auto"/>
          <w:kern w:val="0"/>
          <w:szCs w:val="24"/>
          <w:highlight w:val="none"/>
          <w:lang w:bidi="ar"/>
        </w:rPr>
      </w:pPr>
      <w:r>
        <w:rPr>
          <w:rFonts w:hint="eastAsia" w:hAnsi="宋体" w:cs="宋体"/>
          <w:b/>
          <w:bCs/>
          <w:color w:val="auto"/>
          <w:kern w:val="0"/>
          <w:szCs w:val="24"/>
          <w:highlight w:val="none"/>
          <w:lang w:bidi="ar"/>
        </w:rPr>
        <w:t>3.10</w:t>
      </w:r>
      <w:r>
        <w:rPr>
          <w:rFonts w:hint="eastAsia" w:hAnsi="宋体" w:cs="宋体"/>
          <w:color w:val="auto"/>
          <w:kern w:val="0"/>
          <w:szCs w:val="24"/>
          <w:highlight w:val="none"/>
          <w:lang w:bidi="ar"/>
        </w:rPr>
        <w:t xml:space="preserve"> 暂列金额支付方式：</w:t>
      </w:r>
      <w:r>
        <w:rPr>
          <w:rFonts w:hint="eastAsia" w:hAnsi="宋体" w:cs="宋体"/>
          <w:color w:val="auto"/>
          <w:kern w:val="0"/>
          <w:szCs w:val="24"/>
          <w:highlight w:val="none"/>
          <w:u w:val="single"/>
          <w:lang w:bidi="ar"/>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hAnsi="宋体" w:cs="宋体"/>
          <w:color w:val="auto"/>
          <w:kern w:val="0"/>
          <w:szCs w:val="24"/>
          <w:highlight w:val="none"/>
          <w:lang w:bidi="ar"/>
        </w:rPr>
        <w:t>。</w:t>
      </w:r>
    </w:p>
    <w:p w14:paraId="6DF68943">
      <w:pPr>
        <w:spacing w:line="360" w:lineRule="auto"/>
        <w:ind w:firstLine="482" w:firstLineChars="200"/>
        <w:rPr>
          <w:rFonts w:hint="eastAsia" w:hAnsi="宋体"/>
          <w:color w:val="auto"/>
          <w:szCs w:val="22"/>
          <w:highlight w:val="none"/>
        </w:rPr>
      </w:pPr>
      <w:r>
        <w:rPr>
          <w:rFonts w:hint="eastAsia" w:ascii="Times New Roman"/>
          <w:b/>
          <w:bCs/>
          <w:snapToGrid w:val="0"/>
          <w:color w:val="auto"/>
          <w:kern w:val="0"/>
          <w:szCs w:val="24"/>
          <w:highlight w:val="none"/>
        </w:rPr>
        <w:t>3.11</w:t>
      </w:r>
      <w:r>
        <w:rPr>
          <w:rFonts w:hint="eastAsia" w:hAnsi="宋体"/>
          <w:color w:val="auto"/>
          <w:szCs w:val="22"/>
          <w:highlight w:val="none"/>
        </w:rPr>
        <w:t>工资保证金的缴存比例、存储形式、减免措施以及使用返还等所有相关事项，必须按照《广东省人力资源和 社会保障厅 广东省住房和城乡建设厅 广东省交通运输厅 广东 省水利厅关于建设工程领域农民工工资支付保证金管理办法》（粤人社规〔2019〕10 号）和《韶关市工程建设领域农民工工资保证金管理实施细则》（韶法审〔2023〕19 号）的具体规定执行。中标人必须按照上述办法和实施细则中关于施工单位（包括工程总包企业和专业分包企业）责任义务的具体规定执行，否则将按照上述办法和实施细则中有关规定接受处理。</w:t>
      </w:r>
    </w:p>
    <w:p w14:paraId="207723D7">
      <w:pPr>
        <w:pStyle w:val="4"/>
        <w:wordWrap w:val="0"/>
        <w:autoSpaceDE/>
        <w:autoSpaceDN/>
        <w:snapToGrid w:val="0"/>
        <w:spacing w:before="120" w:beforeLines="50" w:line="360" w:lineRule="auto"/>
        <w:jc w:val="both"/>
        <w:outlineLvl w:val="1"/>
        <w:rPr>
          <w:rFonts w:hint="eastAsia" w:ascii="宋体" w:hAnsi="宋体" w:eastAsia="宋体" w:cs="宋体"/>
          <w:b/>
          <w:snapToGrid w:val="0"/>
          <w:color w:val="auto"/>
          <w:highlight w:val="none"/>
        </w:rPr>
      </w:pPr>
      <w:bookmarkStart w:id="258" w:name="_Toc6608"/>
      <w:r>
        <w:rPr>
          <w:rFonts w:hint="eastAsia" w:ascii="宋体" w:hAnsi="宋体" w:eastAsia="宋体" w:cs="宋体"/>
          <w:b/>
          <w:snapToGrid w:val="0"/>
          <w:color w:val="auto"/>
          <w:highlight w:val="none"/>
        </w:rPr>
        <w:t>4．专用合同条款</w:t>
      </w:r>
      <w:bookmarkEnd w:id="252"/>
      <w:bookmarkEnd w:id="253"/>
      <w:bookmarkEnd w:id="258"/>
    </w:p>
    <w:p w14:paraId="280A145E">
      <w:pPr>
        <w:wordWrap w:val="0"/>
        <w:adjustRightInd w:val="0"/>
        <w:snapToGrid w:val="0"/>
        <w:spacing w:line="360" w:lineRule="auto"/>
        <w:ind w:firstLine="482" w:firstLineChars="200"/>
        <w:rPr>
          <w:rFonts w:hint="eastAsia" w:ascii="宋体" w:hAnsi="宋体" w:eastAsia="宋体" w:cs="宋体"/>
          <w:b/>
          <w:bCs/>
          <w:color w:val="auto"/>
          <w:kern w:val="0"/>
          <w:szCs w:val="24"/>
          <w:highlight w:val="none"/>
          <w:lang w:bidi="ar"/>
        </w:rPr>
      </w:pPr>
      <w:r>
        <w:rPr>
          <w:rFonts w:hint="eastAsia" w:ascii="宋体" w:hAnsi="宋体" w:eastAsia="宋体" w:cs="宋体"/>
          <w:b/>
          <w:bCs/>
          <w:color w:val="auto"/>
          <w:kern w:val="0"/>
          <w:szCs w:val="24"/>
          <w:highlight w:val="none"/>
          <w:lang w:bidi="ar"/>
        </w:rPr>
        <w:t>4.1</w:t>
      </w:r>
      <w:r>
        <w:rPr>
          <w:rFonts w:hint="eastAsia" w:ascii="宋体" w:hAnsi="宋体" w:eastAsia="宋体" w:cs="宋体"/>
          <w:b w:val="0"/>
          <w:bCs w:val="0"/>
          <w:color w:val="auto"/>
          <w:kern w:val="0"/>
          <w:szCs w:val="24"/>
          <w:highlight w:val="none"/>
          <w:lang w:bidi="ar"/>
        </w:rPr>
        <w:t>承包人必须依照各相关规定做好工人工资支付保证金、工人工资支付专用账户、用工实名制管理工作。</w:t>
      </w:r>
    </w:p>
    <w:p w14:paraId="0E8748CB">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（1）施工预付款中已包括施工合同价的5%专用于承包人办理工人工资支付保证金，承包人必须于合同签订后5个工作日内办理完成保证金缴交。</w:t>
      </w:r>
    </w:p>
    <w:p w14:paraId="1429ED01">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w:t>
      </w:r>
      <w:r>
        <w:rPr>
          <w:rFonts w:hint="eastAsia" w:ascii="宋体" w:hAnsi="宋体" w:eastAsia="宋体" w:cs="宋体"/>
          <w:b w:val="0"/>
          <w:bCs w:val="0"/>
          <w:color w:val="auto"/>
          <w:kern w:val="0"/>
          <w:szCs w:val="24"/>
          <w:highlight w:val="none"/>
          <w:lang w:eastAsia="zh-CN" w:bidi="ar"/>
        </w:rPr>
        <w:t>、</w:t>
      </w:r>
      <w:r>
        <w:rPr>
          <w:rFonts w:hint="eastAsia" w:ascii="宋体" w:hAnsi="宋体" w:eastAsia="宋体" w:cs="宋体"/>
          <w:b w:val="0"/>
          <w:bCs w:val="0"/>
          <w:color w:val="auto"/>
          <w:kern w:val="0"/>
          <w:szCs w:val="24"/>
          <w:highlight w:val="none"/>
          <w:lang w:val="en-US" w:eastAsia="zh-CN" w:bidi="ar"/>
        </w:rPr>
        <w:t>购买保险，</w:t>
      </w:r>
      <w:r>
        <w:rPr>
          <w:rFonts w:hint="eastAsia" w:ascii="宋体" w:hAnsi="宋体" w:eastAsia="宋体" w:cs="宋体"/>
          <w:b w:val="0"/>
          <w:bCs w:val="0"/>
          <w:color w:val="auto"/>
          <w:kern w:val="0"/>
          <w:szCs w:val="24"/>
          <w:highlight w:val="none"/>
          <w:lang w:bidi="ar"/>
        </w:rPr>
        <w:t>并按劳动合同约定每月足额通过专用账户发放工资，并按月将工资发放资料提交一份给发包人。</w:t>
      </w:r>
    </w:p>
    <w:p w14:paraId="297A99EA">
      <w:pPr>
        <w:wordWrap w:val="0"/>
        <w:adjustRightInd w:val="0"/>
        <w:snapToGrid w:val="0"/>
        <w:spacing w:line="360" w:lineRule="auto"/>
        <w:ind w:firstLine="480"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val="0"/>
          <w:bCs w:val="0"/>
          <w:color w:val="auto"/>
          <w:kern w:val="0"/>
          <w:szCs w:val="24"/>
          <w:highlight w:val="none"/>
          <w:lang w:bidi="ar"/>
        </w:rPr>
        <w:t>（3）承包人应在开工前编制用工实名管理专项方案以及费用使用计划，经监理单位审批后，作为施工合同的组成部分，并依照相关规定做好用工实名信息化化管理。</w:t>
      </w:r>
    </w:p>
    <w:p w14:paraId="28BBD2BA">
      <w:pPr>
        <w:wordWrap w:val="0"/>
        <w:adjustRightInd w:val="0"/>
        <w:snapToGrid w:val="0"/>
        <w:spacing w:line="360" w:lineRule="auto"/>
        <w:ind w:firstLine="482" w:firstLineChars="200"/>
        <w:rPr>
          <w:rFonts w:hint="eastAsia" w:ascii="宋体" w:hAnsi="宋体" w:eastAsia="宋体" w:cs="宋体"/>
          <w:b w:val="0"/>
          <w:bCs w:val="0"/>
          <w:color w:val="auto"/>
          <w:kern w:val="0"/>
          <w:szCs w:val="24"/>
          <w:highlight w:val="none"/>
          <w:lang w:bidi="ar"/>
        </w:rPr>
      </w:pPr>
      <w:r>
        <w:rPr>
          <w:rFonts w:hint="eastAsia" w:ascii="宋体" w:hAnsi="宋体" w:eastAsia="宋体" w:cs="宋体"/>
          <w:b/>
          <w:bCs/>
          <w:color w:val="auto"/>
          <w:kern w:val="0"/>
          <w:szCs w:val="24"/>
          <w:highlight w:val="none"/>
          <w:lang w:bidi="ar"/>
        </w:rPr>
        <w:t>4.2</w:t>
      </w:r>
      <w:r>
        <w:rPr>
          <w:rFonts w:hint="eastAsia" w:ascii="宋体" w:hAnsi="宋体" w:eastAsia="宋体" w:cs="宋体"/>
          <w:b w:val="0"/>
          <w:bCs w:val="0"/>
          <w:color w:val="auto"/>
          <w:kern w:val="0"/>
          <w:szCs w:val="24"/>
          <w:highlight w:val="none"/>
          <w:lang w:bidi="ar"/>
        </w:rPr>
        <w:t>承包人除办理用工保险外还须根据乐昌市住房和城乡建设管理局《关于贯彻落实房屋建筑和市政基础设施施工领域安全生产责任保险工作的通知》（2022年1月17日）相关要求落实安全生产责任保险。</w:t>
      </w:r>
    </w:p>
    <w:p w14:paraId="5CEBCD4C">
      <w:pPr>
        <w:pStyle w:val="60"/>
        <w:numPr>
          <w:ilvl w:val="0"/>
          <w:numId w:val="0"/>
        </w:numPr>
        <w:spacing w:line="360" w:lineRule="auto"/>
        <w:ind w:firstLine="482" w:firstLineChars="200"/>
        <w:jc w:val="left"/>
        <w:rPr>
          <w:rFonts w:hint="eastAsia"/>
          <w:color w:val="auto"/>
          <w:highlight w:val="none"/>
        </w:rPr>
      </w:pPr>
      <w:r>
        <w:rPr>
          <w:rFonts w:hint="eastAsia" w:ascii="Times New Roman" w:hAnsi="Times New Roman" w:eastAsia="宋体" w:cs="Times New Roman"/>
          <w:bCs/>
          <w:snapToGrid w:val="0"/>
          <w:color w:val="auto"/>
          <w:kern w:val="2"/>
          <w:sz w:val="24"/>
          <w:highlight w:val="none"/>
          <w:lang w:val="en-US" w:eastAsia="zh-CN" w:bidi="ar-SA"/>
        </w:rPr>
        <w:t>4.3</w:t>
      </w:r>
      <w:r>
        <w:rPr>
          <w:rFonts w:hint="eastAsia" w:ascii="Times New Roman" w:hAnsi="Times New Roman" w:eastAsia="宋体" w:cs="Times New Roman"/>
          <w:b w:val="0"/>
          <w:bCs w:val="0"/>
          <w:snapToGrid w:val="0"/>
          <w:color w:val="auto"/>
          <w:kern w:val="2"/>
          <w:sz w:val="24"/>
          <w:highlight w:val="none"/>
          <w:lang w:val="en-US" w:eastAsia="zh-CN" w:bidi="ar-SA"/>
        </w:rPr>
        <w:t>如本章节中存在未约定或约定不明确的事项，以正式签订的施工合同为准。</w:t>
      </w:r>
      <w:bookmarkStart w:id="259" w:name="_Toc3051"/>
    </w:p>
    <w:p w14:paraId="104B0C1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60" w:name="_Toc9687"/>
      <w:bookmarkStart w:id="261" w:name="_Toc275"/>
    </w:p>
    <w:p w14:paraId="1FFA6AE0">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p>
    <w:p w14:paraId="52E6B893">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62" w:name="_Hlt87793853"/>
      <w:bookmarkEnd w:id="262"/>
      <w:r>
        <w:rPr>
          <w:rFonts w:hint="eastAsia" w:ascii="宋体" w:hAnsi="宋体" w:eastAsia="宋体" w:cs="宋体"/>
          <w:b/>
          <w:snapToGrid w:val="0"/>
          <w:color w:val="auto"/>
          <w:sz w:val="24"/>
          <w:highlight w:val="none"/>
          <w:lang w:val="en-US" w:eastAsia="zh-CN"/>
        </w:rPr>
        <w:t xml:space="preserve"> 技术要求</w:t>
      </w:r>
      <w:bookmarkEnd w:id="246"/>
      <w:bookmarkEnd w:id="259"/>
      <w:bookmarkEnd w:id="260"/>
      <w:bookmarkEnd w:id="261"/>
    </w:p>
    <w:bookmarkEnd w:id="247"/>
    <w:p w14:paraId="644DF125">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63" w:name="_Hlt66104926"/>
      <w:bookmarkEnd w:id="263"/>
      <w:bookmarkStart w:id="264" w:name="_Hlt69265216"/>
      <w:bookmarkEnd w:id="264"/>
      <w:bookmarkStart w:id="265" w:name="_Hlt69358207"/>
      <w:bookmarkEnd w:id="265"/>
      <w:bookmarkStart w:id="266" w:name="_Hlt80411122"/>
      <w:bookmarkEnd w:id="266"/>
      <w:bookmarkStart w:id="267" w:name="_Hlt69359335"/>
      <w:bookmarkEnd w:id="267"/>
      <w:bookmarkStart w:id="268" w:name="_Hlt69116854"/>
      <w:bookmarkEnd w:id="268"/>
      <w:bookmarkStart w:id="269" w:name="_Hlt68774758"/>
      <w:bookmarkEnd w:id="269"/>
      <w:bookmarkStart w:id="270" w:name="_Hlt87793370"/>
      <w:bookmarkEnd w:id="270"/>
      <w:bookmarkStart w:id="271" w:name="_Hlt75685840"/>
      <w:bookmarkEnd w:id="271"/>
      <w:bookmarkStart w:id="272" w:name="_Hlt69357851"/>
      <w:bookmarkEnd w:id="272"/>
      <w:bookmarkStart w:id="273" w:name="_Hlt87793346"/>
      <w:bookmarkEnd w:id="273"/>
    </w:p>
    <w:p w14:paraId="0162567F">
      <w:pPr>
        <w:wordWrap w:val="0"/>
        <w:adjustRightInd w:val="0"/>
        <w:snapToGrid w:val="0"/>
        <w:spacing w:line="440" w:lineRule="exact"/>
        <w:ind w:firstLine="482" w:firstLineChars="200"/>
        <w:outlineLvl w:val="1"/>
        <w:rPr>
          <w:rFonts w:hint="eastAsia" w:ascii="宋体" w:hAnsi="宋体" w:eastAsia="宋体" w:cs="宋体"/>
          <w:b/>
          <w:snapToGrid w:val="0"/>
          <w:color w:val="auto"/>
          <w:kern w:val="0"/>
          <w:highlight w:val="none"/>
        </w:rPr>
      </w:pPr>
      <w:bookmarkStart w:id="274" w:name="_Toc29060"/>
      <w:r>
        <w:rPr>
          <w:rFonts w:hint="eastAsia" w:ascii="宋体" w:hAnsi="宋体" w:eastAsia="宋体" w:cs="宋体"/>
          <w:b/>
          <w:snapToGrid w:val="0"/>
          <w:color w:val="auto"/>
          <w:kern w:val="0"/>
          <w:highlight w:val="none"/>
        </w:rPr>
        <w:t>1．房屋建筑工程建设项目</w:t>
      </w:r>
      <w:bookmarkEnd w:id="274"/>
    </w:p>
    <w:p w14:paraId="32C21DE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75" w:name="_Hlt78709799"/>
      <w:bookmarkEnd w:id="275"/>
      <w:bookmarkStart w:id="276" w:name="_Hlt69358458"/>
      <w:bookmarkEnd w:id="276"/>
      <w:bookmarkStart w:id="277" w:name="_Hlt69359086"/>
      <w:bookmarkEnd w:id="277"/>
      <w:bookmarkStart w:id="278" w:name="_Hlt69116858"/>
      <w:bookmarkEnd w:id="278"/>
      <w:bookmarkStart w:id="279" w:name="_Hlt69359243"/>
      <w:bookmarkEnd w:id="279"/>
      <w:bookmarkStart w:id="280" w:name="_Hlt69359245"/>
      <w:bookmarkEnd w:id="280"/>
      <w:bookmarkStart w:id="281" w:name="_Hlt69635252"/>
      <w:bookmarkEnd w:id="281"/>
      <w:r>
        <w:rPr>
          <w:rFonts w:hint="eastAsia" w:ascii="宋体" w:hAnsi="宋体" w:eastAsia="宋体" w:cs="宋体"/>
          <w:bCs/>
          <w:snapToGrid w:val="0"/>
          <w:color w:val="auto"/>
          <w:kern w:val="0"/>
          <w:highlight w:val="none"/>
        </w:rPr>
        <w:t>房屋建筑工程建设项目必须执行的现行技术规范，包括且不限于：</w:t>
      </w:r>
    </w:p>
    <w:p w14:paraId="1537952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74E1F03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5A9F92D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013BA8A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13DAD66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354EF0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512B5B2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82" w:name="_Hlt78795211"/>
      <w:bookmarkEnd w:id="282"/>
      <w:r>
        <w:rPr>
          <w:rFonts w:hint="eastAsia" w:ascii="宋体" w:hAnsi="宋体" w:eastAsia="宋体" w:cs="宋体"/>
          <w:bCs/>
          <w:snapToGrid w:val="0"/>
          <w:color w:val="auto"/>
          <w:kern w:val="0"/>
          <w:highlight w:val="none"/>
        </w:rPr>
        <w:t>《建筑地面工程施工质量验收规范》；</w:t>
      </w:r>
    </w:p>
    <w:p w14:paraId="50CD55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609301B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87876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72433F3F">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2BB31B2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662946B1">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098B998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57BFD44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E60AFD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2C149B8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4B017D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00A5893E">
      <w:pPr>
        <w:wordWrap w:val="0"/>
        <w:adjustRightInd w:val="0"/>
        <w:snapToGrid w:val="0"/>
        <w:spacing w:line="440" w:lineRule="exact"/>
        <w:ind w:firstLine="482" w:firstLineChars="200"/>
        <w:outlineLvl w:val="1"/>
        <w:rPr>
          <w:rFonts w:hint="eastAsia" w:ascii="宋体" w:hAnsi="宋体" w:eastAsia="宋体" w:cs="宋体"/>
          <w:bCs/>
          <w:snapToGrid w:val="0"/>
          <w:color w:val="auto"/>
          <w:kern w:val="0"/>
          <w:highlight w:val="none"/>
        </w:rPr>
      </w:pPr>
      <w:bookmarkStart w:id="283" w:name="_Toc4794"/>
      <w:r>
        <w:rPr>
          <w:rFonts w:hint="eastAsia" w:ascii="宋体" w:hAnsi="宋体" w:eastAsia="宋体" w:cs="宋体"/>
          <w:b/>
          <w:snapToGrid w:val="0"/>
          <w:color w:val="auto"/>
          <w:kern w:val="0"/>
          <w:highlight w:val="none"/>
        </w:rPr>
        <w:t>2．市政基础设施工程建设项目</w:t>
      </w:r>
      <w:bookmarkEnd w:id="283"/>
    </w:p>
    <w:p w14:paraId="46E4C8B4">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544B1B2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6D5BB2A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63F961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6F6D217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43FD9A0E">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2F2CA65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786D697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5CB9FD6F">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235D733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104A593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2B7D0243">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84" w:name="_Toc26603"/>
      <w:bookmarkStart w:id="285" w:name="_Toc30443"/>
      <w:bookmarkStart w:id="286" w:name="_Toc17128"/>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84"/>
      <w:bookmarkEnd w:id="285"/>
      <w:bookmarkEnd w:id="286"/>
    </w:p>
    <w:p w14:paraId="4BC89981">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87" w:name="_Toc31453"/>
      <w:bookmarkStart w:id="288" w:name="_Toc19597"/>
      <w:bookmarkStart w:id="289" w:name="_Toc32596"/>
      <w:r>
        <w:rPr>
          <w:rFonts w:hint="eastAsia" w:ascii="宋体" w:hAnsi="宋体" w:eastAsia="宋体" w:cs="宋体"/>
          <w:b w:val="0"/>
          <w:bCs/>
          <w:color w:val="auto"/>
          <w:kern w:val="0"/>
          <w:szCs w:val="21"/>
          <w:highlight w:val="none"/>
        </w:rPr>
        <w:t>（12）《低压配电设计规范》（GB50054-2011）；</w:t>
      </w:r>
      <w:bookmarkEnd w:id="287"/>
      <w:bookmarkEnd w:id="288"/>
      <w:bookmarkEnd w:id="289"/>
    </w:p>
    <w:p w14:paraId="74A69DB8">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90" w:name="_Toc31862"/>
      <w:bookmarkStart w:id="291" w:name="_Toc25564"/>
      <w:bookmarkStart w:id="292" w:name="_Toc1529"/>
      <w:r>
        <w:rPr>
          <w:rFonts w:hint="eastAsia" w:ascii="宋体" w:hAnsi="宋体" w:eastAsia="宋体" w:cs="宋体"/>
          <w:b w:val="0"/>
          <w:bCs/>
          <w:color w:val="auto"/>
          <w:kern w:val="0"/>
          <w:szCs w:val="21"/>
          <w:highlight w:val="none"/>
        </w:rPr>
        <w:t>（13）《城市道路照明工程施工及验收规程》（CJJ89-2012）；</w:t>
      </w:r>
      <w:bookmarkEnd w:id="290"/>
      <w:bookmarkEnd w:id="291"/>
      <w:bookmarkEnd w:id="292"/>
    </w:p>
    <w:p w14:paraId="349CC08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5A5C12A4">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1A5E0527">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DC30333">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3E7AF7D8">
      <w:pPr>
        <w:wordWrap w:val="0"/>
        <w:adjustRightInd w:val="0"/>
        <w:snapToGrid w:val="0"/>
        <w:spacing w:line="440" w:lineRule="exact"/>
        <w:ind w:firstLine="560"/>
        <w:outlineLvl w:val="1"/>
        <w:rPr>
          <w:rFonts w:hint="eastAsia" w:ascii="宋体" w:hAnsi="宋体" w:eastAsia="宋体" w:cs="宋体"/>
          <w:strike/>
          <w:snapToGrid w:val="0"/>
          <w:color w:val="auto"/>
          <w:kern w:val="0"/>
          <w:highlight w:val="none"/>
        </w:rPr>
      </w:pPr>
      <w:bookmarkStart w:id="293" w:name="_Toc10218"/>
      <w:r>
        <w:rPr>
          <w:rFonts w:hint="eastAsia" w:ascii="宋体" w:hAnsi="宋体" w:eastAsia="宋体" w:cs="宋体"/>
          <w:b/>
          <w:snapToGrid w:val="0"/>
          <w:color w:val="auto"/>
          <w:kern w:val="0"/>
          <w:highlight w:val="none"/>
        </w:rPr>
        <w:t>3．备查要求</w:t>
      </w:r>
      <w:bookmarkEnd w:id="293"/>
    </w:p>
    <w:p w14:paraId="2F02A653">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94" w:name="_Hlt69670335"/>
      <w:bookmarkEnd w:id="294"/>
    </w:p>
    <w:p w14:paraId="470DDDB5">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295" w:name="_Hlt69116863"/>
      <w:bookmarkEnd w:id="295"/>
      <w:bookmarkStart w:id="296" w:name="_Hlt69358336"/>
      <w:bookmarkEnd w:id="296"/>
      <w:bookmarkStart w:id="297" w:name="_Hlt69265207"/>
      <w:bookmarkEnd w:id="297"/>
      <w:bookmarkStart w:id="298" w:name="_Hlt69338190"/>
      <w:bookmarkEnd w:id="298"/>
      <w:bookmarkStart w:id="299" w:name="_Hlt69635247"/>
      <w:bookmarkEnd w:id="299"/>
      <w:bookmarkStart w:id="300" w:name="_Hlt66848640"/>
      <w:bookmarkEnd w:id="300"/>
      <w:bookmarkStart w:id="301" w:name="_Toc10057"/>
      <w:bookmarkStart w:id="302" w:name="_Toc2790"/>
      <w:bookmarkStart w:id="303" w:name="_Toc10987"/>
      <w:bookmarkStart w:id="304" w:name="_Toc29329"/>
      <w:r>
        <w:rPr>
          <w:rFonts w:hint="eastAsia" w:ascii="宋体" w:hAnsi="宋体" w:eastAsia="宋体" w:cs="宋体"/>
          <w:b/>
          <w:snapToGrid w:val="0"/>
          <w:color w:val="auto"/>
          <w:sz w:val="24"/>
          <w:highlight w:val="none"/>
          <w:lang w:val="en-US" w:eastAsia="zh-CN"/>
        </w:rPr>
        <w:t>第五章</w:t>
      </w:r>
      <w:bookmarkStart w:id="305" w:name="_Hlt87793860"/>
      <w:bookmarkEnd w:id="305"/>
      <w:r>
        <w:rPr>
          <w:rFonts w:hint="eastAsia" w:ascii="宋体" w:hAnsi="宋体" w:eastAsia="宋体" w:cs="宋体"/>
          <w:b/>
          <w:snapToGrid w:val="0"/>
          <w:color w:val="auto"/>
          <w:sz w:val="24"/>
          <w:highlight w:val="none"/>
          <w:lang w:val="en-US" w:eastAsia="zh-CN"/>
        </w:rPr>
        <w:t xml:space="preserve"> 图纸和招标工程</w:t>
      </w:r>
      <w:bookmarkStart w:id="306" w:name="_Hlt69669215"/>
      <w:bookmarkEnd w:id="306"/>
      <w:r>
        <w:rPr>
          <w:rFonts w:hint="eastAsia" w:ascii="宋体" w:hAnsi="宋体" w:eastAsia="宋体" w:cs="宋体"/>
          <w:b/>
          <w:snapToGrid w:val="0"/>
          <w:color w:val="auto"/>
          <w:sz w:val="24"/>
          <w:highlight w:val="none"/>
          <w:lang w:val="en-US" w:eastAsia="zh-CN"/>
        </w:rPr>
        <w:t>量清单</w:t>
      </w:r>
      <w:bookmarkEnd w:id="301"/>
      <w:bookmarkEnd w:id="302"/>
      <w:bookmarkEnd w:id="303"/>
      <w:bookmarkEnd w:id="304"/>
    </w:p>
    <w:p w14:paraId="6BD5A7C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307" w:name="_Hlt69669182"/>
      <w:bookmarkEnd w:id="307"/>
      <w:bookmarkStart w:id="308" w:name="_Hlt66104919"/>
      <w:bookmarkEnd w:id="308"/>
      <w:bookmarkStart w:id="309" w:name="_Hlt75747203"/>
      <w:bookmarkEnd w:id="309"/>
      <w:bookmarkStart w:id="310" w:name="_Hlt87793868"/>
      <w:bookmarkEnd w:id="310"/>
      <w:bookmarkStart w:id="311" w:name="_Toc25252"/>
      <w:bookmarkStart w:id="312" w:name="_Hlt69698785"/>
    </w:p>
    <w:p w14:paraId="5BA476D5">
      <w:pPr>
        <w:pStyle w:val="5"/>
        <w:bidi w:val="0"/>
        <w:ind w:firstLine="964"/>
        <w:outlineLvl w:val="2"/>
        <w:rPr>
          <w:rFonts w:hint="eastAsia" w:ascii="宋体" w:hAnsi="宋体" w:eastAsia="宋体" w:cs="宋体"/>
          <w:color w:val="auto"/>
          <w:highlight w:val="none"/>
          <w:lang w:val="en-US" w:eastAsia="zh-CN"/>
        </w:rPr>
      </w:pPr>
      <w:bookmarkStart w:id="313" w:name="_Toc11577"/>
      <w:bookmarkStart w:id="314" w:name="_Toc28153"/>
      <w:r>
        <w:rPr>
          <w:rFonts w:hint="eastAsia" w:ascii="宋体" w:hAnsi="宋体" w:eastAsia="宋体" w:cs="宋体"/>
          <w:color w:val="auto"/>
          <w:highlight w:val="none"/>
        </w:rPr>
        <w:t>1．图纸</w:t>
      </w:r>
      <w:bookmarkEnd w:id="313"/>
      <w:bookmarkEnd w:id="314"/>
      <w:r>
        <w:rPr>
          <w:rFonts w:hint="eastAsia" w:cs="宋体"/>
          <w:color w:val="auto"/>
          <w:highlight w:val="none"/>
          <w:lang w:val="en-US" w:eastAsia="zh-CN"/>
        </w:rPr>
        <w:t>-另册</w:t>
      </w:r>
    </w:p>
    <w:p w14:paraId="07DC00F0">
      <w:pPr>
        <w:pStyle w:val="5"/>
        <w:bidi w:val="0"/>
        <w:ind w:firstLine="964"/>
        <w:outlineLvl w:val="2"/>
        <w:rPr>
          <w:rFonts w:hint="eastAsia" w:ascii="宋体" w:hAnsi="宋体" w:eastAsia="宋体" w:cs="宋体"/>
          <w:color w:val="auto"/>
          <w:highlight w:val="none"/>
          <w:lang w:val="en-US" w:eastAsia="zh-CN"/>
        </w:rPr>
      </w:pPr>
      <w:bookmarkStart w:id="315" w:name="_Toc11480"/>
      <w:bookmarkStart w:id="316" w:name="_Toc14740"/>
      <w:r>
        <w:rPr>
          <w:rFonts w:hint="eastAsia" w:ascii="宋体" w:hAnsi="宋体" w:eastAsia="宋体" w:cs="宋体"/>
          <w:color w:val="auto"/>
          <w:highlight w:val="none"/>
        </w:rPr>
        <w:t>2．招标工程量清单</w:t>
      </w:r>
      <w:bookmarkEnd w:id="315"/>
      <w:bookmarkEnd w:id="316"/>
      <w:r>
        <w:rPr>
          <w:rFonts w:hint="eastAsia" w:cs="宋体"/>
          <w:color w:val="auto"/>
          <w:highlight w:val="none"/>
          <w:lang w:val="en-US" w:eastAsia="zh-CN"/>
        </w:rPr>
        <w:t>-另册</w:t>
      </w:r>
    </w:p>
    <w:p w14:paraId="41C96BFF">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本工程按照以下依据编制招标工程量清单：</w:t>
      </w:r>
    </w:p>
    <w:p w14:paraId="10B86CE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134701D6">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 GB50857—2013）等；</w:t>
      </w:r>
    </w:p>
    <w:p w14:paraId="60987FA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559AB37">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4B2254E1">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0C32E985">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64EE856A">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3CBC6B73">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E50EC2B">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lang w:val="en-US" w:eastAsia="zh-CN"/>
        </w:rPr>
      </w:pPr>
      <w:bookmarkStart w:id="317" w:name="_Toc25393"/>
      <w:bookmarkStart w:id="318" w:name="_Toc22127"/>
      <w:bookmarkStart w:id="319" w:name="_Toc16415"/>
      <w:r>
        <w:rPr>
          <w:rFonts w:hint="eastAsia" w:ascii="宋体" w:hAnsi="宋体" w:eastAsia="宋体" w:cs="宋体"/>
          <w:b/>
          <w:snapToGrid w:val="0"/>
          <w:color w:val="auto"/>
          <w:sz w:val="24"/>
          <w:highlight w:val="none"/>
          <w:lang w:val="en-US" w:eastAsia="zh-CN"/>
        </w:rPr>
        <w:t xml:space="preserve">第六章 </w:t>
      </w:r>
      <w:bookmarkEnd w:id="311"/>
      <w:bookmarkStart w:id="320" w:name="_Hlt75747044"/>
      <w:bookmarkEnd w:id="320"/>
      <w:r>
        <w:rPr>
          <w:rFonts w:hint="eastAsia" w:ascii="宋体" w:hAnsi="宋体" w:eastAsia="宋体" w:cs="宋体"/>
          <w:b/>
          <w:snapToGrid w:val="0"/>
          <w:color w:val="auto"/>
          <w:sz w:val="24"/>
          <w:highlight w:val="none"/>
          <w:lang w:val="en-US" w:eastAsia="zh-CN"/>
        </w:rPr>
        <w:t>投标文件格式</w:t>
      </w:r>
      <w:bookmarkEnd w:id="317"/>
      <w:bookmarkEnd w:id="318"/>
      <w:bookmarkEnd w:id="319"/>
    </w:p>
    <w:bookmarkEnd w:id="312"/>
    <w:p w14:paraId="1B5DFD56">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321" w:name="_附件一：对招标文件条款自愿接受承诺书"/>
      <w:bookmarkEnd w:id="321"/>
      <w:bookmarkStart w:id="322" w:name="_附件二：工期承诺书"/>
      <w:bookmarkEnd w:id="322"/>
      <w:bookmarkStart w:id="323" w:name="_附件四：工期承诺书"/>
      <w:bookmarkEnd w:id="323"/>
      <w:bookmarkStart w:id="324" w:name="_附件一：投标函"/>
      <w:bookmarkEnd w:id="324"/>
      <w:bookmarkStart w:id="325" w:name="_附件五：综合评审合理低价法"/>
      <w:bookmarkEnd w:id="325"/>
      <w:bookmarkStart w:id="326" w:name="_附件二：近三年度主要施工项目（竣工及在建）一览表"/>
      <w:bookmarkEnd w:id="326"/>
      <w:bookmarkStart w:id="327" w:name="_Toc137621693"/>
      <w:bookmarkStart w:id="328" w:name="_Toc200338097"/>
      <w:bookmarkStart w:id="329" w:name="_Toc66849200"/>
      <w:bookmarkStart w:id="330" w:name="_Hlt66847557"/>
    </w:p>
    <w:p w14:paraId="6596D434">
      <w:pPr>
        <w:pStyle w:val="5"/>
        <w:bidi w:val="0"/>
        <w:ind w:firstLine="964"/>
        <w:outlineLvl w:val="2"/>
        <w:rPr>
          <w:rFonts w:hint="eastAsia" w:ascii="宋体" w:hAnsi="宋体" w:eastAsia="宋体" w:cs="宋体"/>
          <w:color w:val="auto"/>
          <w:highlight w:val="none"/>
        </w:rPr>
      </w:pPr>
      <w:bookmarkStart w:id="331" w:name="_Toc17749"/>
      <w:bookmarkStart w:id="332" w:name="_Toc17498"/>
      <w:bookmarkStart w:id="333" w:name="_Toc13462"/>
      <w:bookmarkStart w:id="334" w:name="_Toc14677"/>
      <w:r>
        <w:rPr>
          <w:rFonts w:hint="eastAsia" w:ascii="宋体" w:hAnsi="宋体" w:eastAsia="宋体" w:cs="宋体"/>
          <w:color w:val="auto"/>
          <w:highlight w:val="none"/>
        </w:rPr>
        <w:t>格式一 封面</w:t>
      </w:r>
      <w:bookmarkEnd w:id="331"/>
      <w:bookmarkEnd w:id="332"/>
      <w:bookmarkEnd w:id="333"/>
      <w:bookmarkEnd w:id="334"/>
    </w:p>
    <w:p w14:paraId="45520DE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01671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9E9CA5A">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05D7FFA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F5A98D8">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6E60585">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A98345D">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07D4E3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157AE593">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4012B6E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6F4A458F">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672F9DDD">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163BA721">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037DAC4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0E6114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C51E7D">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806E138">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DEF62A">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E1297F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D72AF37">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98D4659">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125C8B3">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5729451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AEC5FF1">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6596FAF">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2EFDAF58">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8C29F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D902649">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2BC8EA32">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325DD99B">
      <w:pPr>
        <w:pStyle w:val="74"/>
        <w:widowControl w:val="0"/>
        <w:wordWrap w:val="0"/>
        <w:adjustRightInd w:val="0"/>
        <w:snapToGrid w:val="0"/>
        <w:rPr>
          <w:rFonts w:hint="eastAsia" w:ascii="宋体" w:hAnsi="宋体" w:eastAsia="宋体" w:cs="宋体"/>
          <w:b/>
          <w:snapToGrid w:val="0"/>
          <w:color w:val="auto"/>
          <w:highlight w:val="none"/>
        </w:rPr>
      </w:pPr>
    </w:p>
    <w:p w14:paraId="668FAFE3">
      <w:pPr>
        <w:pStyle w:val="74"/>
        <w:widowControl w:val="0"/>
        <w:wordWrap w:val="0"/>
        <w:adjustRightInd w:val="0"/>
        <w:snapToGrid w:val="0"/>
        <w:rPr>
          <w:rFonts w:hint="eastAsia" w:ascii="宋体" w:hAnsi="宋体" w:eastAsia="宋体" w:cs="宋体"/>
          <w:b/>
          <w:snapToGrid w:val="0"/>
          <w:color w:val="auto"/>
          <w:highlight w:val="none"/>
        </w:rPr>
      </w:pPr>
    </w:p>
    <w:p w14:paraId="537F0BC7">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4AB12D5">
      <w:pPr>
        <w:pStyle w:val="5"/>
        <w:bidi w:val="0"/>
        <w:ind w:firstLine="964"/>
        <w:outlineLvl w:val="2"/>
        <w:rPr>
          <w:rFonts w:hint="eastAsia" w:ascii="宋体" w:hAnsi="宋体" w:eastAsia="宋体" w:cs="宋体"/>
          <w:color w:val="auto"/>
          <w:highlight w:val="none"/>
        </w:rPr>
      </w:pPr>
      <w:bookmarkStart w:id="335" w:name="_Toc17232"/>
      <w:bookmarkStart w:id="336" w:name="_Toc7500"/>
      <w:bookmarkStart w:id="337" w:name="_Toc3631"/>
      <w:bookmarkStart w:id="338" w:name="_Toc3166"/>
      <w:bookmarkStart w:id="339" w:name="_Toc28280"/>
      <w:bookmarkStart w:id="340" w:name="_Toc106418843"/>
      <w:bookmarkStart w:id="341" w:name="_Toc104711098"/>
      <w:r>
        <w:rPr>
          <w:rFonts w:hint="eastAsia" w:ascii="宋体" w:hAnsi="宋体" w:eastAsia="宋体" w:cs="宋体"/>
          <w:color w:val="auto"/>
          <w:highlight w:val="none"/>
        </w:rPr>
        <w:t>格式</w:t>
      </w:r>
      <w:bookmarkStart w:id="342" w:name="_Hlt97526007"/>
      <w:bookmarkEnd w:id="342"/>
      <w:r>
        <w:rPr>
          <w:rFonts w:hint="eastAsia" w:ascii="宋体" w:hAnsi="宋体" w:eastAsia="宋体" w:cs="宋体"/>
          <w:color w:val="auto"/>
          <w:highlight w:val="none"/>
        </w:rPr>
        <w:t>二 投标函</w:t>
      </w:r>
      <w:bookmarkEnd w:id="335"/>
      <w:bookmarkEnd w:id="336"/>
      <w:bookmarkEnd w:id="337"/>
      <w:bookmarkEnd w:id="338"/>
    </w:p>
    <w:p w14:paraId="7AEE2FF7">
      <w:pPr>
        <w:pStyle w:val="5"/>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43" w:name="_Toc26551"/>
      <w:bookmarkStart w:id="344" w:name="_Toc25895"/>
      <w:bookmarkStart w:id="345" w:name="_Toc15091"/>
      <w:bookmarkStart w:id="346" w:name="_Toc23239"/>
      <w:r>
        <w:rPr>
          <w:rFonts w:hint="eastAsia" w:ascii="宋体" w:hAnsi="宋体" w:eastAsia="宋体" w:cs="宋体"/>
          <w:b/>
          <w:snapToGrid w:val="0"/>
          <w:color w:val="auto"/>
          <w:kern w:val="0"/>
          <w:sz w:val="30"/>
          <w:highlight w:val="none"/>
        </w:rPr>
        <w:t>投  标  函</w:t>
      </w:r>
      <w:bookmarkEnd w:id="339"/>
      <w:bookmarkEnd w:id="340"/>
      <w:bookmarkEnd w:id="341"/>
      <w:bookmarkEnd w:id="343"/>
      <w:bookmarkEnd w:id="344"/>
      <w:bookmarkEnd w:id="345"/>
      <w:bookmarkEnd w:id="346"/>
    </w:p>
    <w:p w14:paraId="3F8EA192">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07CCE4C3">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E1F76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5BE3B41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7A7827C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46DB822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CC7777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766E074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6C5BB54A">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47" w:name="_Hlt68771070"/>
      <w:bookmarkEnd w:id="347"/>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09CBA3B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599EB955">
      <w:pPr>
        <w:wordWrap w:val="0"/>
        <w:adjustRightInd w:val="0"/>
        <w:snapToGrid w:val="0"/>
        <w:spacing w:line="440" w:lineRule="exact"/>
        <w:rPr>
          <w:rFonts w:hint="eastAsia" w:ascii="宋体" w:hAnsi="宋体" w:eastAsia="宋体" w:cs="宋体"/>
          <w:snapToGrid w:val="0"/>
          <w:color w:val="auto"/>
          <w:kern w:val="0"/>
          <w:highlight w:val="none"/>
        </w:rPr>
      </w:pPr>
    </w:p>
    <w:p w14:paraId="44B687F6">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192A2CF7">
      <w:pPr>
        <w:wordWrap w:val="0"/>
        <w:adjustRightInd w:val="0"/>
        <w:snapToGrid w:val="0"/>
        <w:spacing w:line="440" w:lineRule="exact"/>
        <w:jc w:val="right"/>
        <w:rPr>
          <w:rFonts w:hint="eastAsia" w:ascii="宋体" w:hAnsi="宋体" w:eastAsia="宋体" w:cs="宋体"/>
          <w:snapToGrid w:val="0"/>
          <w:color w:val="auto"/>
          <w:kern w:val="0"/>
          <w:highlight w:val="none"/>
        </w:rPr>
      </w:pPr>
    </w:p>
    <w:p w14:paraId="736A4BBF">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3F5759A">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09AC6CFB">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151B04CC">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2D5B6C4">
      <w:pPr>
        <w:pStyle w:val="5"/>
        <w:bidi w:val="0"/>
        <w:ind w:firstLine="964"/>
        <w:outlineLvl w:val="2"/>
        <w:rPr>
          <w:rFonts w:hint="eastAsia" w:ascii="宋体" w:hAnsi="宋体" w:eastAsia="宋体" w:cs="宋体"/>
          <w:color w:val="auto"/>
          <w:highlight w:val="none"/>
        </w:rPr>
      </w:pPr>
      <w:bookmarkStart w:id="348" w:name="_Toc26367"/>
      <w:bookmarkStart w:id="349" w:name="_Toc24396"/>
      <w:r>
        <w:rPr>
          <w:rFonts w:hint="eastAsia" w:ascii="宋体" w:hAnsi="宋体" w:eastAsia="宋体" w:cs="宋体"/>
          <w:color w:val="auto"/>
          <w:highlight w:val="none"/>
        </w:rPr>
        <w:t>格式三 各项承诺一览表</w:t>
      </w:r>
      <w:bookmarkEnd w:id="348"/>
      <w:bookmarkEnd w:id="349"/>
    </w:p>
    <w:p w14:paraId="4738B6E0">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50" w:name="_Toc18715"/>
      <w:bookmarkStart w:id="351" w:name="_Toc19422"/>
      <w:bookmarkStart w:id="352" w:name="_Toc29967"/>
      <w:bookmarkStart w:id="353" w:name="_Toc22019"/>
      <w:r>
        <w:rPr>
          <w:rFonts w:hint="eastAsia" w:ascii="宋体" w:hAnsi="宋体" w:eastAsia="宋体" w:cs="宋体"/>
          <w:b/>
          <w:snapToGrid w:val="0"/>
          <w:color w:val="auto"/>
          <w:sz w:val="30"/>
          <w:highlight w:val="none"/>
        </w:rPr>
        <w:t>各项承诺一览表</w:t>
      </w:r>
      <w:bookmarkEnd w:id="350"/>
      <w:bookmarkEnd w:id="351"/>
      <w:bookmarkEnd w:id="352"/>
      <w:bookmarkEnd w:id="353"/>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3383"/>
        <w:gridCol w:w="3559"/>
      </w:tblGrid>
      <w:tr w14:paraId="3B44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FD488F1">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2E4C4B9F">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3383" w:type="dxa"/>
            <w:noWrap w:val="0"/>
            <w:vAlign w:val="center"/>
          </w:tcPr>
          <w:p w14:paraId="6B0AB6F5">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3559" w:type="dxa"/>
            <w:noWrap w:val="0"/>
            <w:vAlign w:val="center"/>
          </w:tcPr>
          <w:p w14:paraId="6A05D5A4">
            <w:pPr>
              <w:pStyle w:val="62"/>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0B6A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8AD502B">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723E04F1">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2093291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3383" w:type="dxa"/>
            <w:noWrap w:val="0"/>
            <w:vAlign w:val="center"/>
          </w:tcPr>
          <w:p w14:paraId="1C88FCD6">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3559" w:type="dxa"/>
            <w:noWrap w:val="0"/>
            <w:vAlign w:val="center"/>
          </w:tcPr>
          <w:p w14:paraId="0288085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D81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60B3402D">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6692A3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33A47CA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3383" w:type="dxa"/>
            <w:noWrap w:val="0"/>
            <w:vAlign w:val="center"/>
          </w:tcPr>
          <w:p w14:paraId="4CBC78F4">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3559" w:type="dxa"/>
            <w:noWrap w:val="0"/>
            <w:vAlign w:val="center"/>
          </w:tcPr>
          <w:p w14:paraId="0D323BE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2A95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40116564">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3A9CB20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2134650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3C300AF4">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3383" w:type="dxa"/>
            <w:noWrap w:val="0"/>
            <w:vAlign w:val="center"/>
          </w:tcPr>
          <w:p w14:paraId="46A1169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3559" w:type="dxa"/>
            <w:noWrap w:val="0"/>
            <w:vAlign w:val="center"/>
          </w:tcPr>
          <w:p w14:paraId="390D49CF">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9A6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3B8A3947">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0A502E36">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78A36BC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3383" w:type="dxa"/>
            <w:noWrap w:val="0"/>
            <w:vAlign w:val="center"/>
          </w:tcPr>
          <w:p w14:paraId="5B36AE5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3559" w:type="dxa"/>
            <w:noWrap w:val="0"/>
            <w:vAlign w:val="center"/>
          </w:tcPr>
          <w:p w14:paraId="29C37141">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4194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22361E59">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5ACCAD52">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7F79EAAE">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3383" w:type="dxa"/>
            <w:noWrap w:val="0"/>
            <w:vAlign w:val="center"/>
          </w:tcPr>
          <w:p w14:paraId="2D85608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3559" w:type="dxa"/>
            <w:noWrap w:val="0"/>
            <w:vAlign w:val="center"/>
          </w:tcPr>
          <w:p w14:paraId="0F2A066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5268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33FF469E">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14F9A37A">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3429DF3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3383" w:type="dxa"/>
            <w:noWrap w:val="0"/>
            <w:vAlign w:val="center"/>
          </w:tcPr>
          <w:p w14:paraId="0D945CB5">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14:paraId="53513D3E">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3559" w:type="dxa"/>
            <w:tcBorders>
              <w:bottom w:val="single" w:color="auto" w:sz="4" w:space="0"/>
            </w:tcBorders>
            <w:noWrap w:val="0"/>
            <w:vAlign w:val="center"/>
          </w:tcPr>
          <w:p w14:paraId="1ADB6C09">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14:paraId="7609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708D725F">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1635E8D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730B51EF">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3383" w:type="dxa"/>
            <w:noWrap w:val="0"/>
            <w:vAlign w:val="center"/>
          </w:tcPr>
          <w:p w14:paraId="4DDBED39">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3559" w:type="dxa"/>
            <w:tcBorders>
              <w:tr2bl w:val="single" w:color="auto" w:sz="4" w:space="0"/>
            </w:tcBorders>
            <w:noWrap w:val="0"/>
            <w:vAlign w:val="center"/>
          </w:tcPr>
          <w:p w14:paraId="432E91B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30C7C79B">
            <w:pPr>
              <w:pStyle w:val="10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61FD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2D552BDB">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3CEF83C0">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1A638F38">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3383" w:type="dxa"/>
            <w:noWrap w:val="0"/>
            <w:vAlign w:val="center"/>
          </w:tcPr>
          <w:p w14:paraId="5E281F1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3559" w:type="dxa"/>
            <w:noWrap w:val="0"/>
            <w:vAlign w:val="center"/>
          </w:tcPr>
          <w:p w14:paraId="700B7510">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35D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3592F4FC">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79D710BD">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31A1CB37">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3383" w:type="dxa"/>
            <w:noWrap w:val="0"/>
            <w:vAlign w:val="center"/>
          </w:tcPr>
          <w:p w14:paraId="7677289A">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3559" w:type="dxa"/>
            <w:noWrap w:val="0"/>
            <w:vAlign w:val="center"/>
          </w:tcPr>
          <w:p w14:paraId="44F186F2">
            <w:pPr>
              <w:pStyle w:val="10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BF41197">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39DC8A57">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399535D3">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5D6BB098">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1B67BB5">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6BC8BC0">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75D0C34A">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28506382">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3A23921">
      <w:pPr>
        <w:pStyle w:val="5"/>
        <w:bidi w:val="0"/>
        <w:ind w:firstLine="964"/>
        <w:outlineLvl w:val="2"/>
        <w:rPr>
          <w:rFonts w:hint="eastAsia" w:ascii="宋体" w:hAnsi="宋体" w:eastAsia="宋体" w:cs="宋体"/>
          <w:color w:val="auto"/>
          <w:highlight w:val="none"/>
        </w:rPr>
      </w:pPr>
      <w:bookmarkStart w:id="354" w:name="_Toc1689"/>
      <w:bookmarkStart w:id="355" w:name="_Toc23437"/>
      <w:bookmarkStart w:id="356" w:name="_Toc1822"/>
      <w:r>
        <w:rPr>
          <w:rFonts w:hint="eastAsia" w:ascii="宋体" w:hAnsi="宋体" w:eastAsia="宋体" w:cs="宋体"/>
          <w:color w:val="auto"/>
          <w:highlight w:val="none"/>
        </w:rPr>
        <w:t>格式四 授权委托书</w:t>
      </w:r>
      <w:bookmarkEnd w:id="354"/>
      <w:bookmarkEnd w:id="355"/>
      <w:bookmarkEnd w:id="356"/>
    </w:p>
    <w:p w14:paraId="4AE153D6">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256B630C">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052E35E1">
      <w:pPr>
        <w:wordWrap w:val="0"/>
        <w:adjustRightInd w:val="0"/>
        <w:snapToGrid w:val="0"/>
        <w:spacing w:line="440" w:lineRule="exact"/>
        <w:rPr>
          <w:rFonts w:hint="eastAsia" w:ascii="宋体" w:hAnsi="宋体" w:eastAsia="宋体" w:cs="宋体"/>
          <w:snapToGrid w:val="0"/>
          <w:color w:val="auto"/>
          <w:kern w:val="0"/>
          <w:szCs w:val="28"/>
          <w:highlight w:val="none"/>
        </w:rPr>
      </w:pPr>
    </w:p>
    <w:p w14:paraId="16529051">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3D6AD1C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4925D15F">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21B7858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ED868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D34162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56950D2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3599E8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621100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FD41F1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76EC56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DDC2F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5A1164A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C9D318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A36B2D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1CCB6D3">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26D40529">
                      <w:pPr>
                        <w:jc w:val="center"/>
                        <w:rPr>
                          <w:rFonts w:hint="eastAsia"/>
                          <w:szCs w:val="21"/>
                        </w:rPr>
                      </w:pPr>
                    </w:p>
                    <w:p w14:paraId="094E4AB7">
                      <w:pPr>
                        <w:jc w:val="center"/>
                        <w:rPr>
                          <w:rFonts w:hint="eastAsia"/>
                          <w:szCs w:val="21"/>
                        </w:rPr>
                      </w:pPr>
                    </w:p>
                    <w:p w14:paraId="1645525D">
                      <w:pPr>
                        <w:jc w:val="center"/>
                        <w:rPr>
                          <w:rFonts w:hint="eastAsia"/>
                          <w:szCs w:val="21"/>
                        </w:rPr>
                      </w:pPr>
                    </w:p>
                    <w:p w14:paraId="5955F214">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0342B1DB">
      <w:pPr>
        <w:pStyle w:val="11"/>
        <w:wordWrap w:val="0"/>
        <w:adjustRightInd w:val="0"/>
        <w:snapToGrid w:val="0"/>
        <w:rPr>
          <w:rFonts w:hint="eastAsia" w:ascii="宋体" w:hAnsi="宋体" w:eastAsia="宋体" w:cs="宋体"/>
          <w:snapToGrid w:val="0"/>
          <w:color w:val="auto"/>
          <w:kern w:val="0"/>
          <w:szCs w:val="24"/>
          <w:highlight w:val="none"/>
        </w:rPr>
      </w:pPr>
    </w:p>
    <w:p w14:paraId="6C2F3D49">
      <w:pPr>
        <w:pStyle w:val="5"/>
        <w:keepNext w:val="0"/>
        <w:keepLines w:val="0"/>
        <w:wordWrap w:val="0"/>
        <w:adjustRightInd w:val="0"/>
        <w:snapToGrid w:val="0"/>
        <w:rPr>
          <w:rFonts w:hint="eastAsia" w:ascii="宋体" w:hAnsi="宋体" w:eastAsia="宋体" w:cs="宋体"/>
          <w:snapToGrid w:val="0"/>
          <w:color w:val="auto"/>
          <w:kern w:val="0"/>
          <w:highlight w:val="none"/>
        </w:rPr>
      </w:pPr>
    </w:p>
    <w:p w14:paraId="51B9B5C5">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69ED5D35">
      <w:pPr>
        <w:pStyle w:val="5"/>
        <w:bidi w:val="0"/>
        <w:ind w:firstLine="964"/>
        <w:outlineLvl w:val="2"/>
        <w:rPr>
          <w:rFonts w:hint="eastAsia" w:ascii="宋体" w:hAnsi="宋体" w:eastAsia="宋体" w:cs="宋体"/>
          <w:color w:val="auto"/>
          <w:highlight w:val="none"/>
        </w:rPr>
      </w:pPr>
      <w:bookmarkStart w:id="357" w:name="_Toc21377"/>
      <w:bookmarkStart w:id="358" w:name="_Toc3858"/>
      <w:bookmarkStart w:id="359" w:name="_Toc26408"/>
      <w:r>
        <w:rPr>
          <w:rFonts w:hint="eastAsia" w:ascii="宋体" w:hAnsi="宋体" w:eastAsia="宋体" w:cs="宋体"/>
          <w:color w:val="auto"/>
          <w:highlight w:val="none"/>
        </w:rPr>
        <w:t>格式五 法定代表人身份证明</w:t>
      </w:r>
      <w:bookmarkEnd w:id="357"/>
      <w:bookmarkEnd w:id="358"/>
      <w:bookmarkEnd w:id="359"/>
    </w:p>
    <w:p w14:paraId="34F1B1BF">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59C88A42">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4BD326F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D134A4C">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6CF69DC1">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5C381A7C">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2EF3FC02">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7767090">
      <w:pPr>
        <w:wordWrap w:val="0"/>
        <w:adjustRightInd w:val="0"/>
        <w:snapToGrid w:val="0"/>
        <w:spacing w:line="440" w:lineRule="exact"/>
        <w:rPr>
          <w:rFonts w:hint="eastAsia" w:ascii="宋体" w:hAnsi="宋体" w:eastAsia="宋体" w:cs="宋体"/>
          <w:snapToGrid w:val="0"/>
          <w:color w:val="auto"/>
          <w:kern w:val="0"/>
          <w:szCs w:val="21"/>
          <w:highlight w:val="none"/>
        </w:rPr>
      </w:pPr>
    </w:p>
    <w:p w14:paraId="6181A7CE">
      <w:pPr>
        <w:wordWrap w:val="0"/>
        <w:adjustRightInd w:val="0"/>
        <w:snapToGrid w:val="0"/>
        <w:spacing w:line="440" w:lineRule="exact"/>
        <w:rPr>
          <w:rFonts w:hint="eastAsia" w:ascii="宋体" w:hAnsi="宋体" w:eastAsia="宋体" w:cs="宋体"/>
          <w:snapToGrid w:val="0"/>
          <w:color w:val="auto"/>
          <w:kern w:val="0"/>
          <w:szCs w:val="21"/>
          <w:highlight w:val="none"/>
        </w:rPr>
      </w:pPr>
    </w:p>
    <w:p w14:paraId="0951232C">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42D5718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7A757F77">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055A2041">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38F28896">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5E892894">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62E734DC">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250A86C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0BD23CF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DC70C73">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AD01FBC">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0B5B9FF0">
                      <w:pPr>
                        <w:jc w:val="center"/>
                        <w:rPr>
                          <w:rFonts w:hint="eastAsia"/>
                          <w:szCs w:val="21"/>
                        </w:rPr>
                      </w:pPr>
                    </w:p>
                    <w:p w14:paraId="0F809BE0">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3E98424A">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37307D73">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687E1A5">
      <w:pPr>
        <w:pStyle w:val="74"/>
        <w:widowControl w:val="0"/>
        <w:wordWrap w:val="0"/>
        <w:adjustRightInd w:val="0"/>
        <w:snapToGrid w:val="0"/>
        <w:spacing w:line="440" w:lineRule="exact"/>
        <w:ind w:left="0" w:leftChars="0" w:firstLine="0" w:firstLineChars="0"/>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7340A611">
      <w:pPr>
        <w:pStyle w:val="5"/>
        <w:bidi w:val="0"/>
        <w:ind w:left="0" w:leftChars="0" w:firstLine="0" w:firstLineChars="0"/>
        <w:outlineLvl w:val="2"/>
        <w:rPr>
          <w:rFonts w:hint="eastAsia" w:ascii="宋体" w:hAnsi="宋体" w:eastAsia="宋体" w:cs="宋体"/>
          <w:color w:val="auto"/>
          <w:highlight w:val="none"/>
        </w:rPr>
      </w:pPr>
      <w:bookmarkStart w:id="360" w:name="_Toc4289"/>
      <w:bookmarkStart w:id="361" w:name="_Toc7886"/>
      <w:bookmarkStart w:id="362" w:name="_Toc15143"/>
      <w:r>
        <w:rPr>
          <w:rFonts w:hint="eastAsia" w:ascii="宋体" w:hAnsi="宋体" w:eastAsia="宋体" w:cs="宋体"/>
          <w:color w:val="auto"/>
          <w:highlight w:val="none"/>
        </w:rPr>
        <w:t>格式</w:t>
      </w:r>
      <w:r>
        <w:rPr>
          <w:rFonts w:hint="eastAsia" w:cs="宋体"/>
          <w:color w:val="auto"/>
          <w:highlight w:val="none"/>
          <w:lang w:val="en-US" w:eastAsia="zh-CN"/>
        </w:rPr>
        <w:t xml:space="preserve">六 </w:t>
      </w:r>
      <w:r>
        <w:rPr>
          <w:rFonts w:hint="eastAsia" w:ascii="宋体" w:hAnsi="宋体" w:eastAsia="宋体" w:cs="宋体"/>
          <w:color w:val="auto"/>
          <w:highlight w:val="none"/>
        </w:rPr>
        <w:t>投标人基本情况表</w:t>
      </w:r>
      <w:bookmarkEnd w:id="360"/>
      <w:bookmarkEnd w:id="361"/>
      <w:bookmarkEnd w:id="362"/>
    </w:p>
    <w:p w14:paraId="2520FC2E">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3F93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96E27E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6CD188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9E6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42B1A7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19A0560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C88A9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695E6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42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0A3E1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219F0D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46C4D4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5F75DBF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7A80B25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3B3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6A38628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7410F35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61C1BC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5D793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3C8A1E8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E7F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E6259E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32DE73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013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FD4391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0A859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270D7E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3F7661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7CAA041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44D92EE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2B76996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ABE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0C7CAC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417B7D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7C1DB9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E8C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1B2EA4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33D4005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0E2B074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A2C450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4ED6F35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72B01FD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1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F204DA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061C1B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1981E0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4EB8A5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4A28E0F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F3D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6F5726FB">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6428A7B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FB1977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A66709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413937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3F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3BB7B9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9899BE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1FCE21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58AC83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3263072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679FAAC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8CB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4FEF99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A07AF5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6FAB907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61D9BC6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19BE8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69CDC18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D8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5043E1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6BB82563">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ABA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8423AD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22E3EFC3">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7C49446C">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47B58E1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5E7912A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391C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BEC183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16488A8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BA141CE">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7BFF0E80">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1．《投标人基本情况表》后应附以下资料：</w:t>
      </w:r>
    </w:p>
    <w:p w14:paraId="5ED8BF9A">
      <w:pPr>
        <w:pStyle w:val="123"/>
        <w:wordWrap w:val="0"/>
        <w:adjustRightInd w:val="0"/>
        <w:snapToGrid w:val="0"/>
        <w:spacing w:line="400" w:lineRule="exac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Style w:val="149"/>
          <w:rFonts w:hint="eastAsia" w:ascii="宋体" w:hAnsi="宋体" w:eastAsia="宋体" w:cs="宋体"/>
          <w:color w:val="auto"/>
          <w:sz w:val="21"/>
          <w:szCs w:val="21"/>
          <w:highlight w:val="none"/>
        </w:rPr>
        <w:t>企业营业执照、资质证书、安全生产许可证的</w:t>
      </w:r>
      <w:r>
        <w:rPr>
          <w:rStyle w:val="149"/>
          <w:rFonts w:hint="eastAsia" w:ascii="宋体" w:hAnsi="宋体" w:eastAsia="宋体" w:cs="宋体"/>
          <w:color w:val="auto"/>
          <w:sz w:val="21"/>
          <w:szCs w:val="21"/>
          <w:highlight w:val="none"/>
          <w:lang w:eastAsia="zh-CN"/>
        </w:rPr>
        <w:t>彩色扫描件</w:t>
      </w:r>
      <w:r>
        <w:rPr>
          <w:rStyle w:val="149"/>
          <w:rFonts w:hint="eastAsia" w:ascii="宋体" w:hAnsi="宋体" w:eastAsia="宋体" w:cs="宋体"/>
          <w:color w:val="auto"/>
          <w:sz w:val="21"/>
          <w:szCs w:val="21"/>
          <w:highlight w:val="none"/>
        </w:rPr>
        <w:t>（或打印件）（因推行电子证照，企业的营业执照、资质证书等可以提供电子证照。</w:t>
      </w:r>
      <w:r>
        <w:rPr>
          <w:rStyle w:val="149"/>
          <w:rFonts w:hint="eastAsia" w:ascii="宋体" w:hAnsi="宋体" w:eastAsia="宋体" w:cs="宋体"/>
          <w:color w:val="auto"/>
          <w:sz w:val="21"/>
          <w:szCs w:val="21"/>
          <w:highlight w:val="none"/>
          <w:lang w:eastAsia="zh-CN"/>
        </w:rPr>
        <w:t>）</w:t>
      </w:r>
    </w:p>
    <w:p w14:paraId="0A06AE8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（2）“进粤企业和人员诚信信息登记平台”企业信息情况打印页。（适用于省外建筑企业）</w:t>
      </w:r>
    </w:p>
    <w:p w14:paraId="6A65054A">
      <w:pPr>
        <w:pStyle w:val="123"/>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4CFEDC08">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48D5A5C7">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pPr>
    </w:p>
    <w:p w14:paraId="106225E3">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327"/>
    <w:bookmarkEnd w:id="328"/>
    <w:p w14:paraId="5B216E30">
      <w:pPr>
        <w:pStyle w:val="5"/>
        <w:bidi w:val="0"/>
        <w:ind w:firstLine="964"/>
        <w:outlineLvl w:val="2"/>
        <w:rPr>
          <w:rFonts w:hint="eastAsia" w:ascii="宋体" w:hAnsi="宋体" w:eastAsia="宋体" w:cs="宋体"/>
          <w:color w:val="auto"/>
          <w:highlight w:val="none"/>
        </w:rPr>
      </w:pPr>
      <w:bookmarkStart w:id="363" w:name="_Toc27834"/>
      <w:bookmarkStart w:id="364" w:name="_Toc20248"/>
      <w:bookmarkStart w:id="365" w:name="_Toc10778"/>
      <w:bookmarkStart w:id="366" w:name="_Toc32402"/>
      <w:bookmarkStart w:id="367" w:name="_Toc24565"/>
      <w:r>
        <w:rPr>
          <w:rFonts w:hint="eastAsia" w:ascii="宋体" w:hAnsi="宋体" w:eastAsia="宋体" w:cs="宋体"/>
          <w:color w:val="auto"/>
          <w:highlight w:val="none"/>
        </w:rPr>
        <w:t>格式</w:t>
      </w:r>
      <w:r>
        <w:rPr>
          <w:rFonts w:hint="eastAsia" w:cs="宋体"/>
          <w:color w:val="auto"/>
          <w:highlight w:val="none"/>
          <w:lang w:val="en-US" w:eastAsia="zh-CN"/>
        </w:rPr>
        <w:t>七</w:t>
      </w:r>
      <w:r>
        <w:rPr>
          <w:rFonts w:hint="eastAsia" w:ascii="宋体" w:hAnsi="宋体" w:eastAsia="宋体" w:cs="宋体"/>
          <w:color w:val="auto"/>
          <w:highlight w:val="none"/>
        </w:rPr>
        <w:t xml:space="preserve"> 项目经理简历表</w:t>
      </w:r>
      <w:bookmarkEnd w:id="363"/>
      <w:bookmarkEnd w:id="364"/>
      <w:bookmarkEnd w:id="365"/>
      <w:bookmarkEnd w:id="366"/>
      <w:bookmarkEnd w:id="367"/>
    </w:p>
    <w:p w14:paraId="20946DA9">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EC6D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83703A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C53E2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EABCA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2CDE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C790F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B97BA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0AC34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506D7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BA905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DD36F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6F9CB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64FC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AA3E2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9AA4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E4317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6DA4ED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1AE7F5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564F2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E4EE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BF4D5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23CF60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2E156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4D5D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5E804B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11E1D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2A90E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31BD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8FEF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DF729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3ECCD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DF31C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A6F0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76624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7B40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B789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A899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ABE2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7B95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F09E1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B742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291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B91F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8E3DB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9F639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E599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1AD690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C0C5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DB9BC7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86D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B085C1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E49EE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0D8B4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59BF5F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3B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7F7F4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6F3C56D">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68" w:name="_Toc11456"/>
      <w:bookmarkStart w:id="369" w:name="_Toc21706"/>
      <w:bookmarkStart w:id="370" w:name="_Toc31554"/>
      <w:r>
        <w:rPr>
          <w:rFonts w:hint="eastAsia" w:ascii="宋体" w:hAnsi="宋体" w:eastAsia="宋体" w:cs="宋体"/>
          <w:b/>
          <w:snapToGrid w:val="0"/>
          <w:color w:val="auto"/>
          <w:kern w:val="0"/>
          <w:sz w:val="30"/>
          <w:highlight w:val="none"/>
        </w:rPr>
        <w:t>项目经理简历表</w:t>
      </w:r>
      <w:bookmarkEnd w:id="368"/>
      <w:bookmarkEnd w:id="369"/>
      <w:bookmarkEnd w:id="370"/>
    </w:p>
    <w:p w14:paraId="3F813961">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565D755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54F05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72C2F7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40E0FF8">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44D3EF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24CE01D6">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0131096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3D89BC0">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BC26D8A">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40F44321">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w:t>
      </w:r>
      <w:r>
        <w:rPr>
          <w:rFonts w:hint="eastAsia" w:hAnsi="宋体" w:cs="宋体"/>
          <w:snapToGrid w:val="0"/>
          <w:color w:val="auto"/>
          <w:kern w:val="0"/>
          <w:sz w:val="21"/>
          <w:szCs w:val="28"/>
          <w:highlight w:val="none"/>
          <w:lang w:eastAsia="zh-CN"/>
        </w:rPr>
        <w:t>其中必须有2025年9月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lang w:eastAsia="zh-CN"/>
        </w:rPr>
        <w:t>彩色扫描件。拟派项目经理为退休返聘人员无法提供社保证明的，提供退休证和劳动彩色扫描件；</w:t>
      </w:r>
    </w:p>
    <w:p w14:paraId="34D2FA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197601B7">
      <w:pPr>
        <w:pStyle w:val="5"/>
        <w:bidi w:val="0"/>
        <w:ind w:firstLine="964"/>
        <w:outlineLvl w:val="2"/>
        <w:rPr>
          <w:rFonts w:hint="eastAsia" w:ascii="宋体" w:hAnsi="宋体" w:eastAsia="宋体" w:cs="宋体"/>
          <w:color w:val="auto"/>
          <w:highlight w:val="none"/>
        </w:rPr>
      </w:pPr>
      <w:bookmarkStart w:id="371" w:name="_Toc13581"/>
      <w:bookmarkStart w:id="372" w:name="_Toc5290"/>
      <w:bookmarkStart w:id="373" w:name="_Toc8211"/>
      <w:bookmarkStart w:id="374" w:name="_Toc2842"/>
      <w:bookmarkStart w:id="375" w:name="_Toc21761"/>
      <w:r>
        <w:rPr>
          <w:rFonts w:hint="eastAsia" w:ascii="宋体" w:hAnsi="宋体" w:eastAsia="宋体" w:cs="宋体"/>
          <w:color w:val="auto"/>
          <w:highlight w:val="none"/>
        </w:rPr>
        <w:t>格式</w:t>
      </w:r>
      <w:r>
        <w:rPr>
          <w:rFonts w:hint="eastAsia" w:cs="宋体"/>
          <w:color w:val="auto"/>
          <w:highlight w:val="none"/>
          <w:lang w:val="en-US" w:eastAsia="zh-CN"/>
        </w:rPr>
        <w:t>八</w:t>
      </w:r>
      <w:r>
        <w:rPr>
          <w:rFonts w:hint="eastAsia" w:ascii="宋体" w:hAnsi="宋体" w:eastAsia="宋体" w:cs="宋体"/>
          <w:color w:val="auto"/>
          <w:highlight w:val="none"/>
        </w:rPr>
        <w:t xml:space="preserve"> 项目经理任职声明</w:t>
      </w:r>
      <w:bookmarkEnd w:id="371"/>
      <w:bookmarkEnd w:id="372"/>
      <w:bookmarkEnd w:id="373"/>
      <w:bookmarkEnd w:id="374"/>
      <w:bookmarkEnd w:id="375"/>
    </w:p>
    <w:p w14:paraId="40BAD814">
      <w:pPr>
        <w:rPr>
          <w:rFonts w:hint="eastAsia" w:ascii="宋体" w:hAnsi="宋体" w:eastAsia="宋体" w:cs="宋体"/>
          <w:color w:val="auto"/>
          <w:highlight w:val="none"/>
        </w:rPr>
      </w:pPr>
    </w:p>
    <w:p w14:paraId="12C51EB1">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311FD545">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3B64DCD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13B40CB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0B09E3C">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09A3EE18">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EB097C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21ACCF9C">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058484C9">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6B9A2F5B">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1056B4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4FFFE697">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22C4F5F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4595482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30A2A1B2">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0DB75446">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59671F1C">
      <w:pPr>
        <w:pStyle w:val="5"/>
        <w:bidi w:val="0"/>
        <w:ind w:firstLine="964"/>
        <w:outlineLvl w:val="2"/>
        <w:rPr>
          <w:rFonts w:hint="eastAsia" w:ascii="宋体" w:hAnsi="宋体" w:eastAsia="宋体" w:cs="宋体"/>
          <w:color w:val="auto"/>
          <w:highlight w:val="none"/>
        </w:rPr>
      </w:pPr>
      <w:bookmarkStart w:id="376" w:name="_Toc21420"/>
      <w:bookmarkStart w:id="377" w:name="_Toc24994"/>
      <w:bookmarkStart w:id="378" w:name="_Toc12751"/>
      <w:bookmarkStart w:id="379" w:name="_Toc12722"/>
      <w:bookmarkStart w:id="380" w:name="_Toc27257"/>
      <w:r>
        <w:rPr>
          <w:rFonts w:hint="eastAsia" w:ascii="宋体" w:hAnsi="宋体" w:eastAsia="宋体" w:cs="宋体"/>
          <w:color w:val="auto"/>
          <w:highlight w:val="none"/>
        </w:rPr>
        <w:t>格式</w:t>
      </w:r>
      <w:r>
        <w:rPr>
          <w:rFonts w:hint="eastAsia" w:cs="宋体"/>
          <w:color w:val="auto"/>
          <w:highlight w:val="none"/>
          <w:lang w:val="en-US" w:eastAsia="zh-CN"/>
        </w:rPr>
        <w:t>九</w:t>
      </w:r>
      <w:r>
        <w:rPr>
          <w:rFonts w:hint="eastAsia" w:ascii="宋体" w:hAnsi="宋体" w:eastAsia="宋体" w:cs="宋体"/>
          <w:color w:val="auto"/>
          <w:highlight w:val="none"/>
        </w:rPr>
        <w:t xml:space="preserve"> 项目技术负责人简历表</w:t>
      </w:r>
      <w:bookmarkEnd w:id="376"/>
      <w:bookmarkEnd w:id="377"/>
      <w:bookmarkEnd w:id="378"/>
      <w:bookmarkEnd w:id="379"/>
      <w:bookmarkEnd w:id="380"/>
    </w:p>
    <w:p w14:paraId="4EE82327">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B3286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B4EA3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50244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586DB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954B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4E908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EA4F7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051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CFF3D4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F9A40C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E6B4C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75EA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9A05A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D7C6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54C5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80DD7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121EC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E73133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B2662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239D2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0B3559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1DE2C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E34C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64A69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5C11F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53D80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8723F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31E27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BF0E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2C04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5D63D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21BA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83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1F5E1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0BB0D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B151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A2E41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149A1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BD7C4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0851B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84753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4C80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ECC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B732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A73E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FECC2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2080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CF47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9FF1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7B0B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11FE41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80D3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8E458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9DF17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97776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40CD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2B5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9CB7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5998D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68A8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EB22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4D4FE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235C4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658D298">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81" w:name="_Toc5497"/>
      <w:bookmarkStart w:id="382" w:name="_Toc12290"/>
      <w:bookmarkStart w:id="383" w:name="_Toc6237"/>
      <w:r>
        <w:rPr>
          <w:rFonts w:hint="eastAsia" w:ascii="宋体" w:hAnsi="宋体" w:eastAsia="宋体" w:cs="宋体"/>
          <w:b/>
          <w:snapToGrid w:val="0"/>
          <w:color w:val="auto"/>
          <w:kern w:val="0"/>
          <w:sz w:val="30"/>
          <w:highlight w:val="none"/>
        </w:rPr>
        <w:t>项目技术负责人简历表</w:t>
      </w:r>
      <w:bookmarkEnd w:id="381"/>
      <w:bookmarkEnd w:id="382"/>
      <w:bookmarkEnd w:id="383"/>
    </w:p>
    <w:p w14:paraId="1760818B">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1D520E7">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306E100">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9E9B73">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154D19E9">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252AB3D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7DD1C3BF">
      <w:pPr>
        <w:pStyle w:val="10"/>
        <w:rPr>
          <w:rFonts w:hint="eastAsia" w:ascii="宋体" w:hAnsi="宋体" w:eastAsia="宋体" w:cs="宋体"/>
          <w:snapToGrid w:val="0"/>
          <w:color w:val="auto"/>
          <w:kern w:val="0"/>
          <w:szCs w:val="28"/>
          <w:highlight w:val="none"/>
        </w:rPr>
      </w:pPr>
    </w:p>
    <w:p w14:paraId="46E5F97A">
      <w:pPr>
        <w:rPr>
          <w:rFonts w:hint="eastAsia" w:ascii="宋体" w:hAnsi="宋体" w:eastAsia="宋体" w:cs="宋体"/>
          <w:color w:val="auto"/>
          <w:highlight w:val="none"/>
        </w:rPr>
      </w:pPr>
    </w:p>
    <w:p w14:paraId="16FD6E7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84" w:name="_Toc200338098"/>
      <w:bookmarkStart w:id="385"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188CD04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5FA9325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1C4B350C">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w:t>
      </w:r>
      <w:r>
        <w:rPr>
          <w:rFonts w:hint="eastAsia" w:hAnsi="宋体" w:cs="宋体"/>
          <w:snapToGrid w:val="0"/>
          <w:color w:val="auto"/>
          <w:kern w:val="0"/>
          <w:sz w:val="21"/>
          <w:szCs w:val="28"/>
          <w:highlight w:val="none"/>
          <w:lang w:eastAsia="zh-CN"/>
        </w:rPr>
        <w:t>其中必须有2025年9月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2FD2430">
      <w:pPr>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6F2D8144">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1BCCA366">
      <w:pPr>
        <w:pStyle w:val="6"/>
        <w:rPr>
          <w:rFonts w:hint="eastAsia" w:ascii="宋体" w:hAnsi="宋体" w:eastAsia="宋体" w:cs="宋体"/>
          <w:color w:val="auto"/>
          <w:highlight w:val="none"/>
        </w:rPr>
      </w:pPr>
    </w:p>
    <w:p w14:paraId="6F3332E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86" w:name="_Toc8834"/>
      <w:bookmarkStart w:id="387" w:name="_Toc4344"/>
      <w:bookmarkStart w:id="388" w:name="_Toc9436"/>
    </w:p>
    <w:p w14:paraId="57E77AA7">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495F18EB">
      <w:pPr>
        <w:pStyle w:val="5"/>
        <w:bidi w:val="0"/>
        <w:ind w:firstLine="964"/>
        <w:outlineLvl w:val="2"/>
        <w:rPr>
          <w:rFonts w:hint="eastAsia" w:ascii="宋体" w:hAnsi="宋体" w:eastAsia="宋体" w:cs="宋体"/>
          <w:color w:val="auto"/>
          <w:highlight w:val="none"/>
        </w:rPr>
      </w:pPr>
      <w:bookmarkStart w:id="389" w:name="_Toc19414"/>
      <w:bookmarkStart w:id="390" w:name="_Toc16727"/>
      <w:r>
        <w:rPr>
          <w:rFonts w:hint="eastAsia" w:ascii="宋体" w:hAnsi="宋体" w:eastAsia="宋体" w:cs="宋体"/>
          <w:color w:val="auto"/>
          <w:highlight w:val="none"/>
        </w:rPr>
        <w:t>格式十 专职安全员简历表</w:t>
      </w:r>
      <w:bookmarkEnd w:id="386"/>
      <w:bookmarkEnd w:id="387"/>
      <w:bookmarkEnd w:id="388"/>
      <w:bookmarkEnd w:id="389"/>
      <w:bookmarkEnd w:id="390"/>
    </w:p>
    <w:p w14:paraId="730D5C98">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25AB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EB77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FBB7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611EE9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F68129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79C59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02F8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25A3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B196C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9B831F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BC810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FCB5B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0693E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EBC5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A08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5377C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A0DFFD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061FCC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BB295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C56B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02ABBB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70EB8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F0567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5407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31A1B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B5DE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702D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4C6BD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050C76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E13778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D60C4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2AEB3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6F97B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A575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7E715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150A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09D2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9D75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E1EA4D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12712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F5CB6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5D8EA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A6B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4366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B56EB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5914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9694F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A957B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E1B2C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762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E14D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45AE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94A88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88B1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5085E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D870E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4565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1C03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37CE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79A2FF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A998D9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278C1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F279C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2B47DEE7">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91" w:name="_Toc12212"/>
      <w:bookmarkStart w:id="392" w:name="_Toc30496"/>
      <w:bookmarkStart w:id="393" w:name="_Toc19513"/>
      <w:r>
        <w:rPr>
          <w:rFonts w:hint="eastAsia" w:ascii="宋体" w:hAnsi="宋体" w:eastAsia="宋体" w:cs="宋体"/>
          <w:b/>
          <w:snapToGrid w:val="0"/>
          <w:color w:val="auto"/>
          <w:kern w:val="0"/>
          <w:sz w:val="30"/>
          <w:highlight w:val="none"/>
        </w:rPr>
        <w:t>专职安全员简历表</w:t>
      </w:r>
      <w:bookmarkEnd w:id="391"/>
      <w:bookmarkEnd w:id="392"/>
      <w:bookmarkEnd w:id="393"/>
    </w:p>
    <w:p w14:paraId="78392214">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4803798">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90611ED">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B6BEA6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C9B102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CAF3E88">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34883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29502B91">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0B6C013">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4348C7AD">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w:t>
      </w:r>
      <w:r>
        <w:rPr>
          <w:rFonts w:hint="eastAsia" w:hAnsi="宋体" w:cs="宋体"/>
          <w:snapToGrid w:val="0"/>
          <w:color w:val="auto"/>
          <w:kern w:val="0"/>
          <w:sz w:val="21"/>
          <w:szCs w:val="28"/>
          <w:highlight w:val="none"/>
          <w:lang w:eastAsia="zh-CN"/>
        </w:rPr>
        <w:t>其中必须有2025年9月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lang w:eastAsia="zh-CN"/>
        </w:rPr>
        <w:t>彩色扫描件。拟派专职安全员为退休返聘人员无法提供社保证明的，提供退休证和劳动合同彩色扫描件；</w:t>
      </w:r>
    </w:p>
    <w:p w14:paraId="07BD2CC7">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97BFB37">
      <w:pPr>
        <w:pStyle w:val="5"/>
        <w:bidi w:val="0"/>
        <w:ind w:firstLine="964"/>
        <w:outlineLvl w:val="2"/>
        <w:rPr>
          <w:rFonts w:hint="eastAsia" w:ascii="宋体" w:hAnsi="宋体" w:eastAsia="宋体" w:cs="宋体"/>
          <w:color w:val="auto"/>
          <w:highlight w:val="none"/>
        </w:rPr>
      </w:pPr>
      <w:bookmarkStart w:id="394" w:name="_Toc14989"/>
      <w:bookmarkStart w:id="395" w:name="_Toc23812"/>
      <w:bookmarkStart w:id="396" w:name="_Toc29387"/>
      <w:bookmarkStart w:id="397" w:name="_Toc20506"/>
      <w:bookmarkStart w:id="398" w:name="_Toc14261309"/>
      <w:bookmarkStart w:id="399" w:name="_Toc994"/>
      <w:bookmarkStart w:id="400" w:name="_Toc29727"/>
      <w:r>
        <w:rPr>
          <w:rFonts w:hint="eastAsia" w:ascii="宋体" w:hAnsi="宋体" w:eastAsia="宋体" w:cs="宋体"/>
          <w:color w:val="auto"/>
          <w:highlight w:val="none"/>
        </w:rPr>
        <w:t>格式</w:t>
      </w:r>
      <w:bookmarkStart w:id="401" w:name="_Hlt287950384"/>
      <w:bookmarkEnd w:id="401"/>
      <w:r>
        <w:rPr>
          <w:rFonts w:hint="eastAsia" w:ascii="宋体" w:hAnsi="宋体" w:eastAsia="宋体" w:cs="宋体"/>
          <w:color w:val="auto"/>
          <w:highlight w:val="none"/>
        </w:rPr>
        <w:t>十</w:t>
      </w:r>
      <w:r>
        <w:rPr>
          <w:rFonts w:hint="eastAsia" w:cs="宋体"/>
          <w:color w:val="auto"/>
          <w:highlight w:val="none"/>
          <w:lang w:val="en-US" w:eastAsia="zh-CN"/>
        </w:rPr>
        <w:t>一</w:t>
      </w:r>
      <w:r>
        <w:rPr>
          <w:rFonts w:hint="eastAsia" w:ascii="宋体" w:hAnsi="宋体" w:eastAsia="宋体" w:cs="宋体"/>
          <w:color w:val="auto"/>
          <w:highlight w:val="none"/>
        </w:rPr>
        <w:t xml:space="preserve"> 项目管理机构组成表</w:t>
      </w:r>
      <w:bookmarkEnd w:id="394"/>
      <w:bookmarkEnd w:id="395"/>
      <w:bookmarkEnd w:id="396"/>
      <w:bookmarkEnd w:id="397"/>
      <w:bookmarkEnd w:id="398"/>
      <w:bookmarkEnd w:id="399"/>
      <w:bookmarkEnd w:id="400"/>
    </w:p>
    <w:p w14:paraId="5F78C0B1">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402" w:name="_Toc3360"/>
      <w:bookmarkStart w:id="403" w:name="_Toc14261751"/>
      <w:bookmarkStart w:id="404" w:name="_Toc3834"/>
      <w:bookmarkStart w:id="405" w:name="_Toc21803"/>
      <w:r>
        <w:rPr>
          <w:rFonts w:hint="eastAsia" w:ascii="宋体" w:hAnsi="宋体" w:eastAsia="宋体" w:cs="宋体"/>
          <w:b/>
          <w:snapToGrid w:val="0"/>
          <w:color w:val="auto"/>
          <w:kern w:val="0"/>
          <w:sz w:val="30"/>
          <w:highlight w:val="none"/>
        </w:rPr>
        <w:t>项目管理机构组成表</w:t>
      </w:r>
      <w:bookmarkEnd w:id="402"/>
      <w:bookmarkEnd w:id="403"/>
      <w:bookmarkEnd w:id="404"/>
      <w:bookmarkEnd w:id="405"/>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51408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33A75A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E10B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684DE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498E9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32A99B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C776B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EBE10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569E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96D395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76B5A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1A645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C4033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4ECA5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9F830B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562FB8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501D8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13352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D2D534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13BC6A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976524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5727B0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1D05B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A36D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E9C9FF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65745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7DDE8A1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17CFD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C49A7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89A72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C7B4D9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381FEA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B99EE4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34E6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185ACA7">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1B689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F3A8F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05138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48E91F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C64170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3F35D2">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832E2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F1EFA8">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44421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4D1538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6ED61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229F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1B9F7A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75E3F1">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1AD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9CE64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F1CAD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B731F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C6EF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EB4D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FCA7AD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9528A1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43A5F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46929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69678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F0E87C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007F3E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552D35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76BB5D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5BEF014">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C545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E048CE9">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2B2288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F6CBB7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4E539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C171F6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5E77E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677C15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F5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58B26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79D6E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00A7D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C5BC1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98E27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B4B14F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67C2F10">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406" w:name="_附件十：单项工程费汇总表"/>
        <w:bookmarkStart w:id="407" w:name="_附件二十四：技术标提问单"/>
        <w:bookmarkStart w:id="408" w:name="_附件二十五：综合评审合理低价法"/>
        <w:bookmarkStart w:id="409" w:name="_Hlt68774664"/>
        <w:bookmarkStart w:id="410" w:name="_Hlt69116778"/>
      </w:tr>
      <w:bookmarkEnd w:id="384"/>
      <w:bookmarkEnd w:id="385"/>
      <w:bookmarkEnd w:id="406"/>
      <w:bookmarkEnd w:id="407"/>
      <w:bookmarkEnd w:id="408"/>
      <w:bookmarkEnd w:id="409"/>
      <w:bookmarkEnd w:id="410"/>
    </w:tbl>
    <w:p w14:paraId="6292D7A3">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469219D">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50F1DCF1">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43272CF4">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02A093FD">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w:t>
      </w:r>
      <w:r>
        <w:rPr>
          <w:rFonts w:hint="eastAsia" w:hAnsi="宋体" w:cs="宋体"/>
          <w:snapToGrid w:val="0"/>
          <w:color w:val="auto"/>
          <w:kern w:val="0"/>
          <w:sz w:val="21"/>
          <w:szCs w:val="28"/>
          <w:highlight w:val="none"/>
          <w:lang w:eastAsia="zh-CN"/>
        </w:rPr>
        <w:t>其中必须有2025年9月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5FD4D051">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4</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3E40CB7B">
      <w:pPr>
        <w:pStyle w:val="2"/>
        <w:rPr>
          <w:rFonts w:hint="eastAsia"/>
          <w:color w:val="auto"/>
          <w:highlight w:val="none"/>
          <w:lang w:eastAsia="zh-CN"/>
        </w:rPr>
      </w:pPr>
    </w:p>
    <w:p w14:paraId="7C74624B">
      <w:pPr>
        <w:pStyle w:val="2"/>
        <w:rPr>
          <w:rFonts w:hint="eastAsia"/>
          <w:color w:val="auto"/>
          <w:highlight w:val="none"/>
          <w:lang w:eastAsia="zh-CN"/>
        </w:rPr>
        <w:sectPr>
          <w:pgSz w:w="11907" w:h="16840"/>
          <w:pgMar w:top="1134" w:right="1134" w:bottom="1134" w:left="1134" w:header="567" w:footer="567" w:gutter="0"/>
          <w:cols w:space="720" w:num="1"/>
        </w:sectPr>
      </w:pPr>
    </w:p>
    <w:p w14:paraId="748481A2">
      <w:pPr>
        <w:pStyle w:val="5"/>
        <w:bidi w:val="0"/>
        <w:ind w:firstLine="964"/>
        <w:outlineLvl w:val="2"/>
        <w:rPr>
          <w:rFonts w:hint="eastAsia" w:ascii="宋体" w:hAnsi="宋体" w:eastAsia="宋体" w:cs="宋体"/>
          <w:b/>
          <w:bCs/>
          <w:snapToGrid w:val="0"/>
          <w:color w:val="auto"/>
          <w:sz w:val="24"/>
          <w:szCs w:val="24"/>
          <w:highlight w:val="none"/>
        </w:rPr>
      </w:pPr>
      <w:bookmarkStart w:id="411" w:name="_Toc13555"/>
      <w:bookmarkStart w:id="412" w:name="_Toc17488"/>
      <w:r>
        <w:rPr>
          <w:rFonts w:hint="eastAsia" w:ascii="宋体" w:hAnsi="宋体" w:eastAsia="宋体" w:cs="宋体"/>
          <w:color w:val="auto"/>
          <w:highlight w:val="none"/>
        </w:rPr>
        <w:t>格式十</w:t>
      </w:r>
      <w:r>
        <w:rPr>
          <w:rFonts w:hint="eastAsia" w:cs="宋体"/>
          <w:color w:val="auto"/>
          <w:highlight w:val="none"/>
          <w:lang w:val="en-US" w:eastAsia="zh-CN"/>
        </w:rPr>
        <w:t>二</w:t>
      </w:r>
      <w:r>
        <w:rPr>
          <w:rFonts w:hint="eastAsia" w:ascii="宋体" w:hAnsi="宋体" w:eastAsia="宋体" w:cs="宋体"/>
          <w:color w:val="auto"/>
          <w:highlight w:val="none"/>
        </w:rPr>
        <w:t xml:space="preserve"> 建造师查询页（有效期）</w:t>
      </w:r>
      <w:bookmarkEnd w:id="411"/>
      <w:bookmarkEnd w:id="412"/>
    </w:p>
    <w:p w14:paraId="74592289">
      <w:pPr>
        <w:pStyle w:val="78"/>
        <w:bidi w:val="0"/>
        <w:jc w:val="both"/>
        <w:rPr>
          <w:rFonts w:hint="eastAsia" w:ascii="宋体" w:hAnsi="宋体" w:eastAsia="宋体" w:cs="宋体"/>
          <w:b/>
          <w:bCs/>
          <w:caps w:val="0"/>
          <w:smallCaps w:val="0"/>
          <w:snapToGrid w:val="0"/>
          <w:color w:val="auto"/>
          <w:spacing w:val="0"/>
          <w:kern w:val="0"/>
          <w:sz w:val="24"/>
          <w:szCs w:val="24"/>
          <w:highlight w:val="none"/>
          <w:lang w:val="en-US" w:eastAsia="zh-CN"/>
        </w:rPr>
      </w:pPr>
      <w:bookmarkStart w:id="413" w:name="_Toc29775"/>
      <w:bookmarkStart w:id="414" w:name="_Toc16806"/>
      <w:r>
        <w:rPr>
          <w:rFonts w:hint="eastAsia" w:ascii="宋体" w:hAnsi="宋体" w:eastAsia="宋体" w:cs="宋体"/>
          <w:b/>
          <w:bCs/>
          <w:caps w:val="0"/>
          <w:smallCaps w:val="0"/>
          <w:snapToGrid w:val="0"/>
          <w:color w:val="auto"/>
          <w:spacing w:val="0"/>
          <w:kern w:val="0"/>
          <w:sz w:val="24"/>
          <w:szCs w:val="24"/>
          <w:highlight w:val="none"/>
          <w:lang w:val="en-US" w:eastAsia="zh-CN"/>
        </w:rPr>
        <w:drawing>
          <wp:inline distT="0" distB="0" distL="114300" distR="114300">
            <wp:extent cx="5542915" cy="7795895"/>
            <wp:effectExtent l="0" t="0" r="635" b="14605"/>
            <wp:docPr id="2" name="图片 25"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8dc0870d7950088064f04e679b5646c"/>
                    <pic:cNvPicPr>
                      <a:picLocks noChangeAspect="1"/>
                    </pic:cNvPicPr>
                  </pic:nvPicPr>
                  <pic:blipFill>
                    <a:blip r:embed="rId33"/>
                    <a:stretch>
                      <a:fillRect/>
                    </a:stretch>
                  </pic:blipFill>
                  <pic:spPr>
                    <a:xfrm>
                      <a:off x="0" y="0"/>
                      <a:ext cx="5542915" cy="7795895"/>
                    </a:xfrm>
                    <a:prstGeom prst="rect">
                      <a:avLst/>
                    </a:prstGeom>
                    <a:noFill/>
                    <a:ln>
                      <a:noFill/>
                    </a:ln>
                  </pic:spPr>
                </pic:pic>
              </a:graphicData>
            </a:graphic>
          </wp:inline>
        </w:drawing>
      </w:r>
      <w:bookmarkEnd w:id="413"/>
      <w:bookmarkEnd w:id="414"/>
    </w:p>
    <w:p w14:paraId="2B73C518">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240" w:leftChars="100" w:right="0" w:rightChars="0" w:firstLine="241" w:firstLineChars="100"/>
        <w:jc w:val="left"/>
        <w:textAlignment w:val="auto"/>
        <w:outlineLvl w:val="9"/>
        <w:rPr>
          <w:rFonts w:hint="eastAsia" w:ascii="宋体" w:hAnsi="宋体" w:eastAsia="宋体" w:cs="宋体"/>
          <w:b/>
          <w:bCs/>
          <w:caps w:val="0"/>
          <w:smallCaps w:val="0"/>
          <w:snapToGrid w:val="0"/>
          <w:color w:val="auto"/>
          <w:spacing w:val="0"/>
          <w:kern w:val="0"/>
          <w:sz w:val="24"/>
          <w:szCs w:val="24"/>
          <w:highlight w:val="none"/>
          <w:lang w:val="en-US" w:eastAsia="zh-CN"/>
        </w:rPr>
      </w:pPr>
    </w:p>
    <w:p w14:paraId="73254593">
      <w:pPr>
        <w:pStyle w:val="78"/>
        <w:keepNext w:val="0"/>
        <w:keepLines w:val="0"/>
        <w:widowControl w:val="0"/>
        <w:wordWrap w:val="0"/>
        <w:adjustRightInd w:val="0"/>
        <w:snapToGrid w:val="0"/>
        <w:spacing w:before="0" w:after="0" w:line="240" w:lineRule="auto"/>
        <w:ind w:left="3177" w:leftChars="15" w:hanging="3141" w:hangingChars="1496"/>
        <w:jc w:val="center"/>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p>
    <w:p w14:paraId="4721CF1C">
      <w:pPr>
        <w:pStyle w:val="74"/>
        <w:keepNext w:val="0"/>
        <w:keepLines w:val="0"/>
        <w:pageBreakBefore w:val="0"/>
        <w:widowControl w:val="0"/>
        <w:kinsoku/>
        <w:wordWrap w:val="0"/>
        <w:overflowPunct/>
        <w:topLinePunct w:val="0"/>
        <w:autoSpaceDE/>
        <w:autoSpaceDN/>
        <w:bidi w:val="0"/>
        <w:adjustRightInd w:val="0"/>
        <w:snapToGrid w:val="0"/>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1"/>
          <w:highlight w:val="none"/>
          <w:lang w:val="en-US" w:eastAsia="zh-CN"/>
        </w:rPr>
      </w:pPr>
      <w:r>
        <w:rPr>
          <w:rFonts w:hint="eastAsia" w:ascii="宋体" w:hAnsi="宋体" w:eastAsia="宋体" w:cs="宋体"/>
          <w:caps w:val="0"/>
          <w:smallCaps w:val="0"/>
          <w:snapToGrid w:val="0"/>
          <w:color w:val="auto"/>
          <w:spacing w:val="0"/>
          <w:kern w:val="0"/>
          <w:sz w:val="21"/>
          <w:highlight w:val="none"/>
          <w:lang w:val="en-US" w:eastAsia="zh-CN"/>
        </w:rPr>
        <w:t xml:space="preserve">    </w:t>
      </w: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3" name="图片 26"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descr="32d7491b2f9802d8de0f2607fe015bb"/>
                    <pic:cNvPicPr>
                      <a:picLocks noChangeAspect="1"/>
                    </pic:cNvPicPr>
                  </pic:nvPicPr>
                  <pic:blipFill>
                    <a:blip r:embed="rId34"/>
                    <a:stretch>
                      <a:fillRect/>
                    </a:stretch>
                  </pic:blipFill>
                  <pic:spPr>
                    <a:xfrm>
                      <a:off x="0" y="0"/>
                      <a:ext cx="5768975" cy="8063865"/>
                    </a:xfrm>
                    <a:prstGeom prst="rect">
                      <a:avLst/>
                    </a:prstGeom>
                    <a:noFill/>
                    <a:ln>
                      <a:noFill/>
                    </a:ln>
                  </pic:spPr>
                </pic:pic>
              </a:graphicData>
            </a:graphic>
          </wp:inline>
        </w:drawing>
      </w:r>
    </w:p>
    <w:p w14:paraId="53C11A4C">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p>
    <w:p w14:paraId="6AEE18DA">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5EBF6E07">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329"/>
    <w:bookmarkEnd w:id="330"/>
    <w:p w14:paraId="14F1DE4D">
      <w:pPr>
        <w:pStyle w:val="5"/>
        <w:bidi w:val="0"/>
        <w:ind w:firstLine="964"/>
        <w:outlineLvl w:val="2"/>
        <w:rPr>
          <w:rFonts w:hint="eastAsia" w:ascii="宋体" w:hAnsi="宋体" w:eastAsia="宋体" w:cs="宋体"/>
          <w:color w:val="auto"/>
          <w:highlight w:val="none"/>
        </w:rPr>
      </w:pPr>
      <w:bookmarkStart w:id="415" w:name="_Hlt87783244"/>
      <w:bookmarkEnd w:id="415"/>
      <w:bookmarkStart w:id="416" w:name="_附件二十一：土建工程、电气工程、给排水工程工程清单项目费汇总表"/>
      <w:bookmarkEnd w:id="416"/>
      <w:bookmarkStart w:id="417" w:name="_附件十六：措施项目清单计价表"/>
      <w:bookmarkEnd w:id="417"/>
      <w:bookmarkStart w:id="418" w:name="_Hlt87793582"/>
      <w:bookmarkEnd w:id="418"/>
      <w:bookmarkStart w:id="419" w:name="_Toc346"/>
      <w:bookmarkStart w:id="420" w:name="_Toc166"/>
      <w:bookmarkStart w:id="421" w:name="_Toc2067"/>
      <w:bookmarkStart w:id="422" w:name="_Toc9569"/>
      <w:bookmarkStart w:id="423" w:name="_Toc13122"/>
      <w:bookmarkStart w:id="424" w:name="_Toc13722"/>
      <w:bookmarkStart w:id="425" w:name="_Toc133160683"/>
      <w:bookmarkStart w:id="426" w:name="_Toc132687128"/>
      <w:bookmarkStart w:id="427" w:name="_Toc137444778"/>
      <w:bookmarkStart w:id="428" w:name="_Toc142468134"/>
      <w:bookmarkStart w:id="429" w:name="_Toc133815902"/>
      <w:bookmarkStart w:id="430" w:name="_Toc78794873"/>
      <w:r>
        <w:rPr>
          <w:rFonts w:hint="eastAsia" w:ascii="宋体" w:hAnsi="宋体" w:eastAsia="宋体" w:cs="宋体"/>
          <w:color w:val="auto"/>
          <w:highlight w:val="none"/>
        </w:rPr>
        <w:t>格式十</w:t>
      </w:r>
      <w:r>
        <w:rPr>
          <w:rFonts w:hint="eastAsia" w:cs="宋体"/>
          <w:color w:val="auto"/>
          <w:highlight w:val="none"/>
          <w:lang w:val="en-US" w:eastAsia="zh-CN"/>
        </w:rPr>
        <w:t>三</w:t>
      </w:r>
      <w:r>
        <w:rPr>
          <w:rFonts w:hint="eastAsia" w:ascii="宋体" w:hAnsi="宋体" w:eastAsia="宋体" w:cs="宋体"/>
          <w:color w:val="auto"/>
          <w:highlight w:val="none"/>
        </w:rPr>
        <w:t xml:space="preserve"> 原件一览表</w:t>
      </w:r>
      <w:bookmarkEnd w:id="419"/>
      <w:bookmarkEnd w:id="420"/>
      <w:bookmarkEnd w:id="421"/>
      <w:bookmarkEnd w:id="422"/>
      <w:bookmarkEnd w:id="423"/>
    </w:p>
    <w:p w14:paraId="645F5D5E">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E92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14A9F771">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2F531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E40B3F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3F7F0E7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3A5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2754AE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2A72F90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10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F446CB0">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2B90C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1E6BECA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5BDEADC8">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0FEF295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2D8E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62F89B3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2D3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3FF2660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167BF1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6CD6EA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2A13401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2D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03C7501">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311CEB5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24DCAAE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78B53488">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7E5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6E79F71">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1BFB41A5">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106DC829">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20D5294C">
            <w:pPr>
              <w:jc w:val="center"/>
              <w:rPr>
                <w:rFonts w:hint="eastAsia" w:ascii="宋体" w:hAnsi="宋体" w:eastAsia="宋体" w:cs="宋体"/>
                <w:color w:val="auto"/>
                <w:highlight w:val="none"/>
              </w:rPr>
            </w:pPr>
          </w:p>
        </w:tc>
      </w:tr>
      <w:tr w14:paraId="0C36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3EAD503">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1D11D113">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1D78B8B">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AD39EF">
            <w:pPr>
              <w:jc w:val="center"/>
              <w:rPr>
                <w:rFonts w:hint="eastAsia" w:ascii="宋体" w:hAnsi="宋体" w:eastAsia="宋体" w:cs="宋体"/>
                <w:color w:val="auto"/>
                <w:highlight w:val="none"/>
              </w:rPr>
            </w:pPr>
          </w:p>
        </w:tc>
      </w:tr>
      <w:tr w14:paraId="2C09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17EB54C">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654B0238">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EB68808">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D29427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3FE0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89FBE05">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6F5C622C">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774D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CB493D2">
            <w:pPr>
              <w:jc w:val="center"/>
              <w:rPr>
                <w:rFonts w:hint="eastAsia" w:ascii="宋体" w:hAnsi="宋体" w:eastAsia="宋体" w:cs="宋体"/>
                <w:color w:val="auto"/>
                <w:sz w:val="20"/>
                <w:highlight w:val="none"/>
              </w:rPr>
            </w:pPr>
          </w:p>
          <w:p w14:paraId="6C89B9C5">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54095991">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7CD18C09">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0541507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1F2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4838447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42B78397">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A7431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32367ABE">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40433DE2">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78C404A">
      <w:pPr>
        <w:pStyle w:val="3"/>
        <w:wordWrap w:val="0"/>
        <w:autoSpaceDE/>
        <w:autoSpaceDN/>
        <w:snapToGrid w:val="0"/>
        <w:spacing w:line="440" w:lineRule="exact"/>
        <w:jc w:val="center"/>
        <w:outlineLvl w:val="0"/>
        <w:rPr>
          <w:rFonts w:hint="eastAsia" w:ascii="宋体" w:hAnsi="宋体" w:eastAsia="宋体" w:cs="宋体"/>
          <w:b/>
          <w:snapToGrid w:val="0"/>
          <w:color w:val="auto"/>
          <w:sz w:val="24"/>
          <w:highlight w:val="none"/>
        </w:rPr>
      </w:pPr>
      <w:bookmarkStart w:id="431" w:name="_Toc13959"/>
      <w:bookmarkStart w:id="432" w:name="_Toc32652"/>
      <w:bookmarkStart w:id="433" w:name="_Toc17586"/>
      <w:r>
        <w:rPr>
          <w:rFonts w:hint="eastAsia" w:ascii="宋体" w:hAnsi="宋体" w:eastAsia="宋体" w:cs="宋体"/>
          <w:b/>
          <w:snapToGrid w:val="0"/>
          <w:color w:val="auto"/>
          <w:sz w:val="24"/>
          <w:highlight w:val="none"/>
        </w:rPr>
        <w:t>第七章 建设工程施工合同</w:t>
      </w:r>
      <w:bookmarkEnd w:id="424"/>
      <w:bookmarkEnd w:id="425"/>
      <w:bookmarkEnd w:id="426"/>
      <w:bookmarkEnd w:id="427"/>
      <w:bookmarkEnd w:id="428"/>
      <w:bookmarkEnd w:id="431"/>
      <w:bookmarkEnd w:id="432"/>
      <w:bookmarkEnd w:id="433"/>
    </w:p>
    <w:p w14:paraId="51080A72">
      <w:pPr>
        <w:wordWrap w:val="0"/>
        <w:adjustRightInd w:val="0"/>
        <w:snapToGrid w:val="0"/>
        <w:spacing w:line="440" w:lineRule="exact"/>
        <w:rPr>
          <w:rFonts w:hint="eastAsia" w:ascii="宋体" w:hAnsi="宋体" w:eastAsia="宋体" w:cs="宋体"/>
          <w:snapToGrid w:val="0"/>
          <w:color w:val="auto"/>
          <w:kern w:val="0"/>
          <w:highlight w:val="none"/>
        </w:rPr>
      </w:pPr>
    </w:p>
    <w:p w14:paraId="3EFD8CE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429"/>
      <w:bookmarkEnd w:id="430"/>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3B9A">
    <w:pPr>
      <w:pStyle w:val="19"/>
      <w:rPr>
        <w:rStyle w:val="149"/>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9B6CF">
                          <w:pPr>
                            <w:pStyle w:val="19"/>
                            <w:rPr>
                              <w:rStyle w:val="149"/>
                            </w:rPr>
                          </w:pPr>
                        </w:p>
                        <w:p w14:paraId="00A60898">
                          <w:pPr>
                            <w:rPr>
                              <w:rStyle w:val="149"/>
                              <w:rFonts w:cs="Times New Roman"/>
                            </w:rPr>
                          </w:pPr>
                        </w:p>
                      </w:txbxContent>
                    </wps:txbx>
                    <wps:bodyPr lIns="0" tIns="0" rIns="0" bIns="0" upright="1"/>
                  </wps:wsp>
                </a:graphicData>
              </a:graphic>
            </wp:anchor>
          </w:drawing>
        </mc:Choice>
        <mc:Fallback>
          <w:pict>
            <v:shape id="_x0000_s1026"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k9kDS&#10;AAAABQEAAA8AAAAAAAAAAQAgAAAAIgAAAGRycy9kb3ducmV2LnhtbFBLAQIUABQAAAAIAIdO4kCw&#10;j6R1tAEAAHMDAAAOAAAAAAAAAAEAIAAAACEBAABkcnMvZTJvRG9jLnhtbFBLBQYAAAAABgAGAFkB&#10;AABHBQAAAAA=&#10;">
              <v:fill on="f" focussize="0,0"/>
              <v:stroke on="f"/>
              <v:imagedata o:title=""/>
              <o:lock v:ext="edit" aspectratio="f"/>
              <v:textbox inset="0mm,0mm,0mm,0mm">
                <w:txbxContent>
                  <w:p w14:paraId="1709B6CF">
                    <w:pPr>
                      <w:pStyle w:val="19"/>
                      <w:rPr>
                        <w:rStyle w:val="149"/>
                      </w:rPr>
                    </w:pPr>
                  </w:p>
                  <w:p w14:paraId="00A60898">
                    <w:pPr>
                      <w:rPr>
                        <w:rStyle w:val="149"/>
                        <w:rFonts w:cs="Times New Roma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0F51">
    <w:pPr>
      <w:pStyle w:val="19"/>
      <w:pBdr>
        <w:between w:val="none" w:color="auto" w:sz="0" w:space="0"/>
      </w:pBdr>
      <w:rPr>
        <w:rFonts w:hint="eastAsia"/>
      </w:rPr>
    </w:pPr>
  </w:p>
  <w:p w14:paraId="28995CB3">
    <w:pPr>
      <w:pStyle w:val="19"/>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9881">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1017F0EF">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6B080"/>
    <w:multiLevelType w:val="singleLevel"/>
    <w:tmpl w:val="C0F6B080"/>
    <w:lvl w:ilvl="0" w:tentative="0">
      <w:start w:val="4"/>
      <w:numFmt w:val="decimal"/>
      <w:suff w:val="nothing"/>
      <w:lvlText w:val="（%1）"/>
      <w:lvlJc w:val="left"/>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473934C1"/>
    <w:multiLevelType w:val="singleLevel"/>
    <w:tmpl w:val="473934C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xZjI4ZTA4OTk1N2RmYTJhYmYzMGIzYWVhN2I4YmE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7023"/>
    <w:rsid w:val="009F585C"/>
    <w:rsid w:val="00A010BF"/>
    <w:rsid w:val="00B13186"/>
    <w:rsid w:val="00C4516D"/>
    <w:rsid w:val="00D362DE"/>
    <w:rsid w:val="00D5717A"/>
    <w:rsid w:val="00EF0496"/>
    <w:rsid w:val="00FA5C08"/>
    <w:rsid w:val="01065CF6"/>
    <w:rsid w:val="011A0428"/>
    <w:rsid w:val="011F3697"/>
    <w:rsid w:val="01635D69"/>
    <w:rsid w:val="0181533C"/>
    <w:rsid w:val="0199130B"/>
    <w:rsid w:val="01C202D7"/>
    <w:rsid w:val="01D953BA"/>
    <w:rsid w:val="021717B9"/>
    <w:rsid w:val="02301FCF"/>
    <w:rsid w:val="02663C42"/>
    <w:rsid w:val="02785AA3"/>
    <w:rsid w:val="02D658DF"/>
    <w:rsid w:val="02F91D73"/>
    <w:rsid w:val="030B7344"/>
    <w:rsid w:val="03232EAE"/>
    <w:rsid w:val="03315C3D"/>
    <w:rsid w:val="034C6D1C"/>
    <w:rsid w:val="035B58E7"/>
    <w:rsid w:val="03D006DB"/>
    <w:rsid w:val="03E017D2"/>
    <w:rsid w:val="04061CFF"/>
    <w:rsid w:val="040F20B8"/>
    <w:rsid w:val="041025A8"/>
    <w:rsid w:val="04697A1A"/>
    <w:rsid w:val="046E39E4"/>
    <w:rsid w:val="047274EA"/>
    <w:rsid w:val="0482615E"/>
    <w:rsid w:val="04AE73E4"/>
    <w:rsid w:val="05533E9B"/>
    <w:rsid w:val="05717EE4"/>
    <w:rsid w:val="057E6B27"/>
    <w:rsid w:val="05972365"/>
    <w:rsid w:val="05C018BB"/>
    <w:rsid w:val="05D178C9"/>
    <w:rsid w:val="065C6C4B"/>
    <w:rsid w:val="069A3EBB"/>
    <w:rsid w:val="06C32529"/>
    <w:rsid w:val="06C4753C"/>
    <w:rsid w:val="06D849E3"/>
    <w:rsid w:val="06DA08AB"/>
    <w:rsid w:val="06FD1328"/>
    <w:rsid w:val="07031B00"/>
    <w:rsid w:val="070B4DB8"/>
    <w:rsid w:val="072C105E"/>
    <w:rsid w:val="07311844"/>
    <w:rsid w:val="0732071C"/>
    <w:rsid w:val="073B0D7B"/>
    <w:rsid w:val="07480F54"/>
    <w:rsid w:val="07581E28"/>
    <w:rsid w:val="07982AEC"/>
    <w:rsid w:val="07D62FDE"/>
    <w:rsid w:val="07E32B27"/>
    <w:rsid w:val="07E603B9"/>
    <w:rsid w:val="082A5712"/>
    <w:rsid w:val="08472853"/>
    <w:rsid w:val="0878647D"/>
    <w:rsid w:val="08A6215D"/>
    <w:rsid w:val="08DB54AE"/>
    <w:rsid w:val="08E92ED7"/>
    <w:rsid w:val="08F063EC"/>
    <w:rsid w:val="09573962"/>
    <w:rsid w:val="0957416C"/>
    <w:rsid w:val="09AA019F"/>
    <w:rsid w:val="09AF2373"/>
    <w:rsid w:val="09B63701"/>
    <w:rsid w:val="09C65540"/>
    <w:rsid w:val="09CE23B5"/>
    <w:rsid w:val="0A0A7E5D"/>
    <w:rsid w:val="0A252635"/>
    <w:rsid w:val="0A2A64BE"/>
    <w:rsid w:val="0A345888"/>
    <w:rsid w:val="0A5D1DCF"/>
    <w:rsid w:val="0A636CB9"/>
    <w:rsid w:val="0A860745"/>
    <w:rsid w:val="0ACF0C60"/>
    <w:rsid w:val="0ADD2F10"/>
    <w:rsid w:val="0B112BB9"/>
    <w:rsid w:val="0B1A7CC0"/>
    <w:rsid w:val="0B337C85"/>
    <w:rsid w:val="0B3F61A8"/>
    <w:rsid w:val="0B472137"/>
    <w:rsid w:val="0B4B1C27"/>
    <w:rsid w:val="0B7A3F1D"/>
    <w:rsid w:val="0B9D0C4F"/>
    <w:rsid w:val="0BAF665A"/>
    <w:rsid w:val="0BB9535D"/>
    <w:rsid w:val="0BE64476"/>
    <w:rsid w:val="0C1E0271"/>
    <w:rsid w:val="0C264F0A"/>
    <w:rsid w:val="0C473915"/>
    <w:rsid w:val="0C50326D"/>
    <w:rsid w:val="0C5965C6"/>
    <w:rsid w:val="0C7136AA"/>
    <w:rsid w:val="0C982D80"/>
    <w:rsid w:val="0CB67574"/>
    <w:rsid w:val="0CE56967"/>
    <w:rsid w:val="0D0F6376"/>
    <w:rsid w:val="0D161723"/>
    <w:rsid w:val="0D327E10"/>
    <w:rsid w:val="0D366D45"/>
    <w:rsid w:val="0D4232B6"/>
    <w:rsid w:val="0D466B4A"/>
    <w:rsid w:val="0D4B4161"/>
    <w:rsid w:val="0DB066B9"/>
    <w:rsid w:val="0E1919B2"/>
    <w:rsid w:val="0E1C3D4F"/>
    <w:rsid w:val="0F2C6214"/>
    <w:rsid w:val="0F3D21CF"/>
    <w:rsid w:val="0F427539"/>
    <w:rsid w:val="0F4A0448"/>
    <w:rsid w:val="0F601A19"/>
    <w:rsid w:val="0F8B63BB"/>
    <w:rsid w:val="0FA062BA"/>
    <w:rsid w:val="0FB5646C"/>
    <w:rsid w:val="0FFE760A"/>
    <w:rsid w:val="10005765"/>
    <w:rsid w:val="10162E29"/>
    <w:rsid w:val="101B48E8"/>
    <w:rsid w:val="102739F7"/>
    <w:rsid w:val="10336C65"/>
    <w:rsid w:val="10C42F37"/>
    <w:rsid w:val="10DF5DAE"/>
    <w:rsid w:val="10E70644"/>
    <w:rsid w:val="11024F3F"/>
    <w:rsid w:val="114C494B"/>
    <w:rsid w:val="11604BF4"/>
    <w:rsid w:val="11934328"/>
    <w:rsid w:val="1226519C"/>
    <w:rsid w:val="123635C4"/>
    <w:rsid w:val="124226EB"/>
    <w:rsid w:val="12602B06"/>
    <w:rsid w:val="126076A6"/>
    <w:rsid w:val="12655CC4"/>
    <w:rsid w:val="127E53C9"/>
    <w:rsid w:val="12A460C1"/>
    <w:rsid w:val="12A80195"/>
    <w:rsid w:val="12BE5C55"/>
    <w:rsid w:val="12C12CBB"/>
    <w:rsid w:val="12C63230"/>
    <w:rsid w:val="12CA3D79"/>
    <w:rsid w:val="12DF0227"/>
    <w:rsid w:val="12E806A4"/>
    <w:rsid w:val="131A65DB"/>
    <w:rsid w:val="132316DC"/>
    <w:rsid w:val="135F0966"/>
    <w:rsid w:val="13692294"/>
    <w:rsid w:val="136A730B"/>
    <w:rsid w:val="136C01EA"/>
    <w:rsid w:val="138B03FE"/>
    <w:rsid w:val="13B21BCB"/>
    <w:rsid w:val="1432607A"/>
    <w:rsid w:val="14476164"/>
    <w:rsid w:val="144D1B4E"/>
    <w:rsid w:val="145B631F"/>
    <w:rsid w:val="14841E8E"/>
    <w:rsid w:val="149D77CF"/>
    <w:rsid w:val="15233C15"/>
    <w:rsid w:val="153C6A85"/>
    <w:rsid w:val="153E45AB"/>
    <w:rsid w:val="158C61F8"/>
    <w:rsid w:val="15B42ABF"/>
    <w:rsid w:val="15BD7BC5"/>
    <w:rsid w:val="15C12761"/>
    <w:rsid w:val="15F555B1"/>
    <w:rsid w:val="160F6D81"/>
    <w:rsid w:val="162B0E39"/>
    <w:rsid w:val="163E52CD"/>
    <w:rsid w:val="16465E0D"/>
    <w:rsid w:val="1663076D"/>
    <w:rsid w:val="16825090"/>
    <w:rsid w:val="16DD6444"/>
    <w:rsid w:val="16F17BE3"/>
    <w:rsid w:val="17075B7B"/>
    <w:rsid w:val="172D48D7"/>
    <w:rsid w:val="173A24A9"/>
    <w:rsid w:val="1751770F"/>
    <w:rsid w:val="175579C2"/>
    <w:rsid w:val="17571954"/>
    <w:rsid w:val="1759391E"/>
    <w:rsid w:val="17B95607"/>
    <w:rsid w:val="182757CA"/>
    <w:rsid w:val="183A356E"/>
    <w:rsid w:val="183C2959"/>
    <w:rsid w:val="184719C8"/>
    <w:rsid w:val="185222E5"/>
    <w:rsid w:val="18534570"/>
    <w:rsid w:val="18573D3F"/>
    <w:rsid w:val="18904496"/>
    <w:rsid w:val="18A312F5"/>
    <w:rsid w:val="18C36995"/>
    <w:rsid w:val="18ED431E"/>
    <w:rsid w:val="18FF1058"/>
    <w:rsid w:val="1986632D"/>
    <w:rsid w:val="19925B38"/>
    <w:rsid w:val="19BC380D"/>
    <w:rsid w:val="19C37774"/>
    <w:rsid w:val="1A232E93"/>
    <w:rsid w:val="1A7F18ED"/>
    <w:rsid w:val="1AE16F05"/>
    <w:rsid w:val="1AF5570C"/>
    <w:rsid w:val="1B032EF5"/>
    <w:rsid w:val="1B21189C"/>
    <w:rsid w:val="1B6C00C4"/>
    <w:rsid w:val="1B9D1DD5"/>
    <w:rsid w:val="1BBB2581"/>
    <w:rsid w:val="1BC83FED"/>
    <w:rsid w:val="1BF06998"/>
    <w:rsid w:val="1C144BAB"/>
    <w:rsid w:val="1C503013"/>
    <w:rsid w:val="1C5635D6"/>
    <w:rsid w:val="1C744DB0"/>
    <w:rsid w:val="1C7562B0"/>
    <w:rsid w:val="1C7F7983"/>
    <w:rsid w:val="1CB923BD"/>
    <w:rsid w:val="1D0B71EA"/>
    <w:rsid w:val="1D141CAC"/>
    <w:rsid w:val="1D2379BF"/>
    <w:rsid w:val="1D55171C"/>
    <w:rsid w:val="1D69459E"/>
    <w:rsid w:val="1D6E17A5"/>
    <w:rsid w:val="1D742D80"/>
    <w:rsid w:val="1D85546D"/>
    <w:rsid w:val="1DE1641B"/>
    <w:rsid w:val="1DE81558"/>
    <w:rsid w:val="1DF554A1"/>
    <w:rsid w:val="1E3C465E"/>
    <w:rsid w:val="1EBC5680"/>
    <w:rsid w:val="1ECB21F4"/>
    <w:rsid w:val="1EE74EE5"/>
    <w:rsid w:val="1EF1268E"/>
    <w:rsid w:val="1F170346"/>
    <w:rsid w:val="1F26151A"/>
    <w:rsid w:val="1F51312D"/>
    <w:rsid w:val="1F6F04E9"/>
    <w:rsid w:val="1F8F29A7"/>
    <w:rsid w:val="1FD6481A"/>
    <w:rsid w:val="1FDA10C4"/>
    <w:rsid w:val="1FE81CE3"/>
    <w:rsid w:val="201168B8"/>
    <w:rsid w:val="2036210F"/>
    <w:rsid w:val="206802DA"/>
    <w:rsid w:val="20713F99"/>
    <w:rsid w:val="207B66B3"/>
    <w:rsid w:val="209573DA"/>
    <w:rsid w:val="20971013"/>
    <w:rsid w:val="209B4FA7"/>
    <w:rsid w:val="20D564EE"/>
    <w:rsid w:val="2101752F"/>
    <w:rsid w:val="21224762"/>
    <w:rsid w:val="21432ED9"/>
    <w:rsid w:val="218A22F4"/>
    <w:rsid w:val="218D0B38"/>
    <w:rsid w:val="2192066D"/>
    <w:rsid w:val="219569C3"/>
    <w:rsid w:val="21D7200F"/>
    <w:rsid w:val="21DB149C"/>
    <w:rsid w:val="224A18E5"/>
    <w:rsid w:val="2259234A"/>
    <w:rsid w:val="226C0772"/>
    <w:rsid w:val="227E0643"/>
    <w:rsid w:val="229B15E4"/>
    <w:rsid w:val="2309444A"/>
    <w:rsid w:val="23290648"/>
    <w:rsid w:val="23381CEE"/>
    <w:rsid w:val="236911C5"/>
    <w:rsid w:val="23713D9D"/>
    <w:rsid w:val="2378512C"/>
    <w:rsid w:val="23E9602A"/>
    <w:rsid w:val="23F351B5"/>
    <w:rsid w:val="23F437C8"/>
    <w:rsid w:val="23FD1838"/>
    <w:rsid w:val="24132B71"/>
    <w:rsid w:val="24962A42"/>
    <w:rsid w:val="249720B1"/>
    <w:rsid w:val="24B665CA"/>
    <w:rsid w:val="24BA4892"/>
    <w:rsid w:val="24D35DF1"/>
    <w:rsid w:val="24EF141E"/>
    <w:rsid w:val="250939EB"/>
    <w:rsid w:val="25236495"/>
    <w:rsid w:val="253A33DC"/>
    <w:rsid w:val="25706625"/>
    <w:rsid w:val="25C04D26"/>
    <w:rsid w:val="25C723D3"/>
    <w:rsid w:val="25CD411B"/>
    <w:rsid w:val="25E76620"/>
    <w:rsid w:val="260B2287"/>
    <w:rsid w:val="260F65E4"/>
    <w:rsid w:val="26526878"/>
    <w:rsid w:val="26730090"/>
    <w:rsid w:val="26A56238"/>
    <w:rsid w:val="26D43BC6"/>
    <w:rsid w:val="26DC6022"/>
    <w:rsid w:val="27001050"/>
    <w:rsid w:val="27303202"/>
    <w:rsid w:val="27773922"/>
    <w:rsid w:val="278E4E50"/>
    <w:rsid w:val="27AC55CA"/>
    <w:rsid w:val="280653FC"/>
    <w:rsid w:val="28096C9A"/>
    <w:rsid w:val="28432048"/>
    <w:rsid w:val="285839B5"/>
    <w:rsid w:val="28650375"/>
    <w:rsid w:val="286E29AA"/>
    <w:rsid w:val="286F11F3"/>
    <w:rsid w:val="28827CF6"/>
    <w:rsid w:val="28BE4088"/>
    <w:rsid w:val="29077ED0"/>
    <w:rsid w:val="29135C0E"/>
    <w:rsid w:val="292024ED"/>
    <w:rsid w:val="29421D31"/>
    <w:rsid w:val="299F64A8"/>
    <w:rsid w:val="29AC5B2F"/>
    <w:rsid w:val="2A194AF5"/>
    <w:rsid w:val="2A1C2CB5"/>
    <w:rsid w:val="2A251746"/>
    <w:rsid w:val="2A333AC3"/>
    <w:rsid w:val="2A5E73EC"/>
    <w:rsid w:val="2AAF1D7B"/>
    <w:rsid w:val="2AC27A05"/>
    <w:rsid w:val="2AE934B9"/>
    <w:rsid w:val="2B19227F"/>
    <w:rsid w:val="2B32649C"/>
    <w:rsid w:val="2B4166E9"/>
    <w:rsid w:val="2B7933F9"/>
    <w:rsid w:val="2B893EC9"/>
    <w:rsid w:val="2BDD46C6"/>
    <w:rsid w:val="2BE47802"/>
    <w:rsid w:val="2BFE4F67"/>
    <w:rsid w:val="2C0B1A81"/>
    <w:rsid w:val="2C183670"/>
    <w:rsid w:val="2C290723"/>
    <w:rsid w:val="2C407BBE"/>
    <w:rsid w:val="2C4D3FF3"/>
    <w:rsid w:val="2C4F416E"/>
    <w:rsid w:val="2C4F43C7"/>
    <w:rsid w:val="2C724190"/>
    <w:rsid w:val="2CA62D0A"/>
    <w:rsid w:val="2CC64125"/>
    <w:rsid w:val="2D144117"/>
    <w:rsid w:val="2D38581D"/>
    <w:rsid w:val="2D51162C"/>
    <w:rsid w:val="2D973D96"/>
    <w:rsid w:val="2DAD3E66"/>
    <w:rsid w:val="2DF51B3E"/>
    <w:rsid w:val="2E1D2B43"/>
    <w:rsid w:val="2E204C18"/>
    <w:rsid w:val="2E293BF2"/>
    <w:rsid w:val="2ECE782D"/>
    <w:rsid w:val="2EF0545D"/>
    <w:rsid w:val="2EFB3353"/>
    <w:rsid w:val="2EFE0BDB"/>
    <w:rsid w:val="2F177EEF"/>
    <w:rsid w:val="2F277E16"/>
    <w:rsid w:val="2F2F348A"/>
    <w:rsid w:val="2F3C5BA7"/>
    <w:rsid w:val="2F3E191F"/>
    <w:rsid w:val="2F875074"/>
    <w:rsid w:val="2FA32702"/>
    <w:rsid w:val="2FA75D92"/>
    <w:rsid w:val="2FDA63FB"/>
    <w:rsid w:val="3018665F"/>
    <w:rsid w:val="301F2021"/>
    <w:rsid w:val="303074BA"/>
    <w:rsid w:val="30322A82"/>
    <w:rsid w:val="30426838"/>
    <w:rsid w:val="305040E1"/>
    <w:rsid w:val="305A2B4D"/>
    <w:rsid w:val="307D4226"/>
    <w:rsid w:val="30B30AAC"/>
    <w:rsid w:val="30B337A6"/>
    <w:rsid w:val="30C222D2"/>
    <w:rsid w:val="30CE282F"/>
    <w:rsid w:val="30EB33E1"/>
    <w:rsid w:val="311F308B"/>
    <w:rsid w:val="31210BB1"/>
    <w:rsid w:val="314F08CF"/>
    <w:rsid w:val="31853836"/>
    <w:rsid w:val="31AA6503"/>
    <w:rsid w:val="31BD2665"/>
    <w:rsid w:val="31C14142"/>
    <w:rsid w:val="31D51879"/>
    <w:rsid w:val="32B53CA7"/>
    <w:rsid w:val="32BE2779"/>
    <w:rsid w:val="32D305D1"/>
    <w:rsid w:val="33182487"/>
    <w:rsid w:val="331A2663"/>
    <w:rsid w:val="33377574"/>
    <w:rsid w:val="33557238"/>
    <w:rsid w:val="33F155FE"/>
    <w:rsid w:val="34117689"/>
    <w:rsid w:val="342C1BED"/>
    <w:rsid w:val="34437F20"/>
    <w:rsid w:val="3470753C"/>
    <w:rsid w:val="348E0C53"/>
    <w:rsid w:val="34DB714D"/>
    <w:rsid w:val="34DD1293"/>
    <w:rsid w:val="35531DB4"/>
    <w:rsid w:val="35541CA4"/>
    <w:rsid w:val="3555332D"/>
    <w:rsid w:val="35586B6B"/>
    <w:rsid w:val="35653005"/>
    <w:rsid w:val="357C5725"/>
    <w:rsid w:val="35A7502C"/>
    <w:rsid w:val="35EA0C71"/>
    <w:rsid w:val="35F15BE6"/>
    <w:rsid w:val="360A3E4F"/>
    <w:rsid w:val="36211653"/>
    <w:rsid w:val="362700CC"/>
    <w:rsid w:val="363B7262"/>
    <w:rsid w:val="36436AD9"/>
    <w:rsid w:val="365B7948"/>
    <w:rsid w:val="368A620A"/>
    <w:rsid w:val="36920E7F"/>
    <w:rsid w:val="36992530"/>
    <w:rsid w:val="369F1D0C"/>
    <w:rsid w:val="36AC716F"/>
    <w:rsid w:val="36D33548"/>
    <w:rsid w:val="36F80606"/>
    <w:rsid w:val="36FE3E1F"/>
    <w:rsid w:val="37307DA0"/>
    <w:rsid w:val="37935F95"/>
    <w:rsid w:val="37BF7375"/>
    <w:rsid w:val="37EA7BDA"/>
    <w:rsid w:val="37F06B06"/>
    <w:rsid w:val="383D25F2"/>
    <w:rsid w:val="38555535"/>
    <w:rsid w:val="38763474"/>
    <w:rsid w:val="387C0DC3"/>
    <w:rsid w:val="387E2D8D"/>
    <w:rsid w:val="389B38FE"/>
    <w:rsid w:val="38EE5BAC"/>
    <w:rsid w:val="3905525C"/>
    <w:rsid w:val="39143A18"/>
    <w:rsid w:val="39777E72"/>
    <w:rsid w:val="397D1296"/>
    <w:rsid w:val="398B779E"/>
    <w:rsid w:val="398C62F9"/>
    <w:rsid w:val="39DF5703"/>
    <w:rsid w:val="3A005EB0"/>
    <w:rsid w:val="3A096720"/>
    <w:rsid w:val="3A317B94"/>
    <w:rsid w:val="3A38094F"/>
    <w:rsid w:val="3A385253"/>
    <w:rsid w:val="3A7E4BE0"/>
    <w:rsid w:val="3A802DEC"/>
    <w:rsid w:val="3B0D7690"/>
    <w:rsid w:val="3B5A482F"/>
    <w:rsid w:val="3BB50377"/>
    <w:rsid w:val="3C4147FD"/>
    <w:rsid w:val="3C501C16"/>
    <w:rsid w:val="3C6B3628"/>
    <w:rsid w:val="3C890B1C"/>
    <w:rsid w:val="3CCD7E3F"/>
    <w:rsid w:val="3CDC0368"/>
    <w:rsid w:val="3CE82F45"/>
    <w:rsid w:val="3CF27EE4"/>
    <w:rsid w:val="3D142020"/>
    <w:rsid w:val="3D335711"/>
    <w:rsid w:val="3D4225DB"/>
    <w:rsid w:val="3D90085D"/>
    <w:rsid w:val="3DA821F1"/>
    <w:rsid w:val="3DC36B91"/>
    <w:rsid w:val="3DE93F38"/>
    <w:rsid w:val="3DEF40F9"/>
    <w:rsid w:val="3DFA3EDF"/>
    <w:rsid w:val="3E3642DC"/>
    <w:rsid w:val="3E467EA9"/>
    <w:rsid w:val="3E572E3F"/>
    <w:rsid w:val="3E94568C"/>
    <w:rsid w:val="3EBF7C5B"/>
    <w:rsid w:val="3EDF240D"/>
    <w:rsid w:val="3EF77497"/>
    <w:rsid w:val="3F0634CE"/>
    <w:rsid w:val="3F096C80"/>
    <w:rsid w:val="3F0C4688"/>
    <w:rsid w:val="3F300ECA"/>
    <w:rsid w:val="3F47212A"/>
    <w:rsid w:val="3F8073EA"/>
    <w:rsid w:val="3FBB5D0C"/>
    <w:rsid w:val="3FC61702"/>
    <w:rsid w:val="3FF16A34"/>
    <w:rsid w:val="3FF83425"/>
    <w:rsid w:val="40072262"/>
    <w:rsid w:val="40876255"/>
    <w:rsid w:val="41226DFB"/>
    <w:rsid w:val="414836DE"/>
    <w:rsid w:val="416C551D"/>
    <w:rsid w:val="417C1E33"/>
    <w:rsid w:val="41EC0D67"/>
    <w:rsid w:val="42240113"/>
    <w:rsid w:val="42783DA7"/>
    <w:rsid w:val="42B526FB"/>
    <w:rsid w:val="42DE3A88"/>
    <w:rsid w:val="42E020F1"/>
    <w:rsid w:val="42E20F33"/>
    <w:rsid w:val="43145082"/>
    <w:rsid w:val="43212026"/>
    <w:rsid w:val="432F1B40"/>
    <w:rsid w:val="435A387A"/>
    <w:rsid w:val="438A0837"/>
    <w:rsid w:val="438F4B21"/>
    <w:rsid w:val="43C33D49"/>
    <w:rsid w:val="44250560"/>
    <w:rsid w:val="4439334D"/>
    <w:rsid w:val="445E35D2"/>
    <w:rsid w:val="44692B43"/>
    <w:rsid w:val="4484172B"/>
    <w:rsid w:val="44A818BD"/>
    <w:rsid w:val="44C90CE4"/>
    <w:rsid w:val="44DC32FD"/>
    <w:rsid w:val="44F3240C"/>
    <w:rsid w:val="44FC39B7"/>
    <w:rsid w:val="450A0C5F"/>
    <w:rsid w:val="45307B43"/>
    <w:rsid w:val="454E4597"/>
    <w:rsid w:val="458B507A"/>
    <w:rsid w:val="459567E7"/>
    <w:rsid w:val="45B25DBF"/>
    <w:rsid w:val="45CE4402"/>
    <w:rsid w:val="45D16987"/>
    <w:rsid w:val="45ED3300"/>
    <w:rsid w:val="460755B7"/>
    <w:rsid w:val="461701A9"/>
    <w:rsid w:val="462C48A5"/>
    <w:rsid w:val="4666543F"/>
    <w:rsid w:val="466D1209"/>
    <w:rsid w:val="468F6303"/>
    <w:rsid w:val="46A3216A"/>
    <w:rsid w:val="46B20A58"/>
    <w:rsid w:val="46C4592F"/>
    <w:rsid w:val="46E464B1"/>
    <w:rsid w:val="46EF144C"/>
    <w:rsid w:val="46F7608A"/>
    <w:rsid w:val="4759106A"/>
    <w:rsid w:val="47685334"/>
    <w:rsid w:val="47721D0E"/>
    <w:rsid w:val="477D10DD"/>
    <w:rsid w:val="47A619B8"/>
    <w:rsid w:val="47D51828"/>
    <w:rsid w:val="47F0713F"/>
    <w:rsid w:val="48575BD9"/>
    <w:rsid w:val="488A6D8F"/>
    <w:rsid w:val="48CC6C2A"/>
    <w:rsid w:val="48CF1926"/>
    <w:rsid w:val="48D26E94"/>
    <w:rsid w:val="48D507A7"/>
    <w:rsid w:val="48D93A13"/>
    <w:rsid w:val="48F602F7"/>
    <w:rsid w:val="490716F2"/>
    <w:rsid w:val="491F2342"/>
    <w:rsid w:val="49516671"/>
    <w:rsid w:val="496A35E8"/>
    <w:rsid w:val="497C2B27"/>
    <w:rsid w:val="49AF724A"/>
    <w:rsid w:val="49C449CF"/>
    <w:rsid w:val="49EA0D7A"/>
    <w:rsid w:val="49ED3E05"/>
    <w:rsid w:val="4A2C1F1B"/>
    <w:rsid w:val="4A2D0433"/>
    <w:rsid w:val="4A3B288C"/>
    <w:rsid w:val="4A49144C"/>
    <w:rsid w:val="4A927004"/>
    <w:rsid w:val="4AD17C6A"/>
    <w:rsid w:val="4ADD673C"/>
    <w:rsid w:val="4AFD42C5"/>
    <w:rsid w:val="4B294DDA"/>
    <w:rsid w:val="4B6776B0"/>
    <w:rsid w:val="4BAB19E0"/>
    <w:rsid w:val="4BBA100A"/>
    <w:rsid w:val="4BEC431A"/>
    <w:rsid w:val="4C0B1618"/>
    <w:rsid w:val="4C7D6B0F"/>
    <w:rsid w:val="4C8229F4"/>
    <w:rsid w:val="4C83676C"/>
    <w:rsid w:val="4CCA0782"/>
    <w:rsid w:val="4CF54FD3"/>
    <w:rsid w:val="4CFB6302"/>
    <w:rsid w:val="4D021D86"/>
    <w:rsid w:val="4D0D7455"/>
    <w:rsid w:val="4D4C4B2F"/>
    <w:rsid w:val="4D6D0D6D"/>
    <w:rsid w:val="4D9A3D6D"/>
    <w:rsid w:val="4DA30E74"/>
    <w:rsid w:val="4DE60D60"/>
    <w:rsid w:val="4DE906B8"/>
    <w:rsid w:val="4E034506"/>
    <w:rsid w:val="4E0D6749"/>
    <w:rsid w:val="4E6E44AF"/>
    <w:rsid w:val="4E9D3A56"/>
    <w:rsid w:val="4EA968C8"/>
    <w:rsid w:val="4ED06ACC"/>
    <w:rsid w:val="4EF11423"/>
    <w:rsid w:val="4F530677"/>
    <w:rsid w:val="4F90367A"/>
    <w:rsid w:val="4F9D61B1"/>
    <w:rsid w:val="4FD33566"/>
    <w:rsid w:val="500A476B"/>
    <w:rsid w:val="50154140"/>
    <w:rsid w:val="502A762A"/>
    <w:rsid w:val="5076449B"/>
    <w:rsid w:val="507C59AC"/>
    <w:rsid w:val="508B21F9"/>
    <w:rsid w:val="508C76D8"/>
    <w:rsid w:val="50F564C4"/>
    <w:rsid w:val="51096E67"/>
    <w:rsid w:val="511424B5"/>
    <w:rsid w:val="51405FD9"/>
    <w:rsid w:val="51413E72"/>
    <w:rsid w:val="5167777C"/>
    <w:rsid w:val="517A013D"/>
    <w:rsid w:val="51897E16"/>
    <w:rsid w:val="51E341EA"/>
    <w:rsid w:val="51EE072E"/>
    <w:rsid w:val="521F6F37"/>
    <w:rsid w:val="52293911"/>
    <w:rsid w:val="522E5C61"/>
    <w:rsid w:val="52831CC6"/>
    <w:rsid w:val="529F12A2"/>
    <w:rsid w:val="52BA16EA"/>
    <w:rsid w:val="52BF46A2"/>
    <w:rsid w:val="52DD4AA0"/>
    <w:rsid w:val="52F83A10"/>
    <w:rsid w:val="53334E5E"/>
    <w:rsid w:val="53414F13"/>
    <w:rsid w:val="537C59B1"/>
    <w:rsid w:val="53DB0E35"/>
    <w:rsid w:val="53FC2179"/>
    <w:rsid w:val="54DB6CF8"/>
    <w:rsid w:val="550860CF"/>
    <w:rsid w:val="553053B0"/>
    <w:rsid w:val="55700F04"/>
    <w:rsid w:val="55780E38"/>
    <w:rsid w:val="55843DEA"/>
    <w:rsid w:val="565572D8"/>
    <w:rsid w:val="56B87FEA"/>
    <w:rsid w:val="56E66275"/>
    <w:rsid w:val="57066FEA"/>
    <w:rsid w:val="57632AF2"/>
    <w:rsid w:val="576F39C9"/>
    <w:rsid w:val="577506D4"/>
    <w:rsid w:val="57AC2359"/>
    <w:rsid w:val="57B1418D"/>
    <w:rsid w:val="57C245EC"/>
    <w:rsid w:val="57D460CD"/>
    <w:rsid w:val="57DA16B0"/>
    <w:rsid w:val="586D09FC"/>
    <w:rsid w:val="587F6039"/>
    <w:rsid w:val="58FD62BE"/>
    <w:rsid w:val="59326E77"/>
    <w:rsid w:val="594C608F"/>
    <w:rsid w:val="59A63D9B"/>
    <w:rsid w:val="59BE7B1D"/>
    <w:rsid w:val="59CD3A40"/>
    <w:rsid w:val="59D61BA3"/>
    <w:rsid w:val="5A3B4D33"/>
    <w:rsid w:val="5A441CD8"/>
    <w:rsid w:val="5A56726E"/>
    <w:rsid w:val="5A92474A"/>
    <w:rsid w:val="5A9A7FEA"/>
    <w:rsid w:val="5AE64A95"/>
    <w:rsid w:val="5AFC1BC3"/>
    <w:rsid w:val="5B0647F0"/>
    <w:rsid w:val="5B370E4D"/>
    <w:rsid w:val="5B8272E2"/>
    <w:rsid w:val="5B9D1601"/>
    <w:rsid w:val="5BA1515F"/>
    <w:rsid w:val="5BCB5E61"/>
    <w:rsid w:val="5C3A7892"/>
    <w:rsid w:val="5C71213D"/>
    <w:rsid w:val="5C86208C"/>
    <w:rsid w:val="5C8A5924"/>
    <w:rsid w:val="5CBB2094"/>
    <w:rsid w:val="5CD361A8"/>
    <w:rsid w:val="5CE45E53"/>
    <w:rsid w:val="5CED5785"/>
    <w:rsid w:val="5D081B2B"/>
    <w:rsid w:val="5D1C0F36"/>
    <w:rsid w:val="5D3631D8"/>
    <w:rsid w:val="5D7E531B"/>
    <w:rsid w:val="5DB60FC4"/>
    <w:rsid w:val="5DC0337C"/>
    <w:rsid w:val="5DD354E7"/>
    <w:rsid w:val="5DDF1B27"/>
    <w:rsid w:val="5DFF4CA0"/>
    <w:rsid w:val="5E064456"/>
    <w:rsid w:val="5E162F9C"/>
    <w:rsid w:val="5E23390B"/>
    <w:rsid w:val="5E806055"/>
    <w:rsid w:val="5E814124"/>
    <w:rsid w:val="5E8C14B0"/>
    <w:rsid w:val="5E914D18"/>
    <w:rsid w:val="5EED74C4"/>
    <w:rsid w:val="5EFC720B"/>
    <w:rsid w:val="5F276DA9"/>
    <w:rsid w:val="5F456F62"/>
    <w:rsid w:val="5FA338FA"/>
    <w:rsid w:val="5FA36AB1"/>
    <w:rsid w:val="5FB971CA"/>
    <w:rsid w:val="5FBC7B73"/>
    <w:rsid w:val="5FDA7209"/>
    <w:rsid w:val="5FDF06DF"/>
    <w:rsid w:val="5FE7724F"/>
    <w:rsid w:val="5FEE3FDA"/>
    <w:rsid w:val="605631C0"/>
    <w:rsid w:val="60787F3E"/>
    <w:rsid w:val="608839CA"/>
    <w:rsid w:val="60C677C2"/>
    <w:rsid w:val="60EF5D26"/>
    <w:rsid w:val="60F63558"/>
    <w:rsid w:val="610417D1"/>
    <w:rsid w:val="610B3AC7"/>
    <w:rsid w:val="611936C7"/>
    <w:rsid w:val="61273712"/>
    <w:rsid w:val="614C3178"/>
    <w:rsid w:val="61810B92"/>
    <w:rsid w:val="61A134C4"/>
    <w:rsid w:val="61D2232C"/>
    <w:rsid w:val="61E41603"/>
    <w:rsid w:val="626E7E8B"/>
    <w:rsid w:val="62A0552A"/>
    <w:rsid w:val="62CF7BBD"/>
    <w:rsid w:val="62EF64B1"/>
    <w:rsid w:val="62EF7FF6"/>
    <w:rsid w:val="630B0F33"/>
    <w:rsid w:val="633839B4"/>
    <w:rsid w:val="633E389C"/>
    <w:rsid w:val="63531638"/>
    <w:rsid w:val="635C3B47"/>
    <w:rsid w:val="636812F3"/>
    <w:rsid w:val="63BB50B2"/>
    <w:rsid w:val="63C1694B"/>
    <w:rsid w:val="63F91396"/>
    <w:rsid w:val="640956AE"/>
    <w:rsid w:val="645760BC"/>
    <w:rsid w:val="647257A1"/>
    <w:rsid w:val="64737DAE"/>
    <w:rsid w:val="64770C25"/>
    <w:rsid w:val="64AF0B11"/>
    <w:rsid w:val="64BD6E23"/>
    <w:rsid w:val="64E9313E"/>
    <w:rsid w:val="64FE49C2"/>
    <w:rsid w:val="65136487"/>
    <w:rsid w:val="654523B9"/>
    <w:rsid w:val="65600071"/>
    <w:rsid w:val="658A5521"/>
    <w:rsid w:val="65B348B5"/>
    <w:rsid w:val="66136878"/>
    <w:rsid w:val="661E19B4"/>
    <w:rsid w:val="662D2233"/>
    <w:rsid w:val="662D3578"/>
    <w:rsid w:val="66594E7C"/>
    <w:rsid w:val="66717333"/>
    <w:rsid w:val="66990C0E"/>
    <w:rsid w:val="66C043ED"/>
    <w:rsid w:val="66C11F13"/>
    <w:rsid w:val="66CF34C1"/>
    <w:rsid w:val="66F127F8"/>
    <w:rsid w:val="670D43FE"/>
    <w:rsid w:val="674622CC"/>
    <w:rsid w:val="674F55EC"/>
    <w:rsid w:val="67553AAB"/>
    <w:rsid w:val="676A713E"/>
    <w:rsid w:val="676F0E01"/>
    <w:rsid w:val="67830574"/>
    <w:rsid w:val="67AD2497"/>
    <w:rsid w:val="67B176A0"/>
    <w:rsid w:val="67BA0E3C"/>
    <w:rsid w:val="67D31EFE"/>
    <w:rsid w:val="67DB2196"/>
    <w:rsid w:val="681D04F5"/>
    <w:rsid w:val="68667456"/>
    <w:rsid w:val="68A76E4E"/>
    <w:rsid w:val="68AA7AA8"/>
    <w:rsid w:val="68C33D20"/>
    <w:rsid w:val="68D300DD"/>
    <w:rsid w:val="68D97D4B"/>
    <w:rsid w:val="68F8079F"/>
    <w:rsid w:val="690A194F"/>
    <w:rsid w:val="69117181"/>
    <w:rsid w:val="6919541B"/>
    <w:rsid w:val="692C7B17"/>
    <w:rsid w:val="6939109B"/>
    <w:rsid w:val="69583BF5"/>
    <w:rsid w:val="69CA10DE"/>
    <w:rsid w:val="69CC2C3B"/>
    <w:rsid w:val="6A002D52"/>
    <w:rsid w:val="6A090914"/>
    <w:rsid w:val="6A2627B9"/>
    <w:rsid w:val="6A6D758A"/>
    <w:rsid w:val="6A6D7740"/>
    <w:rsid w:val="6AC5342A"/>
    <w:rsid w:val="6AD77F57"/>
    <w:rsid w:val="6B306F2E"/>
    <w:rsid w:val="6B7216E2"/>
    <w:rsid w:val="6B7B397F"/>
    <w:rsid w:val="6BB06098"/>
    <w:rsid w:val="6BED7202"/>
    <w:rsid w:val="6C256AA0"/>
    <w:rsid w:val="6C4C35F0"/>
    <w:rsid w:val="6C5D5536"/>
    <w:rsid w:val="6C6E0447"/>
    <w:rsid w:val="6C986FDB"/>
    <w:rsid w:val="6C9E0E0B"/>
    <w:rsid w:val="6CA36342"/>
    <w:rsid w:val="6CC961B8"/>
    <w:rsid w:val="6CCD33BF"/>
    <w:rsid w:val="6CD81D64"/>
    <w:rsid w:val="6D3223EF"/>
    <w:rsid w:val="6D864791"/>
    <w:rsid w:val="6D9258E0"/>
    <w:rsid w:val="6DA25CBE"/>
    <w:rsid w:val="6DB87489"/>
    <w:rsid w:val="6DD24CB8"/>
    <w:rsid w:val="6DD8026E"/>
    <w:rsid w:val="6DEC1295"/>
    <w:rsid w:val="6E0A419F"/>
    <w:rsid w:val="6E2F3C06"/>
    <w:rsid w:val="6E4121AE"/>
    <w:rsid w:val="6E435064"/>
    <w:rsid w:val="6E8B56BC"/>
    <w:rsid w:val="6E96294B"/>
    <w:rsid w:val="6E971ED7"/>
    <w:rsid w:val="6EB45747"/>
    <w:rsid w:val="6EBE6DD3"/>
    <w:rsid w:val="6EC72090"/>
    <w:rsid w:val="6EED58A5"/>
    <w:rsid w:val="6F062BB9"/>
    <w:rsid w:val="6F37578E"/>
    <w:rsid w:val="6F745D74"/>
    <w:rsid w:val="6F8306AD"/>
    <w:rsid w:val="6FB002C8"/>
    <w:rsid w:val="6FE70842"/>
    <w:rsid w:val="703D085C"/>
    <w:rsid w:val="704240C4"/>
    <w:rsid w:val="705F3682"/>
    <w:rsid w:val="70B328CC"/>
    <w:rsid w:val="70F7175E"/>
    <w:rsid w:val="70F8517F"/>
    <w:rsid w:val="7185070D"/>
    <w:rsid w:val="71861FE4"/>
    <w:rsid w:val="719F5BDF"/>
    <w:rsid w:val="71EE3857"/>
    <w:rsid w:val="71F238C8"/>
    <w:rsid w:val="722C50A9"/>
    <w:rsid w:val="724062AA"/>
    <w:rsid w:val="7249173A"/>
    <w:rsid w:val="72615139"/>
    <w:rsid w:val="72702E0F"/>
    <w:rsid w:val="727A2772"/>
    <w:rsid w:val="72872262"/>
    <w:rsid w:val="72A43708"/>
    <w:rsid w:val="72D9462C"/>
    <w:rsid w:val="72EB5955"/>
    <w:rsid w:val="732206A5"/>
    <w:rsid w:val="734343DB"/>
    <w:rsid w:val="7386251A"/>
    <w:rsid w:val="73F303E1"/>
    <w:rsid w:val="74285B6B"/>
    <w:rsid w:val="74746816"/>
    <w:rsid w:val="74775724"/>
    <w:rsid w:val="74A40D4F"/>
    <w:rsid w:val="74A93097"/>
    <w:rsid w:val="75067AB9"/>
    <w:rsid w:val="753164B5"/>
    <w:rsid w:val="754548E7"/>
    <w:rsid w:val="75551EC0"/>
    <w:rsid w:val="75652516"/>
    <w:rsid w:val="759251A6"/>
    <w:rsid w:val="759C73E8"/>
    <w:rsid w:val="75C612F4"/>
    <w:rsid w:val="75C61952"/>
    <w:rsid w:val="75D43A11"/>
    <w:rsid w:val="75F401CA"/>
    <w:rsid w:val="760B2304"/>
    <w:rsid w:val="760D7FFA"/>
    <w:rsid w:val="76191423"/>
    <w:rsid w:val="76273DED"/>
    <w:rsid w:val="764A3CD3"/>
    <w:rsid w:val="768A64BC"/>
    <w:rsid w:val="768D6DA6"/>
    <w:rsid w:val="76A13D8F"/>
    <w:rsid w:val="76A96199"/>
    <w:rsid w:val="76DD4B47"/>
    <w:rsid w:val="76E26141"/>
    <w:rsid w:val="77440722"/>
    <w:rsid w:val="77494EF6"/>
    <w:rsid w:val="77912588"/>
    <w:rsid w:val="77C22EB1"/>
    <w:rsid w:val="77DC61FB"/>
    <w:rsid w:val="77FC724F"/>
    <w:rsid w:val="781E5D2E"/>
    <w:rsid w:val="7843417C"/>
    <w:rsid w:val="784B19A6"/>
    <w:rsid w:val="78750803"/>
    <w:rsid w:val="787D5DDF"/>
    <w:rsid w:val="78A05E2C"/>
    <w:rsid w:val="78BD078C"/>
    <w:rsid w:val="78F833FC"/>
    <w:rsid w:val="792C1933"/>
    <w:rsid w:val="792F67F1"/>
    <w:rsid w:val="79377E5C"/>
    <w:rsid w:val="79490911"/>
    <w:rsid w:val="795D5ACB"/>
    <w:rsid w:val="798149F9"/>
    <w:rsid w:val="79A62319"/>
    <w:rsid w:val="79AA0D57"/>
    <w:rsid w:val="79F91F7E"/>
    <w:rsid w:val="7A0128FA"/>
    <w:rsid w:val="7A1A1600"/>
    <w:rsid w:val="7A2A00A3"/>
    <w:rsid w:val="7A4805DF"/>
    <w:rsid w:val="7A686FCC"/>
    <w:rsid w:val="7A8F2404"/>
    <w:rsid w:val="7AA11B1E"/>
    <w:rsid w:val="7ABE3062"/>
    <w:rsid w:val="7AC672A6"/>
    <w:rsid w:val="7AC676A0"/>
    <w:rsid w:val="7AEF2DA3"/>
    <w:rsid w:val="7AF4245F"/>
    <w:rsid w:val="7B026E3F"/>
    <w:rsid w:val="7B424F78"/>
    <w:rsid w:val="7B570210"/>
    <w:rsid w:val="7B6126DB"/>
    <w:rsid w:val="7B861FC5"/>
    <w:rsid w:val="7BB8348D"/>
    <w:rsid w:val="7BFC4D17"/>
    <w:rsid w:val="7C0359A2"/>
    <w:rsid w:val="7C06244A"/>
    <w:rsid w:val="7C47108F"/>
    <w:rsid w:val="7C7400FF"/>
    <w:rsid w:val="7C857813"/>
    <w:rsid w:val="7C8B0BA1"/>
    <w:rsid w:val="7C9712F4"/>
    <w:rsid w:val="7CAD4FBB"/>
    <w:rsid w:val="7D402DFE"/>
    <w:rsid w:val="7D4F6A43"/>
    <w:rsid w:val="7D622B91"/>
    <w:rsid w:val="7D747B63"/>
    <w:rsid w:val="7D77701F"/>
    <w:rsid w:val="7D7960FD"/>
    <w:rsid w:val="7D893333"/>
    <w:rsid w:val="7DBF2BE5"/>
    <w:rsid w:val="7DBF7A52"/>
    <w:rsid w:val="7DC7089B"/>
    <w:rsid w:val="7E077CFD"/>
    <w:rsid w:val="7E682F48"/>
    <w:rsid w:val="7E686A2E"/>
    <w:rsid w:val="7E892F73"/>
    <w:rsid w:val="7EC62AD6"/>
    <w:rsid w:val="7F04697D"/>
    <w:rsid w:val="7F06714D"/>
    <w:rsid w:val="7F2B4AF7"/>
    <w:rsid w:val="7F2F2EA8"/>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5">
    <w:name w:val="heading 3"/>
    <w:basedOn w:val="6"/>
    <w:next w:val="6"/>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basedOn w:val="32"/>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2"/>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6"/>
    <w:next w:val="6"/>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5"/>
    <w:qFormat/>
    <w:uiPriority w:val="0"/>
    <w:rPr>
      <w:rFonts w:ascii="宋体" w:hAnsi="宋体" w:eastAsia="宋体"/>
      <w:b/>
      <w:sz w:val="24"/>
    </w:rPr>
  </w:style>
  <w:style w:type="paragraph" w:customStyle="1" w:styleId="155">
    <w:name w:val="UserStyle_95"/>
    <w:qFormat/>
    <w:uiPriority w:val="99"/>
    <w:pPr>
      <w:jc w:val="both"/>
      <w:textAlignment w:val="baseline"/>
    </w:pPr>
    <w:rPr>
      <w:rFonts w:ascii="Times New Roman" w:hAnsi="Times New Roman" w:eastAsia="楷体_GB2312" w:cs="Times New Roman"/>
      <w:kern w:val="2"/>
      <w:sz w:val="21"/>
      <w:szCs w:val="21"/>
      <w:lang w:val="en-US" w:eastAsia="zh-CN" w:bidi="ar-SA"/>
    </w:rPr>
  </w:style>
  <w:style w:type="paragraph" w:customStyle="1" w:styleId="156">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wmf"/><Relationship Id="rId31" Type="http://schemas.openxmlformats.org/officeDocument/2006/relationships/oleObject" Target="embeddings/oleObject12.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0.wmf"/><Relationship Id="rId27" Type="http://schemas.openxmlformats.org/officeDocument/2006/relationships/oleObject" Target="embeddings/oleObject10.bin"/><Relationship Id="rId26" Type="http://schemas.openxmlformats.org/officeDocument/2006/relationships/image" Target="media/image9.wmf"/><Relationship Id="rId25" Type="http://schemas.openxmlformats.org/officeDocument/2006/relationships/oleObject" Target="embeddings/oleObject9.bin"/><Relationship Id="rId24" Type="http://schemas.openxmlformats.org/officeDocument/2006/relationships/image" Target="media/image8.wmf"/><Relationship Id="rId23" Type="http://schemas.openxmlformats.org/officeDocument/2006/relationships/oleObject" Target="embeddings/oleObject8.bin"/><Relationship Id="rId22" Type="http://schemas.openxmlformats.org/officeDocument/2006/relationships/image" Target="media/image7.wmf"/><Relationship Id="rId21" Type="http://schemas.openxmlformats.org/officeDocument/2006/relationships/oleObject" Target="embeddings/oleObject7.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wmf"/><Relationship Id="rId17" Type="http://schemas.openxmlformats.org/officeDocument/2006/relationships/oleObject" Target="embeddings/oleObject5.bin"/><Relationship Id="rId16" Type="http://schemas.openxmlformats.org/officeDocument/2006/relationships/image" Target="media/image4.wmf"/><Relationship Id="rId15" Type="http://schemas.openxmlformats.org/officeDocument/2006/relationships/oleObject" Target="embeddings/oleObject4.bin"/><Relationship Id="rId14" Type="http://schemas.openxmlformats.org/officeDocument/2006/relationships/image" Target="media/image3.wmf"/><Relationship Id="rId13" Type="http://schemas.openxmlformats.org/officeDocument/2006/relationships/oleObject" Target="embeddings/oleObject3.bin"/><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75</Pages>
  <Words>47597</Words>
  <Characters>50896</Characters>
  <Lines>721</Lines>
  <Paragraphs>203</Paragraphs>
  <TotalTime>25</TotalTime>
  <ScaleCrop>false</ScaleCrop>
  <LinksUpToDate>false</LinksUpToDate>
  <CharactersWithSpaces>53216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WPS_1481086387</cp:lastModifiedBy>
  <cp:lastPrinted>2024-11-30T06:58:00Z</cp:lastPrinted>
  <dcterms:modified xsi:type="dcterms:W3CDTF">2025-10-15T09:54:15Z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DAC3183F264A4B2DB58057D43B0F45C6_13</vt:lpwstr>
  </property>
  <property fmtid="{D5CDD505-2E9C-101B-9397-08002B2CF9AE}" pid="4" name="ribbonExt">
    <vt:lpwstr>{"WPSExtOfficeTab":{"OnGetEnabled":false,"OnGetVisible":false}}</vt:lpwstr>
  </property>
  <property fmtid="{D5CDD505-2E9C-101B-9397-08002B2CF9AE}" pid="5" name="KSOTemplateDocerSaveRecord">
    <vt:lpwstr>eyJoZGlkIjoiNDNkZTgwOWMwNTI5NDcwOWIwZWRhY2VkYzBlYzIwMGIiLCJ1c2VySWQiOiIyNTUzNTE1MTMifQ==</vt:lpwstr>
  </property>
</Properties>
</file>