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78029">
      <w:pPr>
        <w:pStyle w:val="6"/>
        <w:keepNext w:val="0"/>
        <w:keepLines w:val="0"/>
        <w:pageBreakBefore w:val="0"/>
        <w:wordWrap w:val="0"/>
        <w:overflowPunct/>
        <w:topLinePunct w:val="0"/>
        <w:bidi w:val="0"/>
        <w:spacing w:line="241" w:lineRule="auto"/>
        <w:rPr>
          <w:rFonts w:hint="eastAsia" w:ascii="宋体" w:hAnsi="宋体" w:eastAsia="宋体" w:cs="宋体"/>
          <w:color w:val="000000" w:themeColor="text1"/>
          <w:spacing w:val="0"/>
          <w:highlight w:val="none"/>
          <w14:textFill>
            <w14:solidFill>
              <w14:schemeClr w14:val="tx1"/>
            </w14:solidFill>
          </w14:textFill>
        </w:rPr>
      </w:pPr>
    </w:p>
    <w:p w14:paraId="065BF53E">
      <w:pPr>
        <w:keepNext w:val="0"/>
        <w:keepLines w:val="0"/>
        <w:pageBreakBefore w:val="0"/>
        <w:widowControl/>
        <w:kinsoku w:val="0"/>
        <w:wordWrap w:val="0"/>
        <w:overflowPunct/>
        <w:topLinePunct w:val="0"/>
        <w:autoSpaceDE w:val="0"/>
        <w:autoSpaceDN w:val="0"/>
        <w:bidi w:val="0"/>
        <w:adjustRightInd w:val="0"/>
        <w:snapToGrid w:val="0"/>
        <w:spacing w:before="231" w:line="312" w:lineRule="auto"/>
        <w:jc w:val="center"/>
        <w:textAlignment w:val="baseline"/>
        <w:outlineLvl w:val="9"/>
        <w:rPr>
          <w:rFonts w:hint="default" w:ascii="宋体" w:hAnsi="宋体" w:eastAsia="宋体" w:cs="宋体"/>
          <w:b/>
          <w:bCs/>
          <w:color w:val="000000" w:themeColor="text1"/>
          <w:spacing w:val="0"/>
          <w:sz w:val="44"/>
          <w:szCs w:val="44"/>
          <w:highlight w:val="none"/>
          <w:lang w:val="en-US" w:eastAsia="zh-CN"/>
          <w14:textFill>
            <w14:solidFill>
              <w14:schemeClr w14:val="tx1"/>
            </w14:solidFill>
          </w14:textFill>
        </w:rPr>
      </w:pPr>
      <w:r>
        <w:rPr>
          <w:rFonts w:hint="eastAsia" w:ascii="宋体" w:hAnsi="宋体" w:eastAsia="宋体" w:cs="宋体"/>
          <w:b/>
          <w:bCs/>
          <w:color w:val="000000" w:themeColor="text1"/>
          <w:spacing w:val="0"/>
          <w:sz w:val="48"/>
          <w:szCs w:val="48"/>
          <w:highlight w:val="none"/>
          <w:lang w:val="en-US" w:eastAsia="zh-CN"/>
          <w14:textFill>
            <w14:solidFill>
              <w14:schemeClr w14:val="tx1"/>
            </w14:solidFill>
          </w14:textFill>
        </w:rPr>
        <w:t>韶关市武江区第九中学教学综合楼及体育馆建设项目（一期）施工招标</w:t>
      </w:r>
    </w:p>
    <w:p w14:paraId="0ACA8D3E">
      <w:pPr>
        <w:pStyle w:val="6"/>
        <w:keepNext w:val="0"/>
        <w:keepLines w:val="0"/>
        <w:pageBreakBefore w:val="0"/>
        <w:wordWrap w:val="0"/>
        <w:overflowPunct/>
        <w:topLinePunct w:val="0"/>
        <w:bidi w:val="0"/>
        <w:spacing w:line="355" w:lineRule="auto"/>
        <w:rPr>
          <w:rFonts w:hint="eastAsia" w:ascii="宋体" w:hAnsi="宋体" w:eastAsia="宋体" w:cs="宋体"/>
          <w:color w:val="000000" w:themeColor="text1"/>
          <w:spacing w:val="0"/>
          <w:highlight w:val="none"/>
          <w14:textFill>
            <w14:solidFill>
              <w14:schemeClr w14:val="tx1"/>
            </w14:solidFill>
          </w14:textFill>
        </w:rPr>
      </w:pPr>
    </w:p>
    <w:p w14:paraId="52B3F812">
      <w:pPr>
        <w:pStyle w:val="6"/>
        <w:keepNext w:val="0"/>
        <w:keepLines w:val="0"/>
        <w:pageBreakBefore w:val="0"/>
        <w:wordWrap w:val="0"/>
        <w:overflowPunct/>
        <w:topLinePunct w:val="0"/>
        <w:bidi w:val="0"/>
        <w:spacing w:line="355" w:lineRule="auto"/>
        <w:rPr>
          <w:rFonts w:hint="eastAsia" w:ascii="宋体" w:hAnsi="宋体" w:eastAsia="宋体" w:cs="宋体"/>
          <w:color w:val="000000" w:themeColor="text1"/>
          <w:spacing w:val="0"/>
          <w:highlight w:val="none"/>
          <w14:textFill>
            <w14:solidFill>
              <w14:schemeClr w14:val="tx1"/>
            </w14:solidFill>
          </w14:textFill>
        </w:rPr>
      </w:pPr>
    </w:p>
    <w:p w14:paraId="53F283AE">
      <w:pPr>
        <w:pStyle w:val="6"/>
        <w:keepNext w:val="0"/>
        <w:keepLines w:val="0"/>
        <w:pageBreakBefore w:val="0"/>
        <w:wordWrap w:val="0"/>
        <w:overflowPunct/>
        <w:topLinePunct w:val="0"/>
        <w:bidi w:val="0"/>
        <w:spacing w:line="355" w:lineRule="auto"/>
        <w:rPr>
          <w:rFonts w:hint="eastAsia" w:ascii="宋体" w:hAnsi="宋体" w:eastAsia="宋体" w:cs="宋体"/>
          <w:color w:val="000000" w:themeColor="text1"/>
          <w:spacing w:val="0"/>
          <w:highlight w:val="none"/>
          <w14:textFill>
            <w14:solidFill>
              <w14:schemeClr w14:val="tx1"/>
            </w14:solidFill>
          </w14:textFill>
        </w:rPr>
      </w:pPr>
    </w:p>
    <w:p w14:paraId="296BC558">
      <w:pPr>
        <w:pStyle w:val="6"/>
        <w:keepNext w:val="0"/>
        <w:keepLines w:val="0"/>
        <w:pageBreakBefore w:val="0"/>
        <w:wordWrap w:val="0"/>
        <w:overflowPunct/>
        <w:topLinePunct w:val="0"/>
        <w:bidi w:val="0"/>
        <w:spacing w:line="355" w:lineRule="auto"/>
        <w:rPr>
          <w:rFonts w:hint="eastAsia" w:ascii="宋体" w:hAnsi="宋体" w:eastAsia="宋体" w:cs="宋体"/>
          <w:color w:val="000000" w:themeColor="text1"/>
          <w:spacing w:val="0"/>
          <w:highlight w:val="none"/>
          <w14:textFill>
            <w14:solidFill>
              <w14:schemeClr w14:val="tx1"/>
            </w14:solidFill>
          </w14:textFill>
        </w:rPr>
      </w:pPr>
    </w:p>
    <w:p w14:paraId="32ED6F11">
      <w:pPr>
        <w:keepNext w:val="0"/>
        <w:keepLines w:val="0"/>
        <w:pageBreakBefore w:val="0"/>
        <w:wordWrap w:val="0"/>
        <w:overflowPunct/>
        <w:topLinePunct w:val="0"/>
        <w:bidi w:val="0"/>
        <w:spacing w:before="231" w:line="223" w:lineRule="auto"/>
        <w:jc w:val="center"/>
        <w:outlineLvl w:val="9"/>
        <w:rPr>
          <w:rFonts w:hint="eastAsia" w:ascii="宋体" w:hAnsi="宋体" w:eastAsia="宋体" w:cs="宋体"/>
          <w:color w:val="000000" w:themeColor="text1"/>
          <w:spacing w:val="0"/>
          <w:sz w:val="71"/>
          <w:szCs w:val="71"/>
          <w:highlight w:val="none"/>
          <w14:textFill>
            <w14:solidFill>
              <w14:schemeClr w14:val="tx1"/>
            </w14:solidFill>
          </w14:textFill>
        </w:rPr>
      </w:pPr>
      <w:bookmarkStart w:id="0" w:name="_Toc15274"/>
      <w:bookmarkStart w:id="1" w:name="_Toc7958"/>
      <w:bookmarkStart w:id="2" w:name="_Toc1688"/>
      <w:bookmarkStart w:id="3" w:name="_Toc15837"/>
      <w:r>
        <w:rPr>
          <w:rFonts w:hint="eastAsia" w:ascii="宋体" w:hAnsi="宋体" w:eastAsia="宋体" w:cs="宋体"/>
          <w:b/>
          <w:bCs/>
          <w:color w:val="000000" w:themeColor="text1"/>
          <w:spacing w:val="0"/>
          <w:sz w:val="71"/>
          <w:szCs w:val="71"/>
          <w:highlight w:val="none"/>
          <w14:textFill>
            <w14:solidFill>
              <w14:schemeClr w14:val="tx1"/>
            </w14:solidFill>
          </w14:textFill>
        </w:rPr>
        <w:t>招标文件</w:t>
      </w:r>
      <w:bookmarkEnd w:id="0"/>
      <w:bookmarkEnd w:id="1"/>
      <w:bookmarkEnd w:id="2"/>
      <w:bookmarkEnd w:id="3"/>
    </w:p>
    <w:p w14:paraId="4EFF9E9E">
      <w:pPr>
        <w:pStyle w:val="6"/>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highlight w:val="none"/>
          <w14:textFill>
            <w14:solidFill>
              <w14:schemeClr w14:val="tx1"/>
            </w14:solidFill>
          </w14:textFill>
        </w:rPr>
      </w:pPr>
    </w:p>
    <w:p w14:paraId="2B5B3882">
      <w:pPr>
        <w:pStyle w:val="6"/>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highlight w:val="none"/>
          <w14:textFill>
            <w14:solidFill>
              <w14:schemeClr w14:val="tx1"/>
            </w14:solidFill>
          </w14:textFill>
        </w:rPr>
      </w:pPr>
    </w:p>
    <w:p w14:paraId="4C622A16">
      <w:pPr>
        <w:pStyle w:val="6"/>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highlight w:val="none"/>
          <w14:textFill>
            <w14:solidFill>
              <w14:schemeClr w14:val="tx1"/>
            </w14:solidFill>
          </w14:textFill>
        </w:rPr>
      </w:pPr>
    </w:p>
    <w:p w14:paraId="124711D2">
      <w:pPr>
        <w:pStyle w:val="6"/>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highlight w:val="none"/>
          <w14:textFill>
            <w14:solidFill>
              <w14:schemeClr w14:val="tx1"/>
            </w14:solidFill>
          </w14:textFill>
        </w:rPr>
      </w:pPr>
    </w:p>
    <w:p w14:paraId="5A7070C0">
      <w:pPr>
        <w:pStyle w:val="6"/>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highlight w:val="none"/>
          <w14:textFill>
            <w14:solidFill>
              <w14:schemeClr w14:val="tx1"/>
            </w14:solidFill>
          </w14:textFill>
        </w:rPr>
      </w:pPr>
    </w:p>
    <w:p w14:paraId="466BB1AF">
      <w:pPr>
        <w:pStyle w:val="6"/>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highlight w:val="none"/>
          <w14:textFill>
            <w14:solidFill>
              <w14:schemeClr w14:val="tx1"/>
            </w14:solidFill>
          </w14:textFill>
        </w:rPr>
      </w:pPr>
    </w:p>
    <w:tbl>
      <w:tblPr>
        <w:tblStyle w:val="15"/>
        <w:tblW w:w="9714" w:type="dxa"/>
        <w:jc w:val="center"/>
        <w:tblLayout w:type="fixed"/>
        <w:tblCellMar>
          <w:top w:w="0" w:type="dxa"/>
          <w:left w:w="0" w:type="dxa"/>
          <w:bottom w:w="0" w:type="dxa"/>
          <w:right w:w="0" w:type="dxa"/>
        </w:tblCellMar>
      </w:tblPr>
      <w:tblGrid>
        <w:gridCol w:w="5013"/>
        <w:gridCol w:w="4701"/>
      </w:tblGrid>
      <w:tr w14:paraId="0FBD89A1">
        <w:tblPrEx>
          <w:tblCellMar>
            <w:top w:w="0" w:type="dxa"/>
            <w:left w:w="0" w:type="dxa"/>
            <w:bottom w:w="0" w:type="dxa"/>
            <w:right w:w="0" w:type="dxa"/>
          </w:tblCellMar>
        </w:tblPrEx>
        <w:trPr>
          <w:trHeight w:val="1030" w:hRule="atLeast"/>
          <w:jc w:val="center"/>
        </w:trPr>
        <w:tc>
          <w:tcPr>
            <w:tcW w:w="5013" w:type="dxa"/>
            <w:vAlign w:val="center"/>
          </w:tcPr>
          <w:p w14:paraId="75FF4CB7">
            <w:pPr>
              <w:pStyle w:val="26"/>
              <w:keepNext w:val="0"/>
              <w:keepLines w:val="0"/>
              <w:pageBreakBefore w:val="0"/>
              <w:wordWrap w:val="0"/>
              <w:overflowPunct/>
              <w:topLinePunct w:val="0"/>
              <w:bidi w:val="0"/>
              <w:snapToGrid w:val="0"/>
              <w:spacing w:line="240" w:lineRule="auto"/>
              <w:jc w:val="distribute"/>
              <w:rPr>
                <w:rStyle w:val="27"/>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7"/>
                <w:rFonts w:hint="eastAsia" w:ascii="宋体" w:hAnsi="宋体" w:eastAsia="宋体" w:cs="宋体"/>
                <w:color w:val="000000" w:themeColor="text1"/>
                <w:spacing w:val="0"/>
                <w:kern w:val="0"/>
                <w:sz w:val="28"/>
                <w:szCs w:val="28"/>
                <w:highlight w:val="none"/>
                <w14:textFill>
                  <w14:solidFill>
                    <w14:schemeClr w14:val="tx1"/>
                  </w14:solidFill>
                </w14:textFill>
              </w:rPr>
              <w:t xml:space="preserve"> 招  标  人（盖单位章）：</w:t>
            </w:r>
          </w:p>
        </w:tc>
        <w:tc>
          <w:tcPr>
            <w:tcW w:w="4701" w:type="dxa"/>
            <w:vAlign w:val="center"/>
          </w:tcPr>
          <w:p w14:paraId="542235EB">
            <w:pPr>
              <w:pStyle w:val="26"/>
              <w:keepNext w:val="0"/>
              <w:keepLines w:val="0"/>
              <w:pageBreakBefore w:val="0"/>
              <w:wordWrap w:val="0"/>
              <w:overflowPunct/>
              <w:topLinePunct w:val="0"/>
              <w:bidi w:val="0"/>
              <w:snapToGrid w:val="0"/>
              <w:spacing w:line="240" w:lineRule="auto"/>
              <w:rPr>
                <w:rStyle w:val="27"/>
                <w:rFonts w:hint="eastAsia" w:ascii="宋体" w:hAnsi="宋体" w:eastAsia="宋体" w:cs="宋体"/>
                <w:color w:val="000000" w:themeColor="text1"/>
                <w:spacing w:val="0"/>
                <w:kern w:val="0"/>
                <w:sz w:val="28"/>
                <w:szCs w:val="28"/>
                <w:highlight w:val="none"/>
                <w:lang w:eastAsia="zh-CN"/>
                <w14:textFill>
                  <w14:solidFill>
                    <w14:schemeClr w14:val="tx1"/>
                  </w14:solidFill>
                </w14:textFill>
              </w:rPr>
            </w:pPr>
            <w:r>
              <w:rPr>
                <w:rStyle w:val="27"/>
                <w:rFonts w:hint="eastAsia" w:hAnsi="宋体" w:cs="宋体"/>
                <w:color w:val="000000" w:themeColor="text1"/>
                <w:spacing w:val="0"/>
                <w:kern w:val="0"/>
                <w:sz w:val="28"/>
                <w:szCs w:val="28"/>
                <w:highlight w:val="none"/>
                <w:lang w:eastAsia="zh-CN"/>
                <w14:textFill>
                  <w14:solidFill>
                    <w14:schemeClr w14:val="tx1"/>
                  </w14:solidFill>
                </w14:textFill>
              </w:rPr>
              <w:t>韶关市武江区教育局</w:t>
            </w:r>
          </w:p>
        </w:tc>
      </w:tr>
      <w:tr w14:paraId="0ED64425">
        <w:tblPrEx>
          <w:tblCellMar>
            <w:top w:w="0" w:type="dxa"/>
            <w:left w:w="0" w:type="dxa"/>
            <w:bottom w:w="0" w:type="dxa"/>
            <w:right w:w="0" w:type="dxa"/>
          </w:tblCellMar>
        </w:tblPrEx>
        <w:trPr>
          <w:trHeight w:val="844" w:hRule="atLeast"/>
          <w:jc w:val="center"/>
        </w:trPr>
        <w:tc>
          <w:tcPr>
            <w:tcW w:w="5013" w:type="dxa"/>
            <w:vAlign w:val="center"/>
          </w:tcPr>
          <w:p w14:paraId="32C2F3CA">
            <w:pPr>
              <w:pStyle w:val="26"/>
              <w:keepNext w:val="0"/>
              <w:keepLines w:val="0"/>
              <w:pageBreakBefore w:val="0"/>
              <w:wordWrap w:val="0"/>
              <w:overflowPunct/>
              <w:topLinePunct w:val="0"/>
              <w:bidi w:val="0"/>
              <w:snapToGrid w:val="0"/>
              <w:spacing w:line="240" w:lineRule="auto"/>
              <w:jc w:val="distribute"/>
              <w:rPr>
                <w:rStyle w:val="27"/>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7"/>
                <w:rFonts w:hint="eastAsia" w:ascii="宋体" w:hAnsi="宋体" w:eastAsia="宋体" w:cs="宋体"/>
                <w:color w:val="000000" w:themeColor="text1"/>
                <w:spacing w:val="0"/>
                <w:kern w:val="0"/>
                <w:sz w:val="28"/>
                <w:szCs w:val="28"/>
                <w:highlight w:val="none"/>
                <w14:textFill>
                  <w14:solidFill>
                    <w14:schemeClr w14:val="tx1"/>
                  </w14:solidFill>
                </w14:textFill>
              </w:rPr>
              <w:t xml:space="preserve"> 招标人工作领导小组负责人（签字）：</w:t>
            </w:r>
          </w:p>
        </w:tc>
        <w:tc>
          <w:tcPr>
            <w:tcW w:w="4701" w:type="dxa"/>
            <w:vAlign w:val="center"/>
          </w:tcPr>
          <w:p w14:paraId="6DAD42AE">
            <w:pPr>
              <w:pStyle w:val="26"/>
              <w:keepNext w:val="0"/>
              <w:keepLines w:val="0"/>
              <w:pageBreakBefore w:val="0"/>
              <w:wordWrap w:val="0"/>
              <w:overflowPunct/>
              <w:topLinePunct w:val="0"/>
              <w:bidi w:val="0"/>
              <w:snapToGrid w:val="0"/>
              <w:spacing w:line="240" w:lineRule="auto"/>
              <w:rPr>
                <w:rStyle w:val="27"/>
                <w:rFonts w:hint="eastAsia" w:ascii="宋体" w:hAnsi="宋体" w:eastAsia="宋体" w:cs="宋体"/>
                <w:color w:val="000000" w:themeColor="text1"/>
                <w:spacing w:val="0"/>
                <w:kern w:val="0"/>
                <w:sz w:val="28"/>
                <w:szCs w:val="28"/>
                <w:highlight w:val="none"/>
                <w14:textFill>
                  <w14:solidFill>
                    <w14:schemeClr w14:val="tx1"/>
                  </w14:solidFill>
                </w14:textFill>
              </w:rPr>
            </w:pPr>
          </w:p>
        </w:tc>
      </w:tr>
      <w:tr w14:paraId="4098A439">
        <w:tblPrEx>
          <w:tblCellMar>
            <w:top w:w="0" w:type="dxa"/>
            <w:left w:w="0" w:type="dxa"/>
            <w:bottom w:w="0" w:type="dxa"/>
            <w:right w:w="0" w:type="dxa"/>
          </w:tblCellMar>
        </w:tblPrEx>
        <w:trPr>
          <w:trHeight w:val="840" w:hRule="atLeast"/>
          <w:jc w:val="center"/>
        </w:trPr>
        <w:tc>
          <w:tcPr>
            <w:tcW w:w="5013" w:type="dxa"/>
            <w:vAlign w:val="center"/>
          </w:tcPr>
          <w:p w14:paraId="15C4759D">
            <w:pPr>
              <w:pStyle w:val="26"/>
              <w:keepNext w:val="0"/>
              <w:keepLines w:val="0"/>
              <w:pageBreakBefore w:val="0"/>
              <w:wordWrap w:val="0"/>
              <w:overflowPunct/>
              <w:topLinePunct w:val="0"/>
              <w:bidi w:val="0"/>
              <w:snapToGrid w:val="0"/>
              <w:spacing w:line="240" w:lineRule="auto"/>
              <w:jc w:val="distribute"/>
              <w:rPr>
                <w:rStyle w:val="27"/>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7"/>
                <w:rFonts w:hint="eastAsia" w:ascii="宋体" w:hAnsi="宋体" w:eastAsia="宋体" w:cs="宋体"/>
                <w:color w:val="000000" w:themeColor="text1"/>
                <w:spacing w:val="0"/>
                <w:kern w:val="0"/>
                <w:sz w:val="28"/>
                <w:szCs w:val="28"/>
                <w:highlight w:val="none"/>
                <w14:textFill>
                  <w14:solidFill>
                    <w14:schemeClr w14:val="tx1"/>
                  </w14:solidFill>
                </w14:textFill>
              </w:rPr>
              <w:t xml:space="preserve"> 招 标 代 理 机 构 （盖单位章）：</w:t>
            </w:r>
          </w:p>
        </w:tc>
        <w:tc>
          <w:tcPr>
            <w:tcW w:w="4701" w:type="dxa"/>
            <w:vAlign w:val="center"/>
          </w:tcPr>
          <w:p w14:paraId="25C2E748">
            <w:pPr>
              <w:pStyle w:val="26"/>
              <w:keepNext w:val="0"/>
              <w:keepLines w:val="0"/>
              <w:pageBreakBefore w:val="0"/>
              <w:wordWrap w:val="0"/>
              <w:overflowPunct/>
              <w:topLinePunct w:val="0"/>
              <w:bidi w:val="0"/>
              <w:snapToGrid w:val="0"/>
              <w:spacing w:line="240" w:lineRule="auto"/>
              <w:rPr>
                <w:rStyle w:val="27"/>
                <w:rFonts w:hint="eastAsia" w:ascii="宋体" w:hAnsi="宋体" w:eastAsia="宋体" w:cs="宋体"/>
                <w:color w:val="000000" w:themeColor="text1"/>
                <w:spacing w:val="0"/>
                <w:kern w:val="0"/>
                <w:sz w:val="28"/>
                <w:szCs w:val="28"/>
                <w:highlight w:val="none"/>
                <w:lang w:eastAsia="zh-CN"/>
                <w14:textFill>
                  <w14:solidFill>
                    <w14:schemeClr w14:val="tx1"/>
                  </w14:solidFill>
                </w14:textFill>
              </w:rPr>
            </w:pPr>
            <w:r>
              <w:rPr>
                <w:rStyle w:val="27"/>
                <w:rFonts w:hint="eastAsia" w:hAnsi="宋体" w:cs="宋体"/>
                <w:color w:val="000000" w:themeColor="text1"/>
                <w:spacing w:val="0"/>
                <w:kern w:val="0"/>
                <w:sz w:val="28"/>
                <w:szCs w:val="28"/>
                <w:highlight w:val="none"/>
                <w:lang w:eastAsia="zh-CN"/>
                <w14:textFill>
                  <w14:solidFill>
                    <w14:schemeClr w14:val="tx1"/>
                  </w14:solidFill>
                </w14:textFill>
              </w:rPr>
              <w:t>韶关市城监项目管理有限公司</w:t>
            </w:r>
          </w:p>
        </w:tc>
      </w:tr>
      <w:tr w14:paraId="46AA99F4">
        <w:tblPrEx>
          <w:tblCellMar>
            <w:top w:w="0" w:type="dxa"/>
            <w:left w:w="0" w:type="dxa"/>
            <w:bottom w:w="0" w:type="dxa"/>
            <w:right w:w="0" w:type="dxa"/>
          </w:tblCellMar>
        </w:tblPrEx>
        <w:trPr>
          <w:trHeight w:val="968" w:hRule="atLeast"/>
          <w:jc w:val="center"/>
        </w:trPr>
        <w:tc>
          <w:tcPr>
            <w:tcW w:w="5013" w:type="dxa"/>
            <w:vAlign w:val="center"/>
          </w:tcPr>
          <w:p w14:paraId="7D7498C5">
            <w:pPr>
              <w:pStyle w:val="26"/>
              <w:keepNext w:val="0"/>
              <w:keepLines w:val="0"/>
              <w:pageBreakBefore w:val="0"/>
              <w:wordWrap w:val="0"/>
              <w:overflowPunct/>
              <w:topLinePunct w:val="0"/>
              <w:bidi w:val="0"/>
              <w:snapToGrid w:val="0"/>
              <w:spacing w:line="240" w:lineRule="auto"/>
              <w:jc w:val="distribute"/>
              <w:rPr>
                <w:rStyle w:val="27"/>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7"/>
                <w:rFonts w:hint="eastAsia" w:ascii="宋体" w:hAnsi="宋体" w:eastAsia="宋体" w:cs="宋体"/>
                <w:color w:val="000000" w:themeColor="text1"/>
                <w:spacing w:val="0"/>
                <w:kern w:val="0"/>
                <w:sz w:val="28"/>
                <w:szCs w:val="28"/>
                <w:highlight w:val="none"/>
                <w14:textFill>
                  <w14:solidFill>
                    <w14:schemeClr w14:val="tx1"/>
                  </w14:solidFill>
                </w14:textFill>
              </w:rPr>
              <w:t xml:space="preserve"> 招标文件编制人（签字）：</w:t>
            </w:r>
          </w:p>
        </w:tc>
        <w:tc>
          <w:tcPr>
            <w:tcW w:w="4701" w:type="dxa"/>
            <w:vAlign w:val="center"/>
          </w:tcPr>
          <w:p w14:paraId="6F37BCCD">
            <w:pPr>
              <w:pStyle w:val="26"/>
              <w:keepNext w:val="0"/>
              <w:keepLines w:val="0"/>
              <w:pageBreakBefore w:val="0"/>
              <w:wordWrap w:val="0"/>
              <w:overflowPunct/>
              <w:topLinePunct w:val="0"/>
              <w:bidi w:val="0"/>
              <w:snapToGrid w:val="0"/>
              <w:spacing w:line="240" w:lineRule="auto"/>
              <w:rPr>
                <w:rStyle w:val="27"/>
                <w:rFonts w:hint="eastAsia" w:ascii="宋体" w:hAnsi="宋体" w:eastAsia="宋体" w:cs="宋体"/>
                <w:color w:val="000000" w:themeColor="text1"/>
                <w:spacing w:val="0"/>
                <w:kern w:val="0"/>
                <w:sz w:val="28"/>
                <w:szCs w:val="28"/>
                <w:highlight w:val="none"/>
                <w:lang w:eastAsia="zh-CN"/>
                <w14:textFill>
                  <w14:solidFill>
                    <w14:schemeClr w14:val="tx1"/>
                  </w14:solidFill>
                </w14:textFill>
              </w:rPr>
            </w:pPr>
            <w:r>
              <w:rPr>
                <w:rStyle w:val="27"/>
                <w:rFonts w:hint="eastAsia" w:ascii="宋体" w:hAnsi="宋体" w:eastAsia="宋体" w:cs="宋体"/>
                <w:color w:val="000000" w:themeColor="text1"/>
                <w:spacing w:val="0"/>
                <w:kern w:val="0"/>
                <w:sz w:val="28"/>
                <w:szCs w:val="28"/>
                <w:highlight w:val="none"/>
                <w:lang w:eastAsia="zh-CN"/>
                <w14:textFill>
                  <w14:solidFill>
                    <w14:schemeClr w14:val="tx1"/>
                  </w14:solidFill>
                </w14:textFill>
              </w:rPr>
              <w:drawing>
                <wp:inline distT="0" distB="0" distL="114300" distR="114300">
                  <wp:extent cx="567055" cy="361315"/>
                  <wp:effectExtent l="0" t="0" r="0" b="635"/>
                  <wp:docPr id="29" name="图片 29" descr="骆乐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骆乐签名"/>
                          <pic:cNvPicPr>
                            <a:picLocks noChangeAspect="1"/>
                          </pic:cNvPicPr>
                        </pic:nvPicPr>
                        <pic:blipFill>
                          <a:blip r:embed="rId29"/>
                          <a:stretch>
                            <a:fillRect/>
                          </a:stretch>
                        </pic:blipFill>
                        <pic:spPr>
                          <a:xfrm>
                            <a:off x="0" y="0"/>
                            <a:ext cx="567055" cy="361315"/>
                          </a:xfrm>
                          <a:prstGeom prst="rect">
                            <a:avLst/>
                          </a:prstGeom>
                        </pic:spPr>
                      </pic:pic>
                    </a:graphicData>
                  </a:graphic>
                </wp:inline>
              </w:drawing>
            </w:r>
          </w:p>
        </w:tc>
      </w:tr>
      <w:tr w14:paraId="224F3282">
        <w:tblPrEx>
          <w:tblCellMar>
            <w:top w:w="0" w:type="dxa"/>
            <w:left w:w="0" w:type="dxa"/>
            <w:bottom w:w="0" w:type="dxa"/>
            <w:right w:w="0" w:type="dxa"/>
          </w:tblCellMar>
        </w:tblPrEx>
        <w:trPr>
          <w:trHeight w:val="937" w:hRule="atLeast"/>
          <w:jc w:val="center"/>
        </w:trPr>
        <w:tc>
          <w:tcPr>
            <w:tcW w:w="5013" w:type="dxa"/>
            <w:vAlign w:val="center"/>
          </w:tcPr>
          <w:p w14:paraId="457738D3">
            <w:pPr>
              <w:pStyle w:val="26"/>
              <w:keepNext w:val="0"/>
              <w:keepLines w:val="0"/>
              <w:pageBreakBefore w:val="0"/>
              <w:wordWrap w:val="0"/>
              <w:overflowPunct/>
              <w:topLinePunct w:val="0"/>
              <w:bidi w:val="0"/>
              <w:snapToGrid w:val="0"/>
              <w:spacing w:line="240" w:lineRule="auto"/>
              <w:jc w:val="distribute"/>
              <w:rPr>
                <w:rStyle w:val="27"/>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7"/>
                <w:rFonts w:hint="eastAsia" w:ascii="宋体" w:hAnsi="宋体" w:eastAsia="宋体" w:cs="宋体"/>
                <w:color w:val="000000" w:themeColor="text1"/>
                <w:spacing w:val="0"/>
                <w:kern w:val="0"/>
                <w:sz w:val="28"/>
                <w:szCs w:val="28"/>
                <w:highlight w:val="none"/>
                <w14:textFill>
                  <w14:solidFill>
                    <w14:schemeClr w14:val="tx1"/>
                  </w14:solidFill>
                </w14:textFill>
              </w:rPr>
              <w:t xml:space="preserve"> 招标代理机构项目负责人（签字）：</w:t>
            </w:r>
          </w:p>
        </w:tc>
        <w:tc>
          <w:tcPr>
            <w:tcW w:w="4701" w:type="dxa"/>
            <w:vAlign w:val="center"/>
          </w:tcPr>
          <w:p w14:paraId="02AD201A">
            <w:pPr>
              <w:pStyle w:val="26"/>
              <w:keepNext w:val="0"/>
              <w:keepLines w:val="0"/>
              <w:pageBreakBefore w:val="0"/>
              <w:wordWrap w:val="0"/>
              <w:overflowPunct/>
              <w:topLinePunct w:val="0"/>
              <w:bidi w:val="0"/>
              <w:snapToGrid w:val="0"/>
              <w:spacing w:line="240" w:lineRule="auto"/>
              <w:rPr>
                <w:rStyle w:val="27"/>
                <w:rFonts w:hint="eastAsia" w:ascii="宋体" w:hAnsi="宋体" w:eastAsia="宋体" w:cs="宋体"/>
                <w:color w:val="000000" w:themeColor="text1"/>
                <w:spacing w:val="0"/>
                <w:kern w:val="0"/>
                <w:sz w:val="28"/>
                <w:szCs w:val="28"/>
                <w:highlight w:val="none"/>
                <w:lang w:eastAsia="zh-CN"/>
                <w14:textFill>
                  <w14:solidFill>
                    <w14:schemeClr w14:val="tx1"/>
                  </w14:solidFill>
                </w14:textFill>
              </w:rPr>
            </w:pPr>
            <w:r>
              <w:rPr>
                <w:rStyle w:val="27"/>
                <w:rFonts w:hint="eastAsia" w:ascii="宋体" w:hAnsi="宋体" w:eastAsia="宋体" w:cs="宋体"/>
                <w:color w:val="000000" w:themeColor="text1"/>
                <w:spacing w:val="0"/>
                <w:kern w:val="0"/>
                <w:sz w:val="28"/>
                <w:szCs w:val="28"/>
                <w:highlight w:val="none"/>
                <w:lang w:eastAsia="zh-CN"/>
                <w14:textFill>
                  <w14:solidFill>
                    <w14:schemeClr w14:val="tx1"/>
                  </w14:solidFill>
                </w14:textFill>
              </w:rPr>
              <w:drawing>
                <wp:inline distT="0" distB="0" distL="114300" distR="114300">
                  <wp:extent cx="1143000" cy="494030"/>
                  <wp:effectExtent l="0" t="0" r="0" b="1270"/>
                  <wp:docPr id="30" name="图片 30" descr="饶家豪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饶家豪签名"/>
                          <pic:cNvPicPr>
                            <a:picLocks noChangeAspect="1"/>
                          </pic:cNvPicPr>
                        </pic:nvPicPr>
                        <pic:blipFill>
                          <a:blip r:embed="rId30"/>
                          <a:stretch>
                            <a:fillRect/>
                          </a:stretch>
                        </pic:blipFill>
                        <pic:spPr>
                          <a:xfrm>
                            <a:off x="0" y="0"/>
                            <a:ext cx="1143000" cy="494030"/>
                          </a:xfrm>
                          <a:prstGeom prst="rect">
                            <a:avLst/>
                          </a:prstGeom>
                        </pic:spPr>
                      </pic:pic>
                    </a:graphicData>
                  </a:graphic>
                </wp:inline>
              </w:drawing>
            </w:r>
          </w:p>
        </w:tc>
      </w:tr>
      <w:tr w14:paraId="77ED4758">
        <w:tblPrEx>
          <w:tblCellMar>
            <w:top w:w="0" w:type="dxa"/>
            <w:left w:w="0" w:type="dxa"/>
            <w:bottom w:w="0" w:type="dxa"/>
            <w:right w:w="0" w:type="dxa"/>
          </w:tblCellMar>
        </w:tblPrEx>
        <w:trPr>
          <w:trHeight w:val="832" w:hRule="atLeast"/>
          <w:jc w:val="center"/>
        </w:trPr>
        <w:tc>
          <w:tcPr>
            <w:tcW w:w="5013" w:type="dxa"/>
            <w:vAlign w:val="center"/>
          </w:tcPr>
          <w:p w14:paraId="11F645AA">
            <w:pPr>
              <w:pStyle w:val="26"/>
              <w:keepNext w:val="0"/>
              <w:keepLines w:val="0"/>
              <w:pageBreakBefore w:val="0"/>
              <w:wordWrap w:val="0"/>
              <w:overflowPunct/>
              <w:topLinePunct w:val="0"/>
              <w:bidi w:val="0"/>
              <w:snapToGrid w:val="0"/>
              <w:spacing w:line="240" w:lineRule="auto"/>
              <w:jc w:val="distribute"/>
              <w:rPr>
                <w:rStyle w:val="27"/>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7"/>
                <w:rFonts w:hint="eastAsia" w:ascii="宋体" w:hAnsi="宋体" w:eastAsia="宋体" w:cs="宋体"/>
                <w:color w:val="000000" w:themeColor="text1"/>
                <w:spacing w:val="0"/>
                <w:kern w:val="0"/>
                <w:sz w:val="28"/>
                <w:szCs w:val="28"/>
                <w:highlight w:val="none"/>
                <w14:textFill>
                  <w14:solidFill>
                    <w14:schemeClr w14:val="tx1"/>
                  </w14:solidFill>
                </w14:textFill>
              </w:rPr>
              <w:t xml:space="preserve"> 招标文件编制日期：</w:t>
            </w:r>
          </w:p>
        </w:tc>
        <w:tc>
          <w:tcPr>
            <w:tcW w:w="4701" w:type="dxa"/>
            <w:vAlign w:val="center"/>
          </w:tcPr>
          <w:p w14:paraId="4CC93183">
            <w:pPr>
              <w:pStyle w:val="26"/>
              <w:keepNext w:val="0"/>
              <w:keepLines w:val="0"/>
              <w:pageBreakBefore w:val="0"/>
              <w:wordWrap w:val="0"/>
              <w:overflowPunct/>
              <w:topLinePunct w:val="0"/>
              <w:bidi w:val="0"/>
              <w:snapToGrid w:val="0"/>
              <w:spacing w:line="240" w:lineRule="auto"/>
              <w:rPr>
                <w:rStyle w:val="27"/>
                <w:rFonts w:hint="eastAsia" w:ascii="宋体" w:hAnsi="宋体" w:eastAsia="宋体" w:cs="宋体"/>
                <w:color w:val="000000" w:themeColor="text1"/>
                <w:spacing w:val="0"/>
                <w:kern w:val="0"/>
                <w:sz w:val="28"/>
                <w:szCs w:val="28"/>
                <w:highlight w:val="none"/>
                <w14:textFill>
                  <w14:solidFill>
                    <w14:schemeClr w14:val="tx1"/>
                  </w14:solidFill>
                </w14:textFill>
              </w:rPr>
            </w:pPr>
            <w:r>
              <w:rPr>
                <w:rStyle w:val="27"/>
                <w:rFonts w:hint="eastAsia" w:hAnsi="宋体" w:cs="宋体"/>
                <w:color w:val="000000" w:themeColor="text1"/>
                <w:spacing w:val="0"/>
                <w:kern w:val="0"/>
                <w:sz w:val="28"/>
                <w:szCs w:val="28"/>
                <w:highlight w:val="none"/>
                <w:lang w:val="en-US" w:eastAsia="zh-CN"/>
                <w14:textFill>
                  <w14:solidFill>
                    <w14:schemeClr w14:val="tx1"/>
                  </w14:solidFill>
                </w14:textFill>
              </w:rPr>
              <w:t>2026</w:t>
            </w:r>
            <w:r>
              <w:rPr>
                <w:rStyle w:val="27"/>
                <w:rFonts w:hint="eastAsia" w:ascii="宋体" w:hAnsi="宋体" w:eastAsia="宋体" w:cs="宋体"/>
                <w:color w:val="000000" w:themeColor="text1"/>
                <w:spacing w:val="0"/>
                <w:kern w:val="0"/>
                <w:sz w:val="28"/>
                <w:szCs w:val="28"/>
                <w:highlight w:val="none"/>
                <w14:textFill>
                  <w14:solidFill>
                    <w14:schemeClr w14:val="tx1"/>
                  </w14:solidFill>
                </w14:textFill>
              </w:rPr>
              <w:t>年</w:t>
            </w:r>
            <w:r>
              <w:rPr>
                <w:rStyle w:val="27"/>
                <w:rFonts w:hint="eastAsia" w:hAnsi="宋体" w:cs="宋体"/>
                <w:color w:val="000000" w:themeColor="text1"/>
                <w:spacing w:val="0"/>
                <w:kern w:val="0"/>
                <w:sz w:val="28"/>
                <w:szCs w:val="28"/>
                <w:highlight w:val="none"/>
                <w:lang w:val="en-US" w:eastAsia="zh-CN"/>
                <w14:textFill>
                  <w14:solidFill>
                    <w14:schemeClr w14:val="tx1"/>
                  </w14:solidFill>
                </w14:textFill>
              </w:rPr>
              <w:t>5</w:t>
            </w:r>
            <w:r>
              <w:rPr>
                <w:rStyle w:val="27"/>
                <w:rFonts w:hint="eastAsia" w:ascii="宋体" w:hAnsi="宋体" w:eastAsia="宋体" w:cs="宋体"/>
                <w:color w:val="000000" w:themeColor="text1"/>
                <w:spacing w:val="0"/>
                <w:kern w:val="0"/>
                <w:sz w:val="28"/>
                <w:szCs w:val="28"/>
                <w:highlight w:val="none"/>
                <w14:textFill>
                  <w14:solidFill>
                    <w14:schemeClr w14:val="tx1"/>
                  </w14:solidFill>
                </w14:textFill>
              </w:rPr>
              <w:t>月</w:t>
            </w:r>
          </w:p>
        </w:tc>
      </w:tr>
    </w:tbl>
    <w:p w14:paraId="7B96492F">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sectPr>
          <w:headerReference r:id="rId3"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p>
    <w:p w14:paraId="306B3DC9">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0A6D314A">
      <w:pPr>
        <w:keepNext w:val="0"/>
        <w:keepLines w:val="0"/>
        <w:pageBreakBefore w:val="0"/>
        <w:wordWrap w:val="0"/>
        <w:overflowPunct/>
        <w:topLinePunct w:val="0"/>
        <w:bidi w:val="0"/>
        <w:jc w:val="center"/>
        <w:rPr>
          <w:rFonts w:hint="eastAsia" w:ascii="宋体" w:hAnsi="宋体" w:eastAsia="宋体" w:cs="宋体"/>
          <w:b/>
          <w:bCs/>
          <w:color w:val="000000" w:themeColor="text1"/>
          <w:spacing w:val="0"/>
          <w:sz w:val="28"/>
          <w:szCs w:val="28"/>
          <w:highlight w:val="none"/>
          <w14:textFill>
            <w14:solidFill>
              <w14:schemeClr w14:val="tx1"/>
            </w14:solidFill>
          </w14:textFill>
        </w:rPr>
        <w:sectPr>
          <w:headerReference r:id="rId4" w:type="default"/>
          <w:footerReference r:id="rId5"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p>
    <w:p w14:paraId="088BE4E2">
      <w:pPr>
        <w:keepNext w:val="0"/>
        <w:keepLines w:val="0"/>
        <w:pageBreakBefore w:val="0"/>
        <w:wordWrap w:val="0"/>
        <w:overflowPunct/>
        <w:topLinePunct w:val="0"/>
        <w:bidi w:val="0"/>
        <w:jc w:val="center"/>
        <w:rPr>
          <w:rFonts w:hint="eastAsia" w:ascii="宋体" w:hAnsi="宋体" w:eastAsia="宋体" w:cs="宋体"/>
          <w:b/>
          <w:bCs/>
          <w:color w:val="000000" w:themeColor="text1"/>
          <w:spacing w:val="0"/>
          <w:sz w:val="28"/>
          <w:szCs w:val="28"/>
          <w:highlight w:val="none"/>
          <w14:textFill>
            <w14:solidFill>
              <w14:schemeClr w14:val="tx1"/>
            </w14:solidFill>
          </w14:textFill>
        </w:rPr>
      </w:pPr>
      <w:r>
        <w:rPr>
          <w:rFonts w:hint="eastAsia" w:ascii="宋体" w:hAnsi="宋体" w:eastAsia="宋体" w:cs="宋体"/>
          <w:b/>
          <w:bCs/>
          <w:color w:val="000000" w:themeColor="text1"/>
          <w:spacing w:val="0"/>
          <w:sz w:val="28"/>
          <w:szCs w:val="28"/>
          <w:highlight w:val="none"/>
          <w14:textFill>
            <w14:solidFill>
              <w14:schemeClr w14:val="tx1"/>
            </w14:solidFill>
          </w14:textFill>
        </w:rPr>
        <w:t>目录</w:t>
      </w:r>
    </w:p>
    <w:p w14:paraId="7A96931F">
      <w:pPr>
        <w:pStyle w:val="10"/>
        <w:tabs>
          <w:tab w:val="right" w:leader="dot" w:pos="9746"/>
        </w:tabs>
      </w:pPr>
      <w:r>
        <w:rPr>
          <w:rFonts w:hint="eastAsia" w:ascii="宋体" w:hAnsi="宋体" w:eastAsia="宋体" w:cs="宋体"/>
          <w:color w:val="000000" w:themeColor="text1"/>
          <w:spacing w:val="0"/>
          <w:sz w:val="24"/>
          <w:szCs w:val="24"/>
          <w:highlight w:val="none"/>
          <w14:textFill>
            <w14:solidFill>
              <w14:schemeClr w14:val="tx1"/>
            </w14:solidFill>
          </w14:textFill>
        </w:rPr>
        <w:fldChar w:fldCharType="begin"/>
      </w:r>
      <w:r>
        <w:rPr>
          <w:rFonts w:hint="eastAsia" w:ascii="宋体" w:hAnsi="宋体" w:eastAsia="宋体" w:cs="宋体"/>
          <w:color w:val="000000" w:themeColor="text1"/>
          <w:spacing w:val="0"/>
          <w:sz w:val="24"/>
          <w:szCs w:val="24"/>
          <w:highlight w:val="none"/>
          <w14:textFill>
            <w14:solidFill>
              <w14:schemeClr w14:val="tx1"/>
            </w14:solidFill>
          </w14:textFill>
        </w:rPr>
        <w:instrText xml:space="preserve">TOC \o "1-3" \h \u </w:instrText>
      </w:r>
      <w:r>
        <w:rPr>
          <w:rFonts w:hint="eastAsia" w:ascii="宋体" w:hAnsi="宋体" w:eastAsia="宋体" w:cs="宋体"/>
          <w:color w:val="000000" w:themeColor="text1"/>
          <w:spacing w:val="0"/>
          <w:sz w:val="24"/>
          <w:szCs w:val="24"/>
          <w:highlight w:val="none"/>
          <w14:textFill>
            <w14:solidFill>
              <w14:schemeClr w14:val="tx1"/>
            </w14:solidFill>
          </w14:textFill>
        </w:rPr>
        <w:fldChar w:fldCharType="separate"/>
      </w: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_Toc29358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第一章</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投标人须知</w:t>
      </w:r>
      <w:r>
        <w:tab/>
      </w:r>
      <w:r>
        <w:fldChar w:fldCharType="begin"/>
      </w:r>
      <w:r>
        <w:instrText xml:space="preserve"> PAGEREF _Toc29358 \h </w:instrText>
      </w:r>
      <w:r>
        <w:fldChar w:fldCharType="separate"/>
      </w:r>
      <w:r>
        <w:t>3</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FEECE9C">
      <w:pPr>
        <w:pStyle w:val="11"/>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_Toc31230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第一节</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投标人须知前附表</w:t>
      </w:r>
      <w:r>
        <w:tab/>
      </w:r>
      <w:r>
        <w:fldChar w:fldCharType="begin"/>
      </w:r>
      <w:r>
        <w:instrText xml:space="preserve"> PAGEREF _Toc31230 \h </w:instrText>
      </w:r>
      <w:r>
        <w:fldChar w:fldCharType="separate"/>
      </w:r>
      <w:r>
        <w:t>3</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DC580DC">
      <w:pPr>
        <w:pStyle w:val="11"/>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_Toc15159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第二节 重要事项时间地点一览表</w:t>
      </w:r>
      <w:r>
        <w:tab/>
      </w:r>
      <w:r>
        <w:fldChar w:fldCharType="begin"/>
      </w:r>
      <w:r>
        <w:instrText xml:space="preserve"> PAGEREF _Toc15159 \h </w:instrText>
      </w:r>
      <w:r>
        <w:fldChar w:fldCharType="separate"/>
      </w:r>
      <w:r>
        <w:t>10</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7A7F693">
      <w:pPr>
        <w:pStyle w:val="11"/>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_Toc23361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第三节</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投标人须知正文</w:t>
      </w:r>
      <w:r>
        <w:tab/>
      </w:r>
      <w:r>
        <w:fldChar w:fldCharType="begin"/>
      </w:r>
      <w:r>
        <w:instrText xml:space="preserve"> PAGEREF _Toc23361 \h </w:instrText>
      </w:r>
      <w:r>
        <w:fldChar w:fldCharType="separate"/>
      </w:r>
      <w:r>
        <w:t>11</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F7F796F">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_Toc21616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1 ．项目概况、招标范围和标段划分、投标费用等</w:t>
      </w:r>
      <w:r>
        <w:tab/>
      </w:r>
      <w:r>
        <w:fldChar w:fldCharType="begin"/>
      </w:r>
      <w:r>
        <w:instrText xml:space="preserve"> PAGEREF _Toc21616 \h </w:instrText>
      </w:r>
      <w:r>
        <w:fldChar w:fldCharType="separate"/>
      </w:r>
      <w:r>
        <w:t>11</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05BDC16">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_Toc4014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2．</w:t>
      </w:r>
      <w:r>
        <w:rPr>
          <w:rFonts w:hint="eastAsia" w:ascii="宋体" w:hAnsi="宋体" w:eastAsia="宋体" w:cs="宋体"/>
          <w:bCs w:val="0"/>
          <w:spacing w:val="0"/>
          <w:szCs w:val="24"/>
          <w:highlight w:val="none"/>
          <w:lang w:eastAsia="zh-CN"/>
        </w:rPr>
        <w:t>投标人</w:t>
      </w:r>
      <w:r>
        <w:rPr>
          <w:rFonts w:hint="eastAsia" w:ascii="宋体" w:hAnsi="宋体" w:eastAsia="宋体" w:cs="宋体"/>
          <w:bCs w:val="0"/>
          <w:spacing w:val="0"/>
          <w:szCs w:val="24"/>
          <w:highlight w:val="none"/>
        </w:rPr>
        <w:t>资</w:t>
      </w:r>
      <w:r>
        <w:rPr>
          <w:rFonts w:hint="eastAsia" w:ascii="宋体" w:hAnsi="宋体" w:eastAsia="宋体" w:cs="宋体"/>
          <w:bCs w:val="0"/>
          <w:spacing w:val="0"/>
          <w:szCs w:val="24"/>
          <w:highlight w:val="none"/>
          <w:lang w:val="en-US" w:eastAsia="zh-CN"/>
        </w:rPr>
        <w:t>格</w:t>
      </w:r>
      <w:r>
        <w:rPr>
          <w:rFonts w:hint="eastAsia" w:ascii="宋体" w:hAnsi="宋体" w:eastAsia="宋体" w:cs="宋体"/>
          <w:bCs w:val="0"/>
          <w:spacing w:val="0"/>
          <w:szCs w:val="24"/>
          <w:highlight w:val="none"/>
        </w:rPr>
        <w:t>要求</w:t>
      </w:r>
      <w:r>
        <w:tab/>
      </w:r>
      <w:r>
        <w:fldChar w:fldCharType="begin"/>
      </w:r>
      <w:r>
        <w:instrText xml:space="preserve"> PAGEREF _Toc4014 \h </w:instrText>
      </w:r>
      <w:r>
        <w:fldChar w:fldCharType="separate"/>
      </w:r>
      <w:r>
        <w:t>12</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C013963">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_Toc4487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3．招标文件的获取</w:t>
      </w:r>
      <w:r>
        <w:tab/>
      </w:r>
      <w:r>
        <w:fldChar w:fldCharType="begin"/>
      </w:r>
      <w:r>
        <w:instrText xml:space="preserve"> PAGEREF _Toc4487 \h </w:instrText>
      </w:r>
      <w:r>
        <w:fldChar w:fldCharType="separate"/>
      </w:r>
      <w:r>
        <w:t>14</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5814477">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_Toc14703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4</w:t>
      </w:r>
      <w:r>
        <w:rPr>
          <w:rFonts w:hint="eastAsia" w:ascii="宋体" w:hAnsi="宋体" w:eastAsia="宋体" w:cs="宋体"/>
          <w:bCs/>
          <w:spacing w:val="0"/>
          <w:szCs w:val="24"/>
          <w:highlight w:val="none"/>
          <w:lang w:val="en-US" w:eastAsia="zh-CN"/>
        </w:rPr>
        <w:t xml:space="preserve"> </w:t>
      </w:r>
      <w:r>
        <w:rPr>
          <w:rFonts w:hint="eastAsia" w:ascii="宋体" w:hAnsi="宋体" w:eastAsia="宋体" w:cs="宋体"/>
          <w:bCs/>
          <w:spacing w:val="0"/>
          <w:szCs w:val="24"/>
          <w:highlight w:val="none"/>
        </w:rPr>
        <w:t>．工期要求</w:t>
      </w:r>
      <w:r>
        <w:tab/>
      </w:r>
      <w:r>
        <w:fldChar w:fldCharType="begin"/>
      </w:r>
      <w:r>
        <w:instrText xml:space="preserve"> PAGEREF _Toc14703 \h </w:instrText>
      </w:r>
      <w:r>
        <w:fldChar w:fldCharType="separate"/>
      </w:r>
      <w:r>
        <w:t>15</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172FDF8">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_Toc8399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5</w:t>
      </w:r>
      <w:r>
        <w:rPr>
          <w:rFonts w:hint="eastAsia" w:ascii="宋体" w:hAnsi="宋体" w:eastAsia="宋体" w:cs="宋体"/>
          <w:bCs/>
          <w:spacing w:val="0"/>
          <w:szCs w:val="24"/>
          <w:highlight w:val="none"/>
          <w:lang w:val="en-US" w:eastAsia="zh-CN"/>
        </w:rPr>
        <w:t xml:space="preserve"> </w:t>
      </w:r>
      <w:r>
        <w:rPr>
          <w:rFonts w:hint="eastAsia" w:ascii="宋体" w:hAnsi="宋体" w:eastAsia="宋体" w:cs="宋体"/>
          <w:bCs/>
          <w:spacing w:val="0"/>
          <w:szCs w:val="24"/>
          <w:highlight w:val="none"/>
        </w:rPr>
        <w:t>．质量标准和材料、机械要求</w:t>
      </w:r>
      <w:r>
        <w:tab/>
      </w:r>
      <w:r>
        <w:fldChar w:fldCharType="begin"/>
      </w:r>
      <w:r>
        <w:instrText xml:space="preserve"> PAGEREF _Toc8399 \h </w:instrText>
      </w:r>
      <w:r>
        <w:fldChar w:fldCharType="separate"/>
      </w:r>
      <w:r>
        <w:t>15</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6104C25">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_Toc22299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6 ．施工条件及现场踏勘</w:t>
      </w:r>
      <w:r>
        <w:tab/>
      </w:r>
      <w:r>
        <w:fldChar w:fldCharType="begin"/>
      </w:r>
      <w:r>
        <w:instrText xml:space="preserve"> PAGEREF _Toc22299 \h </w:instrText>
      </w:r>
      <w:r>
        <w:fldChar w:fldCharType="separate"/>
      </w:r>
      <w:r>
        <w:t>16</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794F00E">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_Toc4578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7 ．招标文件的提问和答疑</w:t>
      </w:r>
      <w:r>
        <w:tab/>
      </w:r>
      <w:r>
        <w:fldChar w:fldCharType="begin"/>
      </w:r>
      <w:r>
        <w:instrText xml:space="preserve"> PAGEREF _Toc4578 \h </w:instrText>
      </w:r>
      <w:r>
        <w:fldChar w:fldCharType="separate"/>
      </w:r>
      <w:r>
        <w:t>17</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2D5F1AC">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_Toc8122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8 ．</w:t>
      </w:r>
      <w:r>
        <w:rPr>
          <w:rFonts w:hint="eastAsia" w:ascii="宋体" w:hAnsi="宋体" w:eastAsia="宋体" w:cs="宋体"/>
          <w:bCs/>
          <w:spacing w:val="0"/>
          <w:szCs w:val="24"/>
          <w:highlight w:val="none"/>
          <w:lang w:eastAsia="zh-CN"/>
        </w:rPr>
        <w:t>最高投标限价</w:t>
      </w:r>
      <w:r>
        <w:tab/>
      </w:r>
      <w:r>
        <w:fldChar w:fldCharType="begin"/>
      </w:r>
      <w:r>
        <w:instrText xml:space="preserve"> PAGEREF _Toc8122 \h </w:instrText>
      </w:r>
      <w:r>
        <w:fldChar w:fldCharType="separate"/>
      </w:r>
      <w:r>
        <w:t>17</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AFF3357">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_Toc30237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9 ．投标报价</w:t>
      </w:r>
      <w:r>
        <w:tab/>
      </w:r>
      <w:r>
        <w:fldChar w:fldCharType="begin"/>
      </w:r>
      <w:r>
        <w:instrText xml:space="preserve"> PAGEREF _Toc30237 \h </w:instrText>
      </w:r>
      <w:r>
        <w:fldChar w:fldCharType="separate"/>
      </w:r>
      <w:r>
        <w:t>19</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D10BD61">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_Toc990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10 ．投标文件的编制要求</w:t>
      </w:r>
      <w:r>
        <w:tab/>
      </w:r>
      <w:r>
        <w:fldChar w:fldCharType="begin"/>
      </w:r>
      <w:r>
        <w:instrText xml:space="preserve"> PAGEREF _Toc990 \h </w:instrText>
      </w:r>
      <w:r>
        <w:fldChar w:fldCharType="separate"/>
      </w:r>
      <w:r>
        <w:t>20</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3E18FF4">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_Toc13772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 xml:space="preserve">11. </w:t>
      </w:r>
      <w:r>
        <w:rPr>
          <w:rFonts w:hint="eastAsia" w:ascii="宋体" w:hAnsi="宋体" w:eastAsia="宋体" w:cs="宋体"/>
          <w:spacing w:val="0"/>
          <w:szCs w:val="24"/>
          <w:highlight w:val="none"/>
        </w:rPr>
        <w:t>电子投标</w:t>
      </w:r>
      <w:r>
        <w:tab/>
      </w:r>
      <w:r>
        <w:fldChar w:fldCharType="begin"/>
      </w:r>
      <w:r>
        <w:instrText xml:space="preserve"> PAGEREF _Toc13772 \h </w:instrText>
      </w:r>
      <w:r>
        <w:fldChar w:fldCharType="separate"/>
      </w:r>
      <w:r>
        <w:t>24</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6DE5E88">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_Toc9378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lang w:val="en-US" w:eastAsia="zh-CN"/>
        </w:rPr>
        <w:t>12.</w:t>
      </w:r>
      <w:r>
        <w:rPr>
          <w:rFonts w:hint="eastAsia" w:ascii="宋体" w:hAnsi="宋体" w:eastAsia="宋体" w:cs="宋体"/>
          <w:bCs/>
          <w:spacing w:val="0"/>
          <w:w w:val="101"/>
          <w:szCs w:val="24"/>
          <w:highlight w:val="none"/>
        </w:rPr>
        <w:t xml:space="preserve"> </w:t>
      </w:r>
      <w:r>
        <w:rPr>
          <w:rFonts w:hint="eastAsia" w:ascii="宋体" w:hAnsi="宋体" w:eastAsia="宋体" w:cs="宋体"/>
          <w:bCs/>
          <w:spacing w:val="0"/>
          <w:szCs w:val="24"/>
          <w:highlight w:val="none"/>
        </w:rPr>
        <w:t>电子投标及投标解密失败及突发情况的补救方案</w:t>
      </w:r>
      <w:r>
        <w:tab/>
      </w:r>
      <w:r>
        <w:fldChar w:fldCharType="begin"/>
      </w:r>
      <w:r>
        <w:instrText xml:space="preserve"> PAGEREF _Toc9378 \h </w:instrText>
      </w:r>
      <w:r>
        <w:fldChar w:fldCharType="separate"/>
      </w:r>
      <w:r>
        <w:t>24</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8717BC6">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_Toc18349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13 ．投标文件的提交</w:t>
      </w:r>
      <w:r>
        <w:tab/>
      </w:r>
      <w:r>
        <w:fldChar w:fldCharType="begin"/>
      </w:r>
      <w:r>
        <w:instrText xml:space="preserve"> PAGEREF _Toc18349 \h </w:instrText>
      </w:r>
      <w:r>
        <w:fldChar w:fldCharType="separate"/>
      </w:r>
      <w:r>
        <w:t>25</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31073D5">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_Toc22417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14 ．开标</w:t>
      </w:r>
      <w:r>
        <w:tab/>
      </w:r>
      <w:r>
        <w:fldChar w:fldCharType="begin"/>
      </w:r>
      <w:r>
        <w:instrText xml:space="preserve"> PAGEREF _Toc22417 \h </w:instrText>
      </w:r>
      <w:r>
        <w:fldChar w:fldCharType="separate"/>
      </w:r>
      <w:r>
        <w:t>25</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1B8A76F">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_Toc9669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15 ．评标</w:t>
      </w:r>
      <w:r>
        <w:tab/>
      </w:r>
      <w:r>
        <w:fldChar w:fldCharType="begin"/>
      </w:r>
      <w:r>
        <w:instrText xml:space="preserve"> PAGEREF _Toc9669 \h </w:instrText>
      </w:r>
      <w:r>
        <w:fldChar w:fldCharType="separate"/>
      </w:r>
      <w:r>
        <w:t>26</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0A819E0">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_Toc18108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16 ．</w:t>
      </w:r>
      <w:r>
        <w:rPr>
          <w:rFonts w:hint="eastAsia" w:ascii="宋体" w:hAnsi="宋体" w:eastAsia="宋体" w:cs="宋体"/>
          <w:bCs/>
          <w:spacing w:val="0"/>
          <w:szCs w:val="24"/>
          <w:highlight w:val="none"/>
          <w:lang w:eastAsia="zh-CN"/>
        </w:rPr>
        <w:t>评标结果公示</w:t>
      </w:r>
      <w:r>
        <w:tab/>
      </w:r>
      <w:r>
        <w:fldChar w:fldCharType="begin"/>
      </w:r>
      <w:r>
        <w:instrText xml:space="preserve"> PAGEREF _Toc18108 \h </w:instrText>
      </w:r>
      <w:r>
        <w:fldChar w:fldCharType="separate"/>
      </w:r>
      <w:r>
        <w:t>37</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11523FB">
      <w:pPr>
        <w:pStyle w:val="11"/>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_Toc29076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第四节</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否决投标条件</w:t>
      </w:r>
      <w:r>
        <w:tab/>
      </w:r>
      <w:r>
        <w:fldChar w:fldCharType="begin"/>
      </w:r>
      <w:r>
        <w:instrText xml:space="preserve"> PAGEREF _Toc29076 \h </w:instrText>
      </w:r>
      <w:r>
        <w:fldChar w:fldCharType="separate"/>
      </w:r>
      <w:r>
        <w:t>38</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BCA501E">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_Toc30343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1 ．资格评审环节</w:t>
      </w:r>
      <w:r>
        <w:tab/>
      </w:r>
      <w:r>
        <w:fldChar w:fldCharType="begin"/>
      </w:r>
      <w:r>
        <w:instrText xml:space="preserve"> PAGEREF _Toc30343 \h </w:instrText>
      </w:r>
      <w:r>
        <w:fldChar w:fldCharType="separate"/>
      </w:r>
      <w:r>
        <w:t>38</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7CB8727">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_Toc2857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2 ．形式评审环节</w:t>
      </w:r>
      <w:r>
        <w:tab/>
      </w:r>
      <w:r>
        <w:fldChar w:fldCharType="begin"/>
      </w:r>
      <w:r>
        <w:instrText xml:space="preserve"> PAGEREF _Toc2857 \h </w:instrText>
      </w:r>
      <w:r>
        <w:fldChar w:fldCharType="separate"/>
      </w:r>
      <w:r>
        <w:t>39</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B897EC8">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_Toc1794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3 ．响应性评审环节</w:t>
      </w:r>
      <w:r>
        <w:tab/>
      </w:r>
      <w:r>
        <w:fldChar w:fldCharType="begin"/>
      </w:r>
      <w:r>
        <w:instrText xml:space="preserve"> PAGEREF _Toc1794 \h </w:instrText>
      </w:r>
      <w:r>
        <w:fldChar w:fldCharType="separate"/>
      </w:r>
      <w:r>
        <w:t>39</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98E2D6C">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_Toc14765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4 ．其他</w:t>
      </w:r>
      <w:r>
        <w:tab/>
      </w:r>
      <w:r>
        <w:fldChar w:fldCharType="begin"/>
      </w:r>
      <w:r>
        <w:instrText xml:space="preserve"> PAGEREF _Toc14765 \h </w:instrText>
      </w:r>
      <w:r>
        <w:fldChar w:fldCharType="separate"/>
      </w:r>
      <w:r>
        <w:t>40</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995C196">
      <w:pPr>
        <w:pStyle w:val="11"/>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_Toc29882 </w:instrText>
      </w:r>
      <w:r>
        <w:rPr>
          <w:rFonts w:hint="eastAsia" w:ascii="宋体" w:hAnsi="宋体" w:eastAsia="宋体" w:cs="宋体"/>
          <w:spacing w:val="0"/>
          <w:szCs w:val="24"/>
          <w:highlight w:val="none"/>
        </w:rPr>
        <w:fldChar w:fldCharType="separate"/>
      </w:r>
      <w:r>
        <w:rPr>
          <w:rFonts w:hint="eastAsia" w:ascii="宋体" w:hAnsi="宋体" w:eastAsia="宋体" w:cs="宋体"/>
          <w:bCs/>
          <w:snapToGrid/>
          <w:kern w:val="2"/>
          <w:szCs w:val="24"/>
          <w:highlight w:val="none"/>
          <w:lang w:eastAsia="zh-CN"/>
        </w:rPr>
        <w:t>第</w:t>
      </w:r>
      <w:r>
        <w:rPr>
          <w:rFonts w:hint="eastAsia" w:ascii="宋体" w:hAnsi="宋体" w:eastAsia="宋体" w:cs="宋体"/>
          <w:bCs/>
          <w:snapToGrid/>
          <w:kern w:val="2"/>
          <w:szCs w:val="24"/>
          <w:highlight w:val="none"/>
          <w:lang w:val="en-US" w:eastAsia="zh-CN"/>
        </w:rPr>
        <w:t>五</w:t>
      </w:r>
      <w:r>
        <w:rPr>
          <w:rFonts w:hint="eastAsia" w:ascii="宋体" w:hAnsi="宋体" w:eastAsia="宋体" w:cs="宋体"/>
          <w:bCs/>
          <w:snapToGrid/>
          <w:kern w:val="2"/>
          <w:szCs w:val="24"/>
          <w:highlight w:val="none"/>
          <w:lang w:eastAsia="zh-CN"/>
        </w:rPr>
        <w:t>节 定标规定</w:t>
      </w:r>
      <w:r>
        <w:rPr>
          <w:rFonts w:hint="eastAsia" w:ascii="宋体" w:hAnsi="宋体" w:eastAsia="宋体" w:cs="宋体"/>
          <w:bCs/>
          <w:snapToGrid/>
          <w:kern w:val="2"/>
          <w:szCs w:val="24"/>
          <w:highlight w:val="none"/>
          <w:lang w:val="en-US" w:eastAsia="zh-CN"/>
        </w:rPr>
        <w:t>及细则（本项目采用票决数量法定标）</w:t>
      </w:r>
      <w:r>
        <w:tab/>
      </w:r>
      <w:r>
        <w:fldChar w:fldCharType="begin"/>
      </w:r>
      <w:r>
        <w:instrText xml:space="preserve"> PAGEREF _Toc29882 \h </w:instrText>
      </w:r>
      <w:r>
        <w:fldChar w:fldCharType="separate"/>
      </w:r>
      <w:r>
        <w:t>41</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EF32D0A">
      <w:pPr>
        <w:pStyle w:val="11"/>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_Toc14677 </w:instrText>
      </w:r>
      <w:r>
        <w:rPr>
          <w:rFonts w:hint="eastAsia" w:ascii="宋体" w:hAnsi="宋体" w:eastAsia="宋体" w:cs="宋体"/>
          <w:spacing w:val="0"/>
          <w:szCs w:val="24"/>
          <w:highlight w:val="none"/>
        </w:rPr>
        <w:fldChar w:fldCharType="separate"/>
      </w:r>
      <w:r>
        <w:rPr>
          <w:rFonts w:hint="eastAsia" w:ascii="宋体" w:hAnsi="宋体" w:eastAsia="宋体" w:cs="宋体"/>
          <w:bCs/>
          <w:snapToGrid/>
          <w:kern w:val="2"/>
          <w:szCs w:val="24"/>
          <w:highlight w:val="none"/>
          <w:lang w:eastAsia="zh-CN"/>
        </w:rPr>
        <w:t>第</w:t>
      </w:r>
      <w:r>
        <w:rPr>
          <w:rFonts w:hint="eastAsia" w:ascii="宋体" w:hAnsi="宋体" w:eastAsia="宋体" w:cs="宋体"/>
          <w:bCs/>
          <w:snapToGrid/>
          <w:kern w:val="2"/>
          <w:szCs w:val="24"/>
          <w:highlight w:val="none"/>
          <w:lang w:val="en-US" w:eastAsia="zh-CN"/>
        </w:rPr>
        <w:t>六</w:t>
      </w:r>
      <w:r>
        <w:rPr>
          <w:rFonts w:hint="eastAsia" w:ascii="宋体" w:hAnsi="宋体" w:eastAsia="宋体" w:cs="宋体"/>
          <w:bCs/>
          <w:snapToGrid/>
          <w:kern w:val="2"/>
          <w:szCs w:val="24"/>
          <w:highlight w:val="none"/>
          <w:lang w:eastAsia="zh-CN"/>
        </w:rPr>
        <w:t>节 中标确认</w:t>
      </w:r>
      <w:r>
        <w:tab/>
      </w:r>
      <w:r>
        <w:fldChar w:fldCharType="begin"/>
      </w:r>
      <w:r>
        <w:instrText xml:space="preserve"> PAGEREF _Toc14677 \h </w:instrText>
      </w:r>
      <w:r>
        <w:fldChar w:fldCharType="separate"/>
      </w:r>
      <w:r>
        <w:t>43</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9CF0C55">
      <w:pPr>
        <w:pStyle w:val="10"/>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_Toc32109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第二章</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中标人须知</w:t>
      </w:r>
      <w:r>
        <w:tab/>
      </w:r>
      <w:r>
        <w:fldChar w:fldCharType="begin"/>
      </w:r>
      <w:r>
        <w:instrText xml:space="preserve"> PAGEREF _Toc32109 \h </w:instrText>
      </w:r>
      <w:r>
        <w:fldChar w:fldCharType="separate"/>
      </w:r>
      <w:r>
        <w:t>46</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BD94B4E">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_Toc25056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1 ．中标通知书</w:t>
      </w:r>
      <w:r>
        <w:tab/>
      </w:r>
      <w:r>
        <w:fldChar w:fldCharType="begin"/>
      </w:r>
      <w:r>
        <w:instrText xml:space="preserve"> PAGEREF _Toc25056 \h </w:instrText>
      </w:r>
      <w:r>
        <w:fldChar w:fldCharType="separate"/>
      </w:r>
      <w:r>
        <w:t>46</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A5ECB7F">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_Toc12037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2 ．中标结果公示</w:t>
      </w:r>
      <w:r>
        <w:tab/>
      </w:r>
      <w:r>
        <w:fldChar w:fldCharType="begin"/>
      </w:r>
      <w:r>
        <w:instrText xml:space="preserve"> PAGEREF _Toc12037 \h </w:instrText>
      </w:r>
      <w:r>
        <w:fldChar w:fldCharType="separate"/>
      </w:r>
      <w:r>
        <w:t>46</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E77649E">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_Toc29195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3 ．履约保证</w:t>
      </w:r>
      <w:r>
        <w:tab/>
      </w:r>
      <w:r>
        <w:fldChar w:fldCharType="begin"/>
      </w:r>
      <w:r>
        <w:instrText xml:space="preserve"> PAGEREF _Toc29195 \h </w:instrText>
      </w:r>
      <w:r>
        <w:fldChar w:fldCharType="separate"/>
      </w:r>
      <w:r>
        <w:t>46</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D644F0A">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_Toc7110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4 ．合同订立</w:t>
      </w:r>
      <w:r>
        <w:tab/>
      </w:r>
      <w:r>
        <w:fldChar w:fldCharType="begin"/>
      </w:r>
      <w:r>
        <w:instrText xml:space="preserve"> PAGEREF _Toc7110 \h </w:instrText>
      </w:r>
      <w:r>
        <w:fldChar w:fldCharType="separate"/>
      </w:r>
      <w:r>
        <w:t>46</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978D047">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_Toc12195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5 ．放弃中标的处理</w:t>
      </w:r>
      <w:r>
        <w:tab/>
      </w:r>
      <w:r>
        <w:fldChar w:fldCharType="begin"/>
      </w:r>
      <w:r>
        <w:instrText xml:space="preserve"> PAGEREF _Toc12195 \h </w:instrText>
      </w:r>
      <w:r>
        <w:fldChar w:fldCharType="separate"/>
      </w:r>
      <w:r>
        <w:t>48</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40245F6">
      <w:pPr>
        <w:pStyle w:val="10"/>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_Toc17556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第三章</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拟签订合同的主要条款</w:t>
      </w:r>
      <w:r>
        <w:tab/>
      </w:r>
      <w:r>
        <w:fldChar w:fldCharType="begin"/>
      </w:r>
      <w:r>
        <w:instrText xml:space="preserve"> PAGEREF _Toc17556 \h </w:instrText>
      </w:r>
      <w:r>
        <w:fldChar w:fldCharType="separate"/>
      </w:r>
      <w:r>
        <w:t>49</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8D4E236">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_Toc18712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1 ．工程承包方式</w:t>
      </w:r>
      <w:r>
        <w:tab/>
      </w:r>
      <w:r>
        <w:fldChar w:fldCharType="begin"/>
      </w:r>
      <w:r>
        <w:instrText xml:space="preserve"> PAGEREF _Toc18712 \h </w:instrText>
      </w:r>
      <w:r>
        <w:fldChar w:fldCharType="separate"/>
      </w:r>
      <w:r>
        <w:t>49</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5B461AD">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_Toc4793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2 ．工程结算原则</w:t>
      </w:r>
      <w:r>
        <w:tab/>
      </w:r>
      <w:r>
        <w:fldChar w:fldCharType="begin"/>
      </w:r>
      <w:r>
        <w:instrText xml:space="preserve"> PAGEREF _Toc4793 \h </w:instrText>
      </w:r>
      <w:r>
        <w:fldChar w:fldCharType="separate"/>
      </w:r>
      <w:r>
        <w:t>49</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7BE290B">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_Toc3264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3. 工程付款办法</w:t>
      </w:r>
      <w:r>
        <w:tab/>
      </w:r>
      <w:r>
        <w:fldChar w:fldCharType="begin"/>
      </w:r>
      <w:r>
        <w:instrText xml:space="preserve"> PAGEREF _Toc3264 \h </w:instrText>
      </w:r>
      <w:r>
        <w:fldChar w:fldCharType="separate"/>
      </w:r>
      <w:r>
        <w:t>55</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62FF3EB">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_Toc17560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4 ．其他专用合同条款</w:t>
      </w:r>
      <w:r>
        <w:tab/>
      </w:r>
      <w:r>
        <w:fldChar w:fldCharType="begin"/>
      </w:r>
      <w:r>
        <w:instrText xml:space="preserve"> PAGEREF _Toc17560 \h </w:instrText>
      </w:r>
      <w:r>
        <w:fldChar w:fldCharType="separate"/>
      </w:r>
      <w:r>
        <w:t>56</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8BFC41A">
      <w:pPr>
        <w:pStyle w:val="10"/>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_Toc27443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第四章</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技术要求</w:t>
      </w:r>
      <w:r>
        <w:tab/>
      </w:r>
      <w:r>
        <w:fldChar w:fldCharType="begin"/>
      </w:r>
      <w:r>
        <w:instrText xml:space="preserve"> PAGEREF _Toc27443 \h </w:instrText>
      </w:r>
      <w:r>
        <w:fldChar w:fldCharType="separate"/>
      </w:r>
      <w:r>
        <w:t>64</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79FF52F">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_Toc3371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1 ．房屋建筑工程建设项目</w:t>
      </w:r>
      <w:r>
        <w:tab/>
      </w:r>
      <w:r>
        <w:fldChar w:fldCharType="begin"/>
      </w:r>
      <w:r>
        <w:instrText xml:space="preserve"> PAGEREF _Toc3371 \h </w:instrText>
      </w:r>
      <w:r>
        <w:fldChar w:fldCharType="separate"/>
      </w:r>
      <w:r>
        <w:t>64</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AC16D2F">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_Toc9561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2 ．市政基础设施工程建设项目</w:t>
      </w:r>
      <w:r>
        <w:tab/>
      </w:r>
      <w:r>
        <w:fldChar w:fldCharType="begin"/>
      </w:r>
      <w:r>
        <w:instrText xml:space="preserve"> PAGEREF _Toc9561 \h </w:instrText>
      </w:r>
      <w:r>
        <w:fldChar w:fldCharType="separate"/>
      </w:r>
      <w:r>
        <w:t>64</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0DEA08F">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_Toc25663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3 ．备查要求</w:t>
      </w:r>
      <w:r>
        <w:tab/>
      </w:r>
      <w:r>
        <w:fldChar w:fldCharType="begin"/>
      </w:r>
      <w:r>
        <w:instrText xml:space="preserve"> PAGEREF _Toc25663 \h </w:instrText>
      </w:r>
      <w:r>
        <w:fldChar w:fldCharType="separate"/>
      </w:r>
      <w:r>
        <w:t>65</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ECB8474">
      <w:pPr>
        <w:pStyle w:val="10"/>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_Toc19497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第五章</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图纸和招标工程量清单</w:t>
      </w:r>
      <w:r>
        <w:tab/>
      </w:r>
      <w:r>
        <w:fldChar w:fldCharType="begin"/>
      </w:r>
      <w:r>
        <w:instrText xml:space="preserve"> PAGEREF _Toc19497 \h </w:instrText>
      </w:r>
      <w:r>
        <w:fldChar w:fldCharType="separate"/>
      </w:r>
      <w:r>
        <w:t>66</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1586A40">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_Toc13773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1 ．图纸</w:t>
      </w:r>
      <w:r>
        <w:tab/>
      </w:r>
      <w:r>
        <w:fldChar w:fldCharType="begin"/>
      </w:r>
      <w:r>
        <w:instrText xml:space="preserve"> PAGEREF _Toc13773 \h </w:instrText>
      </w:r>
      <w:r>
        <w:fldChar w:fldCharType="separate"/>
      </w:r>
      <w:r>
        <w:t>66</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A47AB8F">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_Toc10026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2 ．招标工程量清单</w:t>
      </w:r>
      <w:r>
        <w:tab/>
      </w:r>
      <w:r>
        <w:fldChar w:fldCharType="begin"/>
      </w:r>
      <w:r>
        <w:instrText xml:space="preserve"> PAGEREF _Toc10026 \h </w:instrText>
      </w:r>
      <w:r>
        <w:fldChar w:fldCharType="separate"/>
      </w:r>
      <w:r>
        <w:t>66</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980ADFD">
      <w:pPr>
        <w:pStyle w:val="10"/>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_Toc20707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第六章</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投标文件格式</w:t>
      </w:r>
      <w:r>
        <w:tab/>
      </w:r>
      <w:r>
        <w:fldChar w:fldCharType="begin"/>
      </w:r>
      <w:r>
        <w:instrText xml:space="preserve"> PAGEREF _Toc20707 \h </w:instrText>
      </w:r>
      <w:r>
        <w:fldChar w:fldCharType="separate"/>
      </w:r>
      <w:r>
        <w:t>67</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B0D1C22">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_Toc55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格式一</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封面</w:t>
      </w:r>
      <w:r>
        <w:tab/>
      </w:r>
      <w:r>
        <w:fldChar w:fldCharType="begin"/>
      </w:r>
      <w:r>
        <w:instrText xml:space="preserve"> PAGEREF _Toc55 \h </w:instrText>
      </w:r>
      <w:r>
        <w:fldChar w:fldCharType="separate"/>
      </w:r>
      <w:r>
        <w:t>67</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270CCC8">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_Toc15089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格式二 投标函</w:t>
      </w:r>
      <w:r>
        <w:tab/>
      </w:r>
      <w:r>
        <w:fldChar w:fldCharType="begin"/>
      </w:r>
      <w:r>
        <w:instrText xml:space="preserve"> PAGEREF _Toc15089 \h </w:instrText>
      </w:r>
      <w:r>
        <w:fldChar w:fldCharType="separate"/>
      </w:r>
      <w:r>
        <w:t>68</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EEAD4E8">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_Toc1551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格式三 各项承诺一览表</w:t>
      </w:r>
      <w:r>
        <w:tab/>
      </w:r>
      <w:r>
        <w:fldChar w:fldCharType="begin"/>
      </w:r>
      <w:r>
        <w:instrText xml:space="preserve"> PAGEREF _Toc1551 \h </w:instrText>
      </w:r>
      <w:r>
        <w:fldChar w:fldCharType="separate"/>
      </w:r>
      <w:r>
        <w:t>69</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11BD14D">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_Toc29314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格式四 授权委托书</w:t>
      </w:r>
      <w:r>
        <w:tab/>
      </w:r>
      <w:r>
        <w:fldChar w:fldCharType="begin"/>
      </w:r>
      <w:r>
        <w:instrText xml:space="preserve"> PAGEREF _Toc29314 \h </w:instrText>
      </w:r>
      <w:r>
        <w:fldChar w:fldCharType="separate"/>
      </w:r>
      <w:r>
        <w:t>71</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6D3608C">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_Toc17591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格式五 法定代表人身份证明</w:t>
      </w:r>
      <w:r>
        <w:tab/>
      </w:r>
      <w:r>
        <w:fldChar w:fldCharType="begin"/>
      </w:r>
      <w:r>
        <w:instrText xml:space="preserve"> PAGEREF _Toc17591 \h </w:instrText>
      </w:r>
      <w:r>
        <w:fldChar w:fldCharType="separate"/>
      </w:r>
      <w:r>
        <w:t>72</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49C75B9">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_Toc17565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格式六 联合体协议书</w:t>
      </w:r>
      <w:r>
        <w:tab/>
      </w:r>
      <w:r>
        <w:fldChar w:fldCharType="begin"/>
      </w:r>
      <w:r>
        <w:instrText xml:space="preserve"> PAGEREF _Toc17565 \h </w:instrText>
      </w:r>
      <w:r>
        <w:fldChar w:fldCharType="separate"/>
      </w:r>
      <w:r>
        <w:t>73</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F49AD2B">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_Toc27078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格式七 投标人基本情况表</w:t>
      </w:r>
      <w:r>
        <w:tab/>
      </w:r>
      <w:r>
        <w:fldChar w:fldCharType="begin"/>
      </w:r>
      <w:r>
        <w:instrText xml:space="preserve"> PAGEREF _Toc27078 \h </w:instrText>
      </w:r>
      <w:r>
        <w:fldChar w:fldCharType="separate"/>
      </w:r>
      <w:r>
        <w:t>74</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983920F">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_Toc12910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格式八 项目经理简历表</w:t>
      </w:r>
      <w:r>
        <w:tab/>
      </w:r>
      <w:r>
        <w:fldChar w:fldCharType="begin"/>
      </w:r>
      <w:r>
        <w:instrText xml:space="preserve"> PAGEREF _Toc12910 \h </w:instrText>
      </w:r>
      <w:r>
        <w:fldChar w:fldCharType="separate"/>
      </w:r>
      <w:r>
        <w:t>75</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2DDB08D">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_Toc4318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格式九 项目经理任职声明</w:t>
      </w:r>
      <w:r>
        <w:tab/>
      </w:r>
      <w:r>
        <w:fldChar w:fldCharType="begin"/>
      </w:r>
      <w:r>
        <w:instrText xml:space="preserve"> PAGEREF _Toc4318 \h </w:instrText>
      </w:r>
      <w:r>
        <w:fldChar w:fldCharType="separate"/>
      </w:r>
      <w:r>
        <w:t>76</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9BD01A3">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_Toc10485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格式十 项目技术负责人简历表</w:t>
      </w:r>
      <w:r>
        <w:tab/>
      </w:r>
      <w:r>
        <w:fldChar w:fldCharType="begin"/>
      </w:r>
      <w:r>
        <w:instrText xml:space="preserve"> PAGEREF _Toc10485 \h </w:instrText>
      </w:r>
      <w:r>
        <w:fldChar w:fldCharType="separate"/>
      </w:r>
      <w:r>
        <w:t>77</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E653EDF">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_Toc6725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格式十一 项目管理机构组成表</w:t>
      </w:r>
      <w:r>
        <w:tab/>
      </w:r>
      <w:r>
        <w:fldChar w:fldCharType="begin"/>
      </w:r>
      <w:r>
        <w:instrText xml:space="preserve"> PAGEREF _Toc6725 \h </w:instrText>
      </w:r>
      <w:r>
        <w:fldChar w:fldCharType="separate"/>
      </w:r>
      <w:r>
        <w:t>78</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21F1E9A">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_Toc8327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格式十二 建造师查询页（有效期+建造师签字）</w:t>
      </w:r>
      <w:r>
        <w:tab/>
      </w:r>
      <w:r>
        <w:fldChar w:fldCharType="begin"/>
      </w:r>
      <w:r>
        <w:instrText xml:space="preserve"> PAGEREF _Toc8327 \h </w:instrText>
      </w:r>
      <w:r>
        <w:fldChar w:fldCharType="separate"/>
      </w:r>
      <w:r>
        <w:t>79</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0EB9576">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_Toc10847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格式十三</w:t>
      </w:r>
      <w:r>
        <w:rPr>
          <w:rFonts w:hint="eastAsia" w:ascii="宋体" w:hAnsi="宋体" w:eastAsia="宋体" w:cs="宋体"/>
          <w:bCs/>
          <w:spacing w:val="0"/>
          <w:szCs w:val="24"/>
          <w:highlight w:val="none"/>
          <w:lang w:val="en-US" w:eastAsia="zh-CN"/>
        </w:rPr>
        <w:t xml:space="preserve"> </w:t>
      </w:r>
      <w:r>
        <w:rPr>
          <w:rFonts w:hint="eastAsia" w:ascii="宋体" w:hAnsi="宋体" w:eastAsia="宋体" w:cs="宋体"/>
          <w:bCs/>
          <w:spacing w:val="0"/>
          <w:szCs w:val="22"/>
          <w:highlight w:val="none"/>
        </w:rPr>
        <w:t>危险性较大的分部分项工程清单及超过一定规模的危险性较大的分部分项工程清单</w:t>
      </w:r>
      <w:r>
        <w:tab/>
      </w:r>
      <w:r>
        <w:fldChar w:fldCharType="begin"/>
      </w:r>
      <w:r>
        <w:instrText xml:space="preserve"> PAGEREF _Toc10847 \h </w:instrText>
      </w:r>
      <w:r>
        <w:fldChar w:fldCharType="separate"/>
      </w:r>
      <w:r>
        <w:t>81</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61CFC0F">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_Toc30063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格式十四</w:t>
      </w:r>
      <w:r>
        <w:rPr>
          <w:rFonts w:hint="eastAsia" w:ascii="宋体" w:hAnsi="宋体" w:eastAsia="宋体" w:cs="宋体"/>
          <w:bCs/>
          <w:spacing w:val="0"/>
          <w:szCs w:val="24"/>
          <w:highlight w:val="none"/>
          <w:lang w:val="en-US" w:eastAsia="zh-CN"/>
        </w:rPr>
        <w:t xml:space="preserve">  </w:t>
      </w:r>
      <w:r>
        <w:rPr>
          <w:rFonts w:hint="eastAsia" w:ascii="宋体" w:hAnsi="宋体" w:eastAsia="宋体" w:cs="宋体"/>
          <w:bCs/>
          <w:spacing w:val="0"/>
          <w:position w:val="3"/>
          <w:szCs w:val="21"/>
          <w:highlight w:val="none"/>
        </w:rPr>
        <w:t>投标保证金信用承诺函</w:t>
      </w:r>
      <w:r>
        <w:tab/>
      </w:r>
      <w:r>
        <w:fldChar w:fldCharType="begin"/>
      </w:r>
      <w:r>
        <w:instrText xml:space="preserve"> PAGEREF _Toc30063 \h </w:instrText>
      </w:r>
      <w:r>
        <w:fldChar w:fldCharType="separate"/>
      </w:r>
      <w:r>
        <w:t>86</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F179244">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_Toc24356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格式十</w:t>
      </w:r>
      <w:r>
        <w:rPr>
          <w:rFonts w:hint="eastAsia" w:ascii="宋体" w:hAnsi="宋体" w:eastAsia="宋体" w:cs="宋体"/>
          <w:bCs/>
          <w:spacing w:val="0"/>
          <w:szCs w:val="24"/>
          <w:highlight w:val="none"/>
          <w:lang w:eastAsia="zh-CN"/>
        </w:rPr>
        <w:t>五</w:t>
      </w:r>
      <w:r>
        <w:rPr>
          <w:rFonts w:hint="eastAsia" w:ascii="宋体" w:hAnsi="宋体" w:eastAsia="宋体" w:cs="宋体"/>
          <w:bCs/>
          <w:spacing w:val="0"/>
          <w:szCs w:val="24"/>
          <w:highlight w:val="none"/>
        </w:rPr>
        <w:t xml:space="preserve">  原件一览表</w:t>
      </w:r>
      <w:r>
        <w:tab/>
      </w:r>
      <w:r>
        <w:fldChar w:fldCharType="begin"/>
      </w:r>
      <w:r>
        <w:instrText xml:space="preserve"> PAGEREF _Toc24356 \h </w:instrText>
      </w:r>
      <w:r>
        <w:fldChar w:fldCharType="separate"/>
      </w:r>
      <w:r>
        <w:t>87</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A6A8A0A">
      <w:pPr>
        <w:pStyle w:val="7"/>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_Toc29514 </w:instrText>
      </w:r>
      <w:r>
        <w:rPr>
          <w:rFonts w:hint="eastAsia" w:ascii="宋体" w:hAnsi="宋体" w:eastAsia="宋体" w:cs="宋体"/>
          <w:spacing w:val="0"/>
          <w:szCs w:val="24"/>
          <w:highlight w:val="none"/>
        </w:rPr>
        <w:fldChar w:fldCharType="separate"/>
      </w:r>
      <w:r>
        <w:rPr>
          <w:rFonts w:hint="eastAsia" w:ascii="Times New Roman" w:hAnsi="宋体" w:eastAsia="宋体" w:cs="Times New Roman"/>
          <w:bCs/>
          <w:snapToGrid w:val="0"/>
          <w:kern w:val="2"/>
          <w:szCs w:val="21"/>
          <w:highlight w:val="none"/>
          <w:lang w:eastAsia="zh-CN"/>
        </w:rPr>
        <w:t>格式十</w:t>
      </w:r>
      <w:r>
        <w:rPr>
          <w:rFonts w:hint="eastAsia" w:ascii="Times New Roman" w:hAnsi="宋体" w:eastAsia="宋体" w:cs="Times New Roman"/>
          <w:bCs/>
          <w:snapToGrid w:val="0"/>
          <w:kern w:val="2"/>
          <w:szCs w:val="21"/>
          <w:highlight w:val="none"/>
          <w:lang w:val="en-US" w:eastAsia="zh-CN"/>
        </w:rPr>
        <w:t>六 定标因素评审资料</w:t>
      </w:r>
      <w:r>
        <w:tab/>
      </w:r>
      <w:r>
        <w:fldChar w:fldCharType="begin"/>
      </w:r>
      <w:r>
        <w:instrText xml:space="preserve"> PAGEREF _Toc29514 \h </w:instrText>
      </w:r>
      <w:r>
        <w:fldChar w:fldCharType="separate"/>
      </w:r>
      <w:r>
        <w:t>88</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8BF7C7C">
      <w:pPr>
        <w:pStyle w:val="11"/>
        <w:tabs>
          <w:tab w:val="right" w:leader="dot" w:pos="9746"/>
        </w:tabs>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spacing w:val="0"/>
          <w:szCs w:val="24"/>
          <w:highlight w:val="none"/>
        </w:rPr>
        <w:instrText xml:space="preserve"> HYPERLINK \l _Toc27962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第七章</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建设工程施工合同</w:t>
      </w:r>
      <w:r>
        <w:tab/>
      </w:r>
      <w:r>
        <w:fldChar w:fldCharType="begin"/>
      </w:r>
      <w:r>
        <w:instrText xml:space="preserve"> PAGEREF _Toc27962 \h </w:instrText>
      </w:r>
      <w:r>
        <w:fldChar w:fldCharType="separate"/>
      </w:r>
      <w:r>
        <w:t>89</w:t>
      </w:r>
      <w: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CE8F2FC">
      <w:pPr>
        <w:keepNext w:val="0"/>
        <w:keepLines w:val="0"/>
        <w:pageBreakBefore w:val="0"/>
        <w:wordWrap w:val="0"/>
        <w:overflowPunct/>
        <w:topLinePunct w:val="0"/>
        <w:bidi w:val="0"/>
        <w:spacing w:line="220" w:lineRule="auto"/>
        <w:jc w:val="center"/>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6" w:type="default"/>
          <w:pgSz w:w="11906" w:h="16839"/>
          <w:pgMar w:top="1440" w:right="1080" w:bottom="1440" w:left="1080" w:header="1200" w:footer="1134" w:gutter="0"/>
          <w:pgBorders>
            <w:top w:val="none" w:sz="0" w:space="0"/>
            <w:left w:val="none" w:sz="0" w:space="0"/>
            <w:bottom w:val="none" w:sz="0" w:space="0"/>
            <w:right w:val="none" w:sz="0" w:space="0"/>
          </w:pgBorders>
          <w:pgNumType w:fmt="decimal" w:start="1"/>
          <w:cols w:space="720" w:num="1"/>
        </w:sectPr>
      </w:pP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3063668">
      <w:pPr>
        <w:pStyle w:val="6"/>
        <w:keepNext w:val="0"/>
        <w:keepLines w:val="0"/>
        <w:pageBreakBefore w:val="0"/>
        <w:wordWrap w:val="0"/>
        <w:overflowPunct/>
        <w:topLinePunct w:val="0"/>
        <w:bidi w:val="0"/>
        <w:spacing w:line="272" w:lineRule="auto"/>
        <w:rPr>
          <w:rFonts w:hint="eastAsia" w:ascii="宋体" w:hAnsi="宋体" w:eastAsia="宋体" w:cs="宋体"/>
          <w:color w:val="000000" w:themeColor="text1"/>
          <w:spacing w:val="0"/>
          <w:highlight w:val="none"/>
          <w14:textFill>
            <w14:solidFill>
              <w14:schemeClr w14:val="tx1"/>
            </w14:solidFill>
          </w14:textFill>
        </w:rPr>
      </w:pPr>
    </w:p>
    <w:p w14:paraId="49639CDB">
      <w:pPr>
        <w:keepNext w:val="0"/>
        <w:keepLines w:val="0"/>
        <w:pageBreakBefore w:val="0"/>
        <w:wordWrap w:val="0"/>
        <w:overflowPunct/>
        <w:topLinePunct w:val="0"/>
        <w:bidi w:val="0"/>
        <w:spacing w:before="78" w:line="219" w:lineRule="auto"/>
        <w:ind w:left="3416"/>
        <w:outlineLvl w:val="0"/>
        <w:rPr>
          <w:rFonts w:hint="eastAsia" w:ascii="宋体" w:hAnsi="宋体" w:eastAsia="宋体" w:cs="宋体"/>
          <w:color w:val="000000" w:themeColor="text1"/>
          <w:spacing w:val="0"/>
          <w:sz w:val="24"/>
          <w:szCs w:val="24"/>
          <w:highlight w:val="none"/>
          <w14:textFill>
            <w14:solidFill>
              <w14:schemeClr w14:val="tx1"/>
            </w14:solidFill>
          </w14:textFill>
        </w:rPr>
      </w:pPr>
      <w:bookmarkStart w:id="4" w:name="bookmark1"/>
      <w:bookmarkEnd w:id="4"/>
      <w:bookmarkStart w:id="5" w:name="_Toc29358"/>
      <w:r>
        <w:rPr>
          <w:rFonts w:hint="eastAsia" w:ascii="宋体" w:hAnsi="宋体" w:eastAsia="宋体" w:cs="宋体"/>
          <w:b/>
          <w:bCs/>
          <w:color w:val="000000" w:themeColor="text1"/>
          <w:spacing w:val="0"/>
          <w:sz w:val="24"/>
          <w:szCs w:val="24"/>
          <w:highlight w:val="none"/>
          <w14:textFill>
            <w14:solidFill>
              <w14:schemeClr w14:val="tx1"/>
            </w14:solidFill>
          </w14:textFill>
        </w:rPr>
        <w:t>第一章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投标人须知</w:t>
      </w:r>
      <w:bookmarkEnd w:id="5"/>
    </w:p>
    <w:p w14:paraId="0C219C57">
      <w:pPr>
        <w:keepNext w:val="0"/>
        <w:keepLines w:val="0"/>
        <w:pageBreakBefore w:val="0"/>
        <w:wordWrap w:val="0"/>
        <w:overflowPunct/>
        <w:topLinePunct w:val="0"/>
        <w:bidi w:val="0"/>
        <w:spacing w:before="156" w:line="219" w:lineRule="auto"/>
        <w:ind w:left="17"/>
        <w:outlineLvl w:val="1"/>
        <w:rPr>
          <w:rFonts w:hint="eastAsia" w:ascii="宋体" w:hAnsi="宋体" w:eastAsia="宋体" w:cs="宋体"/>
          <w:color w:val="000000" w:themeColor="text1"/>
          <w:spacing w:val="0"/>
          <w:sz w:val="24"/>
          <w:szCs w:val="24"/>
          <w:highlight w:val="none"/>
          <w14:textFill>
            <w14:solidFill>
              <w14:schemeClr w14:val="tx1"/>
            </w14:solidFill>
          </w14:textFill>
        </w:rPr>
      </w:pPr>
      <w:bookmarkStart w:id="6" w:name="bookmark3"/>
      <w:bookmarkEnd w:id="6"/>
      <w:bookmarkStart w:id="7" w:name="_Toc31230"/>
      <w:r>
        <w:rPr>
          <w:rFonts w:hint="eastAsia" w:ascii="宋体" w:hAnsi="宋体" w:eastAsia="宋体" w:cs="宋体"/>
          <w:b/>
          <w:bCs/>
          <w:color w:val="000000" w:themeColor="text1"/>
          <w:spacing w:val="0"/>
          <w:sz w:val="24"/>
          <w:szCs w:val="24"/>
          <w:highlight w:val="none"/>
          <w14:textFill>
            <w14:solidFill>
              <w14:schemeClr w14:val="tx1"/>
            </w14:solidFill>
          </w14:textFill>
        </w:rPr>
        <w:t>第一节</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投标人须知前附表</w:t>
      </w:r>
      <w:bookmarkEnd w:id="7"/>
    </w:p>
    <w:p w14:paraId="451443B4">
      <w:pPr>
        <w:keepNext w:val="0"/>
        <w:keepLines w:val="0"/>
        <w:pageBreakBefore w:val="0"/>
        <w:wordWrap w:val="0"/>
        <w:overflowPunct/>
        <w:topLinePunct w:val="0"/>
        <w:bidi w:val="0"/>
        <w:spacing w:before="25"/>
        <w:rPr>
          <w:rFonts w:hint="eastAsia" w:ascii="宋体" w:hAnsi="宋体" w:eastAsia="宋体" w:cs="宋体"/>
          <w:color w:val="000000" w:themeColor="text1"/>
          <w:spacing w:val="0"/>
          <w:highlight w:val="none"/>
          <w14:textFill>
            <w14:solidFill>
              <w14:schemeClr w14:val="tx1"/>
            </w14:solidFill>
          </w14:textFill>
        </w:rPr>
      </w:pPr>
    </w:p>
    <w:tbl>
      <w:tblPr>
        <w:tblStyle w:val="15"/>
        <w:tblW w:w="1009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2"/>
        <w:gridCol w:w="1860"/>
        <w:gridCol w:w="7656"/>
      </w:tblGrid>
      <w:tr w14:paraId="7ACC6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trPr>
        <w:tc>
          <w:tcPr>
            <w:tcW w:w="582" w:type="dxa"/>
            <w:vAlign w:val="top"/>
          </w:tcPr>
          <w:p w14:paraId="4758577E">
            <w:pPr>
              <w:keepNext w:val="0"/>
              <w:keepLines w:val="0"/>
              <w:pageBreakBefore w:val="0"/>
              <w:wordWrap w:val="0"/>
              <w:overflowPunct/>
              <w:topLinePunct w:val="0"/>
              <w:bidi w:val="0"/>
              <w:spacing w:before="203" w:line="209" w:lineRule="auto"/>
              <w:ind w:left="0" w:leftChars="0" w:firstLine="0" w:firstLineChars="0"/>
              <w:jc w:val="center"/>
              <w:rPr>
                <w:rFonts w:hint="eastAsia" w:asciiTheme="minorEastAsia" w:hAnsiTheme="minorEastAsia" w:eastAsiaTheme="minorEastAsia" w:cstheme="minorEastAsia"/>
                <w:color w:val="000000" w:themeColor="text1"/>
                <w:spacing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lang w:val="en-US" w:eastAsia="zh-CN"/>
                <w14:textFill>
                  <w14:solidFill>
                    <w14:schemeClr w14:val="tx1"/>
                  </w14:solidFill>
                </w14:textFill>
              </w:rPr>
              <w:t>序号</w:t>
            </w:r>
          </w:p>
        </w:tc>
        <w:tc>
          <w:tcPr>
            <w:tcW w:w="1860" w:type="dxa"/>
            <w:vAlign w:val="center"/>
          </w:tcPr>
          <w:p w14:paraId="7B8ED52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内容</w:t>
            </w:r>
          </w:p>
        </w:tc>
        <w:tc>
          <w:tcPr>
            <w:tcW w:w="7656" w:type="dxa"/>
            <w:vAlign w:val="center"/>
          </w:tcPr>
          <w:p w14:paraId="0575BAF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说明与要求</w:t>
            </w:r>
          </w:p>
        </w:tc>
      </w:tr>
      <w:tr w14:paraId="53CA5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trPr>
        <w:tc>
          <w:tcPr>
            <w:tcW w:w="582" w:type="dxa"/>
            <w:vAlign w:val="center"/>
          </w:tcPr>
          <w:p w14:paraId="34D199C6">
            <w:pPr>
              <w:keepNext w:val="0"/>
              <w:keepLines w:val="0"/>
              <w:pageBreakBefore w:val="0"/>
              <w:wordWrap w:val="0"/>
              <w:overflowPunct/>
              <w:topLinePunct w:val="0"/>
              <w:bidi w:val="0"/>
              <w:spacing w:before="223" w:line="195"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bookmarkStart w:id="8" w:name="OLE_LINK2" w:colFirst="2" w:colLast="2"/>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1</w:t>
            </w:r>
          </w:p>
        </w:tc>
        <w:tc>
          <w:tcPr>
            <w:tcW w:w="1860" w:type="dxa"/>
            <w:vAlign w:val="center"/>
          </w:tcPr>
          <w:p w14:paraId="6E81DB5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项目名称</w:t>
            </w:r>
          </w:p>
        </w:tc>
        <w:tc>
          <w:tcPr>
            <w:tcW w:w="7656" w:type="dxa"/>
            <w:vAlign w:val="center"/>
          </w:tcPr>
          <w:p w14:paraId="62C2E40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韶关市武江区第九中学教学综合楼及体育馆建设项目（一期）</w:t>
            </w:r>
          </w:p>
        </w:tc>
      </w:tr>
      <w:tr w14:paraId="1C49A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trPr>
        <w:tc>
          <w:tcPr>
            <w:tcW w:w="582" w:type="dxa"/>
            <w:vAlign w:val="center"/>
          </w:tcPr>
          <w:p w14:paraId="5546609D">
            <w:pPr>
              <w:keepNext w:val="0"/>
              <w:keepLines w:val="0"/>
              <w:pageBreakBefore w:val="0"/>
              <w:wordWrap w:val="0"/>
              <w:overflowPunct/>
              <w:topLinePunct w:val="0"/>
              <w:bidi w:val="0"/>
              <w:spacing w:before="222" w:line="195"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2</w:t>
            </w:r>
          </w:p>
        </w:tc>
        <w:tc>
          <w:tcPr>
            <w:tcW w:w="1860" w:type="dxa"/>
            <w:vAlign w:val="center"/>
          </w:tcPr>
          <w:p w14:paraId="28FBECF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项目业主</w:t>
            </w:r>
          </w:p>
        </w:tc>
        <w:tc>
          <w:tcPr>
            <w:tcW w:w="7656" w:type="dxa"/>
            <w:vAlign w:val="center"/>
          </w:tcPr>
          <w:p w14:paraId="6B4C0B9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韶关市武江区教育局</w:t>
            </w:r>
          </w:p>
        </w:tc>
      </w:tr>
      <w:tr w14:paraId="42F26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9" w:hRule="atLeast"/>
        </w:trPr>
        <w:tc>
          <w:tcPr>
            <w:tcW w:w="582" w:type="dxa"/>
            <w:vAlign w:val="center"/>
          </w:tcPr>
          <w:p w14:paraId="2FE483DA">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3</w:t>
            </w:r>
          </w:p>
        </w:tc>
        <w:tc>
          <w:tcPr>
            <w:tcW w:w="1860" w:type="dxa"/>
            <w:vAlign w:val="center"/>
          </w:tcPr>
          <w:p w14:paraId="31041B2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项目批准部门及项目批准文号</w:t>
            </w:r>
          </w:p>
        </w:tc>
        <w:tc>
          <w:tcPr>
            <w:tcW w:w="7656" w:type="dxa"/>
            <w:vAlign w:val="center"/>
          </w:tcPr>
          <w:p w14:paraId="53C9404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韶关市武江区发展和改革局</w:t>
            </w:r>
          </w:p>
          <w:p w14:paraId="141A5A4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韶武发改投审〔2023〕25号、韶武发改投审〔2025〕22号、韶武发改投审〔2026〕12号</w:t>
            </w:r>
          </w:p>
        </w:tc>
      </w:tr>
      <w:tr w14:paraId="58FC4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 w:hRule="atLeast"/>
        </w:trPr>
        <w:tc>
          <w:tcPr>
            <w:tcW w:w="582" w:type="dxa"/>
            <w:vAlign w:val="center"/>
          </w:tcPr>
          <w:p w14:paraId="6065D891">
            <w:pPr>
              <w:keepNext w:val="0"/>
              <w:keepLines w:val="0"/>
              <w:pageBreakBefore w:val="0"/>
              <w:wordWrap w:val="0"/>
              <w:overflowPunct/>
              <w:topLinePunct w:val="0"/>
              <w:bidi w:val="0"/>
              <w:spacing w:before="225" w:line="195"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4</w:t>
            </w:r>
          </w:p>
        </w:tc>
        <w:tc>
          <w:tcPr>
            <w:tcW w:w="1860" w:type="dxa"/>
            <w:vAlign w:val="center"/>
          </w:tcPr>
          <w:p w14:paraId="2161DF4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建设地点</w:t>
            </w:r>
          </w:p>
        </w:tc>
        <w:tc>
          <w:tcPr>
            <w:tcW w:w="7656" w:type="dxa"/>
            <w:tcMar>
              <w:top w:w="0" w:type="dxa"/>
              <w:left w:w="0" w:type="dxa"/>
              <w:bottom w:w="0" w:type="dxa"/>
              <w:right w:w="0" w:type="dxa"/>
            </w:tcMar>
            <w:vAlign w:val="center"/>
          </w:tcPr>
          <w:p w14:paraId="17B62E4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韶关市武江区芙蓉北路60号韶关市第九中学</w:t>
            </w:r>
          </w:p>
        </w:tc>
      </w:tr>
      <w:tr w14:paraId="767A9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582" w:type="dxa"/>
            <w:vAlign w:val="center"/>
          </w:tcPr>
          <w:p w14:paraId="62C389A3">
            <w:pPr>
              <w:keepNext w:val="0"/>
              <w:keepLines w:val="0"/>
              <w:pageBreakBefore w:val="0"/>
              <w:wordWrap w:val="0"/>
              <w:overflowPunct/>
              <w:topLinePunct w:val="0"/>
              <w:bidi w:val="0"/>
              <w:spacing w:before="226" w:line="192"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5</w:t>
            </w:r>
          </w:p>
        </w:tc>
        <w:tc>
          <w:tcPr>
            <w:tcW w:w="1860" w:type="dxa"/>
            <w:vAlign w:val="center"/>
          </w:tcPr>
          <w:p w14:paraId="4E0519E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项目代码</w:t>
            </w:r>
          </w:p>
        </w:tc>
        <w:tc>
          <w:tcPr>
            <w:tcW w:w="7656" w:type="dxa"/>
            <w:vAlign w:val="center"/>
          </w:tcPr>
          <w:p w14:paraId="168A8C9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2208-440203-89-01-495274</w:t>
            </w:r>
          </w:p>
        </w:tc>
      </w:tr>
      <w:tr w14:paraId="4134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trPr>
        <w:tc>
          <w:tcPr>
            <w:tcW w:w="582" w:type="dxa"/>
            <w:vAlign w:val="center"/>
          </w:tcPr>
          <w:p w14:paraId="27F55D58">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6</w:t>
            </w:r>
          </w:p>
        </w:tc>
        <w:tc>
          <w:tcPr>
            <w:tcW w:w="1860" w:type="dxa"/>
            <w:vAlign w:val="center"/>
          </w:tcPr>
          <w:p w14:paraId="54684E3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资金来源及落实情况</w:t>
            </w:r>
          </w:p>
        </w:tc>
        <w:tc>
          <w:tcPr>
            <w:tcW w:w="7656" w:type="dxa"/>
            <w:vAlign w:val="center"/>
          </w:tcPr>
          <w:p w14:paraId="0168322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区级财政统筹解决，100%</w:t>
            </w:r>
          </w:p>
        </w:tc>
      </w:tr>
      <w:tr w14:paraId="55E09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trPr>
        <w:tc>
          <w:tcPr>
            <w:tcW w:w="582" w:type="dxa"/>
            <w:vAlign w:val="center"/>
          </w:tcPr>
          <w:p w14:paraId="13A867CC">
            <w:pPr>
              <w:keepNext w:val="0"/>
              <w:keepLines w:val="0"/>
              <w:pageBreakBefore w:val="0"/>
              <w:wordWrap w:val="0"/>
              <w:overflowPunct/>
              <w:topLinePunct w:val="0"/>
              <w:bidi w:val="0"/>
              <w:spacing w:before="228" w:line="192"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7</w:t>
            </w:r>
          </w:p>
        </w:tc>
        <w:tc>
          <w:tcPr>
            <w:tcW w:w="1860" w:type="dxa"/>
            <w:vAlign w:val="center"/>
          </w:tcPr>
          <w:p w14:paraId="1395956E">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招标人</w:t>
            </w:r>
          </w:p>
        </w:tc>
        <w:tc>
          <w:tcPr>
            <w:tcW w:w="7656" w:type="dxa"/>
            <w:vAlign w:val="center"/>
          </w:tcPr>
          <w:p w14:paraId="2D9D595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韶关市武江区教育局</w:t>
            </w:r>
          </w:p>
        </w:tc>
      </w:tr>
      <w:tr w14:paraId="38A7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 w:hRule="atLeast"/>
        </w:trPr>
        <w:tc>
          <w:tcPr>
            <w:tcW w:w="582" w:type="dxa"/>
            <w:vAlign w:val="center"/>
          </w:tcPr>
          <w:p w14:paraId="6A89B71E">
            <w:pPr>
              <w:keepNext w:val="0"/>
              <w:keepLines w:val="0"/>
              <w:pageBreakBefore w:val="0"/>
              <w:wordWrap w:val="0"/>
              <w:overflowPunct/>
              <w:topLinePunct w:val="0"/>
              <w:bidi w:val="0"/>
              <w:spacing w:before="224" w:line="195"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8</w:t>
            </w:r>
          </w:p>
        </w:tc>
        <w:tc>
          <w:tcPr>
            <w:tcW w:w="1860" w:type="dxa"/>
            <w:vAlign w:val="center"/>
          </w:tcPr>
          <w:p w14:paraId="35B8FC2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招标代理机构</w:t>
            </w:r>
          </w:p>
        </w:tc>
        <w:tc>
          <w:tcPr>
            <w:tcW w:w="7656" w:type="dxa"/>
            <w:vAlign w:val="center"/>
          </w:tcPr>
          <w:p w14:paraId="7B44CAF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韶关市城监项目管理有限公司</w:t>
            </w:r>
          </w:p>
        </w:tc>
      </w:tr>
      <w:tr w14:paraId="45E3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6EE48A18">
            <w:pPr>
              <w:keepNext w:val="0"/>
              <w:keepLines w:val="0"/>
              <w:pageBreakBefore w:val="0"/>
              <w:wordWrap w:val="0"/>
              <w:overflowPunct/>
              <w:topLinePunct w:val="0"/>
              <w:bidi w:val="0"/>
              <w:spacing w:before="225" w:line="195"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9</w:t>
            </w:r>
          </w:p>
        </w:tc>
        <w:tc>
          <w:tcPr>
            <w:tcW w:w="1860" w:type="dxa"/>
            <w:vAlign w:val="center"/>
          </w:tcPr>
          <w:p w14:paraId="2173F83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设计单位</w:t>
            </w:r>
          </w:p>
        </w:tc>
        <w:tc>
          <w:tcPr>
            <w:tcW w:w="7656" w:type="dxa"/>
            <w:vAlign w:val="center"/>
          </w:tcPr>
          <w:p w14:paraId="363B6AC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中外建华诚工程技术集团有限公司</w:t>
            </w:r>
          </w:p>
        </w:tc>
      </w:tr>
      <w:bookmarkEnd w:id="8"/>
      <w:tr w14:paraId="3BFA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trPr>
        <w:tc>
          <w:tcPr>
            <w:tcW w:w="582" w:type="dxa"/>
            <w:vAlign w:val="center"/>
          </w:tcPr>
          <w:p w14:paraId="1635C0FD">
            <w:pPr>
              <w:keepNext w:val="0"/>
              <w:keepLines w:val="0"/>
              <w:pageBreakBefore w:val="0"/>
              <w:wordWrap w:val="0"/>
              <w:overflowPunct/>
              <w:topLinePunct w:val="0"/>
              <w:bidi w:val="0"/>
              <w:spacing w:before="245" w:line="195"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10</w:t>
            </w:r>
          </w:p>
        </w:tc>
        <w:tc>
          <w:tcPr>
            <w:tcW w:w="1860" w:type="dxa"/>
            <w:vAlign w:val="center"/>
          </w:tcPr>
          <w:p w14:paraId="2495ED4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造价咨询单位</w:t>
            </w:r>
          </w:p>
        </w:tc>
        <w:tc>
          <w:tcPr>
            <w:tcW w:w="7656" w:type="dxa"/>
            <w:vAlign w:val="center"/>
          </w:tcPr>
          <w:p w14:paraId="6BD3EE2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□非全过程造价咨询</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☑全过程造价咨询</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 xml:space="preserve">  </w:t>
            </w:r>
          </w:p>
        </w:tc>
      </w:tr>
      <w:tr w14:paraId="36921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09F5224E">
            <w:pPr>
              <w:keepNext w:val="0"/>
              <w:keepLines w:val="0"/>
              <w:pageBreakBefore w:val="0"/>
              <w:wordWrap w:val="0"/>
              <w:overflowPunct/>
              <w:topLinePunct w:val="0"/>
              <w:bidi w:val="0"/>
              <w:spacing w:before="242" w:line="195"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11</w:t>
            </w:r>
          </w:p>
        </w:tc>
        <w:tc>
          <w:tcPr>
            <w:tcW w:w="1860" w:type="dxa"/>
            <w:vAlign w:val="center"/>
          </w:tcPr>
          <w:p w14:paraId="1084556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监理单位</w:t>
            </w:r>
          </w:p>
        </w:tc>
        <w:tc>
          <w:tcPr>
            <w:tcW w:w="7656" w:type="dxa"/>
            <w:vAlign w:val="center"/>
          </w:tcPr>
          <w:p w14:paraId="0067EC3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□已确定监理单位</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☑未确定监理单位</w:t>
            </w:r>
          </w:p>
        </w:tc>
      </w:tr>
      <w:tr w14:paraId="2E54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2" w:hRule="atLeast"/>
        </w:trPr>
        <w:tc>
          <w:tcPr>
            <w:tcW w:w="582" w:type="dxa"/>
            <w:vAlign w:val="center"/>
          </w:tcPr>
          <w:p w14:paraId="2D733243">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lang w:eastAsia="zh-CN"/>
                <w14:textFill>
                  <w14:solidFill>
                    <w14:schemeClr w14:val="tx1"/>
                  </w14:solidFill>
                </w14:textFill>
              </w:rPr>
              <w:t>1</w:t>
            </w: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2</w:t>
            </w:r>
          </w:p>
        </w:tc>
        <w:tc>
          <w:tcPr>
            <w:tcW w:w="1860" w:type="dxa"/>
            <w:vAlign w:val="center"/>
          </w:tcPr>
          <w:p w14:paraId="526340D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建设内容和规模</w:t>
            </w:r>
          </w:p>
        </w:tc>
        <w:tc>
          <w:tcPr>
            <w:tcW w:w="7656" w:type="dxa"/>
            <w:vAlign w:val="center"/>
          </w:tcPr>
          <w:p w14:paraId="4FDA639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项目建设内容及规模为</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w:t>
            </w:r>
          </w:p>
          <w:p w14:paraId="7E68E26D">
            <w:pPr>
              <w:keepNext w:val="0"/>
              <w:keepLines w:val="0"/>
              <w:pageBreakBefore w:val="0"/>
              <w:widowControl w:val="0"/>
              <w:numPr>
                <w:ilvl w:val="0"/>
                <w:numId w:val="0"/>
              </w:numPr>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新建一栋多层教学综合楼，其中地上6层，地下1层。建筑基底面积1038.49㎡，总建筑面积4507.04㎡，其中地上面积4262.88㎡，地下244.16㎡，地下一层为消防水池和消防泵房，一层为架空活动场地、公共厕所、发电机房、新建一间配电房含专用变压器及高低压柜，二至五层为普通课室、公共卫生间，六层为教师办公室、功能课室、公共卫生间。建设活动场地918.28平方米、回车场144平方米、砖砌围墙120米、挡土墙120米、以及室外管网等其他配套设施和设备。</w:t>
            </w:r>
          </w:p>
        </w:tc>
      </w:tr>
      <w:tr w14:paraId="64500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4519A5EB">
            <w:pPr>
              <w:keepNext w:val="0"/>
              <w:keepLines w:val="0"/>
              <w:pageBreakBefore w:val="0"/>
              <w:wordWrap w:val="0"/>
              <w:overflowPunct/>
              <w:topLinePunct w:val="0"/>
              <w:bidi w:val="0"/>
              <w:spacing w:before="57" w:line="195"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13</w:t>
            </w:r>
          </w:p>
        </w:tc>
        <w:tc>
          <w:tcPr>
            <w:tcW w:w="1860" w:type="dxa"/>
            <w:vAlign w:val="center"/>
          </w:tcPr>
          <w:p w14:paraId="15BC8529">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项目总投资</w:t>
            </w:r>
          </w:p>
        </w:tc>
        <w:tc>
          <w:tcPr>
            <w:tcW w:w="7656" w:type="dxa"/>
            <w:vAlign w:val="center"/>
          </w:tcPr>
          <w:p w14:paraId="051183D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项目概算总投资2970.71万元，其中工程费用1645.83万元，工程建设其他费用1229.98万元，预备费用94.90万元。</w:t>
            </w:r>
          </w:p>
        </w:tc>
      </w:tr>
      <w:tr w14:paraId="09BBB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trPr>
        <w:tc>
          <w:tcPr>
            <w:tcW w:w="582" w:type="dxa"/>
            <w:vAlign w:val="center"/>
          </w:tcPr>
          <w:p w14:paraId="2280C6D3">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14</w:t>
            </w:r>
          </w:p>
        </w:tc>
        <w:tc>
          <w:tcPr>
            <w:tcW w:w="1860" w:type="dxa"/>
            <w:vAlign w:val="center"/>
          </w:tcPr>
          <w:p w14:paraId="58FC513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招标范围</w:t>
            </w:r>
          </w:p>
        </w:tc>
        <w:tc>
          <w:tcPr>
            <w:tcW w:w="7656" w:type="dxa"/>
            <w:vAlign w:val="center"/>
          </w:tcPr>
          <w:p w14:paraId="2CC19A7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按审查合格的施工图纸及工程量清单内容施工</w:t>
            </w:r>
          </w:p>
        </w:tc>
      </w:tr>
      <w:tr w14:paraId="3290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582" w:type="dxa"/>
            <w:vAlign w:val="center"/>
          </w:tcPr>
          <w:p w14:paraId="334CDB2D">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15</w:t>
            </w:r>
          </w:p>
        </w:tc>
        <w:tc>
          <w:tcPr>
            <w:tcW w:w="1860" w:type="dxa"/>
            <w:vAlign w:val="center"/>
          </w:tcPr>
          <w:p w14:paraId="56FA5F4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标段划分</w:t>
            </w:r>
          </w:p>
        </w:tc>
        <w:tc>
          <w:tcPr>
            <w:tcW w:w="7656" w:type="dxa"/>
            <w:vAlign w:val="center"/>
          </w:tcPr>
          <w:p w14:paraId="5B21ACD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 xml:space="preserve">本招标项目不划分标段。 </w:t>
            </w:r>
          </w:p>
        </w:tc>
      </w:tr>
      <w:tr w14:paraId="5A1C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582" w:type="dxa"/>
            <w:vAlign w:val="center"/>
          </w:tcPr>
          <w:p w14:paraId="01C9B2F3">
            <w:pPr>
              <w:keepNext w:val="0"/>
              <w:keepLines w:val="0"/>
              <w:pageBreakBefore w:val="0"/>
              <w:wordWrap w:val="0"/>
              <w:overflowPunct/>
              <w:topLinePunct w:val="0"/>
              <w:bidi w:val="0"/>
              <w:spacing w:before="57" w:line="195" w:lineRule="auto"/>
              <w:jc w:val="center"/>
              <w:rPr>
                <w:rFonts w:hint="eastAsia" w:asciiTheme="minorEastAsia" w:hAnsiTheme="minorEastAsia" w:eastAsiaTheme="minorEastAsia" w:cstheme="minorEastAsia"/>
                <w:color w:val="000000" w:themeColor="text1"/>
                <w:spacing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16</w:t>
            </w:r>
          </w:p>
        </w:tc>
        <w:tc>
          <w:tcPr>
            <w:tcW w:w="1860" w:type="dxa"/>
            <w:vAlign w:val="center"/>
          </w:tcPr>
          <w:p w14:paraId="20F526C7">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工期</w:t>
            </w:r>
          </w:p>
        </w:tc>
        <w:tc>
          <w:tcPr>
            <w:tcW w:w="7656" w:type="dxa"/>
            <w:vAlign w:val="top"/>
          </w:tcPr>
          <w:p w14:paraId="2ACB4A1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本招标项目招标工期为</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300个日历天</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。具体如下：</w:t>
            </w:r>
          </w:p>
          <w:p w14:paraId="320C3CB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☑总工期：</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eastAsia="zh-CN"/>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14:textFill>
                  <w14:solidFill>
                    <w14:schemeClr w14:val="tx1"/>
                  </w14:solidFill>
                </w14:textFill>
              </w:rPr>
              <w:t>300</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天 （日历天）。</w:t>
            </w:r>
          </w:p>
          <w:p w14:paraId="4BF2E44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□计划开工日期：</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年</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月</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日（具体开工日期以合同为准）</w:t>
            </w:r>
          </w:p>
          <w:p w14:paraId="35D8577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□计划竣工日期：</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年</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月</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日</w:t>
            </w:r>
          </w:p>
          <w:p w14:paraId="3D4184C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□除上述总工期外，发包人还要求以下阶段工期：</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eastAsia="zh-CN"/>
                <w14:textFill>
                  <w14:solidFill>
                    <w14:schemeClr w14:val="tx1"/>
                  </w14:solidFill>
                </w14:textFill>
              </w:rPr>
              <w:t xml:space="preserve">        </w:t>
            </w:r>
          </w:p>
        </w:tc>
      </w:tr>
      <w:tr w14:paraId="59EF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9" w:hRule="atLeast"/>
        </w:trPr>
        <w:tc>
          <w:tcPr>
            <w:tcW w:w="582" w:type="dxa"/>
            <w:vAlign w:val="center"/>
          </w:tcPr>
          <w:p w14:paraId="416E216C">
            <w:pPr>
              <w:keepNext w:val="0"/>
              <w:keepLines w:val="0"/>
              <w:pageBreakBefore w:val="0"/>
              <w:wordWrap w:val="0"/>
              <w:overflowPunct/>
              <w:topLinePunct w:val="0"/>
              <w:bidi w:val="0"/>
              <w:spacing w:before="57" w:line="195"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17</w:t>
            </w:r>
          </w:p>
        </w:tc>
        <w:tc>
          <w:tcPr>
            <w:tcW w:w="1860" w:type="dxa"/>
            <w:vAlign w:val="center"/>
          </w:tcPr>
          <w:p w14:paraId="529D0EDA">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质量标准</w:t>
            </w:r>
          </w:p>
        </w:tc>
        <w:tc>
          <w:tcPr>
            <w:tcW w:w="7656" w:type="dxa"/>
            <w:vAlign w:val="top"/>
          </w:tcPr>
          <w:p w14:paraId="689C1B0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☑质量标准</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与质量目标</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符合现行国家有关工程施工质量验收规范和标准的要求，达到验收合格。</w:t>
            </w:r>
          </w:p>
          <w:p w14:paraId="17421BC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□优质工程要求：</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eastAsia="zh-CN"/>
                <w14:textFill>
                  <w14:solidFill>
                    <w14:schemeClr w14:val="tx1"/>
                  </w14:solidFill>
                </w14:textFill>
              </w:rPr>
              <w:t>无</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w:t>
            </w:r>
          </w:p>
          <w:p w14:paraId="7B9EFA3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工程优质费：☑无</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□有：</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14:textFill>
                  <w14:solidFill>
                    <w14:schemeClr w14:val="tx1"/>
                  </w14:solidFill>
                </w14:textFill>
              </w:rPr>
              <w:t xml:space="preserve"> / </w:t>
            </w:r>
          </w:p>
        </w:tc>
      </w:tr>
      <w:tr w14:paraId="07BAB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63" w:hRule="atLeast"/>
        </w:trPr>
        <w:tc>
          <w:tcPr>
            <w:tcW w:w="582" w:type="dxa"/>
            <w:vMerge w:val="restart"/>
            <w:vAlign w:val="center"/>
          </w:tcPr>
          <w:p w14:paraId="2FAF8482">
            <w:pPr>
              <w:keepNext w:val="0"/>
              <w:keepLines w:val="0"/>
              <w:pageBreakBefore w:val="0"/>
              <w:wordWrap w:val="0"/>
              <w:overflowPunct/>
              <w:topLinePunct w:val="0"/>
              <w:bidi w:val="0"/>
              <w:spacing w:before="57" w:line="195"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18</w:t>
            </w:r>
          </w:p>
        </w:tc>
        <w:tc>
          <w:tcPr>
            <w:tcW w:w="1860" w:type="dxa"/>
            <w:vMerge w:val="restart"/>
            <w:vAlign w:val="center"/>
          </w:tcPr>
          <w:p w14:paraId="684E171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合同类型</w:t>
            </w:r>
          </w:p>
        </w:tc>
        <w:tc>
          <w:tcPr>
            <w:tcW w:w="7656" w:type="dxa"/>
            <w:vAlign w:val="top"/>
          </w:tcPr>
          <w:p w14:paraId="5B0CC98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☑单价合同：发承包双方约定以工程量清单及其综合单价进行合同价款计算、调整和确认的建设工程施工合同。</w:t>
            </w:r>
          </w:p>
          <w:p w14:paraId="37B161E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注：实行工程量清单计价的工程，应采用单价合同方式，即合同中的工程量清单项目综合单价在合同约定的条件内固定不变（不正常报价除外，这部分按招标文件、合同约定的原则调整综合单价），超过合同约定条件时，依据合同约定进行调整；工程量清单项目及工程量依据承包人实际完成且应予计量的工程量确定。</w:t>
            </w:r>
          </w:p>
        </w:tc>
      </w:tr>
      <w:tr w14:paraId="6B7E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trPr>
        <w:tc>
          <w:tcPr>
            <w:tcW w:w="582" w:type="dxa"/>
            <w:vMerge w:val="continue"/>
            <w:vAlign w:val="center"/>
          </w:tcPr>
          <w:p w14:paraId="001972E5">
            <w:pPr>
              <w:keepNext w:val="0"/>
              <w:keepLines w:val="0"/>
              <w:pageBreakBefore w:val="0"/>
              <w:wordWrap w:val="0"/>
              <w:overflowPunct/>
              <w:topLinePunct w:val="0"/>
              <w:bidi w:val="0"/>
              <w:spacing w:before="57" w:line="195"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p>
        </w:tc>
        <w:tc>
          <w:tcPr>
            <w:tcW w:w="1860" w:type="dxa"/>
            <w:vMerge w:val="continue"/>
            <w:vAlign w:val="center"/>
          </w:tcPr>
          <w:p w14:paraId="114EAAC5">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p>
        </w:tc>
        <w:tc>
          <w:tcPr>
            <w:tcW w:w="7656" w:type="dxa"/>
            <w:vAlign w:val="top"/>
          </w:tcPr>
          <w:p w14:paraId="208620C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 xml:space="preserve">□总价合同：发承包双方约定以施工图及其预算和有关条件进行合同价款计算、调整和确认的建设工程施工合同。 </w:t>
            </w:r>
          </w:p>
          <w:p w14:paraId="0E5FC1B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注：总价合同是以施工图纸、规范为基础，在工程任务内容明确、发包人的要求条件清楚、计价依据和要求确定的条件下，发承包双方依据承包人编制的施工图预算商谈确定合同价款。当合同约定工程施工内容和有关条件不发生变化时，发包人付给承包人的工程价款总额保持不变。当工程施工内容和有关条件发生变化时，发承包双方根据变化情况和合同约定仅调整发生变化部分的工程价款，且对工程量变化引起的合同价款调整应遵循现行建设工程工程量清单计价标准原则。</w:t>
            </w:r>
          </w:p>
        </w:tc>
      </w:tr>
      <w:tr w14:paraId="548B7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2" w:hRule="atLeast"/>
        </w:trPr>
        <w:tc>
          <w:tcPr>
            <w:tcW w:w="582" w:type="dxa"/>
            <w:vAlign w:val="center"/>
          </w:tcPr>
          <w:p w14:paraId="4F5536D8">
            <w:pPr>
              <w:keepNext w:val="0"/>
              <w:keepLines w:val="0"/>
              <w:pageBreakBefore w:val="0"/>
              <w:wordWrap w:val="0"/>
              <w:overflowPunct/>
              <w:topLinePunct w:val="0"/>
              <w:bidi w:val="0"/>
              <w:spacing w:before="19"/>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19</w:t>
            </w:r>
          </w:p>
        </w:tc>
        <w:tc>
          <w:tcPr>
            <w:tcW w:w="1860" w:type="dxa"/>
            <w:vAlign w:val="center"/>
          </w:tcPr>
          <w:p w14:paraId="0F7CD5C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房屋建筑工程绿色建筑标准</w:t>
            </w:r>
          </w:p>
        </w:tc>
        <w:tc>
          <w:tcPr>
            <w:tcW w:w="7656" w:type="dxa"/>
            <w:vAlign w:val="center"/>
          </w:tcPr>
          <w:p w14:paraId="523371B7">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本招标项目纳入绿色建设实施范围，要求达到《绿色建筑评价标准》(GB/T50378-2019）规定的</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14:textFill>
                  <w14:solidFill>
                    <w14:schemeClr w14:val="tx1"/>
                  </w14:solidFill>
                </w14:textFill>
              </w:rPr>
              <w:t>一</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eastAsia="zh-CN"/>
                <w14:textFill>
                  <w14:solidFill>
                    <w14:schemeClr w14:val="tx1"/>
                  </w14:solidFill>
                </w14:textFill>
              </w:rPr>
              <w:t>星</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级标准。</w:t>
            </w:r>
          </w:p>
        </w:tc>
      </w:tr>
      <w:tr w14:paraId="44A58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1CD2CF21">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19.1</w:t>
            </w:r>
          </w:p>
        </w:tc>
        <w:tc>
          <w:tcPr>
            <w:tcW w:w="1860" w:type="dxa"/>
            <w:vAlign w:val="center"/>
          </w:tcPr>
          <w:p w14:paraId="4D336BF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装配式建筑标准</w:t>
            </w:r>
          </w:p>
        </w:tc>
        <w:tc>
          <w:tcPr>
            <w:tcW w:w="7656" w:type="dxa"/>
            <w:vAlign w:val="center"/>
          </w:tcPr>
          <w:p w14:paraId="7FEA000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本招标项目</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14:textFill>
                  <w14:solidFill>
                    <w14:schemeClr w14:val="tx1"/>
                  </w14:solidFill>
                </w14:textFill>
              </w:rPr>
              <w:t>不</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纳入装配式建造建设实施范围。</w:t>
            </w:r>
          </w:p>
        </w:tc>
      </w:tr>
      <w:tr w14:paraId="2E1C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64746E48">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20</w:t>
            </w:r>
          </w:p>
        </w:tc>
        <w:tc>
          <w:tcPr>
            <w:tcW w:w="1860" w:type="dxa"/>
            <w:vAlign w:val="center"/>
          </w:tcPr>
          <w:p w14:paraId="649F4D0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发包人提供材料和工程设备</w:t>
            </w:r>
          </w:p>
        </w:tc>
        <w:tc>
          <w:tcPr>
            <w:tcW w:w="7656" w:type="dxa"/>
            <w:vAlign w:val="center"/>
          </w:tcPr>
          <w:p w14:paraId="77FB08D3">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default" w:asciiTheme="minorEastAsia" w:hAnsiTheme="minorEastAsia" w:eastAsiaTheme="minorEastAsia" w:cstheme="minorEastAsia"/>
                <w:snapToGrid w:val="0"/>
                <w:color w:val="000000" w:themeColor="text1"/>
                <w:spacing w:val="0"/>
                <w:kern w:val="0"/>
                <w:sz w:val="21"/>
                <w:szCs w:val="21"/>
                <w:highlight w:val="none"/>
                <w:u w:val="singl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发包人提供材料和工程设备： ☑无     □有：</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14:textFill>
                  <w14:solidFill>
                    <w14:schemeClr w14:val="tx1"/>
                  </w14:solidFill>
                </w14:textFill>
              </w:rPr>
              <w:t xml:space="preserve">     </w:t>
            </w:r>
          </w:p>
        </w:tc>
      </w:tr>
      <w:tr w14:paraId="119B3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2622591F">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21</w:t>
            </w:r>
          </w:p>
        </w:tc>
        <w:tc>
          <w:tcPr>
            <w:tcW w:w="1860" w:type="dxa"/>
            <w:vAlign w:val="center"/>
          </w:tcPr>
          <w:p w14:paraId="6A6F9E67">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承包人提供材料和工程设备</w:t>
            </w:r>
          </w:p>
        </w:tc>
        <w:tc>
          <w:tcPr>
            <w:tcW w:w="7656" w:type="dxa"/>
            <w:vAlign w:val="top"/>
          </w:tcPr>
          <w:p w14:paraId="7329718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除招标文件约定的发包人提供的甲供材料外，合同工程所需的材料和工程设备应由承包人负责采购、运输和保管，并对其采购的材料和工程设备提供质量证明文件，满足合同约定的质量标准。若承包人提供的材料和工程设备没有合格证明材料或经检测不符合合同约定的质量标准，应立即更换，由此增加的费用和（或）工期延误由承包人承担。对发包人要求检测承包人己具有合格证明的材料、工程设备，但经检测证明该项材料、工程设备符合合同约定的质量标准的，发包人应承担由此增加的费用和（或）工期延误，并向承包人支付合理利润。</w:t>
            </w:r>
          </w:p>
          <w:p w14:paraId="716D254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□其它说明：鼓励承包人积极采购环保产品进行施工。</w:t>
            </w:r>
          </w:p>
        </w:tc>
      </w:tr>
      <w:tr w14:paraId="3B0B3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0" w:hRule="atLeast"/>
        </w:trPr>
        <w:tc>
          <w:tcPr>
            <w:tcW w:w="582" w:type="dxa"/>
            <w:vAlign w:val="center"/>
          </w:tcPr>
          <w:p w14:paraId="23CFF5B2">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22</w:t>
            </w:r>
          </w:p>
        </w:tc>
        <w:tc>
          <w:tcPr>
            <w:tcW w:w="1860" w:type="dxa"/>
            <w:vAlign w:val="center"/>
          </w:tcPr>
          <w:p w14:paraId="08D2DAC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最高投标限价</w:t>
            </w:r>
          </w:p>
        </w:tc>
        <w:tc>
          <w:tcPr>
            <w:tcW w:w="7656" w:type="dxa"/>
            <w:vAlign w:val="center"/>
          </w:tcPr>
          <w:p w14:paraId="73FF3F4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本招标项目最高投标限价为人民币（大写）</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14:textFill>
                  <w14:solidFill>
                    <w14:schemeClr w14:val="tx1"/>
                  </w14:solidFill>
                </w14:textFill>
              </w:rPr>
              <w:t>壹仟伍佰零柒万伍仟捌佰柒拾陆元贰角玖分</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14:textFill>
                  <w14:solidFill>
                    <w14:schemeClr w14:val="tx1"/>
                  </w14:solidFill>
                </w14:textFill>
              </w:rPr>
              <w:t>15075876.29</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eastAsia="zh-CN"/>
                <w14:textFill>
                  <w14:solidFill>
                    <w14:schemeClr w14:val="tx1"/>
                  </w14:solidFill>
                </w14:textFill>
              </w:rPr>
              <w:t>元）</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，其中安全生产措施费为：¥</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14:textFill>
                  <w14:solidFill>
                    <w14:schemeClr w14:val="tx1"/>
                  </w14:solidFill>
                </w14:textFill>
              </w:rPr>
              <w:t>421624.72</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元，暂列金额为：¥</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14:textFill>
                  <w14:solidFill>
                    <w14:schemeClr w14:val="tx1"/>
                  </w14:solidFill>
                </w14:textFill>
              </w:rPr>
              <w:t>1117721.75</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元，专业工程暂估价为：</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14:textFill>
                  <w14:solidFill>
                    <w14:schemeClr w14:val="tx1"/>
                  </w14:solidFill>
                </w14:textFill>
              </w:rPr>
              <w:t>108000.00</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元。</w:t>
            </w:r>
          </w:p>
        </w:tc>
      </w:tr>
      <w:tr w14:paraId="07069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50" w:hRule="atLeast"/>
        </w:trPr>
        <w:tc>
          <w:tcPr>
            <w:tcW w:w="582" w:type="dxa"/>
            <w:vAlign w:val="center"/>
          </w:tcPr>
          <w:p w14:paraId="14D57F0A">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23</w:t>
            </w:r>
          </w:p>
        </w:tc>
        <w:tc>
          <w:tcPr>
            <w:tcW w:w="1860" w:type="dxa"/>
            <w:vAlign w:val="center"/>
          </w:tcPr>
          <w:p w14:paraId="4EDFFAA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投标人的投标报价</w:t>
            </w:r>
          </w:p>
        </w:tc>
        <w:tc>
          <w:tcPr>
            <w:tcW w:w="7656" w:type="dxa"/>
            <w:vAlign w:val="center"/>
          </w:tcPr>
          <w:p w14:paraId="449D521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投标人投标时响应招标文件要求所报出的对已标价工程量清单汇总后标明的总价。投标人在投标报价填写的工程量清单的项目编码、项目名称、项目特征、计量单位、工程数量必须与招标人招标文件中提供的一致，投标价不能低于工程成本、高于最高投标限价。</w:t>
            </w:r>
          </w:p>
          <w:p w14:paraId="270EDCA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投标报价方式： ☑工程量清单报</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 xml:space="preserve">  □其他：</w:t>
            </w:r>
          </w:p>
          <w:p w14:paraId="134467A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投标报价时，应按《广东省建设工程计价依据（2018）》规定的费率报价，若招标工程量清单明确说明不计算预算包干费或另外确定预算包干费费率的，则按招标工程量清单报价。</w:t>
            </w:r>
          </w:p>
        </w:tc>
      </w:tr>
      <w:tr w14:paraId="3A262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582" w:type="dxa"/>
            <w:vAlign w:val="center"/>
          </w:tcPr>
          <w:p w14:paraId="78D804F4">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24</w:t>
            </w:r>
          </w:p>
        </w:tc>
        <w:tc>
          <w:tcPr>
            <w:tcW w:w="1860" w:type="dxa"/>
            <w:vAlign w:val="center"/>
          </w:tcPr>
          <w:p w14:paraId="75D5610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投标报价风险</w:t>
            </w:r>
          </w:p>
        </w:tc>
        <w:tc>
          <w:tcPr>
            <w:tcW w:w="7656" w:type="dxa"/>
            <w:vAlign w:val="center"/>
          </w:tcPr>
          <w:p w14:paraId="09F1294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☑投标人依据招标文件约定自行考虑风险因素，一旦中标，投标报价（合同价）除合同另有约定外将不因市场变化而调整。</w:t>
            </w:r>
          </w:p>
          <w:p w14:paraId="4AE8FF5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☑投标报价中应包括工程量清单项目所发生的人工费、材料费、机具费、管理费、利润、措施项目费、其它项目费、税金、暂列金额、暂估价以及所有风险、责任等各项费用。</w:t>
            </w:r>
          </w:p>
          <w:p w14:paraId="0FDFC6A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☑人工费、材料费、机具费、管理费、利润、措施项目费（不含安全生产措施费）投标人漏报或不报，招标人视为有关费用已包括在工程量清单项目的其它单价及合价中不予另外增加。</w:t>
            </w:r>
          </w:p>
          <w:p w14:paraId="1D4B24BC">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☑措施项目中的安全生产措施费，必须按国家、省级、市级（即工程所在地）行业建设主管部门的规定计算，不得作为竞争性费用。</w:t>
            </w:r>
          </w:p>
          <w:p w14:paraId="2BDA8BB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☑投标人应按照招标文件提供的工程量清单逐项填写单价和合价，投标人未填写的项目，招标人将视为此项费用已包括在工程量清单项目的其它单价及合价中不予另外增加。</w:t>
            </w:r>
          </w:p>
          <w:p w14:paraId="0598AA6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投标人应按《广东省建设工程计价依据（2018）》规定的费率对预算包干费进行报价，若招标工程量清单明确说明不计算预算包干费或另外确定预算包干费费率的，则按招标工程量清单报价，若投标人不按规定报价的，则中标后无条件接受招标人对投标报价的调整。</w:t>
            </w:r>
          </w:p>
          <w:p w14:paraId="042F334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☑招标人向投标人提供的有关施工现场资料及数据，是招标人现有的能使投标人利用的资料，招标人对投标人据此作出的推论及理解概不负责。</w:t>
            </w:r>
          </w:p>
          <w:p w14:paraId="12C0474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投标人应依据招标人提供的所有资料和自己对现场查勘来编制投标文件，并对招标人提供的所有资料的理解、推断和应用负责。在投标人提交其投标文件之前，视为已经考虑了现场及其周围环境的影响，中标后，不得以不完全了解现场情况为理由提出追加款项或者延长工期等索赔的要求。</w:t>
            </w:r>
          </w:p>
          <w:p w14:paraId="7883DF1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☑错漏项的认定。中标人已标价工程量清单中，任一清单项目未填报价格或价格为零的，招标人将视为此项费用已包括在工程量清单项目的其它单价及合价中不予另外增加。</w:t>
            </w:r>
          </w:p>
        </w:tc>
      </w:tr>
      <w:tr w14:paraId="4F809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7" w:hRule="atLeast"/>
        </w:trPr>
        <w:tc>
          <w:tcPr>
            <w:tcW w:w="582" w:type="dxa"/>
            <w:vAlign w:val="center"/>
          </w:tcPr>
          <w:p w14:paraId="2A703940">
            <w:pPr>
              <w:keepNext w:val="0"/>
              <w:keepLines w:val="0"/>
              <w:pageBreakBefore w:val="0"/>
              <w:wordWrap w:val="0"/>
              <w:overflowPunct/>
              <w:topLinePunct w:val="0"/>
              <w:bidi w:val="0"/>
              <w:spacing w:before="284" w:line="188"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25</w:t>
            </w:r>
          </w:p>
        </w:tc>
        <w:tc>
          <w:tcPr>
            <w:tcW w:w="1860" w:type="dxa"/>
            <w:vAlign w:val="center"/>
          </w:tcPr>
          <w:p w14:paraId="169F8CD2">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投标费用</w:t>
            </w:r>
          </w:p>
        </w:tc>
        <w:tc>
          <w:tcPr>
            <w:tcW w:w="7656" w:type="dxa"/>
            <w:vAlign w:val="center"/>
          </w:tcPr>
          <w:p w14:paraId="6A66A49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投标人自行承担编制与递交投标文件的一切费用。</w:t>
            </w:r>
          </w:p>
        </w:tc>
      </w:tr>
      <w:tr w14:paraId="5958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vAlign w:val="center"/>
          </w:tcPr>
          <w:p w14:paraId="39B3D201">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26</w:t>
            </w:r>
          </w:p>
        </w:tc>
        <w:tc>
          <w:tcPr>
            <w:tcW w:w="1860" w:type="dxa"/>
            <w:vAlign w:val="center"/>
          </w:tcPr>
          <w:p w14:paraId="728110B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投标人资格要求</w:t>
            </w:r>
          </w:p>
        </w:tc>
        <w:tc>
          <w:tcPr>
            <w:tcW w:w="7656" w:type="dxa"/>
            <w:vAlign w:val="center"/>
          </w:tcPr>
          <w:p w14:paraId="7D35C16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1.本次招标</w:t>
            </w:r>
            <w:r>
              <w:rPr>
                <w:rFonts w:hint="eastAsia" w:asciiTheme="minorEastAsia" w:hAnsiTheme="minorEastAsia" w:eastAsiaTheme="minorEastAsia" w:cstheme="minorEastAsia"/>
                <w:b/>
                <w:bCs/>
                <w:snapToGrid w:val="0"/>
                <w:color w:val="000000" w:themeColor="text1"/>
                <w:spacing w:val="0"/>
                <w:kern w:val="0"/>
                <w:sz w:val="21"/>
                <w:szCs w:val="21"/>
                <w:highlight w:val="none"/>
                <w:lang w:eastAsia="zh-CN"/>
                <w14:textFill>
                  <w14:solidFill>
                    <w14:schemeClr w14:val="tx1"/>
                  </w14:solidFill>
                </w14:textFill>
              </w:rPr>
              <w:t>不接受</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联合体投标。</w:t>
            </w:r>
          </w:p>
          <w:p w14:paraId="15E1CF0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2．资质要求</w:t>
            </w:r>
          </w:p>
          <w:p w14:paraId="410E498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2.1 投标人须具备独立法人资格，按国家法律经营。</w:t>
            </w:r>
          </w:p>
          <w:p w14:paraId="3A2C613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2.2 投标人须持有建设行政主管部门颁发的企业资质证书及安全生产许可证。</w:t>
            </w:r>
          </w:p>
          <w:p w14:paraId="4FBEBC6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2.3 投标人须具备以下资质：具有建设行政主管部门颁发的</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eastAsia="zh-CN"/>
                <w14:textFill>
                  <w14:solidFill>
                    <w14:schemeClr w14:val="tx1"/>
                  </w14:solidFill>
                </w14:textFill>
              </w:rPr>
              <w:t>建筑工程施工总承包</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14:textFill>
                  <w14:solidFill>
                    <w14:schemeClr w14:val="tx1"/>
                  </w14:solidFill>
                </w14:textFill>
              </w:rPr>
              <w:t>三</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eastAsia="zh-CN"/>
                <w14:textFill>
                  <w14:solidFill>
                    <w14:schemeClr w14:val="tx1"/>
                  </w14:solidFill>
                </w14:textFill>
              </w:rPr>
              <w:t>级以上（含</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14:textFill>
                  <w14:solidFill>
                    <w14:schemeClr w14:val="tx1"/>
                  </w14:solidFill>
                </w14:textFill>
              </w:rPr>
              <w:t>三</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eastAsia="zh-CN"/>
                <w14:textFill>
                  <w14:solidFill>
                    <w14:schemeClr w14:val="tx1"/>
                  </w14:solidFill>
                </w14:textFill>
              </w:rPr>
              <w:t>级）</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资质。</w:t>
            </w:r>
          </w:p>
          <w:p w14:paraId="55A9D5D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2.4 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6E1B7DB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3．相关人员要求</w:t>
            </w:r>
          </w:p>
          <w:p w14:paraId="34B5145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3.1  拟派项目经理为</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14:textFill>
                  <w14:solidFill>
                    <w14:schemeClr w14:val="tx1"/>
                  </w14:solidFill>
                </w14:textFill>
              </w:rPr>
              <w:t>建筑工程</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专业一级或二级注册建造师，应持有住建部门印发的在使用有效期内的有效电子注册证书（根据广东省住房和城乡建设厅（粤建市函〔2023〕469 号）文件精神，二级注册建造师可随注册企业在全国范围内执业）。同时均须具备有效安全生产考核合格证明（B 证），且未担任其他在施（包括已中标未开工、已开工未竣工）建设工程项目的项目经理。</w:t>
            </w:r>
          </w:p>
          <w:p w14:paraId="526D959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3.2 拟派项目技术负责人须具备</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14:textFill>
                  <w14:solidFill>
                    <w14:schemeClr w14:val="tx1"/>
                  </w14:solidFill>
                </w14:textFill>
              </w:rPr>
              <w:t>建筑工程</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相关专业</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eastAsia="zh-CN"/>
                <w14:textFill>
                  <w14:solidFill>
                    <w14:schemeClr w14:val="tx1"/>
                  </w14:solidFill>
                </w14:textFill>
              </w:rPr>
              <w:t>中</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级以上（含</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eastAsia="zh-CN"/>
                <w14:textFill>
                  <w14:solidFill>
                    <w14:schemeClr w14:val="tx1"/>
                  </w14:solidFill>
                </w14:textFill>
              </w:rPr>
              <w:t>中</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级）技术职称。</w:t>
            </w:r>
          </w:p>
          <w:p w14:paraId="7E279E0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3.3 投标人拟派专职安全生产管理人员须具备有效安全生产考核合格证明（C证，安全生产考核合格证书或“广东省建筑施工企业管理人员安全生产考核系统”考核合格信息打印页），且不少于</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eastAsia="zh-CN"/>
                <w14:textFill>
                  <w14:solidFill>
                    <w14:schemeClr w14:val="tx1"/>
                  </w14:solidFill>
                </w14:textFill>
              </w:rPr>
              <w:t xml:space="preserve"> 1 </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人。</w:t>
            </w:r>
          </w:p>
          <w:p w14:paraId="4F35C3C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3.4 投标人（包括组成联合体的所有成员单位）与其拟派往本项目管理机构的所有人员之间必须具备合法、唯一的劳动聘用关系。拟派人员中具备注册执业资格的，其注册单位须与投标人保持一致。</w:t>
            </w:r>
          </w:p>
          <w:p w14:paraId="68CF7C1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4.禁止投标条款：</w:t>
            </w:r>
          </w:p>
          <w:p w14:paraId="756E14C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4.1  投标人不得存在下列情形之一：</w:t>
            </w:r>
          </w:p>
          <w:p w14:paraId="68C2B4A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（1）为招标人不具有独立法人资格的附属机构（单位）；</w:t>
            </w:r>
          </w:p>
          <w:p w14:paraId="44593C8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（2）为本招标项目前期准备提供设计或咨询服务的；</w:t>
            </w:r>
          </w:p>
          <w:p w14:paraId="59CFF19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（3）与本招标项目的其他投标人为同一个单位负责人；</w:t>
            </w:r>
          </w:p>
          <w:p w14:paraId="2AE6D68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（4）与本招标项目的其他投标人存在控股、管理关系；</w:t>
            </w:r>
          </w:p>
          <w:p w14:paraId="38CFB62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（5）为本招标项目的监理人；</w:t>
            </w:r>
          </w:p>
          <w:p w14:paraId="1419324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（6）为本招标项目的代建人；</w:t>
            </w:r>
          </w:p>
          <w:p w14:paraId="170099A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（7）为本招标项目的招标代理机构；</w:t>
            </w:r>
          </w:p>
          <w:p w14:paraId="062B5CB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（8）与本招标项目的监理人或代建人或招标代理机构同为一个法定代表人；</w:t>
            </w:r>
          </w:p>
          <w:p w14:paraId="76338A8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（9）与本招标项目的监理人或代建人或招标代理机构存在控股或参股关系；</w:t>
            </w:r>
          </w:p>
          <w:p w14:paraId="2A915A3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（10）与本招标项目的监理人或代建人或招标代理机构存在相互任职或工作关系；</w:t>
            </w:r>
          </w:p>
          <w:p w14:paraId="2D49455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（11）被依法暂停或者取消投标资格；</w:t>
            </w:r>
          </w:p>
          <w:p w14:paraId="335907D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（12）被责令停产停业、暂扣或者吊销许可证、暂扣或者吊销执照；</w:t>
            </w:r>
          </w:p>
          <w:p w14:paraId="146AB41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（13）进入清算程序，或被宣告破产，或其他丧失履约能力的情形；</w:t>
            </w:r>
          </w:p>
          <w:p w14:paraId="730679D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（14）在最近三年内发生重大工程质量或安全问题（以相关行业主管部门的行政处罚决定或司法机关出具的有关法律文书为准）；</w:t>
            </w:r>
          </w:p>
          <w:p w14:paraId="4202D8C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（15）被“信用中国 ”网站（https://www.creditchina.gov.cn）发布的《法人和非法人组织公共信用信息报告》列为严重失信主体名单的。</w:t>
            </w:r>
          </w:p>
          <w:p w14:paraId="587EA45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4.2  招标人拒绝以下名单中的单位参加本次投标：</w:t>
            </w:r>
          </w:p>
          <w:tbl>
            <w:tblPr>
              <w:tblStyle w:val="15"/>
              <w:tblW w:w="7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3510"/>
              <w:gridCol w:w="3371"/>
            </w:tblGrid>
            <w:tr w14:paraId="526D2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jc w:val="center"/>
              </w:trPr>
              <w:tc>
                <w:tcPr>
                  <w:tcW w:w="677" w:type="dxa"/>
                  <w:vAlign w:val="center"/>
                </w:tcPr>
                <w:p w14:paraId="60DBAAFB">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序号</w:t>
                  </w:r>
                </w:p>
              </w:tc>
              <w:tc>
                <w:tcPr>
                  <w:tcW w:w="3510" w:type="dxa"/>
                  <w:vAlign w:val="center"/>
                </w:tcPr>
                <w:p w14:paraId="7B05472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单位名称</w:t>
                  </w:r>
                </w:p>
              </w:tc>
              <w:tc>
                <w:tcPr>
                  <w:tcW w:w="3371" w:type="dxa"/>
                  <w:vAlign w:val="center"/>
                </w:tcPr>
                <w:p w14:paraId="4FE91A1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拒绝原因</w:t>
                  </w:r>
                </w:p>
              </w:tc>
            </w:tr>
            <w:tr w14:paraId="1DBB6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677" w:type="dxa"/>
                  <w:vAlign w:val="center"/>
                </w:tcPr>
                <w:p w14:paraId="5735F3E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1</w:t>
                  </w:r>
                </w:p>
              </w:tc>
              <w:tc>
                <w:tcPr>
                  <w:tcW w:w="3510" w:type="dxa"/>
                  <w:vAlign w:val="center"/>
                </w:tcPr>
                <w:p w14:paraId="25D93D7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韶关市武江区教育局</w:t>
                  </w:r>
                </w:p>
              </w:tc>
              <w:tc>
                <w:tcPr>
                  <w:tcW w:w="3371" w:type="dxa"/>
                  <w:vAlign w:val="center"/>
                </w:tcPr>
                <w:p w14:paraId="42F41EC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为本招标项目的招标人</w:t>
                  </w:r>
                </w:p>
              </w:tc>
            </w:tr>
            <w:tr w14:paraId="625F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677" w:type="dxa"/>
                  <w:vAlign w:val="center"/>
                </w:tcPr>
                <w:p w14:paraId="27F653D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2</w:t>
                  </w:r>
                </w:p>
              </w:tc>
              <w:tc>
                <w:tcPr>
                  <w:tcW w:w="3510" w:type="dxa"/>
                  <w:vAlign w:val="center"/>
                </w:tcPr>
                <w:p w14:paraId="74BC464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韶关市城监项目管理有限公司</w:t>
                  </w:r>
                </w:p>
              </w:tc>
              <w:tc>
                <w:tcPr>
                  <w:tcW w:w="3371" w:type="dxa"/>
                  <w:vAlign w:val="center"/>
                </w:tcPr>
                <w:p w14:paraId="15ADD93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为本招标项目的招标代理机构</w:t>
                  </w:r>
                </w:p>
              </w:tc>
            </w:tr>
            <w:tr w14:paraId="0D97B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77" w:type="dxa"/>
                  <w:vAlign w:val="center"/>
                </w:tcPr>
                <w:p w14:paraId="681D054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3</w:t>
                  </w:r>
                </w:p>
              </w:tc>
              <w:tc>
                <w:tcPr>
                  <w:tcW w:w="3510" w:type="dxa"/>
                  <w:vAlign w:val="center"/>
                </w:tcPr>
                <w:p w14:paraId="53846CB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建成工程咨询股份有限公司</w:t>
                  </w:r>
                </w:p>
              </w:tc>
              <w:tc>
                <w:tcPr>
                  <w:tcW w:w="3371" w:type="dxa"/>
                  <w:vAlign w:val="center"/>
                </w:tcPr>
                <w:p w14:paraId="0BBAABD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为本招标项目的可行性研究报告编制单位</w:t>
                  </w:r>
                </w:p>
              </w:tc>
            </w:tr>
            <w:tr w14:paraId="2DAD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77" w:type="dxa"/>
                  <w:vAlign w:val="center"/>
                </w:tcPr>
                <w:p w14:paraId="58ABAC6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4</w:t>
                  </w:r>
                </w:p>
              </w:tc>
              <w:tc>
                <w:tcPr>
                  <w:tcW w:w="3510" w:type="dxa"/>
                  <w:vAlign w:val="center"/>
                </w:tcPr>
                <w:p w14:paraId="5559883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鸿儒勘测设计有限公司</w:t>
                  </w:r>
                </w:p>
              </w:tc>
              <w:tc>
                <w:tcPr>
                  <w:tcW w:w="3371" w:type="dxa"/>
                  <w:vAlign w:val="center"/>
                </w:tcPr>
                <w:p w14:paraId="58EF012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为本招标项目的工程勘察单位</w:t>
                  </w:r>
                </w:p>
              </w:tc>
            </w:tr>
            <w:tr w14:paraId="31CB6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677" w:type="dxa"/>
                  <w:vAlign w:val="center"/>
                </w:tcPr>
                <w:p w14:paraId="3A11F44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5</w:t>
                  </w:r>
                </w:p>
              </w:tc>
              <w:tc>
                <w:tcPr>
                  <w:tcW w:w="3510" w:type="dxa"/>
                  <w:vAlign w:val="center"/>
                </w:tcPr>
                <w:p w14:paraId="034B772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韶关市科捷检测技术服务有限公司</w:t>
                  </w:r>
                </w:p>
              </w:tc>
              <w:tc>
                <w:tcPr>
                  <w:tcW w:w="3371" w:type="dxa"/>
                  <w:vAlign w:val="center"/>
                </w:tcPr>
                <w:p w14:paraId="0B8C63A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fldChar w:fldCharType="begin"/>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instrText xml:space="preserve"> HYPERLINK "https://ygp.gdzwfw.gov.cn/zjfwcs/gd-zjcs-pub/bidResultNotice/view/4402030069533042503100795" </w:instrTex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fldChar w:fldCharType="separate"/>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土壤氡检测</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fldChar w:fldCharType="end"/>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单位</w:t>
                  </w:r>
                </w:p>
              </w:tc>
            </w:tr>
            <w:tr w14:paraId="5A935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77" w:type="dxa"/>
                  <w:vAlign w:val="center"/>
                </w:tcPr>
                <w:p w14:paraId="4B04CAD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6</w:t>
                  </w:r>
                </w:p>
              </w:tc>
              <w:tc>
                <w:tcPr>
                  <w:tcW w:w="3510" w:type="dxa"/>
                  <w:vAlign w:val="center"/>
                </w:tcPr>
                <w:p w14:paraId="7D9ECA3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广东广量勘测规划有限公司</w:t>
                  </w:r>
                </w:p>
              </w:tc>
              <w:tc>
                <w:tcPr>
                  <w:tcW w:w="3371" w:type="dxa"/>
                  <w:vAlign w:val="center"/>
                </w:tcPr>
                <w:p w14:paraId="0A4BE5B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为本招标项目的测绘单位</w:t>
                  </w:r>
                </w:p>
              </w:tc>
            </w:tr>
            <w:tr w14:paraId="2E63A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77" w:type="dxa"/>
                  <w:vAlign w:val="center"/>
                </w:tcPr>
                <w:p w14:paraId="5DDBE29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7</w:t>
                  </w:r>
                </w:p>
              </w:tc>
              <w:tc>
                <w:tcPr>
                  <w:tcW w:w="3510" w:type="dxa"/>
                  <w:vAlign w:val="center"/>
                </w:tcPr>
                <w:p w14:paraId="69460C9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广州宇丰工程咨询有限公司</w:t>
                  </w:r>
                </w:p>
              </w:tc>
              <w:tc>
                <w:tcPr>
                  <w:tcW w:w="3371" w:type="dxa"/>
                  <w:vAlign w:val="center"/>
                </w:tcPr>
                <w:p w14:paraId="6BF7F2D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fldChar w:fldCharType="begin"/>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instrText xml:space="preserve"> HYPERLINK "https://ygp.gdzwfw.gov.cn/zjfwcs/gd-zjcs-pub/bidResultNotice/view/4402030069533042504020126" </w:instrTex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fldChar w:fldCharType="separate"/>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全过程造价服务</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fldChar w:fldCharType="end"/>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单位</w:t>
                  </w:r>
                </w:p>
              </w:tc>
            </w:tr>
            <w:tr w14:paraId="2891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677" w:type="dxa"/>
                  <w:vAlign w:val="center"/>
                </w:tcPr>
                <w:p w14:paraId="6ECC2D7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8</w:t>
                  </w:r>
                </w:p>
              </w:tc>
              <w:tc>
                <w:tcPr>
                  <w:tcW w:w="3510" w:type="dxa"/>
                  <w:vAlign w:val="center"/>
                </w:tcPr>
                <w:p w14:paraId="1680F80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fldChar w:fldCharType="begin"/>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instrText xml:space="preserve"> HYPERLINK "https://ygp.gdzwfw.gov.cn/zjfwcs/gd-zjcs-pub/zjfw/serviceView/91440203MA53Y93E2D" \t "https://ygp.gdzwfw.gov.cn/zjfwcs/gd-zjcs-pub/bidResultNotice/view/_black" </w:instrTex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fldChar w:fldCharType="separate"/>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广东省华源建设项目管理有限公司</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fldChar w:fldCharType="end"/>
                  </w:r>
                </w:p>
              </w:tc>
              <w:tc>
                <w:tcPr>
                  <w:tcW w:w="3371" w:type="dxa"/>
                  <w:vAlign w:val="center"/>
                </w:tcPr>
                <w:p w14:paraId="0957CDC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default"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为本招标项目的初步设计概算审核单位</w:t>
                  </w:r>
                </w:p>
              </w:tc>
            </w:tr>
            <w:tr w14:paraId="21F5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77" w:type="dxa"/>
                  <w:vAlign w:val="center"/>
                </w:tcPr>
                <w:p w14:paraId="0328AE9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9</w:t>
                  </w:r>
                </w:p>
              </w:tc>
              <w:tc>
                <w:tcPr>
                  <w:tcW w:w="3510" w:type="dxa"/>
                  <w:vAlign w:val="center"/>
                </w:tcPr>
                <w:p w14:paraId="64D235F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中外建华诚工程技术集团有限公司</w:t>
                  </w:r>
                </w:p>
              </w:tc>
              <w:tc>
                <w:tcPr>
                  <w:tcW w:w="3371" w:type="dxa"/>
                  <w:vAlign w:val="center"/>
                </w:tcPr>
                <w:p w14:paraId="2EAA1BB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default"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为本招标项目的施工图设计单位</w:t>
                  </w:r>
                </w:p>
              </w:tc>
            </w:tr>
            <w:tr w14:paraId="1FBB1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677" w:type="dxa"/>
                  <w:vAlign w:val="center"/>
                </w:tcPr>
                <w:p w14:paraId="5E7F32F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10</w:t>
                  </w:r>
                </w:p>
              </w:tc>
              <w:tc>
                <w:tcPr>
                  <w:tcW w:w="3510" w:type="dxa"/>
                  <w:vAlign w:val="center"/>
                </w:tcPr>
                <w:p w14:paraId="7926955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韶关市山河建筑工程施工图设计文件审查有限公司</w:t>
                  </w:r>
                </w:p>
              </w:tc>
              <w:tc>
                <w:tcPr>
                  <w:tcW w:w="3371" w:type="dxa"/>
                  <w:vAlign w:val="center"/>
                </w:tcPr>
                <w:p w14:paraId="51C021C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为本招标项目的施工图审查单位</w:t>
                  </w:r>
                </w:p>
              </w:tc>
            </w:tr>
            <w:tr w14:paraId="7BC28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77" w:type="dxa"/>
                  <w:vAlign w:val="center"/>
                </w:tcPr>
                <w:p w14:paraId="5420A55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11</w:t>
                  </w:r>
                </w:p>
              </w:tc>
              <w:tc>
                <w:tcPr>
                  <w:tcW w:w="3510" w:type="dxa"/>
                  <w:vAlign w:val="center"/>
                </w:tcPr>
                <w:p w14:paraId="70A4544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永明项目管理有限公司</w:t>
                  </w:r>
                </w:p>
              </w:tc>
              <w:tc>
                <w:tcPr>
                  <w:tcW w:w="3371" w:type="dxa"/>
                  <w:vAlign w:val="center"/>
                </w:tcPr>
                <w:p w14:paraId="576E492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为本招标项目的预算审核单位</w:t>
                  </w:r>
                </w:p>
              </w:tc>
            </w:tr>
          </w:tbl>
          <w:p w14:paraId="7E7C597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5.其他要求</w:t>
            </w:r>
          </w:p>
          <w:p w14:paraId="15FDD12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省外企业及其拟派往本项目管理机构的所有人员均须按照《广东省住房和城乡建设厅关于取消省外建筑企业和人员进粤信息备案有关工作的通知》（粤建市﹝2015﹞52 号）规定在“进粤企业和人员诚信信息登记平台”录入相关信息并通过数据规范检查。</w:t>
            </w:r>
          </w:p>
        </w:tc>
      </w:tr>
      <w:tr w14:paraId="67DD4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6" w:hRule="atLeast"/>
        </w:trPr>
        <w:tc>
          <w:tcPr>
            <w:tcW w:w="582" w:type="dxa"/>
            <w:vAlign w:val="center"/>
          </w:tcPr>
          <w:p w14:paraId="703F9879">
            <w:pPr>
              <w:keepNext w:val="0"/>
              <w:keepLines w:val="0"/>
              <w:pageBreakBefore w:val="0"/>
              <w:wordWrap w:val="0"/>
              <w:overflowPunct/>
              <w:topLinePunct w:val="0"/>
              <w:bidi w:val="0"/>
              <w:spacing w:before="19"/>
              <w:jc w:val="cente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27</w:t>
            </w:r>
          </w:p>
        </w:tc>
        <w:tc>
          <w:tcPr>
            <w:tcW w:w="1860" w:type="dxa"/>
            <w:vAlign w:val="center"/>
          </w:tcPr>
          <w:p w14:paraId="4CB5E433">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投标有效期</w:t>
            </w:r>
          </w:p>
        </w:tc>
        <w:tc>
          <w:tcPr>
            <w:tcW w:w="7656" w:type="dxa"/>
            <w:vAlign w:val="center"/>
          </w:tcPr>
          <w:p w14:paraId="3D83EF0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本次招标的投标有效期为</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eastAsia="zh-CN"/>
                <w14:textFill>
                  <w14:solidFill>
                    <w14:schemeClr w14:val="tx1"/>
                  </w14:solidFill>
                </w14:textFill>
              </w:rPr>
              <w:t>90</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 xml:space="preserve"> 个日历天。</w:t>
            </w:r>
          </w:p>
        </w:tc>
      </w:tr>
      <w:tr w14:paraId="61507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5" w:hRule="atLeast"/>
        </w:trPr>
        <w:tc>
          <w:tcPr>
            <w:tcW w:w="582" w:type="dxa"/>
            <w:vAlign w:val="center"/>
          </w:tcPr>
          <w:p w14:paraId="75B295D4">
            <w:pPr>
              <w:keepNext w:val="0"/>
              <w:keepLines w:val="0"/>
              <w:pageBreakBefore w:val="0"/>
              <w:wordWrap w:val="0"/>
              <w:overflowPunct/>
              <w:topLinePunct w:val="0"/>
              <w:bidi w:val="0"/>
              <w:spacing w:before="69" w:line="188" w:lineRule="auto"/>
              <w:ind w:left="205"/>
              <w:jc w:val="both"/>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28</w:t>
            </w:r>
          </w:p>
        </w:tc>
        <w:tc>
          <w:tcPr>
            <w:tcW w:w="1860" w:type="dxa"/>
            <w:vAlign w:val="center"/>
          </w:tcPr>
          <w:p w14:paraId="4BFBD8CB">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投标文件组成</w:t>
            </w:r>
          </w:p>
        </w:tc>
        <w:tc>
          <w:tcPr>
            <w:tcW w:w="7656" w:type="dxa"/>
            <w:vAlign w:val="center"/>
          </w:tcPr>
          <w:p w14:paraId="142ADE0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投标文件包括商务标书、经济标书、施工组织设计、</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定标文件四</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个分册。</w:t>
            </w:r>
          </w:p>
        </w:tc>
      </w:tr>
      <w:tr w14:paraId="5A82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5" w:hRule="atLeast"/>
        </w:trPr>
        <w:tc>
          <w:tcPr>
            <w:tcW w:w="582" w:type="dxa"/>
            <w:vAlign w:val="center"/>
          </w:tcPr>
          <w:p w14:paraId="30846F92">
            <w:pPr>
              <w:keepNext w:val="0"/>
              <w:keepLines w:val="0"/>
              <w:pageBreakBefore w:val="0"/>
              <w:wordWrap w:val="0"/>
              <w:overflowPunct/>
              <w:topLinePunct w:val="0"/>
              <w:bidi w:val="0"/>
              <w:spacing w:before="69" w:line="188" w:lineRule="auto"/>
              <w:ind w:left="205"/>
              <w:jc w:val="both"/>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29</w:t>
            </w:r>
          </w:p>
        </w:tc>
        <w:tc>
          <w:tcPr>
            <w:tcW w:w="1860" w:type="dxa"/>
            <w:vAlign w:val="center"/>
          </w:tcPr>
          <w:p w14:paraId="0FC3CC3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施工组织设计评审方式</w:t>
            </w:r>
          </w:p>
        </w:tc>
        <w:tc>
          <w:tcPr>
            <w:tcW w:w="7656" w:type="dxa"/>
            <w:vAlign w:val="center"/>
          </w:tcPr>
          <w:p w14:paraId="4C6491C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本次招标施工组织设计</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eastAsia="zh-CN"/>
                <w14:textFill>
                  <w14:solidFill>
                    <w14:schemeClr w14:val="tx1"/>
                  </w14:solidFill>
                </w14:textFill>
              </w:rPr>
              <w:t xml:space="preserve"> 不采用 </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“暗标 ”方式进行评审。</w:t>
            </w:r>
          </w:p>
        </w:tc>
      </w:tr>
      <w:tr w14:paraId="253BE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0" w:hRule="atLeast"/>
        </w:trPr>
        <w:tc>
          <w:tcPr>
            <w:tcW w:w="582" w:type="dxa"/>
            <w:vAlign w:val="center"/>
          </w:tcPr>
          <w:p w14:paraId="78D49806">
            <w:pPr>
              <w:keepNext w:val="0"/>
              <w:keepLines w:val="0"/>
              <w:pageBreakBefore w:val="0"/>
              <w:wordWrap w:val="0"/>
              <w:overflowPunct/>
              <w:topLinePunct w:val="0"/>
              <w:bidi w:val="0"/>
              <w:spacing w:before="69" w:line="188" w:lineRule="auto"/>
              <w:ind w:left="209"/>
              <w:jc w:val="both"/>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30</w:t>
            </w:r>
          </w:p>
        </w:tc>
        <w:tc>
          <w:tcPr>
            <w:tcW w:w="1860" w:type="dxa"/>
            <w:vAlign w:val="center"/>
          </w:tcPr>
          <w:p w14:paraId="65ACF683">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评标委员会</w:t>
            </w:r>
          </w:p>
        </w:tc>
        <w:tc>
          <w:tcPr>
            <w:tcW w:w="7656" w:type="dxa"/>
            <w:vAlign w:val="top"/>
          </w:tcPr>
          <w:p w14:paraId="61B142C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评标委员会由 5 人组成，其中招标人代表 0 人，专家 5 人。专家从广东省综合评标评审专家库</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eastAsia="zh-CN"/>
                <w14:textFill>
                  <w14:solidFill>
                    <w14:schemeClr w14:val="tx1"/>
                  </w14:solidFill>
                </w14:textFill>
              </w:rPr>
              <w:t>（韶关区域）</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中随机抽取，其中技术类专家 3 人，经济类专家 2 人。</w:t>
            </w:r>
          </w:p>
        </w:tc>
      </w:tr>
      <w:tr w14:paraId="465C0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8" w:hRule="atLeast"/>
        </w:trPr>
        <w:tc>
          <w:tcPr>
            <w:tcW w:w="582" w:type="dxa"/>
            <w:vAlign w:val="center"/>
          </w:tcPr>
          <w:p w14:paraId="6A40B0F1">
            <w:pPr>
              <w:keepNext w:val="0"/>
              <w:keepLines w:val="0"/>
              <w:pageBreakBefore w:val="0"/>
              <w:wordWrap w:val="0"/>
              <w:overflowPunct/>
              <w:topLinePunct w:val="0"/>
              <w:bidi w:val="0"/>
              <w:spacing w:before="258" w:line="188" w:lineRule="auto"/>
              <w:ind w:left="209" w:leftChars="0"/>
              <w:jc w:val="both"/>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3</w:t>
            </w:r>
            <w:r>
              <w:rPr>
                <w:rFonts w:hint="eastAsia" w:asciiTheme="minorEastAsia" w:hAnsiTheme="minorEastAsia" w:eastAsiaTheme="minorEastAsia" w:cstheme="minorEastAsia"/>
                <w:color w:val="000000" w:themeColor="text1"/>
                <w:spacing w:val="0"/>
                <w:sz w:val="21"/>
                <w:szCs w:val="21"/>
                <w:highlight w:val="none"/>
                <w:lang w:val="en-US" w:eastAsia="zh-CN"/>
                <w14:textFill>
                  <w14:solidFill>
                    <w14:schemeClr w14:val="tx1"/>
                  </w14:solidFill>
                </w14:textFill>
              </w:rPr>
              <w:t>1</w:t>
            </w:r>
          </w:p>
        </w:tc>
        <w:tc>
          <w:tcPr>
            <w:tcW w:w="1860" w:type="dxa"/>
            <w:vAlign w:val="center"/>
          </w:tcPr>
          <w:p w14:paraId="7D3E9DD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评标方法</w:t>
            </w:r>
          </w:p>
        </w:tc>
        <w:tc>
          <w:tcPr>
            <w:tcW w:w="7656" w:type="dxa"/>
            <w:vAlign w:val="center"/>
          </w:tcPr>
          <w:p w14:paraId="66D0F1A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 A＋B 值评标法  □经评审的最低投标价法   ☑综合评估法</w:t>
            </w:r>
          </w:p>
        </w:tc>
      </w:tr>
      <w:tr w14:paraId="5338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3" w:hRule="atLeast"/>
        </w:trPr>
        <w:tc>
          <w:tcPr>
            <w:tcW w:w="582" w:type="dxa"/>
            <w:vAlign w:val="center"/>
          </w:tcPr>
          <w:p w14:paraId="75465AC7">
            <w:pPr>
              <w:keepNext w:val="0"/>
              <w:keepLines w:val="0"/>
              <w:pageBreakBefore w:val="0"/>
              <w:wordWrap w:val="0"/>
              <w:overflowPunct/>
              <w:topLinePunct w:val="0"/>
              <w:bidi w:val="0"/>
              <w:spacing w:before="69" w:line="188" w:lineRule="auto"/>
              <w:ind w:left="209" w:leftChars="0"/>
              <w:jc w:val="both"/>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lang w:val="en-US" w:eastAsia="zh-CN"/>
                <w14:textFill>
                  <w14:solidFill>
                    <w14:schemeClr w14:val="tx1"/>
                  </w14:solidFill>
                </w14:textFill>
              </w:rPr>
              <w:t>32</w:t>
            </w:r>
          </w:p>
        </w:tc>
        <w:tc>
          <w:tcPr>
            <w:tcW w:w="1860" w:type="dxa"/>
            <w:vAlign w:val="center"/>
          </w:tcPr>
          <w:p w14:paraId="325A7EA3">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定</w:t>
            </w:r>
            <w:r>
              <w:rPr>
                <w:rFonts w:hint="eastAsia" w:ascii="宋体" w:hAnsi="宋体" w:eastAsia="宋体" w:cs="宋体"/>
                <w:color w:val="000000" w:themeColor="text1"/>
                <w:sz w:val="21"/>
                <w:szCs w:val="21"/>
                <w:highlight w:val="none"/>
                <w14:textFill>
                  <w14:solidFill>
                    <w14:schemeClr w14:val="tx1"/>
                  </w14:solidFill>
                </w14:textFill>
              </w:rPr>
              <w:t>标委员会</w:t>
            </w:r>
          </w:p>
        </w:tc>
        <w:tc>
          <w:tcPr>
            <w:tcW w:w="7656" w:type="dxa"/>
            <w:vAlign w:val="center"/>
          </w:tcPr>
          <w:p w14:paraId="4C9A6534">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本</w:t>
            </w:r>
            <w:r>
              <w:rPr>
                <w:rFonts w:hint="eastAsia" w:ascii="宋体" w:hAnsi="宋体" w:eastAsia="宋体" w:cs="宋体"/>
                <w:color w:val="000000" w:themeColor="text1"/>
                <w:sz w:val="21"/>
                <w:szCs w:val="21"/>
                <w:highlight w:val="none"/>
                <w:u w:val="none"/>
                <w:lang w:eastAsia="zh-CN"/>
                <w14:textFill>
                  <w14:solidFill>
                    <w14:schemeClr w14:val="tx1"/>
                  </w14:solidFill>
                </w14:textFill>
              </w:rPr>
              <w:t>项目</w:t>
            </w:r>
            <w:r>
              <w:rPr>
                <w:rFonts w:hint="eastAsia" w:ascii="宋体" w:hAnsi="宋体" w:eastAsia="宋体" w:cs="宋体"/>
                <w:color w:val="000000" w:themeColor="text1"/>
                <w:sz w:val="21"/>
                <w:szCs w:val="21"/>
                <w:highlight w:val="none"/>
                <w:u w:val="none"/>
                <w14:textFill>
                  <w14:solidFill>
                    <w14:schemeClr w14:val="tx1"/>
                  </w14:solidFill>
                </w14:textFill>
              </w:rPr>
              <w:t>定标委员会</w:t>
            </w:r>
            <w:r>
              <w:rPr>
                <w:rFonts w:hint="eastAsia" w:ascii="宋体" w:hAnsi="宋体" w:eastAsia="宋体" w:cs="宋体"/>
                <w:color w:val="000000" w:themeColor="text1"/>
                <w:sz w:val="21"/>
                <w:szCs w:val="21"/>
                <w:highlight w:val="none"/>
                <w:u w:val="none"/>
                <w:lang w:eastAsia="zh-CN"/>
                <w14:textFill>
                  <w14:solidFill>
                    <w14:schemeClr w14:val="tx1"/>
                  </w14:solidFill>
                </w14:textFill>
              </w:rPr>
              <w:t>组成人</w:t>
            </w:r>
            <w:r>
              <w:rPr>
                <w:rFonts w:hint="eastAsia" w:ascii="宋体" w:hAnsi="宋体" w:eastAsia="宋体" w:cs="宋体"/>
                <w:color w:val="000000" w:themeColor="text1"/>
                <w:sz w:val="21"/>
                <w:szCs w:val="21"/>
                <w:highlight w:val="none"/>
                <w:u w:val="none"/>
                <w14:textFill>
                  <w14:solidFill>
                    <w14:schemeClr w14:val="tx1"/>
                  </w14:solidFill>
                </w14:textFill>
              </w:rPr>
              <w:t>员为</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7 </w:t>
            </w:r>
            <w:r>
              <w:rPr>
                <w:rFonts w:hint="eastAsia" w:ascii="宋体" w:hAnsi="宋体" w:eastAsia="宋体" w:cs="宋体"/>
                <w:color w:val="000000" w:themeColor="text1"/>
                <w:sz w:val="21"/>
                <w:szCs w:val="21"/>
                <w:highlight w:val="none"/>
                <w14:textFill>
                  <w14:solidFill>
                    <w14:schemeClr w14:val="tx1"/>
                  </w14:solidFill>
                </w14:textFill>
              </w:rPr>
              <w:t>人</w:t>
            </w:r>
            <w:r>
              <w:rPr>
                <w:rFonts w:hint="eastAsia" w:ascii="宋体" w:hAnsi="宋体" w:eastAsia="宋体" w:cs="宋体"/>
                <w:color w:val="000000" w:themeColor="text1"/>
                <w:sz w:val="21"/>
                <w:szCs w:val="21"/>
                <w:highlight w:val="none"/>
                <w:u w:val="none"/>
                <w:lang w:eastAsia="zh-CN"/>
                <w14:textFill>
                  <w14:solidFill>
                    <w14:schemeClr w14:val="tx1"/>
                  </w14:solidFill>
                </w14:textFill>
              </w:rPr>
              <w:t>。</w:t>
            </w:r>
          </w:p>
        </w:tc>
      </w:tr>
      <w:tr w14:paraId="45F4C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5" w:hRule="atLeast"/>
        </w:trPr>
        <w:tc>
          <w:tcPr>
            <w:tcW w:w="582" w:type="dxa"/>
            <w:vAlign w:val="center"/>
          </w:tcPr>
          <w:p w14:paraId="039A9A43">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33</w:t>
            </w:r>
          </w:p>
        </w:tc>
        <w:tc>
          <w:tcPr>
            <w:tcW w:w="1860" w:type="dxa"/>
            <w:vAlign w:val="center"/>
          </w:tcPr>
          <w:p w14:paraId="465D67A6">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定标办法</w:t>
            </w:r>
          </w:p>
        </w:tc>
        <w:tc>
          <w:tcPr>
            <w:tcW w:w="7656" w:type="dxa"/>
            <w:vAlign w:val="center"/>
          </w:tcPr>
          <w:p w14:paraId="3E74D02E">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t>本项目采用</w:t>
            </w:r>
            <w:r>
              <w:rPr>
                <w:rFonts w:hint="eastAsia" w:ascii="宋体" w:hAnsi="宋体" w:eastAsia="宋体" w:cs="宋体"/>
                <w:b/>
                <w:bCs w:val="0"/>
                <w:snapToGrid w:val="0"/>
                <w:color w:val="000000" w:themeColor="text1"/>
                <w:kern w:val="0"/>
                <w:sz w:val="21"/>
                <w:szCs w:val="21"/>
                <w:highlight w:val="none"/>
                <w:lang w:val="en-US" w:eastAsia="zh-CN"/>
                <w14:textFill>
                  <w14:solidFill>
                    <w14:schemeClr w14:val="tx1"/>
                  </w14:solidFill>
                </w14:textFill>
              </w:rPr>
              <w:t>评定分离</w:t>
            </w:r>
            <w:r>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t>，应选定下列定标办法：</w:t>
            </w:r>
          </w:p>
          <w:p w14:paraId="453F01CF">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t>☑票决数量法</w:t>
            </w:r>
          </w:p>
          <w:p w14:paraId="21620F81">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t>□票决计分法</w:t>
            </w:r>
          </w:p>
          <w:p w14:paraId="3C8E3539">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t>□集体议事法</w:t>
            </w:r>
          </w:p>
          <w:p w14:paraId="488F3828">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t>□其他方法：</w:t>
            </w:r>
          </w:p>
        </w:tc>
      </w:tr>
      <w:tr w14:paraId="18BEE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70" w:hRule="atLeast"/>
        </w:trPr>
        <w:tc>
          <w:tcPr>
            <w:tcW w:w="582" w:type="dxa"/>
            <w:vAlign w:val="center"/>
          </w:tcPr>
          <w:p w14:paraId="7E9D31AC">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3</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4</w:t>
            </w:r>
          </w:p>
        </w:tc>
        <w:tc>
          <w:tcPr>
            <w:tcW w:w="1860" w:type="dxa"/>
            <w:vAlign w:val="center"/>
          </w:tcPr>
          <w:p w14:paraId="0991EFA9">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14:textFill>
                  <w14:solidFill>
                    <w14:schemeClr w14:val="tx1"/>
                  </w14:solidFill>
                </w14:textFill>
              </w:rPr>
              <w:t>投标文件编制</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及</w:t>
            </w:r>
            <w:r>
              <w:rPr>
                <w:rFonts w:hint="eastAsia" w:ascii="宋体" w:hAnsi="宋体" w:eastAsia="宋体" w:cs="宋体"/>
                <w:snapToGrid w:val="0"/>
                <w:color w:val="000000" w:themeColor="text1"/>
                <w:kern w:val="0"/>
                <w:sz w:val="21"/>
                <w:szCs w:val="21"/>
                <w:highlight w:val="none"/>
                <w14:textFill>
                  <w14:solidFill>
                    <w14:schemeClr w14:val="tx1"/>
                  </w14:solidFill>
                </w14:textFill>
              </w:rPr>
              <w:t>份数要求</w:t>
            </w:r>
          </w:p>
        </w:tc>
        <w:tc>
          <w:tcPr>
            <w:tcW w:w="7656" w:type="dxa"/>
            <w:vAlign w:val="center"/>
          </w:tcPr>
          <w:p w14:paraId="02AF4ED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投标人须上传（递交）投标文件：</w:t>
            </w:r>
          </w:p>
          <w:p w14:paraId="552478C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1、电子投标文件一套：</w:t>
            </w:r>
          </w:p>
          <w:p w14:paraId="58E013C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（1）商务标书1份；</w:t>
            </w:r>
          </w:p>
          <w:p w14:paraId="634C8EF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（2）经济标书1份；</w:t>
            </w:r>
          </w:p>
          <w:p w14:paraId="3E36D97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 xml:space="preserve">（3）施工组织设计1份； </w:t>
            </w:r>
          </w:p>
          <w:p w14:paraId="3147924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（4）定标文件1份；</w:t>
            </w:r>
          </w:p>
          <w:p w14:paraId="7DF1D59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2、对应评审要求的分项响应文件（如有）。</w:t>
            </w:r>
          </w:p>
          <w:p w14:paraId="12573AB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https://ygp.gdzwfw.gov.cn/ggzy-portal/#/440200/index）交易指引。</w:t>
            </w:r>
          </w:p>
          <w:p w14:paraId="438F5FB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注：投标人被确定为中标人后，应从交易系统打印两套纸质投标文件（含签名盖章页），内容同电子投标文件，在签订本招标项目承包合同前提交给招标人。（除招标文件约定外，纸质标书须与电子标书一致，不一致的以电子标书为准）。</w:t>
            </w:r>
          </w:p>
        </w:tc>
      </w:tr>
      <w:tr w14:paraId="4E70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35" w:hRule="atLeast"/>
        </w:trPr>
        <w:tc>
          <w:tcPr>
            <w:tcW w:w="582" w:type="dxa"/>
            <w:vAlign w:val="center"/>
          </w:tcPr>
          <w:p w14:paraId="56B959FD">
            <w:pPr>
              <w:keepNext w:val="0"/>
              <w:keepLines w:val="0"/>
              <w:pageBreakBefore w:val="0"/>
              <w:wordWrap w:val="0"/>
              <w:overflowPunct/>
              <w:topLinePunct w:val="0"/>
              <w:bidi w:val="0"/>
              <w:spacing w:before="57" w:line="195" w:lineRule="auto"/>
              <w:jc w:val="center"/>
              <w:rPr>
                <w:rFonts w:hint="eastAsia" w:asciiTheme="minorEastAsia" w:hAnsiTheme="minorEastAsia" w:eastAsiaTheme="minorEastAsia" w:cstheme="minorEastAsia"/>
                <w:color w:val="000000" w:themeColor="text1"/>
                <w:spacing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3</w:t>
            </w:r>
            <w:r>
              <w:rPr>
                <w:rFonts w:hint="eastAsia" w:asciiTheme="minorEastAsia" w:hAnsiTheme="minorEastAsia" w:eastAsiaTheme="minorEastAsia" w:cstheme="minorEastAsia"/>
                <w:color w:val="000000" w:themeColor="text1"/>
                <w:spacing w:val="0"/>
                <w:sz w:val="21"/>
                <w:szCs w:val="21"/>
                <w:highlight w:val="none"/>
                <w:lang w:val="en-US" w:eastAsia="zh-CN"/>
                <w14:textFill>
                  <w14:solidFill>
                    <w14:schemeClr w14:val="tx1"/>
                  </w14:solidFill>
                </w14:textFill>
              </w:rPr>
              <w:t>5</w:t>
            </w:r>
          </w:p>
        </w:tc>
        <w:tc>
          <w:tcPr>
            <w:tcW w:w="1860" w:type="dxa"/>
            <w:vAlign w:val="center"/>
          </w:tcPr>
          <w:p w14:paraId="5FAEFFC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招标文件要求提交的用于评审的证书、证件、证明原件</w:t>
            </w:r>
          </w:p>
        </w:tc>
        <w:tc>
          <w:tcPr>
            <w:tcW w:w="7656" w:type="dxa"/>
            <w:vAlign w:val="top"/>
          </w:tcPr>
          <w:p w14:paraId="71660FC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投标人在提交用于评审的证书、证件、证明原件的，投标人应自行将所需原件密封于文件袋（箱）中，并自行准备两张“原件一览表” (详见格式十五，投标人须自行填写，表格可扩展)，一张贴于文件袋（箱），一份在递交文件袋（箱）时由招标代理机构、投标人签字后交招标代理机构。招标代理机构仅代签收，不对文件袋（箱）中资料的数量、内容及真实性负责。评标结束后，招标代理机构将退回投标人的原件。若投标人未按要求提交相应证明材料原件或投标文件中证明材料的复印件与原件不一致，评审时相应证明材料不予认可。</w:t>
            </w:r>
          </w:p>
        </w:tc>
      </w:tr>
      <w:tr w14:paraId="2D98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0" w:hRule="atLeast"/>
        </w:trPr>
        <w:tc>
          <w:tcPr>
            <w:tcW w:w="582" w:type="dxa"/>
            <w:vAlign w:val="center"/>
          </w:tcPr>
          <w:p w14:paraId="0C69718A">
            <w:pPr>
              <w:keepNext w:val="0"/>
              <w:keepLines w:val="0"/>
              <w:pageBreakBefore w:val="0"/>
              <w:wordWrap w:val="0"/>
              <w:overflowPunct/>
              <w:topLinePunct w:val="0"/>
              <w:bidi w:val="0"/>
              <w:spacing w:before="69" w:line="188" w:lineRule="auto"/>
              <w:ind w:left="209"/>
              <w:rPr>
                <w:rFonts w:hint="eastAsia" w:asciiTheme="minorEastAsia" w:hAnsiTheme="minorEastAsia" w:eastAsiaTheme="minorEastAsia" w:cstheme="minorEastAsia"/>
                <w:color w:val="000000" w:themeColor="text1"/>
                <w:spacing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lang w:eastAsia="zh-CN"/>
                <w14:textFill>
                  <w14:solidFill>
                    <w14:schemeClr w14:val="tx1"/>
                  </w14:solidFill>
                </w14:textFill>
              </w:rPr>
              <w:t>3</w:t>
            </w:r>
            <w:r>
              <w:rPr>
                <w:rFonts w:hint="eastAsia" w:asciiTheme="minorEastAsia" w:hAnsiTheme="minorEastAsia" w:eastAsiaTheme="minorEastAsia" w:cstheme="minorEastAsia"/>
                <w:color w:val="000000" w:themeColor="text1"/>
                <w:spacing w:val="0"/>
                <w:sz w:val="21"/>
                <w:szCs w:val="21"/>
                <w:highlight w:val="none"/>
                <w:lang w:val="en-US" w:eastAsia="zh-CN"/>
                <w14:textFill>
                  <w14:solidFill>
                    <w14:schemeClr w14:val="tx1"/>
                  </w14:solidFill>
                </w14:textFill>
              </w:rPr>
              <w:t>6</w:t>
            </w:r>
          </w:p>
        </w:tc>
        <w:tc>
          <w:tcPr>
            <w:tcW w:w="1860" w:type="dxa"/>
            <w:vAlign w:val="center"/>
          </w:tcPr>
          <w:p w14:paraId="20A44A5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招标代理费</w:t>
            </w:r>
          </w:p>
        </w:tc>
        <w:tc>
          <w:tcPr>
            <w:tcW w:w="7656" w:type="dxa"/>
            <w:vAlign w:val="center"/>
          </w:tcPr>
          <w:p w14:paraId="0F863CA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根据《招标代理服务收费管理暂行办法》计价格[2002]1980号、发改价格[2011]534号等相关收费标准规定计算并下浮20%计取。服务费由中标人支付。</w:t>
            </w:r>
          </w:p>
        </w:tc>
      </w:tr>
      <w:tr w14:paraId="7AAB0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9" w:hRule="atLeast"/>
        </w:trPr>
        <w:tc>
          <w:tcPr>
            <w:tcW w:w="582" w:type="dxa"/>
            <w:vAlign w:val="center"/>
          </w:tcPr>
          <w:p w14:paraId="75B13CC6">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000000" w:themeColor="text1"/>
                <w:spacing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t>3</w:t>
            </w:r>
            <w:r>
              <w:rPr>
                <w:rFonts w:hint="eastAsia" w:asciiTheme="minorEastAsia" w:hAnsiTheme="minorEastAsia" w:eastAsiaTheme="minorEastAsia" w:cstheme="minorEastAsia"/>
                <w:color w:val="000000" w:themeColor="text1"/>
                <w:spacing w:val="0"/>
                <w:sz w:val="21"/>
                <w:szCs w:val="21"/>
                <w:highlight w:val="none"/>
                <w:lang w:val="en-US" w:eastAsia="zh-CN"/>
                <w14:textFill>
                  <w14:solidFill>
                    <w14:schemeClr w14:val="tx1"/>
                  </w14:solidFill>
                </w14:textFill>
              </w:rPr>
              <w:t>7</w:t>
            </w:r>
          </w:p>
        </w:tc>
        <w:tc>
          <w:tcPr>
            <w:tcW w:w="1860" w:type="dxa"/>
            <w:vAlign w:val="center"/>
          </w:tcPr>
          <w:p w14:paraId="198B1BD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招标人</w:t>
            </w:r>
          </w:p>
          <w:p w14:paraId="2C622AED">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联系方式</w:t>
            </w:r>
          </w:p>
        </w:tc>
        <w:tc>
          <w:tcPr>
            <w:tcW w:w="7656" w:type="dxa"/>
            <w:vAlign w:val="center"/>
          </w:tcPr>
          <w:p w14:paraId="32F4EF3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单位名称：韶关市武江区教育局</w:t>
            </w:r>
          </w:p>
          <w:p w14:paraId="71FEEAF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办公地址：韶关市武江区建设路29号武江区科创园E栋</w:t>
            </w:r>
          </w:p>
          <w:p w14:paraId="008A276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联 系 人：周老师</w:t>
            </w:r>
          </w:p>
          <w:p w14:paraId="08BD115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联系电话：</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0751-8153395</w:t>
            </w:r>
          </w:p>
        </w:tc>
      </w:tr>
      <w:tr w14:paraId="1335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trPr>
        <w:tc>
          <w:tcPr>
            <w:tcW w:w="582" w:type="dxa"/>
            <w:vAlign w:val="center"/>
          </w:tcPr>
          <w:p w14:paraId="1022974A">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000000" w:themeColor="text1"/>
                <w:spacing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lang w:eastAsia="zh-CN"/>
                <w14:textFill>
                  <w14:solidFill>
                    <w14:schemeClr w14:val="tx1"/>
                  </w14:solidFill>
                </w14:textFill>
              </w:rPr>
              <w:t>3</w:t>
            </w:r>
            <w:r>
              <w:rPr>
                <w:rFonts w:hint="eastAsia" w:asciiTheme="minorEastAsia" w:hAnsiTheme="minorEastAsia" w:eastAsiaTheme="minorEastAsia" w:cstheme="minorEastAsia"/>
                <w:color w:val="000000" w:themeColor="text1"/>
                <w:spacing w:val="0"/>
                <w:sz w:val="21"/>
                <w:szCs w:val="21"/>
                <w:highlight w:val="none"/>
                <w:lang w:val="en-US" w:eastAsia="zh-CN"/>
                <w14:textFill>
                  <w14:solidFill>
                    <w14:schemeClr w14:val="tx1"/>
                  </w14:solidFill>
                </w14:textFill>
              </w:rPr>
              <w:t>8</w:t>
            </w:r>
          </w:p>
        </w:tc>
        <w:tc>
          <w:tcPr>
            <w:tcW w:w="1860" w:type="dxa"/>
            <w:vAlign w:val="center"/>
          </w:tcPr>
          <w:p w14:paraId="7F3AD70B">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招标代理机构</w:t>
            </w:r>
          </w:p>
          <w:p w14:paraId="0B65885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联系方式</w:t>
            </w:r>
          </w:p>
        </w:tc>
        <w:tc>
          <w:tcPr>
            <w:tcW w:w="7656" w:type="dxa"/>
            <w:vAlign w:val="center"/>
          </w:tcPr>
          <w:p w14:paraId="612260F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单位名称：韶关市城监项目管理有限公司</w:t>
            </w:r>
          </w:p>
          <w:p w14:paraId="21E6B29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办公地址：韶关市浈江区五里亭良村商贸城E栋6楼601</w:t>
            </w:r>
          </w:p>
          <w:p w14:paraId="374DAC2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项目负责人：饶家豪</w:t>
            </w:r>
          </w:p>
          <w:p w14:paraId="4918411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项目经办人：骆乐</w:t>
            </w:r>
          </w:p>
          <w:p w14:paraId="65E9F63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联系电话：0751-8989684</w:t>
            </w:r>
          </w:p>
        </w:tc>
      </w:tr>
      <w:tr w14:paraId="4E2F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4" w:hRule="atLeast"/>
        </w:trPr>
        <w:tc>
          <w:tcPr>
            <w:tcW w:w="582" w:type="dxa"/>
            <w:vAlign w:val="center"/>
          </w:tcPr>
          <w:p w14:paraId="7AEA0C33">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000000" w:themeColor="text1"/>
                <w:spacing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lang w:eastAsia="zh-CN"/>
                <w14:textFill>
                  <w14:solidFill>
                    <w14:schemeClr w14:val="tx1"/>
                  </w14:solidFill>
                </w14:textFill>
              </w:rPr>
              <w:t>3</w:t>
            </w:r>
            <w:r>
              <w:rPr>
                <w:rFonts w:hint="eastAsia" w:asciiTheme="minorEastAsia" w:hAnsiTheme="minorEastAsia" w:eastAsiaTheme="minorEastAsia" w:cstheme="minorEastAsia"/>
                <w:color w:val="000000" w:themeColor="text1"/>
                <w:spacing w:val="0"/>
                <w:sz w:val="21"/>
                <w:szCs w:val="21"/>
                <w:highlight w:val="none"/>
                <w:lang w:val="en-US" w:eastAsia="zh-CN"/>
                <w14:textFill>
                  <w14:solidFill>
                    <w14:schemeClr w14:val="tx1"/>
                  </w14:solidFill>
                </w14:textFill>
              </w:rPr>
              <w:t>9</w:t>
            </w:r>
          </w:p>
        </w:tc>
        <w:tc>
          <w:tcPr>
            <w:tcW w:w="1860" w:type="dxa"/>
            <w:vAlign w:val="center"/>
          </w:tcPr>
          <w:p w14:paraId="7DFD4527">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交易场所联系方式</w:t>
            </w:r>
          </w:p>
        </w:tc>
        <w:tc>
          <w:tcPr>
            <w:tcW w:w="7656" w:type="dxa"/>
            <w:vAlign w:val="center"/>
          </w:tcPr>
          <w:p w14:paraId="5ACAC1E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单位名称：韶关市公共资源交易中心</w:t>
            </w:r>
          </w:p>
          <w:p w14:paraId="6031D9D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 xml:space="preserve">办公地址：广东省韶关市武江区西联镇 </w:t>
            </w:r>
          </w:p>
          <w:p w14:paraId="529DB35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联系人（部门）：工程交易部</w:t>
            </w:r>
          </w:p>
          <w:p w14:paraId="0AB2DC1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 xml:space="preserve">  联系电话：0751</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8633071、0751</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8633211</w:t>
            </w:r>
          </w:p>
        </w:tc>
      </w:tr>
      <w:tr w14:paraId="04B8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4" w:hRule="atLeast"/>
        </w:trPr>
        <w:tc>
          <w:tcPr>
            <w:tcW w:w="582" w:type="dxa"/>
            <w:vAlign w:val="center"/>
          </w:tcPr>
          <w:p w14:paraId="3E200AD1">
            <w:pPr>
              <w:keepNext w:val="0"/>
              <w:keepLines w:val="0"/>
              <w:pageBreakBefore w:val="0"/>
              <w:wordWrap w:val="0"/>
              <w:overflowPunct/>
              <w:topLinePunct w:val="0"/>
              <w:bidi w:val="0"/>
              <w:spacing w:before="69" w:line="188" w:lineRule="auto"/>
              <w:jc w:val="center"/>
              <w:rPr>
                <w:rFonts w:hint="default" w:asciiTheme="minorEastAsia" w:hAnsiTheme="minorEastAsia" w:eastAsiaTheme="minorEastAsia" w:cstheme="minorEastAsia"/>
                <w:color w:val="000000" w:themeColor="text1"/>
                <w:spacing w:val="0"/>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0"/>
                <w:sz w:val="21"/>
                <w:szCs w:val="21"/>
                <w:highlight w:val="none"/>
                <w:lang w:val="en-US" w:eastAsia="zh-CN"/>
                <w14:textFill>
                  <w14:solidFill>
                    <w14:schemeClr w14:val="tx1"/>
                  </w14:solidFill>
                </w14:textFill>
              </w:rPr>
              <w:t>40</w:t>
            </w:r>
          </w:p>
        </w:tc>
        <w:tc>
          <w:tcPr>
            <w:tcW w:w="1860" w:type="dxa"/>
            <w:vAlign w:val="center"/>
          </w:tcPr>
          <w:p w14:paraId="49D0B385">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行政监督部</w:t>
            </w:r>
          </w:p>
          <w:p w14:paraId="5F176A1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门联系方式</w:t>
            </w:r>
          </w:p>
        </w:tc>
        <w:tc>
          <w:tcPr>
            <w:tcW w:w="7656" w:type="dxa"/>
            <w:vAlign w:val="center"/>
          </w:tcPr>
          <w:p w14:paraId="39F6D8B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单位名称：韶关市住房和城乡建设管理局</w:t>
            </w:r>
          </w:p>
          <w:p w14:paraId="14E8D6F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办公地址：广东省韶关市武江区芙蓉东路5号</w:t>
            </w:r>
          </w:p>
          <w:p w14:paraId="09660F6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联系人（部门）：</w:t>
            </w:r>
            <w:r>
              <w:rPr>
                <w:rFonts w:hint="eastAsia" w:asciiTheme="minorEastAsia" w:hAnsiTheme="minorEastAsia" w:eastAsiaTheme="minorEastAsia" w:cstheme="minorEastAsia"/>
                <w:snapToGrid w:val="0"/>
                <w:color w:val="000000" w:themeColor="text1"/>
                <w:spacing w:val="0"/>
                <w:kern w:val="0"/>
                <w:sz w:val="21"/>
                <w:szCs w:val="21"/>
                <w:highlight w:val="none"/>
                <w:lang w:val="zh-CN" w:eastAsia="zh-CN"/>
                <w14:textFill>
                  <w14:solidFill>
                    <w14:schemeClr w14:val="tx1"/>
                  </w14:solidFill>
                </w14:textFill>
              </w:rPr>
              <w:t>建筑业市场管理科</w:t>
            </w:r>
          </w:p>
          <w:p w14:paraId="4470E15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eastAsia="zh-CN"/>
                <w14:textFill>
                  <w14:solidFill>
                    <w14:schemeClr w14:val="tx1"/>
                  </w14:solidFill>
                </w14:textFill>
              </w:rPr>
              <w:t>联系电话：</w:t>
            </w:r>
            <w:r>
              <w:rPr>
                <w:rFonts w:hint="eastAsia" w:asciiTheme="minorEastAsia" w:hAnsiTheme="minorEastAsia" w:eastAsiaTheme="minorEastAsia" w:cstheme="minorEastAsia"/>
                <w:snapToGrid w:val="0"/>
                <w:color w:val="000000" w:themeColor="text1"/>
                <w:spacing w:val="0"/>
                <w:kern w:val="0"/>
                <w:sz w:val="21"/>
                <w:szCs w:val="21"/>
                <w:highlight w:val="none"/>
                <w:lang w:val="zh-CN" w:eastAsia="zh-CN"/>
                <w14:textFill>
                  <w14:solidFill>
                    <w14:schemeClr w14:val="tx1"/>
                  </w14:solidFill>
                </w14:textFill>
              </w:rPr>
              <w:t>0751</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0"/>
                <w:kern w:val="0"/>
                <w:sz w:val="21"/>
                <w:szCs w:val="21"/>
                <w:highlight w:val="none"/>
                <w:lang w:val="zh-CN" w:eastAsia="zh-CN"/>
                <w14:textFill>
                  <w14:solidFill>
                    <w14:schemeClr w14:val="tx1"/>
                  </w14:solidFill>
                </w14:textFill>
              </w:rPr>
              <w:t>8892601</w:t>
            </w:r>
          </w:p>
        </w:tc>
      </w:tr>
    </w:tbl>
    <w:p w14:paraId="7235C323">
      <w:pPr>
        <w:keepNext w:val="0"/>
        <w:keepLines w:val="0"/>
        <w:pageBreakBefore w:val="0"/>
        <w:wordWrap w:val="0"/>
        <w:overflowPunct/>
        <w:topLinePunct w:val="0"/>
        <w:bidi w:val="0"/>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9" w:name="bookmark115"/>
      <w:bookmarkEnd w:id="9"/>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1789A482">
      <w:pPr>
        <w:keepNext w:val="0"/>
        <w:keepLines w:val="0"/>
        <w:pageBreakBefore w:val="0"/>
        <w:wordWrap w:val="0"/>
        <w:overflowPunct/>
        <w:topLinePunct w:val="0"/>
        <w:bidi w:val="0"/>
        <w:spacing w:before="156" w:line="219" w:lineRule="auto"/>
        <w:ind w:left="17"/>
        <w:jc w:val="left"/>
        <w:outlineLvl w:val="1"/>
        <w:rPr>
          <w:rFonts w:hint="eastAsia" w:ascii="宋体" w:hAnsi="宋体" w:eastAsia="宋体" w:cs="宋体"/>
          <w:color w:val="000000" w:themeColor="text1"/>
          <w:spacing w:val="0"/>
          <w:highlight w:val="none"/>
          <w14:textFill>
            <w14:solidFill>
              <w14:schemeClr w14:val="tx1"/>
            </w14:solidFill>
          </w14:textFill>
        </w:rPr>
      </w:pPr>
      <w:bookmarkStart w:id="10" w:name="_Toc15159"/>
      <w:r>
        <w:rPr>
          <w:rFonts w:hint="eastAsia" w:ascii="宋体" w:hAnsi="宋体" w:eastAsia="宋体" w:cs="宋体"/>
          <w:b/>
          <w:bCs/>
          <w:color w:val="000000" w:themeColor="text1"/>
          <w:spacing w:val="0"/>
          <w:sz w:val="24"/>
          <w:szCs w:val="24"/>
          <w:highlight w:val="none"/>
          <w14:textFill>
            <w14:solidFill>
              <w14:schemeClr w14:val="tx1"/>
            </w14:solidFill>
          </w14:textFill>
        </w:rPr>
        <w:t>第二节 重要事项时间地点一览表</w:t>
      </w:r>
      <w:bookmarkEnd w:id="10"/>
    </w:p>
    <w:p w14:paraId="44D452CF">
      <w:pPr>
        <w:pStyle w:val="6"/>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bl>
      <w:tblPr>
        <w:tblStyle w:val="15"/>
        <w:tblW w:w="9059" w:type="dxa"/>
        <w:tblInd w:w="-6"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421"/>
        <w:gridCol w:w="1300"/>
        <w:gridCol w:w="7338"/>
      </w:tblGrid>
      <w:tr w14:paraId="7242360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56"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655C5C22">
            <w:pPr>
              <w:pStyle w:val="29"/>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14:textFill>
                  <w14:solidFill>
                    <w14:schemeClr w14:val="tx1"/>
                  </w14:solidFill>
                </w14:textFill>
              </w:rPr>
              <w:t>1</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49C78C72">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招标公告</w:t>
            </w:r>
          </w:p>
          <w:p w14:paraId="0765E178">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 xml:space="preserve">发布时间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4350CA39">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5</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29</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20</w:t>
            </w:r>
            <w:bookmarkStart w:id="280" w:name="_GoBack"/>
            <w:bookmarkEnd w:id="280"/>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00</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分</w:t>
            </w:r>
          </w:p>
        </w:tc>
      </w:tr>
      <w:tr w14:paraId="13FF8EC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70"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43913D89">
            <w:pPr>
              <w:pStyle w:val="29"/>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14:textFill>
                  <w14:solidFill>
                    <w14:schemeClr w14:val="tx1"/>
                  </w14:solidFill>
                </w14:textFill>
              </w:rPr>
              <w:t>2</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3A6CCB44">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 xml:space="preserve">获取招标文件截止时间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5DB6BE9C">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年</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6</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23</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分</w:t>
            </w:r>
          </w:p>
        </w:tc>
      </w:tr>
      <w:tr w14:paraId="250C257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7"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094AD7DC">
            <w:pPr>
              <w:pStyle w:val="29"/>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14:textFill>
                  <w14:solidFill>
                    <w14:schemeClr w14:val="tx1"/>
                  </w14:solidFill>
                </w14:textFill>
              </w:rPr>
              <w:t>3</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71BF9D16">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网上提问</w:t>
            </w:r>
          </w:p>
          <w:p w14:paraId="465EE13A">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 xml:space="preserve">截止时间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76C92043">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400" w:lineRule="exact"/>
              <w:ind w:left="0" w:right="0"/>
              <w:jc w:val="left"/>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6</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13</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16</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00</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分</w:t>
            </w:r>
          </w:p>
        </w:tc>
      </w:tr>
      <w:tr w14:paraId="1FC618F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3"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0A569A0B">
            <w:pPr>
              <w:pStyle w:val="29"/>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14:textFill>
                  <w14:solidFill>
                    <w14:schemeClr w14:val="tx1"/>
                  </w14:solidFill>
                </w14:textFill>
              </w:rPr>
              <w:t>4</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501D54C9">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网上答疑</w:t>
            </w:r>
          </w:p>
          <w:p w14:paraId="37FD956A">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时间</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34242962">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6</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13</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16</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分至</w:t>
            </w: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6</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16</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16</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00</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分</w:t>
            </w:r>
          </w:p>
        </w:tc>
      </w:tr>
      <w:tr w14:paraId="59DE5BC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64"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0FB8FC86">
            <w:pPr>
              <w:pStyle w:val="29"/>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14:textFill>
                  <w14:solidFill>
                    <w14:schemeClr w14:val="tx1"/>
                  </w14:solidFill>
                </w14:textFill>
              </w:rPr>
              <w:t>5</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1D8374B2">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投标保证缴</w:t>
            </w:r>
          </w:p>
          <w:p w14:paraId="76EA57AA">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纳截止时间</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5A8D30AF">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投标保证金到账截止时间：</w:t>
            </w: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年</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6</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22</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分；</w:t>
            </w:r>
          </w:p>
          <w:p w14:paraId="3EE49803">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投标保证担保上传截止时间：</w:t>
            </w: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年</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6</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22</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分；</w:t>
            </w:r>
          </w:p>
          <w:p w14:paraId="50FCF746">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投标保证保险投保截止时间：</w:t>
            </w: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年</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6</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22</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分。</w:t>
            </w:r>
          </w:p>
        </w:tc>
      </w:tr>
      <w:tr w14:paraId="5F00DB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2"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56880833">
            <w:pPr>
              <w:pStyle w:val="29"/>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14:textFill>
                  <w14:solidFill>
                    <w14:schemeClr w14:val="tx1"/>
                  </w14:solidFill>
                </w14:textFill>
              </w:rPr>
              <w:t>6</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0509E593">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电子投标</w:t>
            </w:r>
          </w:p>
          <w:p w14:paraId="1B27E43C">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 xml:space="preserve">截止时间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1844EBA9">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年</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6</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23</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分</w:t>
            </w:r>
          </w:p>
        </w:tc>
      </w:tr>
      <w:tr w14:paraId="533E2D3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96"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33F3B1BB">
            <w:pPr>
              <w:pStyle w:val="29"/>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14:textFill>
                  <w14:solidFill>
                    <w14:schemeClr w14:val="tx1"/>
                  </w14:solidFill>
                </w14:textFill>
              </w:rPr>
              <w:t>7</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3F1E8D78">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投标相关资料（如有）</w:t>
            </w:r>
          </w:p>
          <w:p w14:paraId="53A5368A">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递交时间</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2F2871FD">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年</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6</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23</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00</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分至</w:t>
            </w: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年</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6</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23</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color w:val="000000" w:themeColor="text1"/>
                <w:spacing w:val="0"/>
                <w:kern w:val="0"/>
                <w:sz w:val="21"/>
                <w:szCs w:val="21"/>
                <w:highlight w:val="none"/>
                <w:lang w:val="en-US" w:eastAsia="zh-CN" w:bidi="ar-SA"/>
                <w14:textFill>
                  <w14:solidFill>
                    <w14:schemeClr w14:val="tx1"/>
                  </w14:solidFill>
                </w14:textFill>
              </w:rPr>
              <w:t>分</w:t>
            </w:r>
          </w:p>
        </w:tc>
      </w:tr>
      <w:tr w14:paraId="2D71C16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96"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4F76CE86">
            <w:pPr>
              <w:pStyle w:val="29"/>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14:textFill>
                  <w14:solidFill>
                    <w14:schemeClr w14:val="tx1"/>
                  </w14:solidFill>
                </w14:textFill>
              </w:rPr>
              <w:t>8</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0B1764FB">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投标相关资料（如有）</w:t>
            </w:r>
          </w:p>
          <w:p w14:paraId="3190953C">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递交地点</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34A90C0D">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400" w:lineRule="exact"/>
              <w:ind w:left="0" w:right="0" w:firstLine="210" w:firstLineChars="100"/>
              <w:jc w:val="left"/>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 xml:space="preserve">递交场所：韶关市公共资源交易中心 </w:t>
            </w:r>
          </w:p>
          <w:p w14:paraId="2DEED9DE">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400" w:lineRule="exact"/>
              <w:ind w:left="0" w:right="0" w:firstLine="210" w:firstLineChars="100"/>
              <w:jc w:val="left"/>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地址：广东省韶关市武江区西联镇，具体房间号以当日现场通知为准。</w:t>
            </w:r>
          </w:p>
        </w:tc>
      </w:tr>
      <w:tr w14:paraId="05BA734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56"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1527FB68">
            <w:pPr>
              <w:pStyle w:val="29"/>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14:textFill>
                  <w14:solidFill>
                    <w14:schemeClr w14:val="tx1"/>
                  </w14:solidFill>
                </w14:textFill>
              </w:rPr>
              <w:t>9</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3C5A7B24">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 xml:space="preserve">开标时间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7B74574C">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400" w:lineRule="exact"/>
              <w:ind w:left="0" w:right="0"/>
              <w:jc w:val="left"/>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kern w:val="0"/>
                <w:sz w:val="21"/>
                <w:szCs w:val="21"/>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年</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6</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23</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snapToGrid w:val="0"/>
                <w:color w:val="000000" w:themeColor="text1"/>
                <w:spacing w:val="0"/>
                <w:kern w:val="0"/>
                <w:sz w:val="21"/>
                <w:szCs w:val="21"/>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分</w:t>
            </w:r>
          </w:p>
        </w:tc>
      </w:tr>
      <w:tr w14:paraId="6FF3225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87" w:hRule="exact"/>
        </w:trPr>
        <w:tc>
          <w:tcPr>
            <w:tcW w:w="421" w:type="dxa"/>
            <w:tcBorders>
              <w:top w:val="single" w:color="080000" w:sz="4" w:space="0"/>
              <w:left w:val="single" w:color="080000" w:sz="4" w:space="0"/>
              <w:bottom w:val="single" w:color="080000" w:sz="4" w:space="0"/>
              <w:right w:val="single" w:color="080000" w:sz="4" w:space="0"/>
            </w:tcBorders>
            <w:noWrap w:val="0"/>
            <w:vAlign w:val="center"/>
          </w:tcPr>
          <w:p w14:paraId="1A0E70D6">
            <w:pPr>
              <w:pStyle w:val="29"/>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14:textFill>
                  <w14:solidFill>
                    <w14:schemeClr w14:val="tx1"/>
                  </w14:solidFill>
                </w14:textFill>
              </w:rPr>
              <w:t>10</w:t>
            </w:r>
          </w:p>
        </w:tc>
        <w:tc>
          <w:tcPr>
            <w:tcW w:w="1300" w:type="dxa"/>
            <w:tcBorders>
              <w:top w:val="single" w:color="080000" w:sz="4" w:space="0"/>
              <w:left w:val="single" w:color="080000" w:sz="4" w:space="0"/>
              <w:bottom w:val="single" w:color="080000" w:sz="4" w:space="0"/>
              <w:right w:val="single" w:color="080000" w:sz="4" w:space="0"/>
            </w:tcBorders>
            <w:noWrap w:val="0"/>
            <w:vAlign w:val="center"/>
          </w:tcPr>
          <w:p w14:paraId="36DF9636">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 xml:space="preserve">开标地点 </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3BEB2D3A">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400" w:lineRule="exact"/>
              <w:ind w:left="0" w:right="0" w:firstLine="210" w:firstLineChars="100"/>
              <w:jc w:val="left"/>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 xml:space="preserve">开标地点：韶关市公共资源交易中心 </w:t>
            </w:r>
          </w:p>
          <w:p w14:paraId="44B39846">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400" w:lineRule="exact"/>
              <w:ind w:left="0" w:right="0" w:firstLine="210" w:firstLineChars="100"/>
              <w:jc w:val="left"/>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地址：广东省韶关市武江区西联镇，具体房间号以当日现场通知为准。</w:t>
            </w:r>
          </w:p>
        </w:tc>
      </w:tr>
      <w:tr w14:paraId="4C7C1B7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46" w:hRule="exact"/>
        </w:trPr>
        <w:tc>
          <w:tcPr>
            <w:tcW w:w="1721" w:type="dxa"/>
            <w:gridSpan w:val="2"/>
            <w:tcBorders>
              <w:top w:val="single" w:color="080000" w:sz="4" w:space="0"/>
              <w:left w:val="single" w:color="080000" w:sz="4" w:space="0"/>
              <w:bottom w:val="single" w:color="080000" w:sz="4" w:space="0"/>
              <w:right w:val="single" w:color="080000" w:sz="4" w:space="0"/>
            </w:tcBorders>
            <w:noWrap w:val="0"/>
            <w:vAlign w:val="center"/>
          </w:tcPr>
          <w:p w14:paraId="7D14A9D1">
            <w:pPr>
              <w:pStyle w:val="29"/>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备注</w:t>
            </w:r>
          </w:p>
        </w:tc>
        <w:tc>
          <w:tcPr>
            <w:tcW w:w="7338" w:type="dxa"/>
            <w:tcBorders>
              <w:top w:val="single" w:color="080000" w:sz="4" w:space="0"/>
              <w:left w:val="single" w:color="080000" w:sz="4" w:space="0"/>
              <w:bottom w:val="single" w:color="080000" w:sz="4" w:space="0"/>
              <w:right w:val="single" w:color="080000" w:sz="4" w:space="0"/>
            </w:tcBorders>
            <w:noWrap w:val="0"/>
            <w:vAlign w:val="center"/>
          </w:tcPr>
          <w:p w14:paraId="2A66E60B">
            <w:pPr>
              <w:pStyle w:val="29"/>
              <w:keepNext w:val="0"/>
              <w:keepLines w:val="0"/>
              <w:pageBreakBefore w:val="0"/>
              <w:suppressLineNumbers w:val="0"/>
              <w:wordWrap w:val="0"/>
              <w:overflowPunct/>
              <w:topLinePunct w:val="0"/>
              <w:bidi w:val="0"/>
              <w:adjustRightInd w:val="0"/>
              <w:snapToGrid w:val="0"/>
              <w:spacing w:before="0" w:beforeAutospacing="0" w:after="0" w:afterAutospacing="0" w:line="400" w:lineRule="exact"/>
              <w:ind w:left="0" w:right="0" w:firstLine="210" w:firstLineChars="100"/>
              <w:jc w:val="left"/>
              <w:rPr>
                <w:rFonts w:hint="eastAsia" w:asciiTheme="minorEastAsia" w:hAnsiTheme="minorEastAsia" w:eastAsiaTheme="minorEastAsia" w:cstheme="minorEastAsia"/>
                <w:color w:val="000000" w:themeColor="text1"/>
                <w:spacing w:val="0"/>
                <w:sz w:val="21"/>
                <w:szCs w:val="21"/>
                <w:highlight w:val="none"/>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14:textFill>
                  <w14:solidFill>
                    <w14:schemeClr w14:val="tx1"/>
                  </w14:solidFill>
                </w14:textFill>
              </w:rPr>
              <w:t>投标人应按有关计划时间安排办理企业CA认证、企业入库等，获取招标文件后自行下载招标文件、资料文件及招标答疑书等。若由于投标人自身原因未能及时取得上述资料的，由此发生的任何责任由投标人自负。</w:t>
            </w:r>
          </w:p>
        </w:tc>
      </w:tr>
    </w:tbl>
    <w:p w14:paraId="24500D8F">
      <w:pPr>
        <w:keepNext w:val="0"/>
        <w:keepLines w:val="0"/>
        <w:pageBreakBefore w:val="0"/>
        <w:tabs>
          <w:tab w:val="left" w:pos="8820"/>
        </w:tabs>
        <w:wordWrap w:val="0"/>
        <w:overflowPunct/>
        <w:topLinePunct w:val="0"/>
        <w:bidi w:val="0"/>
        <w:rPr>
          <w:rFonts w:hint="eastAsia" w:ascii="宋体" w:hAnsi="宋体" w:eastAsia="宋体" w:cs="宋体"/>
          <w:b w:val="0"/>
          <w:bCs w:val="0"/>
          <w:color w:val="000000" w:themeColor="text1"/>
          <w:spacing w:val="0"/>
          <w:sz w:val="24"/>
          <w:szCs w:val="24"/>
          <w:highlight w:val="none"/>
          <w14:textFill>
            <w14:solidFill>
              <w14:schemeClr w14:val="tx1"/>
            </w14:solidFill>
          </w14:textFill>
        </w:rPr>
        <w:sectPr>
          <w:headerReference r:id="rId7" w:type="default"/>
          <w:footerReference r:id="rId8" w:type="default"/>
          <w:pgSz w:w="11906" w:h="16839"/>
          <w:pgMar w:top="1440" w:right="1080" w:bottom="1440" w:left="1080" w:header="0" w:footer="1085" w:gutter="0"/>
          <w:pgBorders>
            <w:top w:val="none" w:sz="0" w:space="0"/>
            <w:left w:val="none" w:sz="0" w:space="0"/>
            <w:bottom w:val="none" w:sz="0" w:space="0"/>
            <w:right w:val="none" w:sz="0" w:space="0"/>
          </w:pgBorders>
          <w:pgNumType w:fmt="decimal"/>
          <w:cols w:space="720" w:num="1"/>
        </w:sectPr>
      </w:pPr>
    </w:p>
    <w:p w14:paraId="4035F05F">
      <w:pPr>
        <w:keepNext w:val="0"/>
        <w:keepLines w:val="0"/>
        <w:pageBreakBefore w:val="0"/>
        <w:wordWrap w:val="0"/>
        <w:overflowPunct/>
        <w:topLinePunct w:val="0"/>
        <w:bidi w:val="0"/>
        <w:jc w:val="center"/>
        <w:outlineLvl w:val="1"/>
        <w:rPr>
          <w:rFonts w:hint="eastAsia" w:ascii="宋体" w:hAnsi="宋体" w:eastAsia="宋体" w:cs="宋体"/>
          <w:color w:val="000000" w:themeColor="text1"/>
          <w:spacing w:val="0"/>
          <w:sz w:val="24"/>
          <w:szCs w:val="24"/>
          <w:highlight w:val="none"/>
          <w14:textFill>
            <w14:solidFill>
              <w14:schemeClr w14:val="tx1"/>
            </w14:solidFill>
          </w14:textFill>
        </w:rPr>
      </w:pPr>
      <w:bookmarkStart w:id="11" w:name="_Toc23361"/>
      <w:r>
        <w:rPr>
          <w:rFonts w:hint="eastAsia" w:ascii="宋体" w:hAnsi="宋体" w:eastAsia="宋体" w:cs="宋体"/>
          <w:b/>
          <w:bCs/>
          <w:color w:val="000000" w:themeColor="text1"/>
          <w:spacing w:val="0"/>
          <w:sz w:val="24"/>
          <w:szCs w:val="24"/>
          <w:highlight w:val="none"/>
          <w14:textFill>
            <w14:solidFill>
              <w14:schemeClr w14:val="tx1"/>
            </w14:solidFill>
          </w14:textFill>
        </w:rPr>
        <w:t>第三节</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投标人须知正文</w:t>
      </w:r>
      <w:bookmarkEnd w:id="11"/>
    </w:p>
    <w:p w14:paraId="5DD28753">
      <w:pPr>
        <w:pStyle w:val="6"/>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highlight w:val="none"/>
          <w14:textFill>
            <w14:solidFill>
              <w14:schemeClr w14:val="tx1"/>
            </w14:solidFill>
          </w14:textFill>
        </w:rPr>
      </w:pPr>
    </w:p>
    <w:p w14:paraId="217B4480">
      <w:pPr>
        <w:pStyle w:val="6"/>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0AF44FDE">
      <w:pPr>
        <w:keepNext w:val="0"/>
        <w:keepLines w:val="0"/>
        <w:pageBreakBefore w:val="0"/>
        <w:widowControl/>
        <w:suppressLineNumbers w:val="0"/>
        <w:wordWrap w:val="0"/>
        <w:overflowPunct/>
        <w:topLinePunct w:val="0"/>
        <w:bidi w:val="0"/>
        <w:spacing w:line="360" w:lineRule="auto"/>
        <w:ind w:right="-258" w:rightChars="-123" w:firstLine="480" w:firstLineChars="200"/>
        <w:jc w:val="lef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韶关市武江区第九中学教学综合楼及体育馆建设项目（一期）</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经</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韶关市武江区</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发展和改革局</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以</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韶关市武江区发展和改革局关于韶关市第九中学教学综合楼及体育馆建设项目（一期）项目可行性研究报告的批复</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韶武发改投审〔2023〕25号</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u w:val="single"/>
          <w:lang w:eastAsia="zh-CN"/>
          <w14:textFill>
            <w14:solidFill>
              <w14:schemeClr w14:val="tx1"/>
            </w14:solidFill>
          </w14:textFill>
        </w:rPr>
        <w:t>、《韶关市武江区发展和改革局关于调整韶关市武江区第九中学教学综合楼及体育馆建设项目</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（一期）</w:t>
      </w:r>
      <w:r>
        <w:rPr>
          <w:rFonts w:hint="eastAsia" w:ascii="宋体" w:hAnsi="宋体" w:eastAsia="宋体" w:cs="宋体"/>
          <w:snapToGrid w:val="0"/>
          <w:color w:val="000000" w:themeColor="text1"/>
          <w:spacing w:val="0"/>
          <w:kern w:val="0"/>
          <w:sz w:val="24"/>
          <w:szCs w:val="24"/>
          <w:highlight w:val="none"/>
          <w:u w:val="single"/>
          <w:lang w:eastAsia="zh-CN"/>
          <w14:textFill>
            <w14:solidFill>
              <w14:schemeClr w14:val="tx1"/>
            </w14:solidFill>
          </w14:textFill>
        </w:rPr>
        <w:t>项目可行性研究报告的复函》（</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韶武发改投审〔2025〕22号</w:t>
      </w:r>
      <w:r>
        <w:rPr>
          <w:rFonts w:hint="eastAsia" w:ascii="宋体" w:hAnsi="宋体" w:eastAsia="宋体" w:cs="宋体"/>
          <w:snapToGrid w:val="0"/>
          <w:color w:val="000000" w:themeColor="text1"/>
          <w:spacing w:val="0"/>
          <w:kern w:val="0"/>
          <w:sz w:val="24"/>
          <w:szCs w:val="24"/>
          <w:highlight w:val="none"/>
          <w:u w:val="single"/>
          <w:lang w:eastAsia="zh-CN"/>
          <w14:textFill>
            <w14:solidFill>
              <w14:schemeClr w14:val="tx1"/>
            </w14:solidFill>
          </w14:textFill>
        </w:rPr>
        <w:t>）、《韶关市武江区发展和改革局关于韶关市第九中学教学综合楼及体育馆建设项目</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（一期）</w:t>
      </w:r>
      <w:r>
        <w:rPr>
          <w:rFonts w:hint="eastAsia" w:ascii="宋体" w:hAnsi="宋体" w:eastAsia="宋体" w:cs="宋体"/>
          <w:snapToGrid w:val="0"/>
          <w:color w:val="000000" w:themeColor="text1"/>
          <w:spacing w:val="0"/>
          <w:kern w:val="0"/>
          <w:sz w:val="24"/>
          <w:szCs w:val="24"/>
          <w:highlight w:val="none"/>
          <w:u w:val="single"/>
          <w:lang w:eastAsia="zh-CN"/>
          <w14:textFill>
            <w14:solidFill>
              <w14:schemeClr w14:val="tx1"/>
            </w14:solidFill>
          </w14:textFill>
        </w:rPr>
        <w:t>初步设计概算的批复》（</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韶武发改投审〔2026〕12号</w:t>
      </w:r>
      <w:r>
        <w:rPr>
          <w:rFonts w:hint="eastAsia" w:ascii="宋体" w:hAnsi="宋体" w:eastAsia="宋体" w:cs="宋体"/>
          <w:snapToGrid w:val="0"/>
          <w:color w:val="000000" w:themeColor="text1"/>
          <w:spacing w:val="0"/>
          <w:kern w:val="0"/>
          <w:sz w:val="24"/>
          <w:szCs w:val="24"/>
          <w:highlight w:val="none"/>
          <w:u w:val="single"/>
          <w:lang w:eastAsia="zh-CN"/>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批准建设，项目代码为</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2208-440203-89-01-495274</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。本项目业主为</w:t>
      </w:r>
      <w:r>
        <w:rPr>
          <w:rFonts w:hint="eastAsia" w:ascii="宋体" w:hAnsi="宋体" w:eastAsia="宋体" w:cs="宋体"/>
          <w:snapToGrid w:val="0"/>
          <w:color w:val="000000" w:themeColor="text1"/>
          <w:spacing w:val="0"/>
          <w:kern w:val="0"/>
          <w:sz w:val="24"/>
          <w:szCs w:val="24"/>
          <w:highlight w:val="none"/>
          <w:u w:val="single"/>
          <w:lang w:eastAsia="zh-CN"/>
          <w14:textFill>
            <w14:solidFill>
              <w14:schemeClr w14:val="tx1"/>
            </w14:solidFill>
          </w14:textFill>
        </w:rPr>
        <w:t>韶关市武江区教育局</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，建设资金来自</w:t>
      </w:r>
      <w:r>
        <w:rPr>
          <w:rFonts w:hint="eastAsia" w:ascii="宋体" w:hAnsi="宋体" w:eastAsia="宋体" w:cs="宋体"/>
          <w:snapToGrid w:val="0"/>
          <w:color w:val="000000" w:themeColor="text1"/>
          <w:spacing w:val="0"/>
          <w:kern w:val="0"/>
          <w:sz w:val="24"/>
          <w:szCs w:val="24"/>
          <w:highlight w:val="none"/>
          <w:u w:val="single"/>
          <w:lang w:val="en-US" w:eastAsia="zh-CN"/>
          <w14:textFill>
            <w14:solidFill>
              <w14:schemeClr w14:val="tx1"/>
            </w14:solidFill>
          </w14:textFill>
        </w:rPr>
        <w:t>区级财政统筹解决</w:t>
      </w:r>
      <w:r>
        <w:rPr>
          <w:rFonts w:hint="eastAsia" w:ascii="宋体" w:hAnsi="宋体" w:eastAsia="宋体" w:cs="宋体"/>
          <w:snapToGrid w:val="0"/>
          <w:color w:val="000000" w:themeColor="text1"/>
          <w:spacing w:val="0"/>
          <w:kern w:val="0"/>
          <w:sz w:val="24"/>
          <w:szCs w:val="24"/>
          <w:highlight w:val="none"/>
          <w:u w:val="none"/>
          <w:lang w:eastAsia="zh-CN"/>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出资比例为</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100%</w:t>
      </w:r>
      <w:r>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招标人为</w:t>
      </w:r>
      <w:r>
        <w:rPr>
          <w:rFonts w:hint="eastAsia" w:ascii="宋体" w:hAnsi="宋体" w:eastAsia="宋体" w:cs="宋体"/>
          <w:snapToGrid w:val="0"/>
          <w:color w:val="000000" w:themeColor="text1"/>
          <w:spacing w:val="0"/>
          <w:kern w:val="0"/>
          <w:sz w:val="24"/>
          <w:szCs w:val="24"/>
          <w:highlight w:val="none"/>
          <w:u w:val="single"/>
          <w:lang w:eastAsia="zh-CN"/>
          <w14:textFill>
            <w14:solidFill>
              <w14:schemeClr w14:val="tx1"/>
            </w14:solidFill>
          </w14:textFill>
        </w:rPr>
        <w:t>韶关市武江区教育局</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，招标代理机构为</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韶关市城监项目管理有限公司</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。项目已具备招标条件，现对该项目的</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施工</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进行公开招标。</w:t>
      </w:r>
    </w:p>
    <w:p w14:paraId="238EB322">
      <w:pPr>
        <w:keepNext w:val="0"/>
        <w:keepLines w:val="0"/>
        <w:pageBreakBefore w:val="0"/>
        <w:widowControl/>
        <w:kinsoku w:val="0"/>
        <w:wordWrap w:val="0"/>
        <w:overflowPunct/>
        <w:topLinePunct w:val="0"/>
        <w:autoSpaceDE w:val="0"/>
        <w:autoSpaceDN w:val="0"/>
        <w:bidi w:val="0"/>
        <w:adjustRightInd w:val="0"/>
        <w:snapToGrid w:val="0"/>
        <w:spacing w:line="220" w:lineRule="auto"/>
        <w:ind w:left="496"/>
        <w:textAlignment w:val="baseline"/>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2" w:name="bookmark59"/>
      <w:bookmarkEnd w:id="12"/>
      <w:bookmarkStart w:id="13" w:name="bookmark73"/>
      <w:bookmarkEnd w:id="13"/>
      <w:bookmarkStart w:id="14" w:name="bookmark52"/>
      <w:bookmarkEnd w:id="14"/>
      <w:bookmarkStart w:id="15" w:name="_Toc21616"/>
      <w:bookmarkStart w:id="16" w:name="_Toc15993"/>
      <w:r>
        <w:rPr>
          <w:rFonts w:hint="eastAsia" w:ascii="宋体" w:hAnsi="宋体" w:eastAsia="宋体" w:cs="宋体"/>
          <w:b/>
          <w:bCs/>
          <w:color w:val="000000" w:themeColor="text1"/>
          <w:spacing w:val="0"/>
          <w:sz w:val="24"/>
          <w:szCs w:val="24"/>
          <w:highlight w:val="none"/>
          <w14:textFill>
            <w14:solidFill>
              <w14:schemeClr w14:val="tx1"/>
            </w14:solidFill>
          </w14:textFill>
        </w:rPr>
        <w:t>1 ．项目概况、招标范围和标段划分、投标费用等</w:t>
      </w:r>
      <w:bookmarkEnd w:id="15"/>
      <w:bookmarkEnd w:id="16"/>
    </w:p>
    <w:p w14:paraId="26BED16D">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  </w:t>
      </w:r>
      <w:r>
        <w:rPr>
          <w:rFonts w:hint="eastAsia" w:ascii="宋体" w:hAnsi="宋体" w:eastAsia="宋体" w:cs="宋体"/>
          <w:color w:val="000000" w:themeColor="text1"/>
          <w:spacing w:val="0"/>
          <w:sz w:val="24"/>
          <w:szCs w:val="24"/>
          <w:highlight w:val="none"/>
          <w14:textFill>
            <w14:solidFill>
              <w14:schemeClr w14:val="tx1"/>
            </w14:solidFill>
          </w14:textFill>
        </w:rPr>
        <w:t>项目概况</w:t>
      </w:r>
    </w:p>
    <w:p w14:paraId="33A0C0A8">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1.1.1  </w:t>
      </w:r>
      <w:r>
        <w:rPr>
          <w:rFonts w:hint="eastAsia" w:ascii="宋体" w:hAnsi="宋体" w:eastAsia="宋体" w:cs="宋体"/>
          <w:color w:val="000000" w:themeColor="text1"/>
          <w:spacing w:val="0"/>
          <w:sz w:val="24"/>
          <w:szCs w:val="24"/>
          <w:highlight w:val="none"/>
          <w14:textFill>
            <w14:solidFill>
              <w14:schemeClr w14:val="tx1"/>
            </w14:solidFill>
          </w14:textFill>
        </w:rPr>
        <w:t>建设地点：</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韶关市武江区芙蓉北路60号韶关市第九中学</w:t>
      </w:r>
    </w:p>
    <w:p w14:paraId="3B072489">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1.1.2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项目建设内容及规模</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3C1299B2">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0" w:firstLineChars="200"/>
        <w:textAlignment w:val="baseline"/>
        <w:outlineLvl w:val="9"/>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4"/>
          <w:szCs w:val="24"/>
          <w:highlight w:val="none"/>
          <w:u w:val="single"/>
          <w:lang w:val="en-US" w:eastAsia="zh-CN" w:bidi="ar-SA"/>
          <w14:textFill>
            <w14:solidFill>
              <w14:schemeClr w14:val="tx1"/>
            </w14:solidFill>
          </w14:textFill>
        </w:rPr>
        <w:t>新建一栋多层教学综合楼，其中地上6层，地下1层。建筑基底面积1038.49㎡，总建筑面积4507.04㎡，其中地上面积4262.88㎡，地下244.16㎡，地下一层为消防水池和消防泵房，一层为架空活动场地、公共厕所、发电机房、新建一间配电房含专用变压器及高低压柜，二至五层为普通课室、公共卫生间，六层为教师办公室、功能课室、公共卫生间。建设活动场地918.28平方米、回车场144平方米、砖砌围墙120米、挡土墙120米、以及室外管网等其他配套设施和设备。</w:t>
      </w:r>
    </w:p>
    <w:p w14:paraId="582D5F1D">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1.1.3  </w:t>
      </w:r>
      <w:r>
        <w:rPr>
          <w:rFonts w:hint="eastAsia" w:ascii="宋体" w:hAnsi="宋体" w:eastAsia="宋体" w:cs="宋体"/>
          <w:color w:val="000000" w:themeColor="text1"/>
          <w:spacing w:val="0"/>
          <w:sz w:val="24"/>
          <w:szCs w:val="24"/>
          <w:highlight w:val="none"/>
          <w14:textFill>
            <w14:solidFill>
              <w14:schemeClr w14:val="tx1"/>
            </w14:solidFill>
          </w14:textFill>
        </w:rPr>
        <w:t>项目总投资</w:t>
      </w:r>
      <w:r>
        <w:rPr>
          <w:rStyle w:val="27"/>
          <w:rFonts w:hint="eastAsia" w:ascii="宋体" w:hAnsi="宋体" w:eastAsia="宋体" w:cs="宋体"/>
          <w:color w:val="000000" w:themeColor="text1"/>
          <w:spacing w:val="0"/>
          <w:kern w:val="0"/>
          <w:sz w:val="24"/>
          <w:szCs w:val="24"/>
          <w:highlight w:val="none"/>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0"/>
          <w:kern w:val="0"/>
          <w:sz w:val="24"/>
          <w:szCs w:val="24"/>
          <w:highlight w:val="none"/>
          <w:u w:val="single"/>
          <w:lang w:val="en-US" w:eastAsia="zh-CN"/>
          <w14:textFill>
            <w14:solidFill>
              <w14:schemeClr w14:val="tx1"/>
            </w14:solidFill>
          </w14:textFill>
        </w:rPr>
        <w:t>项目概算总投资2970.71万元，其中工程费用1645.83万元，工程建设其他费用1229.98万元，预备费用94.90万元。</w:t>
      </w:r>
    </w:p>
    <w:p w14:paraId="16BD1157">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u w:val="none"/>
          <w:lang w:val="en-US" w:eastAsia="zh-CN"/>
          <w14:textFill>
            <w14:solidFill>
              <w14:schemeClr w14:val="tx1"/>
            </w14:solidFill>
          </w14:textFill>
        </w:rPr>
        <w:t xml:space="preserve">1.2 </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招标范围和标段划分</w:t>
      </w:r>
    </w:p>
    <w:p w14:paraId="03788986">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1.2.1  </w:t>
      </w:r>
      <w:r>
        <w:rPr>
          <w:rFonts w:hint="eastAsia" w:ascii="宋体" w:hAnsi="宋体" w:eastAsia="宋体" w:cs="宋体"/>
          <w:color w:val="000000" w:themeColor="text1"/>
          <w:spacing w:val="0"/>
          <w:sz w:val="24"/>
          <w:szCs w:val="24"/>
          <w:highlight w:val="none"/>
          <w14:textFill>
            <w14:solidFill>
              <w14:schemeClr w14:val="tx1"/>
            </w14:solidFill>
          </w14:textFill>
        </w:rPr>
        <w:t>招标范围：</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按审查合格的施工图纸及工程量清单内容施工。</w:t>
      </w:r>
    </w:p>
    <w:p w14:paraId="0DFB5F34">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7" w:name="_Toc20855"/>
      <w:bookmarkStart w:id="18" w:name="_Toc14190"/>
      <w:bookmarkStart w:id="19" w:name="_Toc28202"/>
      <w:bookmarkStart w:id="20" w:name="_Toc24593"/>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1.2.2  </w:t>
      </w:r>
      <w:r>
        <w:rPr>
          <w:rFonts w:hint="eastAsia" w:ascii="宋体" w:hAnsi="宋体" w:eastAsia="宋体" w:cs="宋体"/>
          <w:color w:val="000000" w:themeColor="text1"/>
          <w:spacing w:val="0"/>
          <w:sz w:val="24"/>
          <w:szCs w:val="24"/>
          <w:highlight w:val="none"/>
          <w14:textFill>
            <w14:solidFill>
              <w14:schemeClr w14:val="tx1"/>
            </w14:solidFill>
          </w14:textFill>
        </w:rPr>
        <w:t>标段划分：本招标项目不划分标段。</w:t>
      </w:r>
      <w:bookmarkEnd w:id="17"/>
      <w:bookmarkEnd w:id="18"/>
      <w:bookmarkEnd w:id="19"/>
      <w:bookmarkEnd w:id="20"/>
    </w:p>
    <w:p w14:paraId="3BE6141C">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  </w:t>
      </w:r>
      <w:r>
        <w:rPr>
          <w:rFonts w:hint="eastAsia" w:ascii="宋体" w:hAnsi="宋体" w:eastAsia="宋体" w:cs="宋体"/>
          <w:color w:val="000000" w:themeColor="text1"/>
          <w:spacing w:val="0"/>
          <w:sz w:val="24"/>
          <w:szCs w:val="24"/>
          <w:highlight w:val="none"/>
          <w14:textFill>
            <w14:solidFill>
              <w14:schemeClr w14:val="tx1"/>
            </w14:solidFill>
          </w14:textFill>
        </w:rPr>
        <w:t>投标费用：投标人应承担所有准备和参加投标的相关费用，不论投标结果如何，招标人均无义务和责任承担这些费用。</w:t>
      </w:r>
    </w:p>
    <w:p w14:paraId="6DC29DD6">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招标代理费用：  </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shd w:val="clear" w:color="auto" w:fill="FFFFFF"/>
          <w14:textFill>
            <w14:solidFill>
              <w14:schemeClr w14:val="tx1"/>
            </w14:solidFill>
          </w14:textFill>
        </w:rPr>
        <w:t xml:space="preserve"> 由</w:t>
      </w:r>
      <w:r>
        <w:rPr>
          <w:rFonts w:hint="eastAsia" w:ascii="宋体" w:hAnsi="宋体" w:eastAsia="宋体" w:cs="宋体"/>
          <w:color w:val="000000" w:themeColor="text1"/>
          <w:spacing w:val="0"/>
          <w:sz w:val="24"/>
          <w:szCs w:val="24"/>
          <w:highlight w:val="none"/>
          <w14:textFill>
            <w14:solidFill>
              <w14:schemeClr w14:val="tx1"/>
            </w14:solidFill>
          </w14:textFill>
        </w:rPr>
        <w:t>项目业主</w:t>
      </w:r>
      <w:r>
        <w:rPr>
          <w:rFonts w:hint="eastAsia" w:ascii="宋体" w:hAnsi="宋体" w:eastAsia="宋体" w:cs="宋体"/>
          <w:color w:val="000000" w:themeColor="text1"/>
          <w:spacing w:val="0"/>
          <w:sz w:val="24"/>
          <w:szCs w:val="24"/>
          <w:highlight w:val="none"/>
          <w:shd w:val="clear" w:color="auto" w:fill="FFFFFF"/>
          <w14:textFill>
            <w14:solidFill>
              <w14:schemeClr w14:val="tx1"/>
            </w14:solidFill>
          </w14:textFill>
        </w:rPr>
        <w:t>支</w:t>
      </w:r>
      <w:r>
        <w:rPr>
          <w:rFonts w:hint="eastAsia" w:ascii="宋体" w:hAnsi="宋体" w:eastAsia="宋体" w:cs="宋体"/>
          <w:color w:val="000000" w:themeColor="text1"/>
          <w:spacing w:val="0"/>
          <w:sz w:val="24"/>
          <w:szCs w:val="24"/>
          <w:highlight w:val="none"/>
          <w14:textFill>
            <w14:solidFill>
              <w14:schemeClr w14:val="tx1"/>
            </w14:solidFill>
          </w14:textFill>
        </w:rPr>
        <w:t>付</w:t>
      </w:r>
      <w:r>
        <w:rPr>
          <w:rFonts w:hint="eastAsia" w:ascii="宋体" w:hAnsi="宋体" w:eastAsia="宋体" w:cs="宋体"/>
          <w:color w:val="000000" w:themeColor="text1"/>
          <w:spacing w:val="0"/>
          <w:position w:val="-6"/>
          <w:sz w:val="24"/>
          <w:szCs w:val="24"/>
          <w:highlight w:val="none"/>
          <w:shd w:val="clear" w:color="auto" w:fill="FFFFFF"/>
          <w:lang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shd w:val="clear" w:color="auto" w:fill="FFFFFF"/>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shd w:val="clear" w:color="auto" w:fill="FFFFFF"/>
          <w14:textFill>
            <w14:solidFill>
              <w14:schemeClr w14:val="tx1"/>
            </w14:solidFill>
          </w14:textFill>
        </w:rPr>
        <w:t xml:space="preserve"> 由中标人支付。</w:t>
      </w:r>
    </w:p>
    <w:p w14:paraId="3514024E">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jc w:val="left"/>
        <w:textAlignment w:val="baseline"/>
        <w:outlineLvl w:val="2"/>
        <w:rPr>
          <w:rFonts w:hint="eastAsia" w:ascii="宋体" w:hAnsi="宋体" w:eastAsia="宋体" w:cs="宋体"/>
          <w:b w:val="0"/>
          <w:bCs w:val="0"/>
          <w:color w:val="000000" w:themeColor="text1"/>
          <w:spacing w:val="0"/>
          <w:sz w:val="24"/>
          <w:szCs w:val="24"/>
          <w:highlight w:val="none"/>
          <w14:textFill>
            <w14:solidFill>
              <w14:schemeClr w14:val="tx1"/>
            </w14:solidFill>
          </w14:textFill>
        </w:rPr>
      </w:pPr>
      <w:bookmarkStart w:id="21" w:name="_Toc4014"/>
      <w:r>
        <w:rPr>
          <w:rFonts w:hint="eastAsia" w:ascii="宋体" w:hAnsi="宋体" w:eastAsia="宋体" w:cs="宋体"/>
          <w:b/>
          <w:bCs/>
          <w:color w:val="000000" w:themeColor="text1"/>
          <w:spacing w:val="0"/>
          <w:sz w:val="24"/>
          <w:szCs w:val="24"/>
          <w:highlight w:val="none"/>
          <w14:textFill>
            <w14:solidFill>
              <w14:schemeClr w14:val="tx1"/>
            </w14:solidFill>
          </w14:textFill>
        </w:rPr>
        <w:t>2．</w:t>
      </w:r>
      <w:r>
        <w:rPr>
          <w:rFonts w:hint="eastAsia" w:ascii="宋体" w:hAnsi="宋体" w:eastAsia="宋体" w:cs="宋体"/>
          <w:b w:val="0"/>
          <w:bCs w:val="0"/>
          <w:color w:val="000000" w:themeColor="text1"/>
          <w:spacing w:val="0"/>
          <w:sz w:val="24"/>
          <w:szCs w:val="24"/>
          <w:highlight w:val="none"/>
          <w:lang w:eastAsia="zh-CN"/>
          <w14:textFill>
            <w14:solidFill>
              <w14:schemeClr w14:val="tx1"/>
            </w14:solidFill>
          </w14:textFill>
        </w:rPr>
        <w:t>投标人</w:t>
      </w:r>
      <w:r>
        <w:rPr>
          <w:rFonts w:hint="eastAsia" w:ascii="宋体" w:hAnsi="宋体" w:eastAsia="宋体" w:cs="宋体"/>
          <w:b w:val="0"/>
          <w:bCs w:val="0"/>
          <w:color w:val="000000" w:themeColor="text1"/>
          <w:spacing w:val="0"/>
          <w:sz w:val="24"/>
          <w:szCs w:val="24"/>
          <w:highlight w:val="none"/>
          <w14:textFill>
            <w14:solidFill>
              <w14:schemeClr w14:val="tx1"/>
            </w14:solidFill>
          </w14:textFill>
        </w:rPr>
        <w:t>资</w:t>
      </w:r>
      <w:r>
        <w:rPr>
          <w:rFonts w:hint="eastAsia" w:ascii="宋体" w:hAnsi="宋体" w:eastAsia="宋体" w:cs="宋体"/>
          <w:b w:val="0"/>
          <w:bCs w:val="0"/>
          <w:color w:val="000000" w:themeColor="text1"/>
          <w:spacing w:val="0"/>
          <w:sz w:val="24"/>
          <w:szCs w:val="24"/>
          <w:highlight w:val="none"/>
          <w:lang w:val="en-US" w:eastAsia="zh-CN"/>
          <w14:textFill>
            <w14:solidFill>
              <w14:schemeClr w14:val="tx1"/>
            </w14:solidFill>
          </w14:textFill>
        </w:rPr>
        <w:t>格</w:t>
      </w:r>
      <w:r>
        <w:rPr>
          <w:rFonts w:hint="eastAsia" w:ascii="宋体" w:hAnsi="宋体" w:eastAsia="宋体" w:cs="宋体"/>
          <w:b w:val="0"/>
          <w:bCs w:val="0"/>
          <w:color w:val="000000" w:themeColor="text1"/>
          <w:spacing w:val="0"/>
          <w:sz w:val="24"/>
          <w:szCs w:val="24"/>
          <w:highlight w:val="none"/>
          <w14:textFill>
            <w14:solidFill>
              <w14:schemeClr w14:val="tx1"/>
            </w14:solidFill>
          </w14:textFill>
        </w:rPr>
        <w:t>要求</w:t>
      </w:r>
      <w:bookmarkEnd w:id="21"/>
    </w:p>
    <w:p w14:paraId="6FD4EB24">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7"/>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2.1</w:t>
      </w:r>
      <w:r>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本次招标</w:t>
      </w:r>
      <w:r>
        <w:rPr>
          <w:rStyle w:val="27"/>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不接受</w:t>
      </w:r>
      <w:r>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联合体投标。</w:t>
      </w:r>
    </w:p>
    <w:p w14:paraId="34B9A513">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7"/>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2.2</w:t>
      </w:r>
      <w:r>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资格资质要求</w:t>
      </w:r>
    </w:p>
    <w:p w14:paraId="6CD280F2">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7"/>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2.2.1</w:t>
      </w:r>
      <w:r>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投标人须具备独立法人资格，按国家法律经营。</w:t>
      </w:r>
    </w:p>
    <w:p w14:paraId="55AC02AD">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7"/>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2.2.2</w:t>
      </w:r>
      <w:r>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投标人须持有建设行政主管部门颁发的企业资质证书及安全生产许可证。</w:t>
      </w:r>
    </w:p>
    <w:p w14:paraId="29D0909E">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7"/>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 xml:space="preserve">2.2.3 </w:t>
      </w:r>
      <w:r>
        <w:rPr>
          <w:rFonts w:hint="eastAsia" w:asciiTheme="minorEastAsia" w:hAnsiTheme="minorEastAsia" w:eastAsiaTheme="minorEastAsia" w:cstheme="minorEastAsia"/>
          <w:snapToGrid w:val="0"/>
          <w:color w:val="000000" w:themeColor="text1"/>
          <w:spacing w:val="0"/>
          <w:kern w:val="0"/>
          <w:sz w:val="24"/>
          <w:szCs w:val="24"/>
          <w:highlight w:val="none"/>
          <w:lang w:eastAsia="zh-CN"/>
          <w14:textFill>
            <w14:solidFill>
              <w14:schemeClr w14:val="tx1"/>
            </w14:solidFill>
          </w14:textFill>
        </w:rPr>
        <w:t>投标人须具备以下资质：具有建设行政主管部门颁发的</w:t>
      </w:r>
      <w:r>
        <w:rPr>
          <w:rFonts w:hint="eastAsia" w:asciiTheme="minorEastAsia" w:hAnsiTheme="minorEastAsia" w:eastAsiaTheme="minorEastAsia" w:cstheme="minorEastAsia"/>
          <w:snapToGrid w:val="0"/>
          <w:color w:val="000000" w:themeColor="text1"/>
          <w:spacing w:val="0"/>
          <w:kern w:val="0"/>
          <w:sz w:val="24"/>
          <w:szCs w:val="24"/>
          <w:highlight w:val="none"/>
          <w:u w:val="single"/>
          <w:lang w:eastAsia="zh-CN"/>
          <w14:textFill>
            <w14:solidFill>
              <w14:schemeClr w14:val="tx1"/>
            </w14:solidFill>
          </w14:textFill>
        </w:rPr>
        <w:t>建筑工程施工总承包</w:t>
      </w:r>
      <w:r>
        <w:rPr>
          <w:rFonts w:hint="eastAsia" w:asciiTheme="minorEastAsia" w:hAnsiTheme="minorEastAsia" w:eastAsiaTheme="minorEastAsia" w:cstheme="minorEastAsia"/>
          <w:snapToGrid w:val="0"/>
          <w:color w:val="000000" w:themeColor="text1"/>
          <w:spacing w:val="0"/>
          <w:kern w:val="0"/>
          <w:sz w:val="24"/>
          <w:szCs w:val="24"/>
          <w:highlight w:val="none"/>
          <w:u w:val="single"/>
          <w:lang w:val="en-US" w:eastAsia="zh-CN"/>
          <w14:textFill>
            <w14:solidFill>
              <w14:schemeClr w14:val="tx1"/>
            </w14:solidFill>
          </w14:textFill>
        </w:rPr>
        <w:t>三</w:t>
      </w:r>
      <w:r>
        <w:rPr>
          <w:rFonts w:hint="eastAsia" w:asciiTheme="minorEastAsia" w:hAnsiTheme="minorEastAsia" w:eastAsiaTheme="minorEastAsia" w:cstheme="minorEastAsia"/>
          <w:snapToGrid w:val="0"/>
          <w:color w:val="000000" w:themeColor="text1"/>
          <w:spacing w:val="0"/>
          <w:kern w:val="0"/>
          <w:sz w:val="24"/>
          <w:szCs w:val="24"/>
          <w:highlight w:val="none"/>
          <w:u w:val="single"/>
          <w:lang w:eastAsia="zh-CN"/>
          <w14:textFill>
            <w14:solidFill>
              <w14:schemeClr w14:val="tx1"/>
            </w14:solidFill>
          </w14:textFill>
        </w:rPr>
        <w:t>级以上（含</w:t>
      </w:r>
      <w:r>
        <w:rPr>
          <w:rFonts w:hint="eastAsia" w:asciiTheme="minorEastAsia" w:hAnsiTheme="minorEastAsia" w:eastAsiaTheme="minorEastAsia" w:cstheme="minorEastAsia"/>
          <w:snapToGrid w:val="0"/>
          <w:color w:val="000000" w:themeColor="text1"/>
          <w:spacing w:val="0"/>
          <w:kern w:val="0"/>
          <w:sz w:val="24"/>
          <w:szCs w:val="24"/>
          <w:highlight w:val="none"/>
          <w:u w:val="single"/>
          <w:lang w:val="en-US" w:eastAsia="zh-CN"/>
          <w14:textFill>
            <w14:solidFill>
              <w14:schemeClr w14:val="tx1"/>
            </w14:solidFill>
          </w14:textFill>
        </w:rPr>
        <w:t>三</w:t>
      </w:r>
      <w:r>
        <w:rPr>
          <w:rFonts w:hint="eastAsia" w:asciiTheme="minorEastAsia" w:hAnsiTheme="minorEastAsia" w:eastAsiaTheme="minorEastAsia" w:cstheme="minorEastAsia"/>
          <w:snapToGrid w:val="0"/>
          <w:color w:val="000000" w:themeColor="text1"/>
          <w:spacing w:val="0"/>
          <w:kern w:val="0"/>
          <w:sz w:val="24"/>
          <w:szCs w:val="24"/>
          <w:highlight w:val="none"/>
          <w:u w:val="single"/>
          <w:lang w:eastAsia="zh-CN"/>
          <w14:textFill>
            <w14:solidFill>
              <w14:schemeClr w14:val="tx1"/>
            </w14:solidFill>
          </w14:textFill>
        </w:rPr>
        <w:t>级）</w:t>
      </w:r>
      <w:r>
        <w:rPr>
          <w:rFonts w:hint="eastAsia" w:asciiTheme="minorEastAsia" w:hAnsiTheme="minorEastAsia" w:eastAsiaTheme="minorEastAsia" w:cstheme="minorEastAsia"/>
          <w:snapToGrid w:val="0"/>
          <w:color w:val="000000" w:themeColor="text1"/>
          <w:spacing w:val="0"/>
          <w:kern w:val="0"/>
          <w:sz w:val="24"/>
          <w:szCs w:val="24"/>
          <w:highlight w:val="none"/>
          <w:lang w:eastAsia="zh-CN"/>
          <w14:textFill>
            <w14:solidFill>
              <w14:schemeClr w14:val="tx1"/>
            </w14:solidFill>
          </w14:textFill>
        </w:rPr>
        <w:t>资质。</w:t>
      </w:r>
    </w:p>
    <w:p w14:paraId="7FA9A21A">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7"/>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2.2.4</w:t>
      </w:r>
      <w:r>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2F9CF9A1">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7"/>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2.3</w:t>
      </w:r>
      <w:r>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相关人员要求</w:t>
      </w:r>
    </w:p>
    <w:p w14:paraId="49155701">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7"/>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 xml:space="preserve">2.3.1 </w:t>
      </w:r>
      <w:r>
        <w:rPr>
          <w:rFonts w:hint="eastAsia" w:asciiTheme="minorEastAsia" w:hAnsiTheme="minorEastAsia" w:eastAsiaTheme="minorEastAsia" w:cstheme="minorEastAsia"/>
          <w:snapToGrid w:val="0"/>
          <w:color w:val="000000" w:themeColor="text1"/>
          <w:spacing w:val="0"/>
          <w:kern w:val="0"/>
          <w:sz w:val="24"/>
          <w:szCs w:val="24"/>
          <w:highlight w:val="none"/>
          <w:lang w:eastAsia="zh-CN"/>
          <w14:textFill>
            <w14:solidFill>
              <w14:schemeClr w14:val="tx1"/>
            </w14:solidFill>
          </w14:textFill>
        </w:rPr>
        <w:t>拟派项目经理为</w:t>
      </w:r>
      <w:r>
        <w:rPr>
          <w:rFonts w:hint="eastAsia" w:asciiTheme="minorEastAsia" w:hAnsiTheme="minorEastAsia" w:eastAsiaTheme="minorEastAsia" w:cstheme="minorEastAsia"/>
          <w:snapToGrid w:val="0"/>
          <w:color w:val="000000" w:themeColor="text1"/>
          <w:spacing w:val="0"/>
          <w:kern w:val="0"/>
          <w:sz w:val="24"/>
          <w:szCs w:val="24"/>
          <w:highlight w:val="none"/>
          <w:u w:val="single"/>
          <w:lang w:val="en-US" w:eastAsia="zh-CN"/>
          <w14:textFill>
            <w14:solidFill>
              <w14:schemeClr w14:val="tx1"/>
            </w14:solidFill>
          </w14:textFill>
        </w:rPr>
        <w:t>建筑工程</w:t>
      </w:r>
      <w:r>
        <w:rPr>
          <w:rFonts w:hint="eastAsia" w:asciiTheme="minorEastAsia" w:hAnsiTheme="minorEastAsia" w:eastAsiaTheme="minorEastAsia" w:cstheme="minorEastAsia"/>
          <w:snapToGrid w:val="0"/>
          <w:color w:val="000000" w:themeColor="text1"/>
          <w:spacing w:val="0"/>
          <w:kern w:val="0"/>
          <w:sz w:val="24"/>
          <w:szCs w:val="24"/>
          <w:highlight w:val="none"/>
          <w:lang w:eastAsia="zh-CN"/>
          <w14:textFill>
            <w14:solidFill>
              <w14:schemeClr w14:val="tx1"/>
            </w14:solidFill>
          </w14:textFill>
        </w:rPr>
        <w:t>专业一级或二级注册建造师，应持有住建部门印发的在使用有效期内的有效电子注册证书（根据广东省住房和城乡建设厅（粤建市函〔2023〕469 号）文件精神，二级注册建造师可随注册企业在全国范围内执业）。同时均须具备有效安全生产考核合格证明（B 证），且未担任其他在施（包括已中标未开工、已开工未竣工）建设工程项目的项目经理。</w:t>
      </w:r>
    </w:p>
    <w:p w14:paraId="5F0FE099">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7"/>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2.3.2</w:t>
      </w:r>
      <w:r>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拟派项目技术负责人须具备</w:t>
      </w:r>
      <w:r>
        <w:rPr>
          <w:rStyle w:val="27"/>
          <w:rFonts w:hint="eastAsia" w:ascii="宋体" w:hAnsi="宋体" w:eastAsia="宋体" w:cs="宋体"/>
          <w:b w:val="0"/>
          <w:bCs w:val="0"/>
          <w:color w:val="000000" w:themeColor="text1"/>
          <w:spacing w:val="0"/>
          <w:kern w:val="0"/>
          <w:sz w:val="24"/>
          <w:szCs w:val="24"/>
          <w:highlight w:val="none"/>
          <w:u w:val="single"/>
          <w:lang w:val="en-US" w:eastAsia="zh-CN"/>
          <w14:textFill>
            <w14:solidFill>
              <w14:schemeClr w14:val="tx1"/>
            </w14:solidFill>
          </w14:textFill>
        </w:rPr>
        <w:t>建筑工程</w:t>
      </w:r>
      <w:r>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相关专业</w:t>
      </w:r>
      <w:r>
        <w:rPr>
          <w:rStyle w:val="27"/>
          <w:rFonts w:hint="eastAsia" w:ascii="宋体" w:hAnsi="宋体" w:eastAsia="宋体" w:cs="宋体"/>
          <w:b w:val="0"/>
          <w:bCs w:val="0"/>
          <w:color w:val="000000" w:themeColor="text1"/>
          <w:spacing w:val="0"/>
          <w:kern w:val="0"/>
          <w:sz w:val="24"/>
          <w:szCs w:val="24"/>
          <w:highlight w:val="none"/>
          <w:u w:val="single"/>
          <w:lang w:val="en-US" w:eastAsia="zh-CN"/>
          <w14:textFill>
            <w14:solidFill>
              <w14:schemeClr w14:val="tx1"/>
            </w14:solidFill>
          </w14:textFill>
        </w:rPr>
        <w:t>中</w:t>
      </w:r>
      <w:r>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级以上（含</w:t>
      </w:r>
      <w:r>
        <w:rPr>
          <w:rStyle w:val="27"/>
          <w:rFonts w:hint="eastAsia" w:ascii="宋体" w:hAnsi="宋体" w:eastAsia="宋体" w:cs="宋体"/>
          <w:b w:val="0"/>
          <w:bCs w:val="0"/>
          <w:color w:val="000000" w:themeColor="text1"/>
          <w:spacing w:val="0"/>
          <w:kern w:val="0"/>
          <w:sz w:val="24"/>
          <w:szCs w:val="24"/>
          <w:highlight w:val="none"/>
          <w:u w:val="single"/>
          <w:lang w:val="en-US" w:eastAsia="zh-CN"/>
          <w14:textFill>
            <w14:solidFill>
              <w14:schemeClr w14:val="tx1"/>
            </w14:solidFill>
          </w14:textFill>
        </w:rPr>
        <w:t>中</w:t>
      </w:r>
      <w:r>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级）技术职称。</w:t>
      </w:r>
    </w:p>
    <w:p w14:paraId="4A2C1918">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7"/>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 xml:space="preserve">2.3.3 </w:t>
      </w:r>
      <w:r>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投标人拟派专职安全生产管理人员须具备有效安全生产考核合格证明（C证，安全生产考核合格证书或“广东省建筑施工企业管理人员安全生产考核系统”考核合格信息打印页），且不少于</w:t>
      </w:r>
      <w:r>
        <w:rPr>
          <w:rStyle w:val="27"/>
          <w:rFonts w:hint="eastAsia" w:ascii="宋体" w:hAnsi="宋体" w:eastAsia="宋体" w:cs="宋体"/>
          <w:b w:val="0"/>
          <w:bCs w:val="0"/>
          <w:color w:val="000000" w:themeColor="text1"/>
          <w:spacing w:val="0"/>
          <w:kern w:val="0"/>
          <w:sz w:val="24"/>
          <w:szCs w:val="24"/>
          <w:highlight w:val="none"/>
          <w:u w:val="single"/>
          <w:lang w:val="en-US" w:eastAsia="zh-CN"/>
          <w14:textFill>
            <w14:solidFill>
              <w14:schemeClr w14:val="tx1"/>
            </w14:solidFill>
          </w14:textFill>
        </w:rPr>
        <w:t xml:space="preserve"> 1 </w:t>
      </w:r>
      <w:r>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人。 </w:t>
      </w:r>
    </w:p>
    <w:p w14:paraId="4F82BDFF">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7"/>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2.3.4</w:t>
      </w:r>
      <w:r>
        <w:rPr>
          <w:rStyle w:val="27"/>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投标人（包括组成联合体的所有成员单位）与其拟派往本项目管理机构的所有人员之间必须具备合法、唯一的劳动聘用关系。拟派人员中具备注册执业资格的，其注册单位须与投标人保持一致。</w:t>
      </w:r>
    </w:p>
    <w:p w14:paraId="6B5D9824">
      <w:pPr>
        <w:keepNext w:val="0"/>
        <w:keepLines w:val="0"/>
        <w:pageBreakBefore w:val="0"/>
        <w:wordWrap w:val="0"/>
        <w:overflowPunct/>
        <w:topLinePunct w:val="0"/>
        <w:bidi w:val="0"/>
        <w:spacing w:before="78" w:line="220" w:lineRule="auto"/>
        <w:ind w:left="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  </w:t>
      </w:r>
      <w:r>
        <w:rPr>
          <w:rFonts w:hint="eastAsia" w:ascii="宋体" w:hAnsi="宋体" w:eastAsia="宋体" w:cs="宋体"/>
          <w:color w:val="000000" w:themeColor="text1"/>
          <w:spacing w:val="0"/>
          <w:sz w:val="24"/>
          <w:szCs w:val="24"/>
          <w:highlight w:val="none"/>
          <w14:textFill>
            <w14:solidFill>
              <w14:schemeClr w14:val="tx1"/>
            </w14:solidFill>
          </w14:textFill>
        </w:rPr>
        <w:t>禁止投标条款</w:t>
      </w:r>
    </w:p>
    <w:p w14:paraId="4F43481F">
      <w:pPr>
        <w:keepNext w:val="0"/>
        <w:keepLines w:val="0"/>
        <w:pageBreakBefore w:val="0"/>
        <w:wordWrap w:val="0"/>
        <w:overflowPunct/>
        <w:topLinePunct w:val="0"/>
        <w:bidi w:val="0"/>
        <w:spacing w:before="153" w:line="220" w:lineRule="auto"/>
        <w:ind w:left="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2.4.1  </w:t>
      </w:r>
      <w:r>
        <w:rPr>
          <w:rFonts w:hint="eastAsia" w:ascii="宋体" w:hAnsi="宋体" w:eastAsia="宋体" w:cs="宋体"/>
          <w:color w:val="000000" w:themeColor="text1"/>
          <w:spacing w:val="0"/>
          <w:sz w:val="24"/>
          <w:szCs w:val="24"/>
          <w:highlight w:val="none"/>
          <w14:textFill>
            <w14:solidFill>
              <w14:schemeClr w14:val="tx1"/>
            </w14:solidFill>
          </w14:textFill>
        </w:rPr>
        <w:t>投标人不得存在下列情形之一：</w:t>
      </w:r>
    </w:p>
    <w:p w14:paraId="5ECD680F">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（1）为招标人不具有独立法人资格的附属机构（单位）；</w:t>
      </w:r>
    </w:p>
    <w:p w14:paraId="7BE80EB7">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（2）为本招标项目前期准备提供设计或咨询服务的；</w:t>
      </w:r>
    </w:p>
    <w:p w14:paraId="0466C218">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（3）与本招标项目的其他投标人为同一个单位负责人；</w:t>
      </w:r>
    </w:p>
    <w:p w14:paraId="51978EC7">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（4）与本招标项目的其他投标人存在控股、管理关系；</w:t>
      </w:r>
    </w:p>
    <w:p w14:paraId="27DE5D51">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（5）为本招标项目的监理人；</w:t>
      </w:r>
    </w:p>
    <w:p w14:paraId="01E2A759">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（6）为本招标项目的代建人；</w:t>
      </w:r>
    </w:p>
    <w:p w14:paraId="3F4CE4E0">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（7）为本招标项目的招标代理机构；</w:t>
      </w:r>
    </w:p>
    <w:p w14:paraId="32DC1C8C">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（8）与本招标项目的监理人或代建人或招标代理机构同为一个法定代表人；</w:t>
      </w:r>
    </w:p>
    <w:p w14:paraId="356D5091">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（9）与本招标项目的监理人或代建人或招标代理机构存在控股或参股关系；</w:t>
      </w:r>
    </w:p>
    <w:p w14:paraId="1F6F6AFF">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（10）与本招标项目的监理人或代建人或招标代理机构存在相互任职或工作关系；</w:t>
      </w:r>
    </w:p>
    <w:p w14:paraId="62615967">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（11）被依法暂停或者取消投标资格；</w:t>
      </w:r>
    </w:p>
    <w:p w14:paraId="51CC66B8">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（12）被责令停产停业、暂扣或者吊销许可证、暂扣或者吊销执照；</w:t>
      </w:r>
    </w:p>
    <w:p w14:paraId="4D4EA795">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（13）进入清算程序，或被宣告破产，或其他丧失履约能力的情形；</w:t>
      </w:r>
    </w:p>
    <w:p w14:paraId="742CE9C2">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（14）在最近三年内发生重大工程质量或安全问题（以相关行业主管部门的行政处罚决定或司法机关出具的有关法律文书为准）；</w:t>
      </w:r>
    </w:p>
    <w:p w14:paraId="5FDD5BCF">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（15）被“信用中国 ”网站（https://www.creditchina.gov.cn）发布的《法人和非法人组织公共信用信息报告》列为严重失信主体名单的。</w:t>
      </w:r>
    </w:p>
    <w:p w14:paraId="28B49AD7">
      <w:pPr>
        <w:keepNext w:val="0"/>
        <w:keepLines w:val="0"/>
        <w:pageBreakBefore w:val="0"/>
        <w:wordWrap w:val="0"/>
        <w:overflowPunct/>
        <w:topLinePunct w:val="0"/>
        <w:bidi w:val="0"/>
        <w:spacing w:before="155" w:line="219" w:lineRule="auto"/>
        <w:ind w:left="70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2.4.2  </w:t>
      </w:r>
      <w:r>
        <w:rPr>
          <w:rFonts w:hint="eastAsia" w:ascii="宋体" w:hAnsi="宋体" w:eastAsia="宋体" w:cs="宋体"/>
          <w:color w:val="000000" w:themeColor="text1"/>
          <w:spacing w:val="0"/>
          <w:sz w:val="24"/>
          <w:szCs w:val="24"/>
          <w:highlight w:val="none"/>
          <w14:textFill>
            <w14:solidFill>
              <w14:schemeClr w14:val="tx1"/>
            </w14:solidFill>
          </w14:textFill>
        </w:rPr>
        <w:t>招标人拒绝以下名单中的单位参加本次投标：</w:t>
      </w:r>
    </w:p>
    <w:tbl>
      <w:tblPr>
        <w:tblStyle w:val="15"/>
        <w:tblW w:w="9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3772"/>
        <w:gridCol w:w="5338"/>
      </w:tblGrid>
      <w:tr w14:paraId="2635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8" w:type="dxa"/>
            <w:vAlign w:val="center"/>
          </w:tcPr>
          <w:p w14:paraId="2E257EED">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序号</w:t>
            </w:r>
          </w:p>
        </w:tc>
        <w:tc>
          <w:tcPr>
            <w:tcW w:w="3772" w:type="dxa"/>
            <w:vAlign w:val="center"/>
          </w:tcPr>
          <w:p w14:paraId="3BE59F6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单位名称</w:t>
            </w:r>
          </w:p>
        </w:tc>
        <w:tc>
          <w:tcPr>
            <w:tcW w:w="5338" w:type="dxa"/>
            <w:vAlign w:val="center"/>
          </w:tcPr>
          <w:p w14:paraId="08E046A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拒绝原因</w:t>
            </w:r>
          </w:p>
        </w:tc>
      </w:tr>
      <w:tr w14:paraId="4BD3B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88" w:type="dxa"/>
            <w:vAlign w:val="center"/>
          </w:tcPr>
          <w:p w14:paraId="28B9B72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1</w:t>
            </w:r>
          </w:p>
        </w:tc>
        <w:tc>
          <w:tcPr>
            <w:tcW w:w="3772" w:type="dxa"/>
            <w:vAlign w:val="center"/>
          </w:tcPr>
          <w:p w14:paraId="3774472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韶关市武江区教育局</w:t>
            </w:r>
          </w:p>
        </w:tc>
        <w:tc>
          <w:tcPr>
            <w:tcW w:w="5338" w:type="dxa"/>
            <w:vAlign w:val="center"/>
          </w:tcPr>
          <w:p w14:paraId="4D06AD7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为本招标项目的招标人</w:t>
            </w:r>
          </w:p>
        </w:tc>
      </w:tr>
      <w:tr w14:paraId="71381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88" w:type="dxa"/>
            <w:vAlign w:val="center"/>
          </w:tcPr>
          <w:p w14:paraId="0337EEE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2</w:t>
            </w:r>
          </w:p>
        </w:tc>
        <w:tc>
          <w:tcPr>
            <w:tcW w:w="3772" w:type="dxa"/>
            <w:vAlign w:val="center"/>
          </w:tcPr>
          <w:p w14:paraId="0BD57B5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韶关市城监项目管理有限公司</w:t>
            </w:r>
          </w:p>
        </w:tc>
        <w:tc>
          <w:tcPr>
            <w:tcW w:w="5338" w:type="dxa"/>
            <w:vAlign w:val="center"/>
          </w:tcPr>
          <w:p w14:paraId="0820A20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为本招标项目的招标代理机构</w:t>
            </w:r>
          </w:p>
        </w:tc>
      </w:tr>
      <w:tr w14:paraId="5FC80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88" w:type="dxa"/>
            <w:vAlign w:val="center"/>
          </w:tcPr>
          <w:p w14:paraId="3E51A30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3</w:t>
            </w:r>
          </w:p>
        </w:tc>
        <w:tc>
          <w:tcPr>
            <w:tcW w:w="3772" w:type="dxa"/>
            <w:vAlign w:val="center"/>
          </w:tcPr>
          <w:p w14:paraId="72D7100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建成工程咨询股份有限公司</w:t>
            </w:r>
          </w:p>
        </w:tc>
        <w:tc>
          <w:tcPr>
            <w:tcW w:w="5338" w:type="dxa"/>
            <w:vAlign w:val="center"/>
          </w:tcPr>
          <w:p w14:paraId="08D67BA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default"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为本招标项目的可行性研究报告编制单位</w:t>
            </w:r>
          </w:p>
        </w:tc>
      </w:tr>
      <w:tr w14:paraId="424AA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88" w:type="dxa"/>
            <w:vAlign w:val="center"/>
          </w:tcPr>
          <w:p w14:paraId="3C00839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4</w:t>
            </w:r>
          </w:p>
        </w:tc>
        <w:tc>
          <w:tcPr>
            <w:tcW w:w="3772" w:type="dxa"/>
            <w:vAlign w:val="center"/>
          </w:tcPr>
          <w:p w14:paraId="090E5EA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鸿儒勘测设计有限公司</w:t>
            </w:r>
          </w:p>
        </w:tc>
        <w:tc>
          <w:tcPr>
            <w:tcW w:w="5338" w:type="dxa"/>
            <w:vAlign w:val="center"/>
          </w:tcPr>
          <w:p w14:paraId="6754F47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default"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为本招标项目的工程勘察单位</w:t>
            </w:r>
          </w:p>
        </w:tc>
      </w:tr>
      <w:tr w14:paraId="59F08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88" w:type="dxa"/>
            <w:vAlign w:val="center"/>
          </w:tcPr>
          <w:p w14:paraId="59ED6C9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5</w:t>
            </w:r>
          </w:p>
        </w:tc>
        <w:tc>
          <w:tcPr>
            <w:tcW w:w="3772" w:type="dxa"/>
            <w:vAlign w:val="center"/>
          </w:tcPr>
          <w:p w14:paraId="48B5BCD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韶关市科捷检测技术服务有限公司</w:t>
            </w:r>
          </w:p>
        </w:tc>
        <w:tc>
          <w:tcPr>
            <w:tcW w:w="5338" w:type="dxa"/>
            <w:vAlign w:val="center"/>
          </w:tcPr>
          <w:p w14:paraId="7D7EDDC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fldChar w:fldCharType="begin"/>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instrText xml:space="preserve"> HYPERLINK "https://ygp.gdzwfw.gov.cn/zjfwcs/gd-zjcs-pub/bidResultNotice/view/4402030069533042503100795" </w:instrTex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fldChar w:fldCharType="separate"/>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土壤氡检测</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fldChar w:fldCharType="end"/>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单位</w:t>
            </w:r>
          </w:p>
        </w:tc>
      </w:tr>
      <w:tr w14:paraId="0AB37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788" w:type="dxa"/>
            <w:vAlign w:val="center"/>
          </w:tcPr>
          <w:p w14:paraId="6B38E2B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6</w:t>
            </w:r>
          </w:p>
        </w:tc>
        <w:tc>
          <w:tcPr>
            <w:tcW w:w="3772" w:type="dxa"/>
            <w:vAlign w:val="center"/>
          </w:tcPr>
          <w:p w14:paraId="38EC161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广东广量勘测规划有限公司</w:t>
            </w:r>
          </w:p>
        </w:tc>
        <w:tc>
          <w:tcPr>
            <w:tcW w:w="5338" w:type="dxa"/>
            <w:vAlign w:val="center"/>
          </w:tcPr>
          <w:p w14:paraId="0EEB4B3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为本招标项目的测绘单位</w:t>
            </w:r>
          </w:p>
        </w:tc>
      </w:tr>
      <w:tr w14:paraId="16651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788" w:type="dxa"/>
            <w:vAlign w:val="center"/>
          </w:tcPr>
          <w:p w14:paraId="56A32EA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7</w:t>
            </w:r>
          </w:p>
        </w:tc>
        <w:tc>
          <w:tcPr>
            <w:tcW w:w="3772" w:type="dxa"/>
            <w:vAlign w:val="center"/>
          </w:tcPr>
          <w:p w14:paraId="4813BD9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广州宇丰工程咨询有限公司</w:t>
            </w:r>
          </w:p>
        </w:tc>
        <w:tc>
          <w:tcPr>
            <w:tcW w:w="5338" w:type="dxa"/>
            <w:vAlign w:val="center"/>
          </w:tcPr>
          <w:p w14:paraId="3693A72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fldChar w:fldCharType="begin"/>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instrText xml:space="preserve"> HYPERLINK "https://ygp.gdzwfw.gov.cn/zjfwcs/gd-zjcs-pub/bidResultNotice/view/4402030069533042504020126" </w:instrTex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fldChar w:fldCharType="separate"/>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全过程造价服务</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fldChar w:fldCharType="end"/>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单位</w:t>
            </w:r>
          </w:p>
        </w:tc>
      </w:tr>
      <w:tr w14:paraId="24477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88" w:type="dxa"/>
            <w:vAlign w:val="center"/>
          </w:tcPr>
          <w:p w14:paraId="609A5CA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8</w:t>
            </w:r>
          </w:p>
        </w:tc>
        <w:tc>
          <w:tcPr>
            <w:tcW w:w="3772" w:type="dxa"/>
            <w:vAlign w:val="center"/>
          </w:tcPr>
          <w:p w14:paraId="5CAAAE3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fldChar w:fldCharType="begin"/>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instrText xml:space="preserve"> HYPERLINK "https://ygp.gdzwfw.gov.cn/zjfwcs/gd-zjcs-pub/zjfw/serviceView/91440203MA53Y93E2D" \t "https://ygp.gdzwfw.gov.cn/zjfwcs/gd-zjcs-pub/bidResultNotice/view/_black" </w:instrTex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fldChar w:fldCharType="separate"/>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广东省华源建设项目管理有限公司</w:t>
            </w: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fldChar w:fldCharType="end"/>
            </w:r>
          </w:p>
        </w:tc>
        <w:tc>
          <w:tcPr>
            <w:tcW w:w="5338" w:type="dxa"/>
            <w:vAlign w:val="center"/>
          </w:tcPr>
          <w:p w14:paraId="39A5AC4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为本招标项目的初步设计概算审核单位</w:t>
            </w:r>
          </w:p>
        </w:tc>
      </w:tr>
      <w:tr w14:paraId="13EF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88" w:type="dxa"/>
            <w:vAlign w:val="center"/>
          </w:tcPr>
          <w:p w14:paraId="6C3F672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9</w:t>
            </w:r>
          </w:p>
        </w:tc>
        <w:tc>
          <w:tcPr>
            <w:tcW w:w="3772" w:type="dxa"/>
            <w:vAlign w:val="center"/>
          </w:tcPr>
          <w:p w14:paraId="053D024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中外建华诚工程技术集团有限公司</w:t>
            </w:r>
          </w:p>
        </w:tc>
        <w:tc>
          <w:tcPr>
            <w:tcW w:w="5338" w:type="dxa"/>
            <w:vAlign w:val="center"/>
          </w:tcPr>
          <w:p w14:paraId="77E6F37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为本招标项目的施工图设计单位</w:t>
            </w:r>
          </w:p>
        </w:tc>
      </w:tr>
      <w:tr w14:paraId="0777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88" w:type="dxa"/>
            <w:vAlign w:val="center"/>
          </w:tcPr>
          <w:p w14:paraId="15ACC91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10</w:t>
            </w:r>
          </w:p>
        </w:tc>
        <w:tc>
          <w:tcPr>
            <w:tcW w:w="3772" w:type="dxa"/>
            <w:vAlign w:val="center"/>
          </w:tcPr>
          <w:p w14:paraId="1C1DBCA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韶关市山河建筑工程施工图设计文件审查有限公司</w:t>
            </w:r>
          </w:p>
        </w:tc>
        <w:tc>
          <w:tcPr>
            <w:tcW w:w="5338" w:type="dxa"/>
            <w:vAlign w:val="center"/>
          </w:tcPr>
          <w:p w14:paraId="5E24FDF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为本招标项目的施工图审查单位</w:t>
            </w:r>
          </w:p>
        </w:tc>
      </w:tr>
      <w:tr w14:paraId="49D2A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88" w:type="dxa"/>
            <w:vAlign w:val="center"/>
          </w:tcPr>
          <w:p w14:paraId="59D7B9E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11</w:t>
            </w:r>
          </w:p>
        </w:tc>
        <w:tc>
          <w:tcPr>
            <w:tcW w:w="3772" w:type="dxa"/>
            <w:vAlign w:val="center"/>
          </w:tcPr>
          <w:p w14:paraId="3E229A7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永明项目管理有限公司</w:t>
            </w:r>
          </w:p>
        </w:tc>
        <w:tc>
          <w:tcPr>
            <w:tcW w:w="5338" w:type="dxa"/>
            <w:vAlign w:val="center"/>
          </w:tcPr>
          <w:p w14:paraId="5AB308C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kern w:val="0"/>
                <w:sz w:val="21"/>
                <w:szCs w:val="21"/>
                <w:highlight w:val="none"/>
                <w:lang w:val="en-US" w:eastAsia="zh-CN" w:bidi="ar-SA"/>
                <w14:textFill>
                  <w14:solidFill>
                    <w14:schemeClr w14:val="tx1"/>
                  </w14:solidFill>
                </w14:textFill>
              </w:rPr>
              <w:t>为本招标项目的预算审核单位</w:t>
            </w:r>
          </w:p>
        </w:tc>
      </w:tr>
    </w:tbl>
    <w:p w14:paraId="4BA33C7F">
      <w:pPr>
        <w:keepNext w:val="0"/>
        <w:keepLines w:val="0"/>
        <w:pageBreakBefore w:val="0"/>
        <w:wordWrap w:val="0"/>
        <w:overflowPunct/>
        <w:topLinePunct w:val="0"/>
        <w:bidi w:val="0"/>
        <w:spacing w:line="93" w:lineRule="auto"/>
        <w:rPr>
          <w:rFonts w:hint="eastAsia" w:ascii="宋体" w:hAnsi="宋体" w:eastAsia="宋体" w:cs="宋体"/>
          <w:color w:val="000000" w:themeColor="text1"/>
          <w:spacing w:val="0"/>
          <w:sz w:val="2"/>
          <w:highlight w:val="none"/>
          <w14:textFill>
            <w14:solidFill>
              <w14:schemeClr w14:val="tx1"/>
            </w14:solidFill>
          </w14:textFill>
        </w:rPr>
      </w:pPr>
    </w:p>
    <w:p w14:paraId="103B6326">
      <w:pPr>
        <w:keepNext w:val="0"/>
        <w:keepLines w:val="0"/>
        <w:pageBreakBefore w:val="0"/>
        <w:wordWrap w:val="0"/>
        <w:overflowPunct/>
        <w:topLinePunct w:val="0"/>
        <w:bidi w:val="0"/>
        <w:spacing w:before="153" w:line="221" w:lineRule="auto"/>
        <w:ind w:left="70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2.5  </w:t>
      </w:r>
      <w:r>
        <w:rPr>
          <w:rFonts w:hint="eastAsia" w:ascii="宋体" w:hAnsi="宋体" w:eastAsia="宋体" w:cs="宋体"/>
          <w:color w:val="000000" w:themeColor="text1"/>
          <w:spacing w:val="0"/>
          <w:sz w:val="24"/>
          <w:szCs w:val="24"/>
          <w:highlight w:val="none"/>
          <w14:textFill>
            <w14:solidFill>
              <w14:schemeClr w14:val="tx1"/>
            </w14:solidFill>
          </w14:textFill>
        </w:rPr>
        <w:t>其他要求</w:t>
      </w:r>
    </w:p>
    <w:p w14:paraId="495DD04A">
      <w:pPr>
        <w:keepNext w:val="0"/>
        <w:keepLines w:val="0"/>
        <w:pageBreakBefore w:val="0"/>
        <w:wordWrap w:val="0"/>
        <w:overflowPunct/>
        <w:topLinePunct w:val="0"/>
        <w:bidi w:val="0"/>
        <w:spacing w:before="150" w:line="334" w:lineRule="auto"/>
        <w:ind w:left="232" w:right="99" w:firstLine="481"/>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省外企业及其拟派往本项目管理机构的所有人员均须按照《广东省住房和城乡建设厅关于取消省外建筑企业和人员进粤信息备案有关工作的通知》（粤建市﹝2015﹞52 号）规定在“进粤企业和人员诚信信息登记平台”录入相关信息并通过数据规范检查。</w:t>
      </w:r>
    </w:p>
    <w:p w14:paraId="1FE05A34">
      <w:pPr>
        <w:keepNext w:val="0"/>
        <w:keepLines w:val="0"/>
        <w:pageBreakBefore w:val="0"/>
        <w:wordWrap w:val="0"/>
        <w:overflowPunct/>
        <w:topLinePunct w:val="0"/>
        <w:bidi w:val="0"/>
        <w:spacing w:before="79" w:line="220" w:lineRule="auto"/>
        <w:ind w:left="71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2" w:name="_Toc23243"/>
      <w:bookmarkStart w:id="23" w:name="_Toc4487"/>
      <w:r>
        <w:rPr>
          <w:rFonts w:hint="eastAsia" w:ascii="宋体" w:hAnsi="宋体" w:eastAsia="宋体" w:cs="宋体"/>
          <w:b/>
          <w:bCs/>
          <w:color w:val="000000" w:themeColor="text1"/>
          <w:spacing w:val="0"/>
          <w:sz w:val="24"/>
          <w:szCs w:val="24"/>
          <w:highlight w:val="none"/>
          <w14:textFill>
            <w14:solidFill>
              <w14:schemeClr w14:val="tx1"/>
            </w14:solidFill>
          </w14:textFill>
        </w:rPr>
        <w:t>3．招标文件的获取</w:t>
      </w:r>
      <w:bookmarkEnd w:id="22"/>
      <w:bookmarkEnd w:id="23"/>
    </w:p>
    <w:p w14:paraId="58025C1D">
      <w:pPr>
        <w:keepNext w:val="0"/>
        <w:keepLines w:val="0"/>
        <w:pageBreakBefore w:val="0"/>
        <w:wordWrap w:val="0"/>
        <w:overflowPunct/>
        <w:topLinePunct w:val="0"/>
        <w:bidi w:val="0"/>
        <w:spacing w:before="182" w:line="219" w:lineRule="auto"/>
        <w:ind w:left="70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3.1  </w:t>
      </w:r>
      <w:r>
        <w:rPr>
          <w:rFonts w:hint="eastAsia" w:ascii="宋体" w:hAnsi="宋体" w:eastAsia="宋体" w:cs="宋体"/>
          <w:color w:val="000000" w:themeColor="text1"/>
          <w:spacing w:val="0"/>
          <w:sz w:val="24"/>
          <w:szCs w:val="24"/>
          <w:highlight w:val="none"/>
          <w14:textFill>
            <w14:solidFill>
              <w14:schemeClr w14:val="tx1"/>
            </w14:solidFill>
          </w14:textFill>
        </w:rPr>
        <w:t>本次招标实行电子投标。</w:t>
      </w:r>
    </w:p>
    <w:p w14:paraId="29156863">
      <w:pPr>
        <w:keepNext w:val="0"/>
        <w:keepLines w:val="0"/>
        <w:pageBreakBefore w:val="0"/>
        <w:wordWrap w:val="0"/>
        <w:overflowPunct/>
        <w:topLinePunct w:val="0"/>
        <w:bidi w:val="0"/>
        <w:spacing w:before="178" w:line="355" w:lineRule="auto"/>
        <w:ind w:left="0" w:leftChars="0" w:firstLine="481" w:firstLineChars="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本次招标实行电子投标。本项目招标文件随招标公告一并在全国公共资源交易平台（广东省 ·韶关市）（https://ygp.gdzwfw.gov.cn/ggzy-portal/#/440200/index）网站发布。招标文件一经发布，视为发送投标人，招标文件及相关附件由投标人自行在全国公共资源交易平台（广东省 ·韶关市）网站下载。请于招标文件获取期间</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（见本章第二节“重要事项时间地点一览表 ”）招标文件获取期间与招标公告发布时间一致，投标人须登录全国公共资源交易平台（广东省 ·韶关市）（https://ygp.gdzwfw.gov.cn/ggzy-portal/#/440200/index），使用新建设工程交易系统进行下载招标文件及相关附件，并于电子投标截止时间（见本章第二节“重要事项时间地点一览表 ”）前完成电子投标。投标人可登录全国公共资源交易平台（广东省 ·韶关市）（https://ygp.gdzwfw.gov.cn/ggzy-portal/#/440200/index），在【服务指南】栏目中建设工程交易中下载《韶关市公共资源建设工程交易系统-投标人操作指南（电子评标）》（附件 2），了解网上获取招标文件操作流程。技术咨询电话：0751-8379671 伍先生，业务咨询电话：0751-8633211、8633071。</w:t>
      </w:r>
    </w:p>
    <w:p w14:paraId="039A8FB6">
      <w:pPr>
        <w:keepNext w:val="0"/>
        <w:keepLines w:val="0"/>
        <w:pageBreakBefore w:val="0"/>
        <w:wordWrap w:val="0"/>
        <w:overflowPunct/>
        <w:topLinePunct w:val="0"/>
        <w:bidi w:val="0"/>
        <w:spacing w:before="142" w:line="330" w:lineRule="auto"/>
        <w:ind w:left="11" w:right="105" w:firstLine="473"/>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3.2  </w:t>
      </w:r>
      <w:r>
        <w:rPr>
          <w:rFonts w:hint="eastAsia" w:ascii="宋体" w:hAnsi="宋体" w:eastAsia="宋体" w:cs="宋体"/>
          <w:color w:val="000000" w:themeColor="text1"/>
          <w:spacing w:val="0"/>
          <w:sz w:val="24"/>
          <w:szCs w:val="24"/>
          <w:highlight w:val="none"/>
          <w14:textFill>
            <w14:solidFill>
              <w14:schemeClr w14:val="tx1"/>
            </w14:solidFill>
          </w14:textFill>
        </w:rPr>
        <w:t>只有申领了数字证书（CA）、“粤企签 ”或 GDCA/SZCA/NETCA 等符合法律法规规定的电子印章，并在交易系统中完成企业信息数据入库的投标人，方可使用建设工程交易系统进行招标文件及附件获取和电子投标。</w:t>
      </w:r>
    </w:p>
    <w:p w14:paraId="2FE752CB">
      <w:pPr>
        <w:keepNext w:val="0"/>
        <w:keepLines w:val="0"/>
        <w:pageBreakBefore w:val="0"/>
        <w:wordWrap w:val="0"/>
        <w:overflowPunct/>
        <w:topLinePunct w:val="0"/>
        <w:bidi w:val="0"/>
        <w:spacing w:before="32" w:line="332" w:lineRule="auto"/>
        <w:ind w:left="10" w:right="90" w:firstLine="483"/>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首次在韶关市参与建设工程招标投标活动的投标人，必须在平台系统上传企业相关资料办理企业入库事宜。投标人可登录全国公共资源交易平台（广东省 ·韶关市）（</w:t>
      </w: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"https://ygp.gdzwfw.gov.cn/ggzy-portal/#/440200/index"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color w:val="000000" w:themeColor="text1"/>
          <w:spacing w:val="0"/>
          <w:sz w:val="24"/>
          <w:szCs w:val="24"/>
          <w:highlight w:val="none"/>
          <w14:textFill>
            <w14:solidFill>
              <w14:schemeClr w14:val="tx1"/>
            </w14:solidFill>
          </w14:textFill>
        </w:rPr>
        <w:t>https://ygp.gdzwfw.gov.cn/ggzy-portal/#/440200/index</w:t>
      </w:r>
      <w:r>
        <w:rPr>
          <w:rFonts w:hint="eastAsia" w:ascii="宋体" w:hAnsi="宋体" w:eastAsia="宋体" w:cs="宋体"/>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color w:val="000000" w:themeColor="text1"/>
          <w:spacing w:val="0"/>
          <w:sz w:val="24"/>
          <w:szCs w:val="24"/>
          <w:highlight w:val="none"/>
          <w14:textFill>
            <w14:solidFill>
              <w14:schemeClr w14:val="tx1"/>
            </w14:solidFill>
          </w14:textFill>
        </w:rPr>
        <w:t>）办理企业入库、数字证书及电子印章事宜，具体请在平台查阅相应的交易指引。</w:t>
      </w:r>
    </w:p>
    <w:p w14:paraId="6F360068">
      <w:pPr>
        <w:keepNext w:val="0"/>
        <w:keepLines w:val="0"/>
        <w:pageBreakBefore w:val="0"/>
        <w:wordWrap w:val="0"/>
        <w:overflowPunct/>
        <w:topLinePunct w:val="0"/>
        <w:bidi w:val="0"/>
        <w:spacing w:before="37" w:line="329" w:lineRule="auto"/>
        <w:ind w:left="9" w:right="105" w:firstLine="507"/>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已入库企业有关信息（如单位名称、基本账号、资质、人员等）发生变化的，须及时在交易系统进行相应变更。投标人未及时变更信息而造成的损失和后果，由投标人自行承担。</w:t>
      </w:r>
    </w:p>
    <w:p w14:paraId="1BE8084A">
      <w:pPr>
        <w:keepNext w:val="0"/>
        <w:keepLines w:val="0"/>
        <w:pageBreakBefore w:val="0"/>
        <w:wordWrap w:val="0"/>
        <w:overflowPunct/>
        <w:topLinePunct w:val="0"/>
        <w:bidi w:val="0"/>
        <w:spacing w:before="33" w:line="335" w:lineRule="auto"/>
        <w:ind w:left="10" w:right="105" w:firstLine="508"/>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 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p>
    <w:p w14:paraId="40CA127C">
      <w:pPr>
        <w:keepNext w:val="0"/>
        <w:keepLines w:val="0"/>
        <w:pageBreakBefore w:val="0"/>
        <w:wordWrap w:val="0"/>
        <w:overflowPunct/>
        <w:topLinePunct w:val="0"/>
        <w:bidi w:val="0"/>
        <w:spacing w:before="33" w:line="221" w:lineRule="auto"/>
        <w:ind w:left="48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3.3  </w:t>
      </w:r>
      <w:r>
        <w:rPr>
          <w:rFonts w:hint="eastAsia" w:ascii="宋体" w:hAnsi="宋体" w:eastAsia="宋体" w:cs="宋体"/>
          <w:color w:val="000000" w:themeColor="text1"/>
          <w:spacing w:val="0"/>
          <w:sz w:val="24"/>
          <w:szCs w:val="24"/>
          <w:highlight w:val="none"/>
          <w14:textFill>
            <w14:solidFill>
              <w14:schemeClr w14:val="tx1"/>
            </w14:solidFill>
          </w14:textFill>
        </w:rPr>
        <w:t>投标保证</w:t>
      </w:r>
    </w:p>
    <w:p w14:paraId="734994B7">
      <w:pPr>
        <w:keepNext w:val="0"/>
        <w:keepLines w:val="0"/>
        <w:pageBreakBefore w:val="0"/>
        <w:wordWrap w:val="0"/>
        <w:overflowPunct/>
        <w:topLinePunct w:val="0"/>
        <w:bidi w:val="0"/>
        <w:spacing w:before="152" w:line="280" w:lineRule="auto"/>
        <w:ind w:left="8" w:right="105"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3.3.1  </w:t>
      </w:r>
      <w:r>
        <w:rPr>
          <w:rFonts w:hint="eastAsia" w:ascii="宋体" w:hAnsi="宋体" w:eastAsia="宋体" w:cs="宋体"/>
          <w:color w:val="000000" w:themeColor="text1"/>
          <w:spacing w:val="0"/>
          <w:sz w:val="24"/>
          <w:szCs w:val="24"/>
          <w:highlight w:val="none"/>
          <w14:textFill>
            <w14:solidFill>
              <w14:schemeClr w14:val="tx1"/>
            </w14:solidFill>
          </w14:textFill>
        </w:rPr>
        <w:t>投标人须缴纳金额为</w:t>
      </w:r>
      <w:r>
        <w:rPr>
          <w:rFonts w:hint="eastAsia" w:ascii="宋体" w:hAnsi="宋体" w:eastAsia="宋体" w:cs="宋体"/>
          <w:b/>
          <w:bCs/>
          <w:color w:val="000000" w:themeColor="text1"/>
          <w:spacing w:val="0"/>
          <w:sz w:val="24"/>
          <w:szCs w:val="24"/>
          <w:highlight w:val="none"/>
          <w:u w:val="single"/>
          <w:lang w:val="en-US" w:eastAsia="zh-CN"/>
          <w14:textFill>
            <w14:solidFill>
              <w14:schemeClr w14:val="tx1"/>
            </w14:solidFill>
          </w14:textFill>
        </w:rPr>
        <w:t>150000.00</w:t>
      </w:r>
      <w:r>
        <w:rPr>
          <w:rFonts w:hint="eastAsia" w:ascii="宋体" w:hAnsi="宋体" w:eastAsia="宋体" w:cs="宋体"/>
          <w:b/>
          <w:bCs/>
          <w:color w:val="000000" w:themeColor="text1"/>
          <w:spacing w:val="0"/>
          <w:sz w:val="24"/>
          <w:szCs w:val="24"/>
          <w:highlight w:val="none"/>
          <w:u w:val="none"/>
          <w:lang w:val="en-US" w:eastAsia="zh-CN"/>
          <w14:textFill>
            <w14:solidFill>
              <w14:schemeClr w14:val="tx1"/>
            </w14:solidFill>
          </w14:textFill>
        </w:rPr>
        <w:t>元</w:t>
      </w:r>
      <w:r>
        <w:rPr>
          <w:rFonts w:hint="eastAsia" w:ascii="宋体" w:hAnsi="宋体" w:eastAsia="宋体" w:cs="宋体"/>
          <w:color w:val="000000" w:themeColor="text1"/>
          <w:spacing w:val="0"/>
          <w:sz w:val="24"/>
          <w:szCs w:val="24"/>
          <w:highlight w:val="none"/>
          <w14:textFill>
            <w14:solidFill>
              <w14:schemeClr w14:val="tx1"/>
            </w14:solidFill>
          </w14:textFill>
        </w:rPr>
        <w:t>人民币的投标保证。</w:t>
      </w:r>
      <w:r>
        <w:rPr>
          <w:rFonts w:hint="eastAsia" w:ascii="宋体" w:hAnsi="宋体" w:eastAsia="宋体" w:cs="宋体"/>
          <w:b/>
          <w:bCs/>
          <w:color w:val="000000" w:themeColor="text1"/>
          <w:spacing w:val="0"/>
          <w:sz w:val="24"/>
          <w:szCs w:val="24"/>
          <w:highlight w:val="none"/>
          <w14:textFill>
            <w14:solidFill>
              <w14:schemeClr w14:val="tx1"/>
            </w14:solidFill>
          </w14:textFill>
        </w:rPr>
        <w:t>联合体投标的，由联合体牵头人缴纳。</w:t>
      </w:r>
    </w:p>
    <w:p w14:paraId="5595FFDA">
      <w:pPr>
        <w:keepNext w:val="0"/>
        <w:keepLines w:val="0"/>
        <w:pageBreakBefore w:val="0"/>
        <w:wordWrap w:val="0"/>
        <w:overflowPunct/>
        <w:topLinePunct w:val="0"/>
        <w:bidi w:val="0"/>
        <w:spacing w:before="35" w:line="325" w:lineRule="auto"/>
        <w:ind w:left="12" w:right="108" w:firstLine="471"/>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3.3.2  </w:t>
      </w:r>
      <w:r>
        <w:rPr>
          <w:rFonts w:hint="eastAsia" w:ascii="宋体" w:hAnsi="宋体" w:eastAsia="宋体" w:cs="宋体"/>
          <w:color w:val="000000" w:themeColor="text1"/>
          <w:spacing w:val="0"/>
          <w:sz w:val="24"/>
          <w:szCs w:val="24"/>
          <w:highlight w:val="none"/>
          <w14:textFill>
            <w14:solidFill>
              <w14:schemeClr w14:val="tx1"/>
            </w14:solidFill>
          </w14:textFill>
        </w:rPr>
        <w:t>投标保证的形式包括投标保证金、投标保证担保、投标保证保险三种，由投标人自主选择。</w:t>
      </w:r>
    </w:p>
    <w:p w14:paraId="52BC198A">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000000" w:themeColor="text1"/>
          <w:spacing w:val="0"/>
          <w:sz w:val="24"/>
          <w:szCs w:val="24"/>
          <w:highlight w:val="none"/>
          <w14:textFill>
            <w14:solidFill>
              <w14:schemeClr w14:val="tx1"/>
            </w14:solidFill>
          </w14:textFill>
        </w:rPr>
      </w:pPr>
      <w:bookmarkStart w:id="24" w:name="bookmark117"/>
      <w:bookmarkEnd w:id="24"/>
      <w:r>
        <w:rPr>
          <w:rFonts w:hint="eastAsia" w:ascii="宋体" w:hAnsi="宋体" w:eastAsia="宋体" w:cs="宋体"/>
          <w:color w:val="000000" w:themeColor="text1"/>
          <w:spacing w:val="0"/>
          <w:sz w:val="24"/>
          <w:szCs w:val="24"/>
          <w:highlight w:val="none"/>
          <w14:textFill>
            <w14:solidFill>
              <w14:schemeClr w14:val="tx1"/>
            </w14:solidFill>
          </w14:textFill>
        </w:rPr>
        <w:t>（1）采用投标保证金的，投标人在建设工程交易系统获取招标文件完毕后，即可在系统申请缴纳投标保证金，获取本次招标投标保证金缴纳账号。投标人必须于投标保证金到账截止时间（见本招标文件“重要事项时间地点一览表 ”）前，从其基本账户将投标保证金转账到指定的缴纳账号。逾期到账的、从非投标人基本账户转出的，其投标无效。</w:t>
      </w:r>
    </w:p>
    <w:p w14:paraId="5AD570B6">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（2）采用投标保证担保的，投标人应提交有效的电子保函或保证保险，电子保函或保证保险的有效期不得短于投标有效期。投标人必须在投标保证担保截止时间（详见“重要事项时间地点一览表 ”）前，使用工程建设交易系统完成网上办理电子保函或保证保险。</w:t>
      </w:r>
    </w:p>
    <w:p w14:paraId="66604B82">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（3）采用投标保证保险的，投标人须在投标保证保险投保截止时间（见本招标文件“重要事项时间地点一览表 ”）前，使用建设工程交易系统完成网上投保。投标人可在系统选择保险机构、录入投保信息、支付保费、打印电子保单，电子保单的有效期不得短于投标有效期。投标人可登录全国公共资源交易平台（广东省·韶关市）（</w:t>
      </w:r>
      <w:r>
        <w:rPr>
          <w:rFonts w:hint="eastAsia" w:ascii="宋体" w:hAnsi="宋体" w:eastAsia="宋体" w:cs="宋体"/>
          <w:color w:val="000000" w:themeColor="text1"/>
          <w:spacing w:val="0"/>
          <w:sz w:val="24"/>
          <w:szCs w:val="24"/>
          <w:highlight w:val="none"/>
          <w14:textFill>
            <w14:solidFill>
              <w14:schemeClr w14:val="tx1"/>
            </w14:solidFill>
          </w14:textFill>
        </w:rPr>
        <w:fldChar w:fldCharType="begin"/>
      </w:r>
      <w:r>
        <w:rPr>
          <w:rFonts w:hint="eastAsia" w:ascii="宋体" w:hAnsi="宋体" w:eastAsia="宋体" w:cs="宋体"/>
          <w:color w:val="000000" w:themeColor="text1"/>
          <w:spacing w:val="0"/>
          <w:sz w:val="24"/>
          <w:szCs w:val="24"/>
          <w:highlight w:val="none"/>
          <w14:textFill>
            <w14:solidFill>
              <w14:schemeClr w14:val="tx1"/>
            </w14:solidFill>
          </w14:textFill>
        </w:rPr>
        <w:instrText xml:space="preserve"> HYPERLINK "https://ygp.gdzwfw.gov.cn/ggzy-portal/#/440200/index" </w:instrText>
      </w:r>
      <w:r>
        <w:rPr>
          <w:rFonts w:hint="eastAsia" w:ascii="宋体" w:hAnsi="宋体" w:eastAsia="宋体" w:cs="宋体"/>
          <w:color w:val="000000" w:themeColor="text1"/>
          <w:spacing w:val="0"/>
          <w:sz w:val="24"/>
          <w:szCs w:val="24"/>
          <w:highlight w:val="none"/>
          <w14:textFill>
            <w14:solidFill>
              <w14:schemeClr w14:val="tx1"/>
            </w14:solidFill>
          </w14:textFill>
        </w:rPr>
        <w:fldChar w:fldCharType="separate"/>
      </w:r>
      <w:r>
        <w:rPr>
          <w:rFonts w:hint="eastAsia" w:ascii="宋体" w:hAnsi="宋体" w:eastAsia="宋体" w:cs="宋体"/>
          <w:color w:val="000000" w:themeColor="text1"/>
          <w:spacing w:val="0"/>
          <w:sz w:val="24"/>
          <w:szCs w:val="24"/>
          <w:highlight w:val="none"/>
          <w14:textFill>
            <w14:solidFill>
              <w14:schemeClr w14:val="tx1"/>
            </w14:solidFill>
          </w14:textFill>
        </w:rPr>
        <w:t>https://ygp.gdzwfw.gov.cn/ggzy-portal/#/440200/index</w:t>
      </w:r>
      <w:r>
        <w:rPr>
          <w:rFonts w:hint="eastAsia" w:ascii="宋体" w:hAnsi="宋体" w:eastAsia="宋体" w:cs="宋体"/>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color w:val="000000" w:themeColor="text1"/>
          <w:spacing w:val="0"/>
          <w:sz w:val="24"/>
          <w:szCs w:val="24"/>
          <w:highlight w:val="none"/>
          <w14:textFill>
            <w14:solidFill>
              <w14:schemeClr w14:val="tx1"/>
            </w14:solidFill>
          </w14:textFill>
        </w:rPr>
        <w:t>），在【服务指南】栏目中下载《建设工程网上交易系统保险保证金缴纳操作指南》，了解网上投保具体操作流程。逾期投保的，其投标无效。</w:t>
      </w:r>
    </w:p>
    <w:p w14:paraId="20834965">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温馨提示：1.投标人采用投标保证担保或投标保证保险的，为避免在评标过程中因有效期发生争议，建议投标人将银行保函或电子保单有效期设置为较招标文件规定的投标有效期延长不少于 20 个日历天。</w:t>
      </w:r>
    </w:p>
    <w:p w14:paraId="1EC47989">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3.4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若投标人因自身原因未能正确完成获取招标文件、电子投标、缴纳投标保证的，其投标无效。</w:t>
      </w:r>
    </w:p>
    <w:p w14:paraId="385224D7">
      <w:pPr>
        <w:keepNext w:val="0"/>
        <w:keepLines w:val="0"/>
        <w:pageBreakBefore w:val="0"/>
        <w:wordWrap w:val="0"/>
        <w:overflowPunct/>
        <w:topLinePunct w:val="0"/>
        <w:bidi w:val="0"/>
        <w:spacing w:before="79" w:line="221" w:lineRule="auto"/>
        <w:ind w:left="487"/>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5" w:name="bookmark64"/>
      <w:bookmarkEnd w:id="25"/>
      <w:bookmarkStart w:id="26" w:name="bookmark78"/>
      <w:bookmarkEnd w:id="26"/>
      <w:bookmarkStart w:id="27" w:name="_Toc14703"/>
      <w:bookmarkStart w:id="28" w:name="_Toc15498"/>
      <w:r>
        <w:rPr>
          <w:rFonts w:hint="eastAsia" w:ascii="宋体" w:hAnsi="宋体" w:eastAsia="宋体" w:cs="宋体"/>
          <w:b/>
          <w:bCs/>
          <w:color w:val="000000" w:themeColor="text1"/>
          <w:spacing w:val="0"/>
          <w:sz w:val="24"/>
          <w:szCs w:val="24"/>
          <w:highlight w:val="none"/>
          <w14:textFill>
            <w14:solidFill>
              <w14:schemeClr w14:val="tx1"/>
            </w14:solidFill>
          </w14:textFill>
        </w:rPr>
        <w:t>4</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．工期要求</w:t>
      </w:r>
      <w:bookmarkEnd w:id="27"/>
      <w:bookmarkEnd w:id="28"/>
    </w:p>
    <w:p w14:paraId="10DC164E">
      <w:pPr>
        <w:keepNext w:val="0"/>
        <w:keepLines w:val="0"/>
        <w:pageBreakBefore w:val="0"/>
        <w:wordWrap w:val="0"/>
        <w:overflowPunct/>
        <w:topLinePunct w:val="0"/>
        <w:bidi w:val="0"/>
        <w:spacing w:before="153" w:line="324" w:lineRule="auto"/>
        <w:ind w:left="30" w:right="65" w:firstLine="46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本招标项目招标工期为</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300个日历天</w:t>
      </w:r>
      <w:r>
        <w:rPr>
          <w:rFonts w:hint="eastAsia" w:ascii="宋体" w:hAnsi="宋体" w:eastAsia="宋体" w:cs="宋体"/>
          <w:color w:val="000000" w:themeColor="text1"/>
          <w:spacing w:val="0"/>
          <w:sz w:val="24"/>
          <w:szCs w:val="24"/>
          <w:highlight w:val="none"/>
          <w14:textFill>
            <w14:solidFill>
              <w14:schemeClr w14:val="tx1"/>
            </w14:solidFill>
          </w14:textFill>
        </w:rPr>
        <w:t>，中标人必须在招标工期内完成招标范围内的全部内容。</w:t>
      </w:r>
    </w:p>
    <w:p w14:paraId="2574D13A">
      <w:pPr>
        <w:keepNext w:val="0"/>
        <w:keepLines w:val="0"/>
        <w:pageBreakBefore w:val="0"/>
        <w:wordWrap w:val="0"/>
        <w:overflowPunct/>
        <w:topLinePunct w:val="0"/>
        <w:bidi w:val="0"/>
        <w:spacing w:before="78" w:line="219" w:lineRule="auto"/>
        <w:ind w:left="48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9" w:name="_Toc4154"/>
      <w:bookmarkStart w:id="30" w:name="_Toc8399"/>
      <w:r>
        <w:rPr>
          <w:rFonts w:hint="eastAsia" w:ascii="宋体" w:hAnsi="宋体" w:eastAsia="宋体" w:cs="宋体"/>
          <w:b/>
          <w:bCs/>
          <w:color w:val="000000" w:themeColor="text1"/>
          <w:spacing w:val="0"/>
          <w:sz w:val="24"/>
          <w:szCs w:val="24"/>
          <w:highlight w:val="none"/>
          <w14:textFill>
            <w14:solidFill>
              <w14:schemeClr w14:val="tx1"/>
            </w14:solidFill>
          </w14:textFill>
        </w:rPr>
        <w:t>5</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．质量标准和材料、机械要求</w:t>
      </w:r>
      <w:bookmarkEnd w:id="29"/>
      <w:bookmarkEnd w:id="30"/>
    </w:p>
    <w:p w14:paraId="2EE63B7A">
      <w:pPr>
        <w:keepNext w:val="0"/>
        <w:keepLines w:val="0"/>
        <w:pageBreakBefore w:val="0"/>
        <w:wordWrap w:val="0"/>
        <w:overflowPunct/>
        <w:topLinePunct w:val="0"/>
        <w:bidi w:val="0"/>
        <w:spacing w:before="154" w:line="279" w:lineRule="auto"/>
        <w:ind w:left="11" w:right="99"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5.1  </w:t>
      </w:r>
      <w:r>
        <w:rPr>
          <w:rFonts w:hint="eastAsia" w:ascii="宋体" w:hAnsi="宋体" w:eastAsia="宋体" w:cs="宋体"/>
          <w:color w:val="000000" w:themeColor="text1"/>
          <w:spacing w:val="0"/>
          <w:sz w:val="24"/>
          <w:szCs w:val="24"/>
          <w:highlight w:val="none"/>
          <w14:textFill>
            <w14:solidFill>
              <w14:schemeClr w14:val="tx1"/>
            </w14:solidFill>
          </w14:textFill>
        </w:rPr>
        <w:t>施工工艺严格按照国家和广东省的有关现行施工技术规范及标准执行，工程质量标准</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符合现行国家有关工程施工质量验收规范和标准的要求，达到验收合格。</w:t>
      </w:r>
    </w:p>
    <w:p w14:paraId="550F785F">
      <w:pPr>
        <w:keepNext w:val="0"/>
        <w:keepLines w:val="0"/>
        <w:pageBreakBefore w:val="0"/>
        <w:wordWrap w:val="0"/>
        <w:overflowPunct/>
        <w:topLinePunct w:val="0"/>
        <w:bidi w:val="0"/>
        <w:spacing w:before="154" w:line="279" w:lineRule="auto"/>
        <w:ind w:left="10" w:right="99" w:firstLine="5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5.2</w:t>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中标人在施工中如果工程质量不符合设计要求和有关规定，招标人或监理单位要求停工和返工的必须立即执行，并承担由此产生的各种费用，工期不予顺延。</w:t>
      </w:r>
    </w:p>
    <w:p w14:paraId="7AA414CC">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5.3  </w:t>
      </w:r>
      <w:r>
        <w:rPr>
          <w:rFonts w:hint="eastAsia" w:ascii="宋体" w:hAnsi="宋体" w:eastAsia="宋体" w:cs="宋体"/>
          <w:color w:val="000000" w:themeColor="text1"/>
          <w:spacing w:val="0"/>
          <w:sz w:val="24"/>
          <w:szCs w:val="24"/>
          <w:highlight w:val="none"/>
          <w14:textFill>
            <w14:solidFill>
              <w14:schemeClr w14:val="tx1"/>
            </w14:solidFill>
          </w14:textFill>
        </w:rPr>
        <w:t>保修期限按《建设工程质量管理条例》（中华人民共和国国务院令第 279号）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46FB79BE">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5.4</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根据韶关市人民政府《关于加快推进全市绿色建筑发展工作的通知》（韶府办明电〔2013〕277 号）有关规定，结合《韶关市住建管理局关于贯彻落实&lt;广东省绿色建筑条例&gt;有关工作的通知》（韶市建字〔2021〕85 号）等有关规定，</w:t>
      </w:r>
      <w:r>
        <w:rPr>
          <w:rFonts w:hint="eastAsia" w:asciiTheme="minorEastAsia" w:hAnsiTheme="minorEastAsia" w:eastAsiaTheme="minorEastAsia" w:cstheme="minorEastAsia"/>
          <w:snapToGrid w:val="0"/>
          <w:color w:val="000000" w:themeColor="text1"/>
          <w:spacing w:val="0"/>
          <w:kern w:val="0"/>
          <w:sz w:val="24"/>
          <w:szCs w:val="24"/>
          <w:highlight w:val="none"/>
          <w:lang w:eastAsia="zh-CN"/>
          <w14:textFill>
            <w14:solidFill>
              <w14:schemeClr w14:val="tx1"/>
            </w14:solidFill>
          </w14:textFill>
        </w:rPr>
        <w:t>本招标项目纳入绿色建设实施范围，要求达到《绿色建筑评价标准》(GB/T50378-2019）规定的</w:t>
      </w:r>
      <w:r>
        <w:rPr>
          <w:rFonts w:hint="eastAsia" w:asciiTheme="minorEastAsia" w:hAnsiTheme="minorEastAsia" w:eastAsiaTheme="minorEastAsia" w:cstheme="minorEastAsia"/>
          <w:snapToGrid w:val="0"/>
          <w:color w:val="000000" w:themeColor="text1"/>
          <w:spacing w:val="0"/>
          <w:kern w:val="0"/>
          <w:sz w:val="24"/>
          <w:szCs w:val="24"/>
          <w:highlight w:val="none"/>
          <w:u w:val="single"/>
          <w:lang w:val="en-US" w:eastAsia="zh-CN"/>
          <w14:textFill>
            <w14:solidFill>
              <w14:schemeClr w14:val="tx1"/>
            </w14:solidFill>
          </w14:textFill>
        </w:rPr>
        <w:t>一</w:t>
      </w:r>
      <w:r>
        <w:rPr>
          <w:rFonts w:hint="eastAsia" w:asciiTheme="minorEastAsia" w:hAnsiTheme="minorEastAsia" w:eastAsiaTheme="minorEastAsia" w:cstheme="minorEastAsia"/>
          <w:snapToGrid w:val="0"/>
          <w:color w:val="000000" w:themeColor="text1"/>
          <w:spacing w:val="0"/>
          <w:kern w:val="0"/>
          <w:sz w:val="24"/>
          <w:szCs w:val="24"/>
          <w:highlight w:val="none"/>
          <w:u w:val="single"/>
          <w:lang w:eastAsia="zh-CN"/>
          <w14:textFill>
            <w14:solidFill>
              <w14:schemeClr w14:val="tx1"/>
            </w14:solidFill>
          </w14:textFill>
        </w:rPr>
        <w:t>星</w:t>
      </w:r>
      <w:r>
        <w:rPr>
          <w:rFonts w:hint="eastAsia" w:asciiTheme="minorEastAsia" w:hAnsiTheme="minorEastAsia" w:eastAsiaTheme="minorEastAsia" w:cstheme="minorEastAsia"/>
          <w:snapToGrid w:val="0"/>
          <w:color w:val="000000" w:themeColor="text1"/>
          <w:spacing w:val="0"/>
          <w:kern w:val="0"/>
          <w:sz w:val="24"/>
          <w:szCs w:val="24"/>
          <w:highlight w:val="none"/>
          <w:lang w:eastAsia="zh-CN"/>
          <w14:textFill>
            <w14:solidFill>
              <w14:schemeClr w14:val="tx1"/>
            </w14:solidFill>
          </w14:textFill>
        </w:rPr>
        <w:t>级标准。</w:t>
      </w:r>
    </w:p>
    <w:p w14:paraId="096BED74">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5.5</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其它：</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本招标项目</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不</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纳入装配式建造建设实施范围。</w:t>
      </w:r>
    </w:p>
    <w:p w14:paraId="744CB0C9">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5.6</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如招标人在招标文件中对材料或设备没有明确要求</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则中标人必须使用合格材料或设备。</w:t>
      </w:r>
    </w:p>
    <w:p w14:paraId="10FFFDBC">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7</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工程使用的主要材料质量要求：不低于强制标准、招标工程量清单所列的要求，主要材料必须先提供样板或相关资料给招标人和监理工程师验收，同意确定其规格、型号、颜色、等级等，并经发包人委托的第三方检测部门检测合格方可使用，所有材料必须使用合格产品。</w:t>
      </w:r>
    </w:p>
    <w:p w14:paraId="54A8F521">
      <w:pPr>
        <w:keepNext w:val="0"/>
        <w:keepLines w:val="0"/>
        <w:pageBreakBefore w:val="0"/>
        <w:wordWrap w:val="0"/>
        <w:overflowPunct/>
        <w:topLinePunct w:val="0"/>
        <w:bidi w:val="0"/>
        <w:spacing w:before="78" w:line="220" w:lineRule="auto"/>
        <w:ind w:left="489"/>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31" w:name="_Toc22299"/>
      <w:bookmarkStart w:id="32" w:name="_Toc7763"/>
      <w:r>
        <w:rPr>
          <w:rFonts w:hint="eastAsia" w:ascii="宋体" w:hAnsi="宋体" w:eastAsia="宋体" w:cs="宋体"/>
          <w:b/>
          <w:bCs/>
          <w:color w:val="000000" w:themeColor="text1"/>
          <w:spacing w:val="0"/>
          <w:sz w:val="24"/>
          <w:szCs w:val="24"/>
          <w:highlight w:val="none"/>
          <w14:textFill>
            <w14:solidFill>
              <w14:schemeClr w14:val="tx1"/>
            </w14:solidFill>
          </w14:textFill>
        </w:rPr>
        <w:t>6 ．施工条件及现场踏勘</w:t>
      </w:r>
      <w:bookmarkEnd w:id="31"/>
      <w:bookmarkEnd w:id="32"/>
    </w:p>
    <w:p w14:paraId="33B1E63A">
      <w:pPr>
        <w:keepNext w:val="0"/>
        <w:keepLines w:val="0"/>
        <w:pageBreakBefore w:val="0"/>
        <w:wordWrap w:val="0"/>
        <w:overflowPunct/>
        <w:topLinePunct w:val="0"/>
        <w:bidi w:val="0"/>
        <w:spacing w:before="155" w:line="324" w:lineRule="auto"/>
        <w:ind w:left="12" w:right="99" w:firstLine="5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6.1  </w:t>
      </w:r>
      <w:r>
        <w:rPr>
          <w:rFonts w:hint="eastAsia" w:ascii="宋体" w:hAnsi="宋体" w:eastAsia="宋体" w:cs="宋体"/>
          <w:color w:val="000000" w:themeColor="text1"/>
          <w:spacing w:val="0"/>
          <w:sz w:val="24"/>
          <w:szCs w:val="24"/>
          <w:highlight w:val="none"/>
          <w14:textFill>
            <w14:solidFill>
              <w14:schemeClr w14:val="tx1"/>
            </w14:solidFill>
          </w14:textFill>
        </w:rPr>
        <w:t>招标人仅在本招标项目征地红线范围内提供场地，其他一切场地费用由中标人自行负责（含临时道路）。</w:t>
      </w:r>
    </w:p>
    <w:p w14:paraId="43C889C7">
      <w:pPr>
        <w:keepNext w:val="0"/>
        <w:keepLines w:val="0"/>
        <w:pageBreakBefore w:val="0"/>
        <w:wordWrap w:val="0"/>
        <w:overflowPunct/>
        <w:topLinePunct w:val="0"/>
        <w:bidi w:val="0"/>
        <w:spacing w:before="155" w:line="324" w:lineRule="auto"/>
        <w:ind w:left="12" w:right="99" w:firstLine="556"/>
        <w:rPr>
          <w:rFonts w:hint="eastAsia" w:ascii="宋体" w:hAnsi="宋体" w:eastAsia="宋体" w:cs="宋体"/>
          <w:color w:val="000000" w:themeColor="text1"/>
          <w:spacing w:val="0"/>
          <w:sz w:val="24"/>
          <w:szCs w:val="24"/>
          <w:highlight w:val="none"/>
          <w14:textFill>
            <w14:solidFill>
              <w14:schemeClr w14:val="tx1"/>
            </w14:solidFill>
          </w14:textFill>
        </w:rPr>
      </w:pPr>
      <w:bookmarkStart w:id="33" w:name="bookmark118"/>
      <w:bookmarkEnd w:id="33"/>
      <w:r>
        <w:rPr>
          <w:rFonts w:hint="eastAsia" w:ascii="宋体" w:hAnsi="宋体" w:eastAsia="宋体" w:cs="宋体"/>
          <w:b/>
          <w:bCs/>
          <w:color w:val="000000" w:themeColor="text1"/>
          <w:spacing w:val="0"/>
          <w:sz w:val="24"/>
          <w:szCs w:val="24"/>
          <w:highlight w:val="none"/>
          <w14:textFill>
            <w14:solidFill>
              <w14:schemeClr w14:val="tx1"/>
            </w14:solidFill>
          </w14:textFill>
        </w:rPr>
        <w:t>6.2</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施工用水：</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由中标人自行解决，费用考虑在投标报价中</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5DA5ED0F">
      <w:pPr>
        <w:keepNext w:val="0"/>
        <w:keepLines w:val="0"/>
        <w:pageBreakBefore w:val="0"/>
        <w:wordWrap w:val="0"/>
        <w:overflowPunct/>
        <w:topLinePunct w:val="0"/>
        <w:bidi w:val="0"/>
        <w:spacing w:before="155" w:line="324" w:lineRule="auto"/>
        <w:ind w:left="12" w:right="99" w:firstLine="5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6.3</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施工用电：</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由中标人自行解决，费用考虑在投标报价中</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4117B1E2">
      <w:pPr>
        <w:keepNext w:val="0"/>
        <w:keepLines w:val="0"/>
        <w:pageBreakBefore w:val="0"/>
        <w:wordWrap w:val="0"/>
        <w:overflowPunct/>
        <w:topLinePunct w:val="0"/>
        <w:bidi w:val="0"/>
        <w:spacing w:before="155" w:line="324" w:lineRule="auto"/>
        <w:ind w:left="12" w:right="99" w:firstLine="5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6.4</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施工用水、用电各提供一驳接点到现场边缘。要求中标人单独安装水表、电表，其水、电费按项目所在地</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韶关市</w:t>
      </w:r>
      <w:r>
        <w:rPr>
          <w:rFonts w:hint="eastAsia" w:ascii="宋体" w:hAnsi="宋体" w:eastAsia="宋体" w:cs="宋体"/>
          <w:color w:val="000000" w:themeColor="text1"/>
          <w:spacing w:val="0"/>
          <w:sz w:val="24"/>
          <w:szCs w:val="24"/>
          <w:highlight w:val="none"/>
          <w14:textFill>
            <w14:solidFill>
              <w14:schemeClr w14:val="tx1"/>
            </w14:solidFill>
          </w14:textFill>
        </w:rPr>
        <w:t>基建工程水、电计费标准计算并由中标人缴纳。</w:t>
      </w:r>
    </w:p>
    <w:p w14:paraId="7B035D82">
      <w:pPr>
        <w:keepNext w:val="0"/>
        <w:keepLines w:val="0"/>
        <w:pageBreakBefore w:val="0"/>
        <w:wordWrap w:val="0"/>
        <w:overflowPunct/>
        <w:topLinePunct w:val="0"/>
        <w:bidi w:val="0"/>
        <w:spacing w:before="154" w:line="299" w:lineRule="auto"/>
        <w:ind w:left="9" w:right="16" w:firstLine="5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6.5  </w:t>
      </w:r>
      <w:r>
        <w:rPr>
          <w:rFonts w:hint="eastAsia" w:ascii="宋体" w:hAnsi="宋体" w:eastAsia="宋体" w:cs="宋体"/>
          <w:color w:val="000000" w:themeColor="text1"/>
          <w:spacing w:val="0"/>
          <w:sz w:val="24"/>
          <w:szCs w:val="24"/>
          <w:highlight w:val="none"/>
          <w14:textFill>
            <w14:solidFill>
              <w14:schemeClr w14:val="tx1"/>
            </w14:solidFill>
          </w14:textFill>
        </w:rPr>
        <w:t>招标人不组织现场踏勘，但会在招标文件及有关设计文件中明确告知招标项目的具体位置和周边环境，并在现场设置足以识别的标识或提供足以表明招标项目具体位置的文字或图片。投标人需要了解现场情况的</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可自行进行现场踏勘。</w:t>
      </w:r>
    </w:p>
    <w:p w14:paraId="7738F7AC">
      <w:pPr>
        <w:keepNext w:val="0"/>
        <w:keepLines w:val="0"/>
        <w:pageBreakBefore w:val="0"/>
        <w:wordWrap w:val="0"/>
        <w:overflowPunct/>
        <w:topLinePunct w:val="0"/>
        <w:bidi w:val="0"/>
        <w:spacing w:before="153" w:line="280" w:lineRule="auto"/>
        <w:ind w:left="9" w:right="16" w:firstLine="5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6.6  </w:t>
      </w:r>
      <w:r>
        <w:rPr>
          <w:rFonts w:hint="eastAsia" w:ascii="宋体" w:hAnsi="宋体" w:eastAsia="宋体" w:cs="宋体"/>
          <w:color w:val="000000" w:themeColor="text1"/>
          <w:spacing w:val="0"/>
          <w:sz w:val="24"/>
          <w:szCs w:val="24"/>
          <w:highlight w:val="none"/>
          <w14:textFill>
            <w14:solidFill>
              <w14:schemeClr w14:val="tx1"/>
            </w14:solidFill>
          </w14:textFill>
        </w:rPr>
        <w:t>在现场踏勘过程中，投标人应确保自身安全，投标人如果发生人身伤亡、财物或其他损失，法律法规有规定的按有关规定处理，没有规定的由投标人自行负责。</w:t>
      </w:r>
    </w:p>
    <w:p w14:paraId="7E2F99A6">
      <w:pPr>
        <w:keepNext w:val="0"/>
        <w:keepLines w:val="0"/>
        <w:pageBreakBefore w:val="0"/>
        <w:wordWrap w:val="0"/>
        <w:overflowPunct/>
        <w:topLinePunct w:val="0"/>
        <w:bidi w:val="0"/>
        <w:spacing w:before="153" w:line="220" w:lineRule="auto"/>
        <w:ind w:left="568"/>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6.7  </w:t>
      </w:r>
      <w:r>
        <w:rPr>
          <w:rFonts w:hint="eastAsia" w:ascii="宋体" w:hAnsi="宋体" w:eastAsia="宋体" w:cs="宋体"/>
          <w:color w:val="000000" w:themeColor="text1"/>
          <w:spacing w:val="0"/>
          <w:sz w:val="24"/>
          <w:szCs w:val="24"/>
          <w:highlight w:val="none"/>
          <w14:textFill>
            <w14:solidFill>
              <w14:schemeClr w14:val="tx1"/>
            </w14:solidFill>
          </w14:textFill>
        </w:rPr>
        <w:t>现场踏勘期间的交通、食宿由投标人自行安排，费用自理。</w:t>
      </w:r>
    </w:p>
    <w:p w14:paraId="1757ED06">
      <w:pPr>
        <w:keepNext w:val="0"/>
        <w:keepLines w:val="0"/>
        <w:pageBreakBefore w:val="0"/>
        <w:wordWrap w:val="0"/>
        <w:overflowPunct/>
        <w:topLinePunct w:val="0"/>
        <w:bidi w:val="0"/>
        <w:spacing w:before="78" w:line="220" w:lineRule="auto"/>
        <w:ind w:left="48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34" w:name="bookmark81"/>
      <w:bookmarkEnd w:id="34"/>
      <w:bookmarkStart w:id="35" w:name="bookmark69"/>
      <w:bookmarkEnd w:id="35"/>
      <w:bookmarkStart w:id="36" w:name="bookmark67"/>
      <w:bookmarkEnd w:id="36"/>
      <w:bookmarkStart w:id="37" w:name="_Toc15543"/>
      <w:bookmarkStart w:id="38" w:name="_Toc4578"/>
      <w:r>
        <w:rPr>
          <w:rFonts w:hint="eastAsia" w:ascii="宋体" w:hAnsi="宋体" w:eastAsia="宋体" w:cs="宋体"/>
          <w:b/>
          <w:bCs/>
          <w:color w:val="000000" w:themeColor="text1"/>
          <w:spacing w:val="0"/>
          <w:sz w:val="24"/>
          <w:szCs w:val="24"/>
          <w:highlight w:val="none"/>
          <w14:textFill>
            <w14:solidFill>
              <w14:schemeClr w14:val="tx1"/>
            </w14:solidFill>
          </w14:textFill>
        </w:rPr>
        <w:t>7 ．招标文件的提问和答疑</w:t>
      </w:r>
      <w:bookmarkEnd w:id="37"/>
      <w:bookmarkEnd w:id="38"/>
    </w:p>
    <w:p w14:paraId="58203EDA">
      <w:pPr>
        <w:keepNext w:val="0"/>
        <w:keepLines w:val="0"/>
        <w:pageBreakBefore w:val="0"/>
        <w:wordWrap w:val="0"/>
        <w:overflowPunct/>
        <w:topLinePunct w:val="0"/>
        <w:bidi w:val="0"/>
        <w:spacing w:before="153" w:line="299" w:lineRule="auto"/>
        <w:ind w:left="9" w:right="16" w:firstLine="47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7.1  </w:t>
      </w:r>
      <w:r>
        <w:rPr>
          <w:rFonts w:hint="eastAsia" w:ascii="宋体" w:hAnsi="宋体" w:eastAsia="宋体" w:cs="宋体"/>
          <w:color w:val="000000" w:themeColor="text1"/>
          <w:spacing w:val="0"/>
          <w:sz w:val="24"/>
          <w:szCs w:val="24"/>
          <w:highlight w:val="none"/>
          <w14:textFill>
            <w14:solidFill>
              <w14:schemeClr w14:val="tx1"/>
            </w14:solidFill>
          </w14:textFill>
        </w:rPr>
        <w:t>投标人若对招标文件（含施工图、招标工程量清单）有疑问，应在提问截止时间（见本章第二节“重要事项时间地点一览表 ”）前使用建设工程交易系统提出问题。未在指定时间前、未采用指定方式提出的，招标人不予受理。</w:t>
      </w:r>
    </w:p>
    <w:p w14:paraId="79A8D99B">
      <w:pPr>
        <w:keepNext w:val="0"/>
        <w:keepLines w:val="0"/>
        <w:pageBreakBefore w:val="0"/>
        <w:wordWrap w:val="0"/>
        <w:overflowPunct/>
        <w:topLinePunct w:val="0"/>
        <w:bidi w:val="0"/>
        <w:spacing w:before="154" w:line="309" w:lineRule="auto"/>
        <w:ind w:left="9" w:right="16" w:firstLine="5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7.2  </w:t>
      </w:r>
      <w:r>
        <w:rPr>
          <w:rFonts w:hint="eastAsia" w:ascii="宋体" w:hAnsi="宋体" w:eastAsia="宋体" w:cs="宋体"/>
          <w:color w:val="000000" w:themeColor="text1"/>
          <w:spacing w:val="0"/>
          <w:sz w:val="24"/>
          <w:szCs w:val="24"/>
          <w:highlight w:val="none"/>
          <w14:textFill>
            <w14:solidFill>
              <w14:schemeClr w14:val="tx1"/>
            </w14:solidFill>
          </w14:textFill>
        </w:rPr>
        <w:t>招标人在提问截止时间（见本章第二节“重要事项时间地点一览表 ”）后 3 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446874AE">
      <w:pPr>
        <w:keepNext w:val="0"/>
        <w:keepLines w:val="0"/>
        <w:pageBreakBefore w:val="0"/>
        <w:wordWrap w:val="0"/>
        <w:overflowPunct/>
        <w:topLinePunct w:val="0"/>
        <w:bidi w:val="0"/>
        <w:spacing w:before="152" w:line="219" w:lineRule="auto"/>
        <w:ind w:firstLine="482" w:firstLineChars="200"/>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7.3  </w:t>
      </w:r>
      <w:r>
        <w:rPr>
          <w:rFonts w:hint="eastAsia" w:ascii="宋体" w:hAnsi="宋体" w:eastAsia="宋体" w:cs="宋体"/>
          <w:color w:val="000000" w:themeColor="text1"/>
          <w:spacing w:val="0"/>
          <w:sz w:val="24"/>
          <w:szCs w:val="24"/>
          <w:highlight w:val="none"/>
          <w14:textFill>
            <w14:solidFill>
              <w14:schemeClr w14:val="tx1"/>
            </w14:solidFill>
          </w14:textFill>
        </w:rPr>
        <w:t>招标人对招标文件所作的答疑（或修改）公告，构成招标文件的组成部分。</w:t>
      </w:r>
    </w:p>
    <w:p w14:paraId="1850E2AC">
      <w:pPr>
        <w:keepNext w:val="0"/>
        <w:keepLines w:val="0"/>
        <w:pageBreakBefore w:val="0"/>
        <w:wordWrap w:val="0"/>
        <w:overflowPunct/>
        <w:topLinePunct w:val="0"/>
        <w:bidi w:val="0"/>
        <w:spacing w:before="79" w:line="219" w:lineRule="auto"/>
        <w:ind w:left="488"/>
        <w:outlineLvl w:val="2"/>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39" w:name="_Toc6897"/>
      <w:bookmarkStart w:id="40" w:name="_Toc8122"/>
      <w:r>
        <w:rPr>
          <w:rFonts w:hint="eastAsia" w:ascii="宋体" w:hAnsi="宋体" w:eastAsia="宋体" w:cs="宋体"/>
          <w:b/>
          <w:bCs/>
          <w:color w:val="000000" w:themeColor="text1"/>
          <w:spacing w:val="0"/>
          <w:sz w:val="24"/>
          <w:szCs w:val="24"/>
          <w:highlight w:val="none"/>
          <w14:textFill>
            <w14:solidFill>
              <w14:schemeClr w14:val="tx1"/>
            </w14:solidFill>
          </w14:textFill>
        </w:rPr>
        <w:t>8 ．</w:t>
      </w:r>
      <w:bookmarkEnd w:id="39"/>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最高投标限价</w:t>
      </w:r>
      <w:bookmarkEnd w:id="40"/>
    </w:p>
    <w:p w14:paraId="37FBB470">
      <w:pPr>
        <w:keepNext w:val="0"/>
        <w:keepLines w:val="0"/>
        <w:pageBreakBefore w:val="0"/>
        <w:wordWrap w:val="0"/>
        <w:overflowPunct/>
        <w:topLinePunct w:val="0"/>
        <w:bidi w:val="0"/>
        <w:spacing w:before="155" w:line="219" w:lineRule="auto"/>
        <w:ind w:left="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8.1  </w:t>
      </w:r>
      <w:r>
        <w:rPr>
          <w:rFonts w:hint="eastAsia" w:ascii="宋体" w:hAnsi="宋体" w:eastAsia="宋体" w:cs="宋体"/>
          <w:color w:val="000000" w:themeColor="text1"/>
          <w:spacing w:val="0"/>
          <w:sz w:val="24"/>
          <w:szCs w:val="24"/>
          <w:highlight w:val="none"/>
          <w14:textFill>
            <w14:solidFill>
              <w14:schemeClr w14:val="tx1"/>
            </w14:solidFill>
          </w14:textFill>
        </w:rPr>
        <w:t>本招标项目按照以下依据编制</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1070EE1C">
      <w:pPr>
        <w:keepNext w:val="0"/>
        <w:keepLines w:val="0"/>
        <w:pageBreakBefore w:val="0"/>
        <w:wordWrap w:val="0"/>
        <w:overflowPunct/>
        <w:topLinePunct w:val="0"/>
        <w:bidi w:val="0"/>
        <w:spacing w:before="157"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4A7247E5">
      <w:pPr>
        <w:keepNext w:val="0"/>
        <w:keepLines w:val="0"/>
        <w:pageBreakBefore w:val="0"/>
        <w:wordWrap w:val="0"/>
        <w:overflowPunct/>
        <w:topLinePunct w:val="0"/>
        <w:bidi w:val="0"/>
        <w:spacing w:before="153" w:line="309" w:lineRule="auto"/>
        <w:ind w:left="9" w:right="16"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31DF117C">
      <w:pPr>
        <w:keepNext w:val="0"/>
        <w:keepLines w:val="0"/>
        <w:pageBreakBefore w:val="0"/>
        <w:wordWrap w:val="0"/>
        <w:overflowPunct/>
        <w:topLinePunct w:val="0"/>
        <w:bidi w:val="0"/>
        <w:spacing w:before="154" w:line="221"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（3）施工图及相关资料；</w:t>
      </w:r>
    </w:p>
    <w:p w14:paraId="2964A12F">
      <w:pPr>
        <w:keepNext w:val="0"/>
        <w:keepLines w:val="0"/>
        <w:pageBreakBefore w:val="0"/>
        <w:wordWrap w:val="0"/>
        <w:overflowPunct/>
        <w:topLinePunct w:val="0"/>
        <w:bidi w:val="0"/>
        <w:spacing w:before="78" w:line="220" w:lineRule="auto"/>
        <w:ind w:left="502"/>
        <w:rPr>
          <w:rFonts w:hint="eastAsia" w:ascii="宋体" w:hAnsi="宋体" w:eastAsia="宋体" w:cs="宋体"/>
          <w:color w:val="000000" w:themeColor="text1"/>
          <w:spacing w:val="0"/>
          <w:sz w:val="24"/>
          <w:szCs w:val="24"/>
          <w:highlight w:val="none"/>
          <w14:textFill>
            <w14:solidFill>
              <w14:schemeClr w14:val="tx1"/>
            </w14:solidFill>
          </w14:textFill>
        </w:rPr>
      </w:pPr>
      <w:bookmarkStart w:id="41" w:name="bookmark119"/>
      <w:bookmarkEnd w:id="41"/>
      <w:r>
        <w:rPr>
          <w:rFonts w:hint="eastAsia" w:ascii="宋体" w:hAnsi="宋体" w:eastAsia="宋体" w:cs="宋体"/>
          <w:color w:val="000000" w:themeColor="text1"/>
          <w:spacing w:val="0"/>
          <w:sz w:val="24"/>
          <w:szCs w:val="24"/>
          <w:highlight w:val="none"/>
          <w14:textFill>
            <w14:solidFill>
              <w14:schemeClr w14:val="tx1"/>
            </w14:solidFill>
          </w14:textFill>
        </w:rPr>
        <w:t>（4）招标文件及招标工程量清单；</w:t>
      </w:r>
    </w:p>
    <w:p w14:paraId="76D0A57F">
      <w:pPr>
        <w:keepNext w:val="0"/>
        <w:keepLines w:val="0"/>
        <w:pageBreakBefore w:val="0"/>
        <w:wordWrap w:val="0"/>
        <w:overflowPunct/>
        <w:topLinePunct w:val="0"/>
        <w:bidi w:val="0"/>
        <w:spacing w:before="155" w:line="220" w:lineRule="auto"/>
        <w:ind w:left="50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（5）施工现场情况、工程特点及常规施工方案；</w:t>
      </w:r>
    </w:p>
    <w:p w14:paraId="504E4C98">
      <w:pPr>
        <w:keepNext w:val="0"/>
        <w:keepLines w:val="0"/>
        <w:pageBreakBefore w:val="0"/>
        <w:wordWrap w:val="0"/>
        <w:overflowPunct/>
        <w:topLinePunct w:val="0"/>
        <w:bidi w:val="0"/>
        <w:spacing w:before="153" w:line="278" w:lineRule="auto"/>
        <w:ind w:left="12" w:right="136"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（6）项目所在地工程造价管理机构发布的工程造价信息，工程造价信息缺项的，参照市场价格；</w:t>
      </w:r>
    </w:p>
    <w:p w14:paraId="6B6B220A">
      <w:pPr>
        <w:keepNext w:val="0"/>
        <w:keepLines w:val="0"/>
        <w:pageBreakBefore w:val="0"/>
        <w:wordWrap w:val="0"/>
        <w:overflowPunct/>
        <w:topLinePunct w:val="0"/>
        <w:bidi w:val="0"/>
        <w:spacing w:before="157" w:line="220" w:lineRule="auto"/>
        <w:ind w:left="50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（7）与建设项目相关的标准、规范、技术资料。</w:t>
      </w:r>
    </w:p>
    <w:p w14:paraId="5D519EB1">
      <w:pPr>
        <w:keepNext w:val="0"/>
        <w:keepLines w:val="0"/>
        <w:pageBreakBefore w:val="0"/>
        <w:wordWrap w:val="0"/>
        <w:overflowPunct/>
        <w:topLinePunct w:val="0"/>
        <w:bidi w:val="0"/>
        <w:spacing w:before="79" w:line="333" w:lineRule="auto"/>
        <w:ind w:left="11" w:firstLine="479"/>
        <w:jc w:val="both"/>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8.2</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pacing w:val="0"/>
          <w:kern w:val="0"/>
          <w:sz w:val="24"/>
          <w:szCs w:val="24"/>
          <w:highlight w:val="none"/>
          <w:lang w:eastAsia="zh-CN"/>
          <w14:textFill>
            <w14:solidFill>
              <w14:schemeClr w14:val="tx1"/>
            </w14:solidFill>
          </w14:textFill>
        </w:rPr>
        <w:t>本招标项目最高投标限价为人民币（大写）</w:t>
      </w:r>
      <w:r>
        <w:rPr>
          <w:rFonts w:hint="eastAsia" w:asciiTheme="minorEastAsia" w:hAnsiTheme="minorEastAsia" w:eastAsiaTheme="minorEastAsia" w:cstheme="minorEastAsia"/>
          <w:snapToGrid w:val="0"/>
          <w:color w:val="000000" w:themeColor="text1"/>
          <w:spacing w:val="0"/>
          <w:kern w:val="0"/>
          <w:sz w:val="24"/>
          <w:szCs w:val="24"/>
          <w:highlight w:val="none"/>
          <w:u w:val="single"/>
          <w:lang w:val="en-US" w:eastAsia="zh-CN"/>
          <w14:textFill>
            <w14:solidFill>
              <w14:schemeClr w14:val="tx1"/>
            </w14:solidFill>
          </w14:textFill>
        </w:rPr>
        <w:t>壹仟伍佰零柒万伍仟捌佰柒拾陆元贰角玖分</w:t>
      </w:r>
      <w:r>
        <w:rPr>
          <w:rFonts w:hint="eastAsia" w:asciiTheme="minorEastAsia" w:hAnsiTheme="minorEastAsia" w:eastAsiaTheme="minorEastAsia" w:cstheme="minorEastAsia"/>
          <w:snapToGrid w:val="0"/>
          <w:color w:val="000000" w:themeColor="text1"/>
          <w:spacing w:val="0"/>
          <w:kern w:val="0"/>
          <w:sz w:val="24"/>
          <w:szCs w:val="24"/>
          <w:highlight w:val="none"/>
          <w:u w:val="single"/>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0"/>
          <w:kern w:val="0"/>
          <w:sz w:val="24"/>
          <w:szCs w:val="24"/>
          <w:highlight w:val="none"/>
          <w:u w:val="single"/>
          <w:lang w:val="en-US" w:eastAsia="zh-CN"/>
          <w14:textFill>
            <w14:solidFill>
              <w14:schemeClr w14:val="tx1"/>
            </w14:solidFill>
          </w14:textFill>
        </w:rPr>
        <w:t>15075876.29</w:t>
      </w:r>
      <w:r>
        <w:rPr>
          <w:rFonts w:hint="eastAsia" w:asciiTheme="minorEastAsia" w:hAnsiTheme="minorEastAsia" w:eastAsiaTheme="minorEastAsia" w:cstheme="minorEastAsia"/>
          <w:snapToGrid w:val="0"/>
          <w:color w:val="000000" w:themeColor="text1"/>
          <w:spacing w:val="0"/>
          <w:kern w:val="0"/>
          <w:sz w:val="24"/>
          <w:szCs w:val="24"/>
          <w:highlight w:val="none"/>
          <w:u w:val="single"/>
          <w:lang w:eastAsia="zh-CN"/>
          <w14:textFill>
            <w14:solidFill>
              <w14:schemeClr w14:val="tx1"/>
            </w14:solidFill>
          </w14:textFill>
        </w:rPr>
        <w:t>元）</w:t>
      </w:r>
      <w:r>
        <w:rPr>
          <w:rFonts w:hint="eastAsia" w:asciiTheme="minorEastAsia" w:hAnsiTheme="minorEastAsia" w:eastAsiaTheme="minorEastAsia" w:cstheme="minorEastAsia"/>
          <w:snapToGrid w:val="0"/>
          <w:color w:val="000000" w:themeColor="text1"/>
          <w:spacing w:val="0"/>
          <w:kern w:val="0"/>
          <w:sz w:val="24"/>
          <w:szCs w:val="24"/>
          <w:highlight w:val="none"/>
          <w:lang w:eastAsia="zh-CN"/>
          <w14:textFill>
            <w14:solidFill>
              <w14:schemeClr w14:val="tx1"/>
            </w14:solidFill>
          </w14:textFill>
        </w:rPr>
        <w:t>，其中安全生产措施费为：¥</w:t>
      </w:r>
      <w:r>
        <w:rPr>
          <w:rFonts w:hint="eastAsia" w:asciiTheme="minorEastAsia" w:hAnsiTheme="minorEastAsia" w:eastAsiaTheme="minorEastAsia" w:cstheme="minorEastAsia"/>
          <w:snapToGrid w:val="0"/>
          <w:color w:val="000000" w:themeColor="text1"/>
          <w:spacing w:val="0"/>
          <w:kern w:val="0"/>
          <w:sz w:val="24"/>
          <w:szCs w:val="24"/>
          <w:highlight w:val="none"/>
          <w:u w:val="single"/>
          <w:lang w:val="en-US" w:eastAsia="zh-CN"/>
          <w14:textFill>
            <w14:solidFill>
              <w14:schemeClr w14:val="tx1"/>
            </w14:solidFill>
          </w14:textFill>
        </w:rPr>
        <w:t>421624.72</w:t>
      </w:r>
      <w:r>
        <w:rPr>
          <w:rFonts w:hint="eastAsia" w:asciiTheme="minorEastAsia" w:hAnsiTheme="minorEastAsia" w:eastAsiaTheme="minorEastAsia" w:cstheme="minorEastAsia"/>
          <w:snapToGrid w:val="0"/>
          <w:color w:val="000000" w:themeColor="text1"/>
          <w:spacing w:val="0"/>
          <w:kern w:val="0"/>
          <w:sz w:val="24"/>
          <w:szCs w:val="24"/>
          <w:highlight w:val="none"/>
          <w:lang w:eastAsia="zh-CN"/>
          <w14:textFill>
            <w14:solidFill>
              <w14:schemeClr w14:val="tx1"/>
            </w14:solidFill>
          </w14:textFill>
        </w:rPr>
        <w:t>元，暂列金额为：¥</w:t>
      </w:r>
      <w:r>
        <w:rPr>
          <w:rFonts w:hint="eastAsia" w:asciiTheme="minorEastAsia" w:hAnsiTheme="minorEastAsia" w:eastAsiaTheme="minorEastAsia" w:cstheme="minorEastAsia"/>
          <w:snapToGrid w:val="0"/>
          <w:color w:val="000000" w:themeColor="text1"/>
          <w:spacing w:val="0"/>
          <w:kern w:val="0"/>
          <w:sz w:val="24"/>
          <w:szCs w:val="24"/>
          <w:highlight w:val="none"/>
          <w:u w:val="single"/>
          <w:lang w:val="en-US" w:eastAsia="zh-CN"/>
          <w14:textFill>
            <w14:solidFill>
              <w14:schemeClr w14:val="tx1"/>
            </w14:solidFill>
          </w14:textFill>
        </w:rPr>
        <w:t>1117721.75</w:t>
      </w:r>
      <w:r>
        <w:rPr>
          <w:rFonts w:hint="eastAsia" w:asciiTheme="minorEastAsia" w:hAnsiTheme="minorEastAsia" w:eastAsiaTheme="minorEastAsia" w:cstheme="minorEastAsia"/>
          <w:snapToGrid w:val="0"/>
          <w:color w:val="000000" w:themeColor="text1"/>
          <w:spacing w:val="0"/>
          <w:kern w:val="0"/>
          <w:sz w:val="24"/>
          <w:szCs w:val="24"/>
          <w:highlight w:val="none"/>
          <w:lang w:eastAsia="zh-CN"/>
          <w14:textFill>
            <w14:solidFill>
              <w14:schemeClr w14:val="tx1"/>
            </w14:solidFill>
          </w14:textFill>
        </w:rPr>
        <w:t>元，专业工程暂估价为：</w:t>
      </w:r>
      <w:r>
        <w:rPr>
          <w:rFonts w:hint="eastAsia" w:asciiTheme="minorEastAsia" w:hAnsiTheme="minorEastAsia" w:eastAsiaTheme="minorEastAsia" w:cstheme="minorEastAsia"/>
          <w:snapToGrid w:val="0"/>
          <w:color w:val="000000" w:themeColor="text1"/>
          <w:spacing w:val="0"/>
          <w:kern w:val="0"/>
          <w:sz w:val="24"/>
          <w:szCs w:val="24"/>
          <w:highlight w:val="none"/>
          <w:u w:val="single"/>
          <w:lang w:val="en-US" w:eastAsia="zh-CN"/>
          <w14:textFill>
            <w14:solidFill>
              <w14:schemeClr w14:val="tx1"/>
            </w14:solidFill>
          </w14:textFill>
        </w:rPr>
        <w:t>108000.00</w:t>
      </w:r>
      <w:r>
        <w:rPr>
          <w:rFonts w:hint="eastAsia" w:asciiTheme="minorEastAsia" w:hAnsiTheme="minorEastAsia" w:eastAsiaTheme="minorEastAsia" w:cstheme="minorEastAsia"/>
          <w:snapToGrid w:val="0"/>
          <w:color w:val="000000" w:themeColor="text1"/>
          <w:spacing w:val="0"/>
          <w:kern w:val="0"/>
          <w:sz w:val="24"/>
          <w:szCs w:val="24"/>
          <w:highlight w:val="none"/>
          <w:lang w:eastAsia="zh-CN"/>
          <w14:textFill>
            <w14:solidFill>
              <w14:schemeClr w14:val="tx1"/>
            </w14:solidFill>
          </w14:textFill>
        </w:rPr>
        <w:t>元。</w:t>
      </w:r>
      <w:r>
        <w:rPr>
          <w:rFonts w:hint="eastAsia" w:ascii="宋体" w:hAnsi="宋体" w:eastAsia="宋体" w:cs="宋体"/>
          <w:b w:val="0"/>
          <w:bCs w:val="0"/>
          <w:color w:val="000000" w:themeColor="text1"/>
          <w:spacing w:val="0"/>
          <w:sz w:val="24"/>
          <w:szCs w:val="24"/>
          <w:highlight w:val="none"/>
          <w:lang w:val="en-US" w:eastAsia="zh-CN"/>
          <w14:textFill>
            <w14:solidFill>
              <w14:schemeClr w14:val="tx1"/>
            </w14:solidFill>
          </w14:textFill>
        </w:rPr>
        <w:t>具体如下表：</w:t>
      </w:r>
    </w:p>
    <w:p w14:paraId="51EF9290">
      <w:pPr>
        <w:keepNext w:val="0"/>
        <w:keepLines w:val="0"/>
        <w:pageBreakBefore w:val="0"/>
        <w:wordWrap w:val="0"/>
        <w:overflowPunct/>
        <w:topLinePunct w:val="0"/>
        <w:bidi w:val="0"/>
        <w:spacing w:before="79" w:line="333" w:lineRule="auto"/>
        <w:ind w:left="11" w:firstLine="479"/>
        <w:jc w:val="both"/>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pPr>
    </w:p>
    <w:tbl>
      <w:tblPr>
        <w:tblStyle w:val="15"/>
        <w:tblW w:w="932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94"/>
        <w:gridCol w:w="4312"/>
        <w:gridCol w:w="3720"/>
      </w:tblGrid>
      <w:tr w14:paraId="2BE45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294" w:type="dxa"/>
            <w:tcBorders>
              <w:top w:val="single" w:color="000000" w:sz="8" w:space="0"/>
              <w:left w:val="single" w:color="000000" w:sz="8" w:space="0"/>
              <w:bottom w:val="single" w:color="000000" w:sz="4" w:space="0"/>
              <w:right w:val="single" w:color="000000" w:sz="4" w:space="0"/>
            </w:tcBorders>
            <w:shd w:val="clear" w:color="FFFFFF" w:fill="FFFFFF"/>
            <w:vAlign w:val="center"/>
          </w:tcPr>
          <w:p w14:paraId="234F628C">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bCs/>
                <w:i w:val="0"/>
                <w:iCs w:val="0"/>
                <w:snapToGrid w:val="0"/>
                <w:color w:val="000000" w:themeColor="text1"/>
                <w:kern w:val="0"/>
                <w:sz w:val="24"/>
                <w:szCs w:val="24"/>
                <w:highlight w:val="none"/>
                <w:u w:val="none"/>
                <w:lang w:val="en-US" w:eastAsia="zh-CN" w:bidi="ar"/>
                <w14:textFill>
                  <w14:solidFill>
                    <w14:schemeClr w14:val="tx1"/>
                  </w14:solidFill>
                </w14:textFill>
              </w:rPr>
              <w:t>序号</w:t>
            </w:r>
          </w:p>
        </w:tc>
        <w:tc>
          <w:tcPr>
            <w:tcW w:w="4312"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1648DFD1">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bCs/>
                <w:i w:val="0"/>
                <w:iCs w:val="0"/>
                <w:snapToGrid w:val="0"/>
                <w:color w:val="000000" w:themeColor="text1"/>
                <w:kern w:val="0"/>
                <w:sz w:val="24"/>
                <w:szCs w:val="24"/>
                <w:highlight w:val="none"/>
                <w:u w:val="none"/>
                <w:lang w:val="en-US" w:eastAsia="zh-CN" w:bidi="ar"/>
                <w14:textFill>
                  <w14:solidFill>
                    <w14:schemeClr w14:val="tx1"/>
                  </w14:solidFill>
                </w14:textFill>
              </w:rPr>
              <w:t>项 目 内 容</w:t>
            </w:r>
          </w:p>
        </w:tc>
        <w:tc>
          <w:tcPr>
            <w:tcW w:w="3720" w:type="dxa"/>
            <w:tcBorders>
              <w:top w:val="single" w:color="000000" w:sz="8" w:space="0"/>
              <w:left w:val="single" w:color="000000" w:sz="4" w:space="0"/>
              <w:bottom w:val="single" w:color="000000" w:sz="4" w:space="0"/>
              <w:right w:val="single" w:color="000000" w:sz="8" w:space="0"/>
            </w:tcBorders>
            <w:shd w:val="clear" w:color="FFFFFF" w:fill="FFFFFF"/>
            <w:vAlign w:val="center"/>
          </w:tcPr>
          <w:p w14:paraId="76B7263F">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bCs/>
                <w:i w:val="0"/>
                <w:iCs w:val="0"/>
                <w:snapToGrid w:val="0"/>
                <w:color w:val="000000" w:themeColor="text1"/>
                <w:kern w:val="0"/>
                <w:sz w:val="24"/>
                <w:szCs w:val="24"/>
                <w:highlight w:val="none"/>
                <w:u w:val="none"/>
                <w:lang w:val="en-US" w:eastAsia="zh-CN" w:bidi="ar"/>
                <w14:textFill>
                  <w14:solidFill>
                    <w14:schemeClr w14:val="tx1"/>
                  </w14:solidFill>
                </w14:textFill>
              </w:rPr>
              <w:t>金 额（元）</w:t>
            </w:r>
          </w:p>
        </w:tc>
      </w:tr>
      <w:tr w14:paraId="6AE04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FC95624">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1</w:t>
            </w:r>
          </w:p>
        </w:tc>
        <w:tc>
          <w:tcPr>
            <w:tcW w:w="43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9D526C">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分部分项工程费</w:t>
            </w:r>
          </w:p>
        </w:tc>
        <w:tc>
          <w:tcPr>
            <w:tcW w:w="37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420988A">
            <w:pPr>
              <w:keepNext w:val="0"/>
              <w:keepLines w:val="0"/>
              <w:widowControl/>
              <w:suppressLineNumbers w:val="0"/>
              <w:jc w:val="righ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sz w:val="24"/>
                <w:szCs w:val="24"/>
                <w:highlight w:val="none"/>
                <w:u w:val="none"/>
                <w:lang w:val="en-US" w:eastAsia="zh-CN"/>
                <w14:textFill>
                  <w14:solidFill>
                    <w14:schemeClr w14:val="tx1"/>
                  </w14:solidFill>
                </w14:textFill>
              </w:rPr>
              <w:t>11177217.48</w:t>
            </w:r>
          </w:p>
        </w:tc>
      </w:tr>
      <w:tr w14:paraId="6C75B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A5C443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1.1</w:t>
            </w:r>
          </w:p>
        </w:tc>
        <w:tc>
          <w:tcPr>
            <w:tcW w:w="43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9D5770">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教学综合楼</w:t>
            </w:r>
          </w:p>
        </w:tc>
        <w:tc>
          <w:tcPr>
            <w:tcW w:w="37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DB72556">
            <w:pPr>
              <w:keepNext w:val="0"/>
              <w:keepLines w:val="0"/>
              <w:widowControl/>
              <w:suppressLineNumbers w:val="0"/>
              <w:jc w:val="righ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sz w:val="24"/>
                <w:szCs w:val="24"/>
                <w:highlight w:val="none"/>
                <w:u w:val="none"/>
                <w14:textFill>
                  <w14:solidFill>
                    <w14:schemeClr w14:val="tx1"/>
                  </w14:solidFill>
                </w14:textFill>
              </w:rPr>
              <w:t>11177217.48</w:t>
            </w:r>
          </w:p>
        </w:tc>
      </w:tr>
      <w:tr w14:paraId="13FDA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ACA182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1.1.1</w:t>
            </w:r>
          </w:p>
        </w:tc>
        <w:tc>
          <w:tcPr>
            <w:tcW w:w="43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855EA6">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教学综合楼-建筑与装饰工程</w:t>
            </w:r>
          </w:p>
        </w:tc>
        <w:tc>
          <w:tcPr>
            <w:tcW w:w="37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0C50C64">
            <w:pPr>
              <w:keepNext w:val="0"/>
              <w:keepLines w:val="0"/>
              <w:widowControl/>
              <w:suppressLineNumbers w:val="0"/>
              <w:jc w:val="righ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sz w:val="24"/>
                <w:szCs w:val="24"/>
                <w:highlight w:val="none"/>
                <w:u w:val="none"/>
                <w14:textFill>
                  <w14:solidFill>
                    <w14:schemeClr w14:val="tx1"/>
                  </w14:solidFill>
                </w14:textFill>
              </w:rPr>
              <w:t>7037423.31</w:t>
            </w:r>
          </w:p>
        </w:tc>
      </w:tr>
      <w:tr w14:paraId="720A6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3EAAD77">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1.1.2</w:t>
            </w:r>
          </w:p>
        </w:tc>
        <w:tc>
          <w:tcPr>
            <w:tcW w:w="43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ECD2A6">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教学综合楼-安装工程</w:t>
            </w:r>
          </w:p>
        </w:tc>
        <w:tc>
          <w:tcPr>
            <w:tcW w:w="37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EB58A2C">
            <w:pPr>
              <w:keepNext w:val="0"/>
              <w:keepLines w:val="0"/>
              <w:widowControl/>
              <w:suppressLineNumbers w:val="0"/>
              <w:jc w:val="righ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sz w:val="24"/>
                <w:szCs w:val="24"/>
                <w:highlight w:val="none"/>
                <w:u w:val="none"/>
                <w14:textFill>
                  <w14:solidFill>
                    <w14:schemeClr w14:val="tx1"/>
                  </w14:solidFill>
                </w14:textFill>
              </w:rPr>
              <w:t>2665968.66</w:t>
            </w:r>
          </w:p>
        </w:tc>
      </w:tr>
      <w:tr w14:paraId="3564C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6749AA5">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1.1.3</w:t>
            </w:r>
          </w:p>
        </w:tc>
        <w:tc>
          <w:tcPr>
            <w:tcW w:w="43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6E131A">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教学综合楼-室外附属工程</w:t>
            </w:r>
          </w:p>
        </w:tc>
        <w:tc>
          <w:tcPr>
            <w:tcW w:w="37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665DD4D">
            <w:pPr>
              <w:keepNext w:val="0"/>
              <w:keepLines w:val="0"/>
              <w:widowControl/>
              <w:suppressLineNumbers w:val="0"/>
              <w:jc w:val="righ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sz w:val="24"/>
                <w:szCs w:val="24"/>
                <w:highlight w:val="none"/>
                <w:u w:val="none"/>
                <w14:textFill>
                  <w14:solidFill>
                    <w14:schemeClr w14:val="tx1"/>
                  </w14:solidFill>
                </w14:textFill>
              </w:rPr>
              <w:t>938343.42</w:t>
            </w:r>
          </w:p>
        </w:tc>
      </w:tr>
      <w:tr w14:paraId="6057C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AEB0206">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1.1.4</w:t>
            </w:r>
          </w:p>
        </w:tc>
        <w:tc>
          <w:tcPr>
            <w:tcW w:w="43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DB70FD">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教学综合楼-市政管网工程</w:t>
            </w:r>
          </w:p>
        </w:tc>
        <w:tc>
          <w:tcPr>
            <w:tcW w:w="37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904118C">
            <w:pPr>
              <w:keepNext w:val="0"/>
              <w:keepLines w:val="0"/>
              <w:widowControl/>
              <w:suppressLineNumbers w:val="0"/>
              <w:jc w:val="righ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sz w:val="24"/>
                <w:szCs w:val="24"/>
                <w:highlight w:val="none"/>
                <w:u w:val="none"/>
                <w14:textFill>
                  <w14:solidFill>
                    <w14:schemeClr w14:val="tx1"/>
                  </w14:solidFill>
                </w14:textFill>
              </w:rPr>
              <w:t>535482.09</w:t>
            </w:r>
          </w:p>
        </w:tc>
      </w:tr>
      <w:tr w14:paraId="40BFF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1E3361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2</w:t>
            </w:r>
          </w:p>
        </w:tc>
        <w:tc>
          <w:tcPr>
            <w:tcW w:w="43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662DA8">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措施项目费</w:t>
            </w:r>
          </w:p>
        </w:tc>
        <w:tc>
          <w:tcPr>
            <w:tcW w:w="37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9682C4B">
            <w:pPr>
              <w:keepNext w:val="0"/>
              <w:keepLines w:val="0"/>
              <w:widowControl/>
              <w:suppressLineNumbers w:val="0"/>
              <w:jc w:val="righ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sz w:val="24"/>
                <w:szCs w:val="24"/>
                <w:highlight w:val="none"/>
                <w:u w:val="none"/>
                <w14:textFill>
                  <w14:solidFill>
                    <w14:schemeClr w14:val="tx1"/>
                  </w14:solidFill>
                </w14:textFill>
              </w:rPr>
              <w:t>1437057.37</w:t>
            </w:r>
          </w:p>
        </w:tc>
      </w:tr>
      <w:tr w14:paraId="58E98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B4A57D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2.1</w:t>
            </w:r>
          </w:p>
        </w:tc>
        <w:tc>
          <w:tcPr>
            <w:tcW w:w="43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D7D60D">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安全生产措施费</w:t>
            </w:r>
          </w:p>
        </w:tc>
        <w:tc>
          <w:tcPr>
            <w:tcW w:w="37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418D263">
            <w:pPr>
              <w:keepNext w:val="0"/>
              <w:keepLines w:val="0"/>
              <w:widowControl/>
              <w:suppressLineNumbers w:val="0"/>
              <w:jc w:val="righ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sz w:val="24"/>
                <w:szCs w:val="24"/>
                <w:highlight w:val="none"/>
                <w:u w:val="none"/>
                <w14:textFill>
                  <w14:solidFill>
                    <w14:schemeClr w14:val="tx1"/>
                  </w14:solidFill>
                </w14:textFill>
              </w:rPr>
              <w:t>421624.72</w:t>
            </w:r>
          </w:p>
        </w:tc>
      </w:tr>
      <w:tr w14:paraId="1701F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8DB2ED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3</w:t>
            </w:r>
          </w:p>
        </w:tc>
        <w:tc>
          <w:tcPr>
            <w:tcW w:w="43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9C6F6E">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其他项目费</w:t>
            </w:r>
          </w:p>
        </w:tc>
        <w:tc>
          <w:tcPr>
            <w:tcW w:w="37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A5F9942">
            <w:pPr>
              <w:keepNext w:val="0"/>
              <w:keepLines w:val="0"/>
              <w:widowControl/>
              <w:suppressLineNumbers w:val="0"/>
              <w:jc w:val="righ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sz w:val="24"/>
                <w:szCs w:val="24"/>
                <w:highlight w:val="none"/>
                <w:u w:val="none"/>
                <w14:textFill>
                  <w14:solidFill>
                    <w14:schemeClr w14:val="tx1"/>
                  </w14:solidFill>
                </w14:textFill>
              </w:rPr>
              <w:t>1225721.75</w:t>
            </w:r>
          </w:p>
        </w:tc>
      </w:tr>
      <w:tr w14:paraId="05796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BDA50EA">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3.1</w:t>
            </w:r>
          </w:p>
        </w:tc>
        <w:tc>
          <w:tcPr>
            <w:tcW w:w="43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04FA73">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其中：暂列金额</w:t>
            </w:r>
          </w:p>
        </w:tc>
        <w:tc>
          <w:tcPr>
            <w:tcW w:w="37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8FF0E25">
            <w:pPr>
              <w:keepNext w:val="0"/>
              <w:keepLines w:val="0"/>
              <w:widowControl/>
              <w:suppressLineNumbers w:val="0"/>
              <w:jc w:val="right"/>
              <w:textAlignment w:val="center"/>
              <w:rPr>
                <w:rFonts w:hint="eastAsia" w:ascii="宋体" w:hAnsi="宋体" w:eastAsia="宋体" w:cs="宋体"/>
                <w:i w:val="0"/>
                <w:iCs w:val="0"/>
                <w:color w:val="000000" w:themeColor="text1"/>
                <w:sz w:val="24"/>
                <w:szCs w:val="24"/>
                <w:highlight w:val="none"/>
                <w:u w:val="none"/>
                <w:lang w:val="en-US"/>
                <w14:textFill>
                  <w14:solidFill>
                    <w14:schemeClr w14:val="tx1"/>
                  </w14:solidFill>
                </w14:textFill>
              </w:rPr>
            </w:pPr>
            <w:r>
              <w:rPr>
                <w:rFonts w:hint="eastAsia" w:ascii="宋体" w:hAnsi="宋体" w:eastAsia="宋体" w:cs="宋体"/>
                <w:i w:val="0"/>
                <w:iCs w:val="0"/>
                <w:color w:val="000000" w:themeColor="text1"/>
                <w:sz w:val="24"/>
                <w:szCs w:val="24"/>
                <w:highlight w:val="none"/>
                <w:u w:val="none"/>
                <w:lang w:val="en-US"/>
                <w14:textFill>
                  <w14:solidFill>
                    <w14:schemeClr w14:val="tx1"/>
                  </w14:solidFill>
                </w14:textFill>
              </w:rPr>
              <w:t>1117721.75</w:t>
            </w:r>
          </w:p>
        </w:tc>
      </w:tr>
      <w:tr w14:paraId="7C63C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41B295A">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3.2</w:t>
            </w:r>
          </w:p>
        </w:tc>
        <w:tc>
          <w:tcPr>
            <w:tcW w:w="43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ABB78D">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其中：专业工程暂估价</w:t>
            </w:r>
          </w:p>
        </w:tc>
        <w:tc>
          <w:tcPr>
            <w:tcW w:w="37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0301D56">
            <w:pPr>
              <w:jc w:val="right"/>
              <w:rPr>
                <w:rFonts w:hint="default" w:ascii="宋体" w:hAnsi="宋体" w:eastAsia="宋体" w:cs="宋体"/>
                <w:i w:val="0"/>
                <w:iCs w:val="0"/>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4"/>
                <w:szCs w:val="24"/>
                <w:highlight w:val="none"/>
                <w:u w:val="none"/>
                <w14:textFill>
                  <w14:solidFill>
                    <w14:schemeClr w14:val="tx1"/>
                  </w14:solidFill>
                </w14:textFill>
              </w:rPr>
              <w:t>108000</w:t>
            </w:r>
            <w:r>
              <w:rPr>
                <w:rFonts w:hint="eastAsia" w:ascii="宋体" w:hAnsi="宋体" w:eastAsia="宋体" w:cs="宋体"/>
                <w:i w:val="0"/>
                <w:iCs w:val="0"/>
                <w:color w:val="000000" w:themeColor="text1"/>
                <w:sz w:val="24"/>
                <w:szCs w:val="24"/>
                <w:highlight w:val="none"/>
                <w:u w:val="none"/>
                <w:lang w:val="en-US" w:eastAsia="zh-CN"/>
                <w14:textFill>
                  <w14:solidFill>
                    <w14:schemeClr w14:val="tx1"/>
                  </w14:solidFill>
                </w14:textFill>
              </w:rPr>
              <w:t>.00</w:t>
            </w:r>
          </w:p>
        </w:tc>
      </w:tr>
      <w:tr w14:paraId="1E192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20BD6E4">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3.3</w:t>
            </w:r>
          </w:p>
        </w:tc>
        <w:tc>
          <w:tcPr>
            <w:tcW w:w="43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E53F89">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其中：计日工</w:t>
            </w:r>
          </w:p>
        </w:tc>
        <w:tc>
          <w:tcPr>
            <w:tcW w:w="37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2C39F70">
            <w:pPr>
              <w:jc w:val="right"/>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r>
      <w:tr w14:paraId="02965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6BA9F0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3.4</w:t>
            </w:r>
          </w:p>
        </w:tc>
        <w:tc>
          <w:tcPr>
            <w:tcW w:w="43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753CE2">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其中：总承包服务费</w:t>
            </w:r>
          </w:p>
        </w:tc>
        <w:tc>
          <w:tcPr>
            <w:tcW w:w="37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5BB14CF">
            <w:pPr>
              <w:jc w:val="right"/>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r>
      <w:tr w14:paraId="07271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6F9B13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3.5</w:t>
            </w:r>
          </w:p>
        </w:tc>
        <w:tc>
          <w:tcPr>
            <w:tcW w:w="43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B274D4">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其中：合同中约定的其他项目</w:t>
            </w:r>
          </w:p>
        </w:tc>
        <w:tc>
          <w:tcPr>
            <w:tcW w:w="37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1ED8CA9">
            <w:pPr>
              <w:jc w:val="right"/>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r>
      <w:tr w14:paraId="20825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FEE825A">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3.6</w:t>
            </w:r>
          </w:p>
        </w:tc>
        <w:tc>
          <w:tcPr>
            <w:tcW w:w="43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B735EA">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其中：预算包干费</w:t>
            </w:r>
          </w:p>
        </w:tc>
        <w:tc>
          <w:tcPr>
            <w:tcW w:w="37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1ED7548">
            <w:pPr>
              <w:jc w:val="right"/>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r>
      <w:tr w14:paraId="0447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CD8384A">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4</w:t>
            </w:r>
          </w:p>
        </w:tc>
        <w:tc>
          <w:tcPr>
            <w:tcW w:w="43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48F3D8">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税前工程造价</w:t>
            </w:r>
          </w:p>
        </w:tc>
        <w:tc>
          <w:tcPr>
            <w:tcW w:w="37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EBB897E">
            <w:pPr>
              <w:keepNext w:val="0"/>
              <w:keepLines w:val="0"/>
              <w:widowControl/>
              <w:suppressLineNumbers w:val="0"/>
              <w:jc w:val="right"/>
              <w:textAlignment w:val="center"/>
              <w:rPr>
                <w:rFonts w:hint="eastAsia" w:ascii="宋体" w:hAnsi="宋体" w:eastAsia="宋体" w:cs="宋体"/>
                <w:i w:val="0"/>
                <w:iCs w:val="0"/>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4"/>
                <w:szCs w:val="24"/>
                <w:highlight w:val="none"/>
                <w:u w:val="none"/>
                <w14:textFill>
                  <w14:solidFill>
                    <w14:schemeClr w14:val="tx1"/>
                  </w14:solidFill>
                </w14:textFill>
              </w:rPr>
              <w:t>13839996.6</w:t>
            </w:r>
            <w:r>
              <w:rPr>
                <w:rFonts w:hint="eastAsia" w:ascii="宋体" w:hAnsi="宋体" w:eastAsia="宋体" w:cs="宋体"/>
                <w:i w:val="0"/>
                <w:iCs w:val="0"/>
                <w:color w:val="000000" w:themeColor="text1"/>
                <w:sz w:val="24"/>
                <w:szCs w:val="24"/>
                <w:highlight w:val="none"/>
                <w:u w:val="none"/>
                <w:lang w:val="en-US" w:eastAsia="zh-CN"/>
                <w14:textFill>
                  <w14:solidFill>
                    <w14:schemeClr w14:val="tx1"/>
                  </w14:solidFill>
                </w14:textFill>
              </w:rPr>
              <w:t>0</w:t>
            </w:r>
          </w:p>
        </w:tc>
      </w:tr>
      <w:tr w14:paraId="47D23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1BCD10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5</w:t>
            </w:r>
          </w:p>
        </w:tc>
        <w:tc>
          <w:tcPr>
            <w:tcW w:w="43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AB7B9D">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增值税</w:t>
            </w:r>
          </w:p>
        </w:tc>
        <w:tc>
          <w:tcPr>
            <w:tcW w:w="37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205BCB1">
            <w:pPr>
              <w:keepNext w:val="0"/>
              <w:keepLines w:val="0"/>
              <w:widowControl/>
              <w:suppressLineNumbers w:val="0"/>
              <w:jc w:val="righ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sz w:val="24"/>
                <w:szCs w:val="24"/>
                <w:highlight w:val="none"/>
                <w:u w:val="none"/>
                <w14:textFill>
                  <w14:solidFill>
                    <w14:schemeClr w14:val="tx1"/>
                  </w14:solidFill>
                </w14:textFill>
              </w:rPr>
              <w:t>1235879.69</w:t>
            </w:r>
          </w:p>
        </w:tc>
      </w:tr>
      <w:tr w14:paraId="6F974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94"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9D818C9">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6</w:t>
            </w:r>
          </w:p>
        </w:tc>
        <w:tc>
          <w:tcPr>
            <w:tcW w:w="431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839576">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snapToGrid w:val="0"/>
                <w:color w:val="000000" w:themeColor="text1"/>
                <w:kern w:val="0"/>
                <w:sz w:val="24"/>
                <w:szCs w:val="24"/>
                <w:highlight w:val="none"/>
                <w:u w:val="none"/>
                <w:lang w:val="en-US" w:eastAsia="zh-CN" w:bidi="ar"/>
                <w14:textFill>
                  <w14:solidFill>
                    <w14:schemeClr w14:val="tx1"/>
                  </w14:solidFill>
                </w14:textFill>
              </w:rPr>
              <w:t xml:space="preserve">  合   计</w:t>
            </w:r>
          </w:p>
        </w:tc>
        <w:tc>
          <w:tcPr>
            <w:tcW w:w="372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48C3EE5">
            <w:pPr>
              <w:keepNext w:val="0"/>
              <w:keepLines w:val="0"/>
              <w:widowControl/>
              <w:suppressLineNumbers w:val="0"/>
              <w:jc w:val="right"/>
              <w:textAlignment w:val="center"/>
              <w:rPr>
                <w:rFonts w:hint="eastAsia" w:ascii="宋体" w:hAnsi="宋体" w:eastAsia="宋体" w:cs="宋体"/>
                <w:i w:val="0"/>
                <w:iCs w:val="0"/>
                <w:color w:val="000000" w:themeColor="text1"/>
                <w:sz w:val="24"/>
                <w:szCs w:val="24"/>
                <w:highlight w:val="none"/>
                <w:u w:val="none"/>
                <w:lang w:val="en-US"/>
                <w14:textFill>
                  <w14:solidFill>
                    <w14:schemeClr w14:val="tx1"/>
                  </w14:solidFill>
                </w14:textFill>
              </w:rPr>
            </w:pPr>
            <w:r>
              <w:rPr>
                <w:rFonts w:hint="eastAsia" w:ascii="宋体" w:hAnsi="宋体" w:eastAsia="宋体" w:cs="宋体"/>
                <w:i w:val="0"/>
                <w:iCs w:val="0"/>
                <w:color w:val="000000" w:themeColor="text1"/>
                <w:sz w:val="24"/>
                <w:szCs w:val="24"/>
                <w:highlight w:val="none"/>
                <w:u w:val="none"/>
                <w:lang w:val="en-US"/>
                <w14:textFill>
                  <w14:solidFill>
                    <w14:schemeClr w14:val="tx1"/>
                  </w14:solidFill>
                </w14:textFill>
              </w:rPr>
              <w:t>15075876.29</w:t>
            </w:r>
          </w:p>
        </w:tc>
      </w:tr>
    </w:tbl>
    <w:p w14:paraId="4F151966">
      <w:pPr>
        <w:keepNext w:val="0"/>
        <w:keepLines w:val="0"/>
        <w:pageBreakBefore w:val="0"/>
        <w:wordWrap w:val="0"/>
        <w:overflowPunct/>
        <w:topLinePunct w:val="0"/>
        <w:bidi w:val="0"/>
        <w:spacing w:before="79" w:line="333" w:lineRule="auto"/>
        <w:ind w:left="11" w:firstLine="479"/>
        <w:jc w:val="both"/>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pPr>
    </w:p>
    <w:p w14:paraId="458077E8">
      <w:pPr>
        <w:keepNext w:val="0"/>
        <w:keepLines w:val="0"/>
        <w:pageBreakBefore w:val="0"/>
        <w:wordWrap w:val="0"/>
        <w:overflowPunct/>
        <w:topLinePunct w:val="0"/>
        <w:bidi w:val="0"/>
        <w:spacing w:before="79" w:line="333" w:lineRule="auto"/>
        <w:ind w:left="11" w:firstLine="479"/>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8.</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3</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暂估价指招标工程量清单中提供的用于支付必然发生但暂时不能确定价格的材料、工程设备的单价以及专业工程的金额；暂列金额指招标工程量清单中暂定并包括在合同价款中的一笔款项，用于工程合同签订时尚未确定或者不可预见的所需材料、工程设备、服务的采购，施工中可能发生的工程变更、合同约定调整因素出现时的合同价款调整以及发生的索赔、现场签证确认等的费用。</w:t>
      </w:r>
    </w:p>
    <w:p w14:paraId="1698FFA3">
      <w:pPr>
        <w:keepNext w:val="0"/>
        <w:keepLines w:val="0"/>
        <w:pageBreakBefore w:val="0"/>
        <w:wordWrap w:val="0"/>
        <w:overflowPunct/>
        <w:topLinePunct w:val="0"/>
        <w:bidi w:val="0"/>
        <w:spacing w:before="36" w:line="278" w:lineRule="auto"/>
        <w:ind w:left="10" w:right="200" w:firstLine="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8.</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4</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本招标项目以暂估价形式列入招标工程量清单中的材料、工程设备、专业工程（以下统称“暂估价项目 ”）包括：</w:t>
      </w:r>
      <w:r>
        <w:rPr>
          <w:rFonts w:hint="eastAsia" w:ascii="宋体" w:hAnsi="宋体" w:eastAsia="宋体" w:cs="宋体"/>
          <w:color w:val="000000" w:themeColor="text1"/>
          <w:spacing w:val="0"/>
          <w:sz w:val="24"/>
          <w:szCs w:val="24"/>
          <w:highlight w:val="none"/>
          <w:u w:val="single"/>
          <w14:textFill>
            <w14:solidFill>
              <w14:schemeClr w14:val="tx1"/>
            </w14:solidFill>
          </w14:textFill>
        </w:rPr>
        <w:t>为招标人在工程量清单中提供的用于支付必然发生但暂时不能确定价格的材料、工程设备的单价以及专业工程的金额。投标人必须按招标工程量清单中列出的单价、金额统一报价，其结算原则按本招标文件相关条款执行。</w:t>
      </w:r>
    </w:p>
    <w:p w14:paraId="27DBB8AB">
      <w:pPr>
        <w:keepNext w:val="0"/>
        <w:keepLines w:val="0"/>
        <w:pageBreakBefore w:val="0"/>
        <w:wordWrap w:val="0"/>
        <w:overflowPunct/>
        <w:topLinePunct w:val="0"/>
        <w:bidi w:val="0"/>
        <w:spacing w:before="154" w:line="280" w:lineRule="auto"/>
        <w:ind w:left="12" w:right="200"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8.</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5</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当暂估价项目的内容、标准、要求在项目实施过程中得以深化、明确、固定后，按以下原则发包：</w:t>
      </w:r>
    </w:p>
    <w:p w14:paraId="2E6E5889">
      <w:pPr>
        <w:keepNext w:val="0"/>
        <w:keepLines w:val="0"/>
        <w:pageBreakBefore w:val="0"/>
        <w:widowControl/>
        <w:kinsoku w:val="0"/>
        <w:wordWrap w:val="0"/>
        <w:overflowPunct/>
        <w:topLinePunct w:val="0"/>
        <w:autoSpaceDE w:val="0"/>
        <w:autoSpaceDN w:val="0"/>
        <w:bidi w:val="0"/>
        <w:adjustRightInd w:val="0"/>
        <w:snapToGrid w:val="0"/>
        <w:spacing w:before="153" w:line="310" w:lineRule="auto"/>
        <w:ind w:left="-3" w:leftChars="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（1）暂估价项目按工程、货物（指材料或工程设备，下同）的类别分类汇总的金额，达到必须招标规模标准的，由</w:t>
      </w:r>
      <w:r>
        <w:rPr>
          <w:rFonts w:hint="eastAsia" w:ascii="宋体" w:hAnsi="宋体" w:eastAsia="宋体" w:cs="宋体"/>
          <w:b/>
          <w:bCs/>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pacing w:val="0"/>
          <w:sz w:val="24"/>
          <w:szCs w:val="24"/>
          <w:highlight w:val="none"/>
          <w:u w:val="single"/>
          <w14:textFill>
            <w14:solidFill>
              <w14:schemeClr w14:val="tx1"/>
            </w14:solidFill>
          </w14:textFill>
        </w:rPr>
        <w:t xml:space="preserve">中标人招标，招标人参与管理 </w:t>
      </w:r>
      <w:r>
        <w:rPr>
          <w:rFonts w:hint="eastAsia" w:ascii="宋体" w:hAnsi="宋体" w:eastAsia="宋体" w:cs="宋体"/>
          <w:bCs/>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确定专业工程承包人（或材料、工程 设备供应商）和合同价格。</w:t>
      </w:r>
    </w:p>
    <w:p w14:paraId="748F67E9">
      <w:pPr>
        <w:keepNext w:val="0"/>
        <w:keepLines w:val="0"/>
        <w:pageBreakBefore w:val="0"/>
        <w:widowControl/>
        <w:kinsoku w:val="0"/>
        <w:wordWrap w:val="0"/>
        <w:overflowPunct/>
        <w:topLinePunct w:val="0"/>
        <w:autoSpaceDE w:val="0"/>
        <w:autoSpaceDN w:val="0"/>
        <w:bidi w:val="0"/>
        <w:adjustRightInd w:val="0"/>
        <w:snapToGrid w:val="0"/>
        <w:spacing w:before="30" w:line="310" w:lineRule="auto"/>
        <w:ind w:left="11" w:right="65" w:firstLine="489"/>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（2）暂估价项目按工程、货物的类别分类汇总的金额，未达到必须招标规模标准但适用政府采购规定的，按照政府采购规定确定专业工程承包人（或材料、工程设备供应商）和合同价格。</w:t>
      </w:r>
    </w:p>
    <w:p w14:paraId="6736DF1E">
      <w:pPr>
        <w:keepNext w:val="0"/>
        <w:keepLines w:val="0"/>
        <w:pageBreakBefore w:val="0"/>
        <w:wordWrap w:val="0"/>
        <w:overflowPunct/>
        <w:topLinePunct w:val="0"/>
        <w:bidi w:val="0"/>
        <w:spacing w:before="154" w:line="309" w:lineRule="auto"/>
        <w:ind w:left="11" w:right="65"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暂估价项目按工程、货物的类别分类汇总的金额，未达到必须招标规模标准也不适用政府采购规定，中标人具备相应资格条件的，由中标人承包；中标人不具备相应资格条件但具备分包权的，由中标人分包，招标人同中标人结算原则按本招标 文件相关条款执行。</w:t>
      </w:r>
    </w:p>
    <w:p w14:paraId="6EC26BD9">
      <w:pPr>
        <w:keepNext w:val="0"/>
        <w:keepLines w:val="0"/>
        <w:pageBreakBefore w:val="0"/>
        <w:wordWrap w:val="0"/>
        <w:overflowPunct/>
        <w:topLinePunct w:val="0"/>
        <w:bidi w:val="0"/>
        <w:spacing w:before="154" w:line="299" w:lineRule="auto"/>
        <w:ind w:left="11" w:right="65"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（4）暂估价项目按工程、货物的类别分类汇总的金额，未达到必须招标规模标准也不适用政府采购规定，中标人既不具备相应资格条件又不具备分包权的，由招标人另行发包。</w:t>
      </w:r>
    </w:p>
    <w:p w14:paraId="51638999">
      <w:pPr>
        <w:keepNext w:val="0"/>
        <w:keepLines w:val="0"/>
        <w:pageBreakBefore w:val="0"/>
        <w:wordWrap w:val="0"/>
        <w:overflowPunct/>
        <w:topLinePunct w:val="0"/>
        <w:bidi w:val="0"/>
        <w:spacing w:before="155" w:line="279" w:lineRule="auto"/>
        <w:ind w:left="9" w:right="66"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（5）暂估价项目由其他承包人承包的，纳入中标人的管理和协调范围，由其他承包人向中标人承担质量、安全、文明施工、工期责任，中标人向招标人承担责任。</w:t>
      </w:r>
    </w:p>
    <w:p w14:paraId="06A8222B">
      <w:pPr>
        <w:keepNext w:val="0"/>
        <w:keepLines w:val="0"/>
        <w:pageBreakBefore w:val="0"/>
        <w:wordWrap w:val="0"/>
        <w:overflowPunct/>
        <w:topLinePunct w:val="0"/>
        <w:bidi w:val="0"/>
        <w:spacing w:before="155" w:line="333" w:lineRule="auto"/>
        <w:ind w:left="10" w:right="65" w:firstLine="478"/>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8</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.6</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本招标项目以暂列金额形式列入招标工程量清单中的所需货物和服务的采购（以下统称“暂列金额项目 ”）若有发生，按照本节第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8.5 </w:t>
      </w:r>
      <w:r>
        <w:rPr>
          <w:rFonts w:hint="eastAsia" w:ascii="宋体" w:hAnsi="宋体" w:eastAsia="宋体" w:cs="宋体"/>
          <w:color w:val="000000" w:themeColor="text1"/>
          <w:spacing w:val="0"/>
          <w:sz w:val="24"/>
          <w:szCs w:val="24"/>
          <w:highlight w:val="none"/>
          <w14:textFill>
            <w14:solidFill>
              <w14:schemeClr w14:val="tx1"/>
            </w14:solidFill>
          </w14:textFill>
        </w:rPr>
        <w:t>条的规定确定货物（或服务）供应商和合同价格。暂列金额项目由其他承包人承包的，纳入中标人的管理和协调范围</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由其他承包人向中标人承担质量、安全、文明施工、工期责任，中标人向招标人承担责任。</w:t>
      </w:r>
    </w:p>
    <w:p w14:paraId="44041CF4">
      <w:pPr>
        <w:keepNext w:val="0"/>
        <w:keepLines w:val="0"/>
        <w:pageBreakBefore w:val="0"/>
        <w:wordWrap w:val="0"/>
        <w:overflowPunct/>
        <w:topLinePunct w:val="0"/>
        <w:bidi w:val="0"/>
        <w:spacing w:before="79" w:line="219" w:lineRule="auto"/>
        <w:ind w:left="487"/>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42" w:name="_Toc30237"/>
      <w:bookmarkStart w:id="43" w:name="_Toc22978"/>
      <w:r>
        <w:rPr>
          <w:rFonts w:hint="eastAsia" w:ascii="宋体" w:hAnsi="宋体" w:eastAsia="宋体" w:cs="宋体"/>
          <w:b/>
          <w:bCs/>
          <w:color w:val="000000" w:themeColor="text1"/>
          <w:spacing w:val="0"/>
          <w:sz w:val="24"/>
          <w:szCs w:val="24"/>
          <w:highlight w:val="none"/>
          <w14:textFill>
            <w14:solidFill>
              <w14:schemeClr w14:val="tx1"/>
            </w14:solidFill>
          </w14:textFill>
        </w:rPr>
        <w:t>9 ．投标报价</w:t>
      </w:r>
      <w:bookmarkEnd w:id="42"/>
      <w:bookmarkEnd w:id="43"/>
    </w:p>
    <w:p w14:paraId="0ED2EF22">
      <w:pPr>
        <w:keepNext w:val="0"/>
        <w:keepLines w:val="0"/>
        <w:pageBreakBefore w:val="0"/>
        <w:wordWrap w:val="0"/>
        <w:overflowPunct/>
        <w:topLinePunct w:val="0"/>
        <w:bidi w:val="0"/>
        <w:spacing w:before="157" w:line="219" w:lineRule="auto"/>
        <w:ind w:left="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9.1  </w:t>
      </w:r>
      <w:r>
        <w:rPr>
          <w:rFonts w:hint="eastAsia" w:ascii="宋体" w:hAnsi="宋体" w:eastAsia="宋体" w:cs="宋体"/>
          <w:color w:val="000000" w:themeColor="text1"/>
          <w:spacing w:val="0"/>
          <w:sz w:val="24"/>
          <w:szCs w:val="24"/>
          <w:highlight w:val="none"/>
          <w14:textFill>
            <w14:solidFill>
              <w14:schemeClr w14:val="tx1"/>
            </w14:solidFill>
          </w14:textFill>
        </w:rPr>
        <w:t>投标人应按照以下依据编制投标报价：</w:t>
      </w:r>
    </w:p>
    <w:p w14:paraId="5DFFCF42">
      <w:pPr>
        <w:keepNext w:val="0"/>
        <w:keepLines w:val="0"/>
        <w:pageBreakBefore w:val="0"/>
        <w:wordWrap w:val="0"/>
        <w:overflowPunct/>
        <w:topLinePunct w:val="0"/>
        <w:bidi w:val="0"/>
        <w:spacing w:before="155"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1C5DC104">
      <w:pPr>
        <w:keepNext w:val="0"/>
        <w:keepLines w:val="0"/>
        <w:pageBreakBefore w:val="0"/>
        <w:wordWrap w:val="0"/>
        <w:overflowPunct/>
        <w:topLinePunct w:val="0"/>
        <w:bidi w:val="0"/>
        <w:spacing w:before="153" w:line="309" w:lineRule="auto"/>
        <w:ind w:left="9" w:right="65"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56A82739">
      <w:pPr>
        <w:keepNext w:val="0"/>
        <w:keepLines w:val="0"/>
        <w:pageBreakBefore w:val="0"/>
        <w:wordWrap w:val="0"/>
        <w:overflowPunct/>
        <w:topLinePunct w:val="0"/>
        <w:bidi w:val="0"/>
        <w:spacing w:before="78"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bookmarkStart w:id="44" w:name="bookmark120"/>
      <w:bookmarkEnd w:id="44"/>
      <w:r>
        <w:rPr>
          <w:rFonts w:hint="eastAsia" w:ascii="宋体" w:hAnsi="宋体" w:eastAsia="宋体" w:cs="宋体"/>
          <w:color w:val="000000" w:themeColor="text1"/>
          <w:spacing w:val="0"/>
          <w:sz w:val="24"/>
          <w:szCs w:val="24"/>
          <w:highlight w:val="none"/>
          <w14:textFill>
            <w14:solidFill>
              <w14:schemeClr w14:val="tx1"/>
            </w14:solidFill>
          </w14:textFill>
        </w:rPr>
        <w:t>（3）企业定额；</w:t>
      </w:r>
    </w:p>
    <w:p w14:paraId="21D7AB3A">
      <w:pPr>
        <w:keepNext w:val="0"/>
        <w:keepLines w:val="0"/>
        <w:pageBreakBefore w:val="0"/>
        <w:wordWrap w:val="0"/>
        <w:overflowPunct/>
        <w:topLinePunct w:val="0"/>
        <w:bidi w:val="0"/>
        <w:spacing w:before="155"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（4）招标文件及其答疑（或修改）公告、招标工程量清单；</w:t>
      </w:r>
    </w:p>
    <w:p w14:paraId="6C148BBB">
      <w:pPr>
        <w:keepNext w:val="0"/>
        <w:keepLines w:val="0"/>
        <w:pageBreakBefore w:val="0"/>
        <w:wordWrap w:val="0"/>
        <w:overflowPunct/>
        <w:topLinePunct w:val="0"/>
        <w:bidi w:val="0"/>
        <w:spacing w:before="154" w:line="221"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（5）施工图及相关资料；</w:t>
      </w:r>
    </w:p>
    <w:p w14:paraId="05C84BB3">
      <w:pPr>
        <w:keepNext w:val="0"/>
        <w:keepLines w:val="0"/>
        <w:pageBreakBefore w:val="0"/>
        <w:wordWrap w:val="0"/>
        <w:overflowPunct/>
        <w:topLinePunct w:val="0"/>
        <w:bidi w:val="0"/>
        <w:spacing w:before="152"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（6）施工现场情况、工程特点及投标时拟定的施工组织设计或施工方案；</w:t>
      </w:r>
    </w:p>
    <w:p w14:paraId="42F852A9">
      <w:pPr>
        <w:keepNext w:val="0"/>
        <w:keepLines w:val="0"/>
        <w:pageBreakBefore w:val="0"/>
        <w:wordWrap w:val="0"/>
        <w:overflowPunct/>
        <w:topLinePunct w:val="0"/>
        <w:bidi w:val="0"/>
        <w:spacing w:before="156"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（7）市场价格信息或项目所在地工程造价管理机构发布的工程造价信息；</w:t>
      </w:r>
    </w:p>
    <w:p w14:paraId="42E67E93">
      <w:pPr>
        <w:keepNext w:val="0"/>
        <w:keepLines w:val="0"/>
        <w:pageBreakBefore w:val="0"/>
        <w:wordWrap w:val="0"/>
        <w:overflowPunct/>
        <w:topLinePunct w:val="0"/>
        <w:bidi w:val="0"/>
        <w:spacing w:before="155"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（8）与建设项目相关的标准、规范、技术资料。</w:t>
      </w:r>
    </w:p>
    <w:p w14:paraId="655BD8EA">
      <w:pPr>
        <w:keepNext w:val="0"/>
        <w:keepLines w:val="0"/>
        <w:pageBreakBefore w:val="0"/>
        <w:wordWrap w:val="0"/>
        <w:overflowPunct/>
        <w:topLinePunct w:val="0"/>
        <w:bidi w:val="0"/>
        <w:spacing w:before="153" w:line="309" w:lineRule="auto"/>
        <w:ind w:left="8" w:right="150" w:firstLine="5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9.2  </w:t>
      </w:r>
      <w:r>
        <w:rPr>
          <w:rFonts w:hint="eastAsia" w:ascii="宋体" w:hAnsi="宋体" w:eastAsia="宋体" w:cs="宋体"/>
          <w:color w:val="000000" w:themeColor="text1"/>
          <w:spacing w:val="0"/>
          <w:sz w:val="24"/>
          <w:szCs w:val="24"/>
          <w:highlight w:val="none"/>
          <w14:textFill>
            <w14:solidFill>
              <w14:schemeClr w14:val="tx1"/>
            </w14:solidFill>
          </w14:textFill>
        </w:rPr>
        <w:t>投标人应根据招标工程量清单、工程量清单计价</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标准</w:t>
      </w:r>
      <w:r>
        <w:rPr>
          <w:rFonts w:hint="eastAsia" w:ascii="宋体" w:hAnsi="宋体" w:eastAsia="宋体" w:cs="宋体"/>
          <w:color w:val="000000" w:themeColor="text1"/>
          <w:spacing w:val="0"/>
          <w:sz w:val="24"/>
          <w:szCs w:val="24"/>
          <w:highlight w:val="none"/>
          <w14:textFill>
            <w14:solidFill>
              <w14:schemeClr w14:val="tx1"/>
            </w14:solidFill>
          </w14:textFill>
        </w:rPr>
        <w:t>中的工作内容、设计文件和有关要求、施工现场实际情况、投标人拟定的施工组织设计、本单位的企业定额和市场价格进行编制，自行报价，并承担一定范围内的风险费用。所谓“一定范围内的风险 ”是指合同约定的风险。</w:t>
      </w:r>
    </w:p>
    <w:p w14:paraId="7D8B28AF">
      <w:pPr>
        <w:keepNext w:val="0"/>
        <w:keepLines w:val="0"/>
        <w:pageBreakBefore w:val="0"/>
        <w:wordWrap w:val="0"/>
        <w:overflowPunct/>
        <w:topLinePunct w:val="0"/>
        <w:bidi w:val="0"/>
        <w:spacing w:before="152" w:line="309" w:lineRule="auto"/>
        <w:ind w:left="9" w:right="150" w:firstLine="55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9.3  </w:t>
      </w:r>
      <w:r>
        <w:rPr>
          <w:rFonts w:hint="eastAsia" w:ascii="宋体" w:hAnsi="宋体" w:eastAsia="宋体" w:cs="宋体"/>
          <w:color w:val="000000" w:themeColor="text1"/>
          <w:spacing w:val="0"/>
          <w:sz w:val="24"/>
          <w:szCs w:val="24"/>
          <w:highlight w:val="none"/>
          <w14:textFill>
            <w14:solidFill>
              <w14:schemeClr w14:val="tx1"/>
            </w14:solidFill>
          </w14:textFill>
        </w:rPr>
        <w:t>招标人及招标代理机构不集中组织现场踏勘，投标人需要了解现场情况的，可自行进行现场踏勘。各投标人应勘察施工现场及周围环境、地形、地貌、水文、交通等情况，以获得一切可能影响到投标的直接资料。投标人应针对现场情况编制施工组织设计，并在编制投标报价时考虑现场情况的影响。</w:t>
      </w:r>
    </w:p>
    <w:p w14:paraId="7BD0F3F4">
      <w:pPr>
        <w:keepNext w:val="0"/>
        <w:keepLines w:val="0"/>
        <w:pageBreakBefore w:val="0"/>
        <w:wordWrap w:val="0"/>
        <w:overflowPunct/>
        <w:topLinePunct w:val="0"/>
        <w:bidi w:val="0"/>
        <w:spacing w:before="155" w:line="279" w:lineRule="auto"/>
        <w:ind w:left="10" w:right="150" w:firstLine="5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9.4  </w:t>
      </w:r>
      <w:r>
        <w:rPr>
          <w:rFonts w:hint="eastAsia" w:ascii="宋体" w:hAnsi="宋体" w:eastAsia="宋体" w:cs="宋体"/>
          <w:color w:val="000000" w:themeColor="text1"/>
          <w:spacing w:val="0"/>
          <w:sz w:val="24"/>
          <w:szCs w:val="24"/>
          <w:highlight w:val="none"/>
          <w14:textFill>
            <w14:solidFill>
              <w14:schemeClr w14:val="tx1"/>
            </w14:solidFill>
          </w14:textFill>
        </w:rPr>
        <w:t>招标人向投标人提供的有关现场的数据和资料，是招标人现有的能被投标人利用的资料，招标人对投标人做出的任何推论、理解和结论均不负责任。</w:t>
      </w:r>
    </w:p>
    <w:p w14:paraId="18DC3EDD">
      <w:pPr>
        <w:keepNext w:val="0"/>
        <w:keepLines w:val="0"/>
        <w:pageBreakBefore w:val="0"/>
        <w:wordWrap w:val="0"/>
        <w:overflowPunct/>
        <w:topLinePunct w:val="0"/>
        <w:bidi w:val="0"/>
        <w:spacing w:before="154" w:line="299" w:lineRule="auto"/>
        <w:ind w:left="12" w:firstLine="55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9.5  </w:t>
      </w:r>
      <w:r>
        <w:rPr>
          <w:rFonts w:hint="eastAsia" w:ascii="宋体" w:hAnsi="宋体" w:eastAsia="宋体" w:cs="宋体"/>
          <w:color w:val="000000" w:themeColor="text1"/>
          <w:spacing w:val="0"/>
          <w:sz w:val="24"/>
          <w:szCs w:val="24"/>
          <w:highlight w:val="none"/>
          <w14:textFill>
            <w14:solidFill>
              <w14:schemeClr w14:val="tx1"/>
            </w14:solidFill>
          </w14:textFill>
        </w:rPr>
        <w:t>投标人必须按照招标工程量清单及表格填报价格。项目编码、项目名称、项目特征、计量单位、工程量必须与招标工程量清单一致。所有报价均以人民币“元 ” 为单位，并保留小数点后两位。</w:t>
      </w:r>
    </w:p>
    <w:p w14:paraId="2DEC74A0">
      <w:pPr>
        <w:keepNext w:val="0"/>
        <w:keepLines w:val="0"/>
        <w:pageBreakBefore w:val="0"/>
        <w:wordWrap w:val="0"/>
        <w:overflowPunct/>
        <w:topLinePunct w:val="0"/>
        <w:bidi w:val="0"/>
        <w:spacing w:before="158" w:line="314" w:lineRule="auto"/>
        <w:ind w:left="9" w:right="150" w:firstLine="55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9.6  </w:t>
      </w:r>
      <w:r>
        <w:rPr>
          <w:rFonts w:hint="eastAsia" w:ascii="宋体" w:hAnsi="宋体" w:eastAsia="宋体" w:cs="宋体"/>
          <w:color w:val="000000" w:themeColor="text1"/>
          <w:spacing w:val="0"/>
          <w:sz w:val="24"/>
          <w:szCs w:val="24"/>
          <w:highlight w:val="none"/>
          <w14:textFill>
            <w14:solidFill>
              <w14:schemeClr w14:val="tx1"/>
            </w14:solidFill>
          </w14:textFill>
        </w:rPr>
        <w:t>投标人只允许有一个投标总价。投标总价必须同时用大、小写表示，大、小写报价应保持一致，若不一致，以大写报价为准。招标工程量清单与计价表中列明的所有需要填写单价和合价的项目，投标人均应填写且只允许有一个报价。未填写单价和合价的项目，视为此项费用已包含在已标价工程量清单其他项目的单价和合价中，竣工结算时不得重新组价和调整。</w:t>
      </w:r>
    </w:p>
    <w:p w14:paraId="40CE886C">
      <w:pPr>
        <w:keepNext w:val="0"/>
        <w:keepLines w:val="0"/>
        <w:pageBreakBefore w:val="0"/>
        <w:wordWrap w:val="0"/>
        <w:overflowPunct/>
        <w:topLinePunct w:val="0"/>
        <w:bidi w:val="0"/>
        <w:spacing w:before="152" w:line="309" w:lineRule="auto"/>
        <w:ind w:left="7" w:right="120" w:firstLine="480"/>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9.7  </w:t>
      </w:r>
      <w:r>
        <w:rPr>
          <w:rFonts w:hint="eastAsia" w:ascii="宋体" w:hAnsi="宋体" w:eastAsia="宋体" w:cs="宋体"/>
          <w:color w:val="000000" w:themeColor="text1"/>
          <w:spacing w:val="0"/>
          <w:sz w:val="24"/>
          <w:szCs w:val="24"/>
          <w:highlight w:val="none"/>
          <w14:textFill>
            <w14:solidFill>
              <w14:schemeClr w14:val="tx1"/>
            </w14:solidFill>
          </w14:textFill>
        </w:rPr>
        <w:t>投标人的投标总价不得高于</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，也不得低于工程成本。投标人对投标总价的所有优惠（降价、让利等），均应当反映在具体清单项目或其综合单价的报价上。</w:t>
      </w:r>
      <w:r>
        <w:rPr>
          <w:rFonts w:hint="eastAsia" w:ascii="宋体" w:hAnsi="宋体" w:eastAsia="宋体" w:cs="宋体"/>
          <w:b/>
          <w:bCs/>
          <w:color w:val="000000" w:themeColor="text1"/>
          <w:spacing w:val="0"/>
          <w:sz w:val="24"/>
          <w:szCs w:val="24"/>
          <w:highlight w:val="none"/>
          <w14:textFill>
            <w14:solidFill>
              <w14:schemeClr w14:val="tx1"/>
            </w14:solidFill>
          </w14:textFill>
        </w:rPr>
        <w:t>如果投标人的投标总价下浮率高于15%时，投标人必须在投标文件中专项作出详细合理的书面说明并提供以往类似工程详细成本分析报告供评标委员会审查。</w:t>
      </w:r>
    </w:p>
    <w:p w14:paraId="2EE97EFC">
      <w:pPr>
        <w:keepNext w:val="0"/>
        <w:keepLines w:val="0"/>
        <w:pageBreakBefore w:val="0"/>
        <w:wordWrap w:val="0"/>
        <w:overflowPunct/>
        <w:topLinePunct w:val="0"/>
        <w:bidi w:val="0"/>
        <w:outlineLvl w:val="9"/>
        <w:rPr>
          <w:rFonts w:hint="eastAsia" w:ascii="宋体" w:hAnsi="宋体" w:eastAsia="宋体" w:cs="宋体"/>
          <w:color w:val="000000" w:themeColor="text1"/>
          <w:spacing w:val="0"/>
          <w:highlight w:val="none"/>
          <w:lang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投标总价下浮率=（1-投标总价</w:t>
      </w:r>
      <w:r>
        <w:rPr>
          <w:rFonts w:hint="eastAsia" w:ascii="宋体" w:hAnsi="宋体" w:eastAsia="宋体" w:cs="宋体"/>
          <w:b/>
          <w:bCs/>
          <w:color w:val="000000" w:themeColor="text1"/>
          <w:spacing w:val="0"/>
          <w:sz w:val="24"/>
          <w:szCs w:val="24"/>
          <w:highlight w:val="none"/>
          <w14:textFill>
            <w14:solidFill>
              <w14:schemeClr w14:val="tx1"/>
            </w14:solidFill>
          </w14:textFill>
        </w:rPr>
        <w:t>÷</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14:textFill>
            <w14:solidFill>
              <w14:schemeClr w14:val="tx1"/>
            </w14:solidFill>
          </w14:textFill>
        </w:rPr>
        <w:t>×</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100%</w:t>
      </w:r>
    </w:p>
    <w:p w14:paraId="0A848A62">
      <w:pPr>
        <w:keepNext w:val="0"/>
        <w:keepLines w:val="0"/>
        <w:pageBreakBefore w:val="0"/>
        <w:wordWrap w:val="0"/>
        <w:overflowPunct/>
        <w:topLinePunct w:val="0"/>
        <w:bidi w:val="0"/>
        <w:spacing w:before="146" w:line="325" w:lineRule="auto"/>
        <w:ind w:left="29" w:right="153" w:firstLine="458"/>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9.8  </w:t>
      </w:r>
      <w:r>
        <w:rPr>
          <w:rFonts w:hint="eastAsia" w:ascii="宋体" w:hAnsi="宋体" w:eastAsia="宋体" w:cs="宋体"/>
          <w:color w:val="000000" w:themeColor="text1"/>
          <w:spacing w:val="0"/>
          <w:sz w:val="24"/>
          <w:szCs w:val="24"/>
          <w:highlight w:val="none"/>
          <w14:textFill>
            <w14:solidFill>
              <w14:schemeClr w14:val="tx1"/>
            </w14:solidFill>
          </w14:textFill>
        </w:rPr>
        <w:t>投标人的</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报价必须达到或超过</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中提供的</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76AD78D0">
      <w:pPr>
        <w:keepNext w:val="0"/>
        <w:keepLines w:val="0"/>
        <w:pageBreakBefore w:val="0"/>
        <w:wordWrap w:val="0"/>
        <w:overflowPunct/>
        <w:topLinePunct w:val="0"/>
        <w:bidi w:val="0"/>
        <w:spacing w:before="78" w:line="309" w:lineRule="auto"/>
        <w:ind w:right="99" w:firstLine="482"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9.9  </w:t>
      </w:r>
      <w:r>
        <w:rPr>
          <w:rFonts w:hint="eastAsia" w:ascii="宋体" w:hAnsi="宋体" w:eastAsia="宋体" w:cs="宋体"/>
          <w:color w:val="000000" w:themeColor="text1"/>
          <w:spacing w:val="0"/>
          <w:sz w:val="24"/>
          <w:szCs w:val="24"/>
          <w:highlight w:val="none"/>
          <w14:textFill>
            <w14:solidFill>
              <w14:schemeClr w14:val="tx1"/>
            </w14:solidFill>
          </w14:textFill>
        </w:rPr>
        <w:t>投标人必须按照招标工程量清单中提供的暂列金额和暂估价统一报价。投标人应充分考虑暂估价项目（或暂列金额项目）的管理和协调所发生的费用，并将其纳入已标价工程量清单中的适当项目。招标人视该项管理和协调所发生的费用已包含在其它有价款的竞争性报价内，不再另行支付。</w:t>
      </w:r>
    </w:p>
    <w:p w14:paraId="31555D04">
      <w:pPr>
        <w:pStyle w:val="6"/>
        <w:keepNext w:val="0"/>
        <w:keepLines w:val="0"/>
        <w:pageBreakBefore w:val="0"/>
        <w:widowControl/>
        <w:kinsoku w:val="0"/>
        <w:wordWrap w:val="0"/>
        <w:overflowPunct/>
        <w:topLinePunct w:val="0"/>
        <w:autoSpaceDE w:val="0"/>
        <w:autoSpaceDN w:val="0"/>
        <w:bidi w:val="0"/>
        <w:adjustRightInd w:val="0"/>
        <w:snapToGrid w:val="0"/>
        <w:spacing w:line="310" w:lineRule="auto"/>
        <w:ind w:firstLine="422" w:firstLineChars="200"/>
        <w:textAlignment w:val="baseline"/>
        <w:rPr>
          <w:rFonts w:hint="eastAsia" w:ascii="宋体" w:hAnsi="宋体" w:eastAsia="宋体" w:cs="宋体"/>
          <w:snapToGrid w:val="0"/>
          <w:color w:val="000000" w:themeColor="text1"/>
          <w:spacing w:val="0"/>
          <w:sz w:val="24"/>
          <w:szCs w:val="24"/>
          <w:highlight w:val="none"/>
          <w:lang w:val="en-US" w:eastAsia="en-US" w:bidi="ar-SA"/>
          <w14:textFill>
            <w14:solidFill>
              <w14:schemeClr w14:val="tx1"/>
            </w14:solidFill>
          </w14:textFill>
        </w:rPr>
      </w:pPr>
      <w:r>
        <w:rPr>
          <w:rFonts w:hint="eastAsia" w:ascii="宋体" w:hAnsi="宋体" w:eastAsia="宋体" w:cs="宋体"/>
          <w:b/>
          <w:bCs/>
          <w:color w:val="000000" w:themeColor="text1"/>
          <w:spacing w:val="0"/>
          <w:highlight w:val="none"/>
          <w14:textFill>
            <w14:solidFill>
              <w14:schemeClr w14:val="tx1"/>
            </w14:solidFill>
          </w14:textFill>
        </w:rPr>
        <w:t xml:space="preserve">9.10 </w:t>
      </w:r>
      <w:r>
        <w:rPr>
          <w:rFonts w:hint="eastAsia" w:ascii="宋体" w:hAnsi="宋体" w:eastAsia="宋体" w:cs="宋体"/>
          <w:snapToGrid w:val="0"/>
          <w:color w:val="000000" w:themeColor="text1"/>
          <w:spacing w:val="0"/>
          <w:sz w:val="24"/>
          <w:szCs w:val="24"/>
          <w:highlight w:val="none"/>
          <w:lang w:val="en-US" w:eastAsia="en-US" w:bidi="ar-SA"/>
          <w14:textFill>
            <w14:solidFill>
              <w14:schemeClr w14:val="tx1"/>
            </w14:solidFill>
          </w14:textFill>
        </w:rPr>
        <w:t>预算包干内容一般包括施工雨（污）水的排除、因地形影响造成的场内料具二次运输、20米高以下的工程用水加压措施、施工材料堆放场地的整理、机电安装后的补洞（槽）工料费、工程成品保护费、施工中的临时停水停电、基础埋深 2 米以内挖土方的塌方、日间照明施工增加费（不包括地下室和特殊工程）、完工清场后的垃圾外运等。投标报价时，应按《广东省建设工程计价依据（2018）》规定的费率报价，若招标工程量清单明确说明不计算预算包干费或另外确定预算包干费费率的，则按招标工程量清单报价。</w:t>
      </w:r>
    </w:p>
    <w:p w14:paraId="02BC6D0D">
      <w:pPr>
        <w:keepNext w:val="0"/>
        <w:keepLines w:val="0"/>
        <w:pageBreakBefore w:val="0"/>
        <w:wordWrap w:val="0"/>
        <w:overflowPunct/>
        <w:topLinePunct w:val="0"/>
        <w:bidi w:val="0"/>
        <w:spacing w:before="78" w:line="220" w:lineRule="auto"/>
        <w:ind w:left="496"/>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45" w:name="_Toc990"/>
      <w:bookmarkStart w:id="46" w:name="_Toc16322"/>
      <w:r>
        <w:rPr>
          <w:rFonts w:hint="eastAsia" w:ascii="宋体" w:hAnsi="宋体" w:eastAsia="宋体" w:cs="宋体"/>
          <w:b/>
          <w:bCs/>
          <w:color w:val="000000" w:themeColor="text1"/>
          <w:spacing w:val="0"/>
          <w:sz w:val="24"/>
          <w:szCs w:val="24"/>
          <w:highlight w:val="none"/>
          <w14:textFill>
            <w14:solidFill>
              <w14:schemeClr w14:val="tx1"/>
            </w14:solidFill>
          </w14:textFill>
        </w:rPr>
        <w:t>10 ．投标文件的编制要求</w:t>
      </w:r>
      <w:bookmarkEnd w:id="45"/>
      <w:bookmarkEnd w:id="46"/>
    </w:p>
    <w:p w14:paraId="1ADA1598">
      <w:pPr>
        <w:keepNext w:val="0"/>
        <w:keepLines w:val="0"/>
        <w:pageBreakBefore w:val="0"/>
        <w:wordWrap w:val="0"/>
        <w:overflowPunct/>
        <w:topLinePunct w:val="0"/>
        <w:bidi w:val="0"/>
        <w:spacing w:before="152" w:line="222" w:lineRule="auto"/>
        <w:ind w:left="496"/>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47" w:name="_Toc20590"/>
      <w:bookmarkStart w:id="48" w:name="_Toc22937"/>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10.1  </w:t>
      </w:r>
      <w:r>
        <w:rPr>
          <w:rFonts w:hint="eastAsia" w:ascii="宋体" w:hAnsi="宋体" w:eastAsia="宋体" w:cs="宋体"/>
          <w:color w:val="000000" w:themeColor="text1"/>
          <w:spacing w:val="0"/>
          <w:sz w:val="24"/>
          <w:szCs w:val="24"/>
          <w:highlight w:val="none"/>
          <w14:textFill>
            <w14:solidFill>
              <w14:schemeClr w14:val="tx1"/>
            </w14:solidFill>
          </w14:textFill>
        </w:rPr>
        <w:t>一般要求</w:t>
      </w:r>
      <w:bookmarkEnd w:id="47"/>
      <w:bookmarkEnd w:id="48"/>
    </w:p>
    <w:p w14:paraId="3BA09E09">
      <w:pPr>
        <w:keepNext w:val="0"/>
        <w:keepLines w:val="0"/>
        <w:pageBreakBefore w:val="0"/>
        <w:wordWrap w:val="0"/>
        <w:overflowPunct/>
        <w:topLinePunct w:val="0"/>
        <w:bidi w:val="0"/>
        <w:spacing w:before="118" w:line="295" w:lineRule="auto"/>
        <w:ind w:left="11" w:right="99" w:firstLine="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投标文件应按第六章投标文件格式规定的内容，投标人提交的投标文件应当使用招标文件所提供的投标文件全部格式。</w:t>
      </w:r>
    </w:p>
    <w:p w14:paraId="64F68F54">
      <w:pPr>
        <w:keepNext w:val="0"/>
        <w:keepLines w:val="0"/>
        <w:pageBreakBefore w:val="0"/>
        <w:wordWrap w:val="0"/>
        <w:overflowPunct/>
        <w:topLinePunct w:val="0"/>
        <w:bidi w:val="0"/>
        <w:spacing w:before="68" w:line="299" w:lineRule="auto"/>
        <w:ind w:left="11" w:right="99" w:firstLine="56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10.1.1  </w:t>
      </w:r>
      <w:r>
        <w:rPr>
          <w:rFonts w:hint="eastAsia" w:ascii="宋体" w:hAnsi="宋体" w:eastAsia="宋体" w:cs="宋体"/>
          <w:color w:val="000000" w:themeColor="text1"/>
          <w:spacing w:val="0"/>
          <w:sz w:val="24"/>
          <w:szCs w:val="24"/>
          <w:highlight w:val="none"/>
          <w14:textFill>
            <w14:solidFill>
              <w14:schemeClr w14:val="tx1"/>
            </w14:solidFill>
          </w14:textFill>
        </w:rPr>
        <w:t>投标人必须响应招标文件，并在充分理解招标人提供的全部文件、设计图纸、资料及现场条件的基础上编制投标文件。因投标文件不符合招标文件的要求而造成的损失和后果，由投标人自行承担。</w:t>
      </w:r>
    </w:p>
    <w:p w14:paraId="51122B59">
      <w:pPr>
        <w:keepNext w:val="0"/>
        <w:keepLines w:val="0"/>
        <w:pageBreakBefore w:val="0"/>
        <w:wordWrap w:val="0"/>
        <w:overflowPunct/>
        <w:topLinePunct w:val="0"/>
        <w:bidi w:val="0"/>
        <w:spacing w:before="123" w:line="290" w:lineRule="auto"/>
        <w:ind w:left="8" w:firstLine="56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10.1.2  </w:t>
      </w:r>
      <w:r>
        <w:rPr>
          <w:rFonts w:hint="eastAsia" w:ascii="宋体" w:hAnsi="宋体" w:eastAsia="宋体" w:cs="宋体"/>
          <w:color w:val="000000" w:themeColor="text1"/>
          <w:spacing w:val="0"/>
          <w:sz w:val="24"/>
          <w:szCs w:val="24"/>
          <w:highlight w:val="none"/>
          <w14:textFill>
            <w14:solidFill>
              <w14:schemeClr w14:val="tx1"/>
            </w14:solidFill>
          </w14:textFill>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交易指引。</w:t>
      </w:r>
    </w:p>
    <w:p w14:paraId="1C1308EF">
      <w:pPr>
        <w:keepNext w:val="0"/>
        <w:keepLines w:val="0"/>
        <w:pageBreakBefore w:val="0"/>
        <w:wordWrap w:val="0"/>
        <w:overflowPunct/>
        <w:topLinePunct w:val="0"/>
        <w:bidi w:val="0"/>
        <w:spacing w:before="1" w:line="219" w:lineRule="auto"/>
        <w:ind w:left="57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10.1.3  </w:t>
      </w:r>
      <w:r>
        <w:rPr>
          <w:rFonts w:hint="eastAsia" w:ascii="宋体" w:hAnsi="宋体" w:eastAsia="宋体" w:cs="宋体"/>
          <w:color w:val="000000" w:themeColor="text1"/>
          <w:spacing w:val="0"/>
          <w:sz w:val="24"/>
          <w:szCs w:val="24"/>
          <w:highlight w:val="none"/>
          <w14:textFill>
            <w14:solidFill>
              <w14:schemeClr w14:val="tx1"/>
            </w14:solidFill>
          </w14:textFill>
        </w:rPr>
        <w:t>投标文件需按以下要求签字、盖章：电子投标文件：</w:t>
      </w:r>
    </w:p>
    <w:p w14:paraId="75FDA074">
      <w:pPr>
        <w:keepNext w:val="0"/>
        <w:keepLines w:val="0"/>
        <w:pageBreakBefore w:val="0"/>
        <w:wordWrap w:val="0"/>
        <w:overflowPunct/>
        <w:topLinePunct w:val="0"/>
        <w:bidi w:val="0"/>
        <w:spacing w:before="111" w:line="279" w:lineRule="auto"/>
        <w:ind w:right="133" w:firstLine="57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"10.1.3.1"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10.1.3.1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投标文件封面、组成内容中凡注明“签字 ”处由要求的人员签字或电子签章；凡注明“签字或盖章 ”处由要求的人员签字或盖其私章（电子印章）；凡注明“签字并盖执业印章 ”处由要求的人员签字并盖其执业印章。</w:t>
      </w:r>
    </w:p>
    <w:p w14:paraId="6358B792">
      <w:pPr>
        <w:keepNext w:val="0"/>
        <w:keepLines w:val="0"/>
        <w:pageBreakBefore w:val="0"/>
        <w:wordWrap w:val="0"/>
        <w:overflowPunct/>
        <w:topLinePunct w:val="0"/>
        <w:bidi w:val="0"/>
        <w:spacing w:before="112" w:line="264" w:lineRule="auto"/>
        <w:ind w:left="13" w:right="133" w:firstLine="5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"10.1.3.2"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10.1.3.2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投标文件封套、封面、组成内容中凡要求录入投标人名称且注明“盖单位章 ”处盖单位法人公章（电子印章）。</w:t>
      </w:r>
    </w:p>
    <w:p w14:paraId="3F70DCC9">
      <w:pPr>
        <w:keepNext w:val="0"/>
        <w:keepLines w:val="0"/>
        <w:pageBreakBefore w:val="0"/>
        <w:wordWrap w:val="0"/>
        <w:overflowPunct/>
        <w:topLinePunct w:val="0"/>
        <w:bidi w:val="0"/>
        <w:spacing w:before="146" w:line="279" w:lineRule="auto"/>
        <w:ind w:left="16" w:right="135" w:firstLine="56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"10.1.3.3"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10.1.3.3</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投标文件的签字均为签字人本人亲笔署名或签章（电子印章），其余部分的复印件无须另行签字、盖章。</w:t>
      </w:r>
    </w:p>
    <w:p w14:paraId="2DA037BE">
      <w:pPr>
        <w:keepNext w:val="0"/>
        <w:keepLines w:val="0"/>
        <w:pageBreakBefore w:val="0"/>
        <w:wordWrap w:val="0"/>
        <w:overflowPunct/>
        <w:topLinePunct w:val="0"/>
        <w:bidi w:val="0"/>
        <w:spacing w:before="155" w:line="219" w:lineRule="auto"/>
        <w:ind w:left="0" w:leftChars="0" w:firstLine="482" w:firstLineChars="200"/>
        <w:outlineLvl w:val="9"/>
        <w:rPr>
          <w:rFonts w:hint="eastAsia" w:ascii="宋体" w:hAnsi="宋体" w:eastAsia="宋体" w:cs="宋体"/>
          <w:b w:val="0"/>
          <w:bCs w:val="0"/>
          <w:color w:val="000000" w:themeColor="text1"/>
          <w:spacing w:val="0"/>
          <w:sz w:val="24"/>
          <w:szCs w:val="24"/>
          <w:highlight w:val="none"/>
          <w14:textFill>
            <w14:solidFill>
              <w14:schemeClr w14:val="tx1"/>
            </w14:solidFill>
          </w14:textFill>
        </w:rPr>
      </w:pPr>
      <w:bookmarkStart w:id="49" w:name="_Toc20223"/>
      <w:bookmarkStart w:id="50" w:name="_Toc21271"/>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10.1.3.4 </w:t>
      </w:r>
      <w:r>
        <w:rPr>
          <w:rFonts w:hint="eastAsia" w:ascii="宋体" w:hAnsi="宋体" w:eastAsia="宋体" w:cs="宋体"/>
          <w:color w:val="000000" w:themeColor="text1"/>
          <w:spacing w:val="0"/>
          <w:sz w:val="24"/>
          <w:szCs w:val="24"/>
          <w:highlight w:val="none"/>
          <w14:textFill>
            <w14:solidFill>
              <w14:schemeClr w14:val="tx1"/>
            </w14:solidFill>
          </w14:textFill>
        </w:rPr>
        <w:t>联合体投标的，除《联合体协议书》外，由联合体牵头人按以上要求签亲笔署名或签章（电子印章）即可。</w:t>
      </w:r>
    </w:p>
    <w:p w14:paraId="0C858C64">
      <w:pPr>
        <w:keepNext w:val="0"/>
        <w:keepLines w:val="0"/>
        <w:pageBreakBefore w:val="0"/>
        <w:wordWrap w:val="0"/>
        <w:overflowPunct/>
        <w:topLinePunct w:val="0"/>
        <w:bidi w:val="0"/>
        <w:spacing w:before="155" w:line="219" w:lineRule="auto"/>
        <w:ind w:left="500"/>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10.2  </w:t>
      </w:r>
      <w:r>
        <w:rPr>
          <w:rFonts w:hint="eastAsia" w:ascii="宋体" w:hAnsi="宋体" w:eastAsia="宋体" w:cs="宋体"/>
          <w:color w:val="000000" w:themeColor="text1"/>
          <w:spacing w:val="0"/>
          <w:sz w:val="24"/>
          <w:szCs w:val="24"/>
          <w:highlight w:val="none"/>
          <w14:textFill>
            <w14:solidFill>
              <w14:schemeClr w14:val="tx1"/>
            </w14:solidFill>
          </w14:textFill>
        </w:rPr>
        <w:t>商务标书的编制要求</w:t>
      </w:r>
      <w:bookmarkEnd w:id="49"/>
      <w:bookmarkEnd w:id="50"/>
    </w:p>
    <w:p w14:paraId="0C2AF9BC">
      <w:pPr>
        <w:keepNext w:val="0"/>
        <w:keepLines w:val="0"/>
        <w:pageBreakBefore w:val="0"/>
        <w:wordWrap w:val="0"/>
        <w:overflowPunct/>
        <w:topLinePunct w:val="0"/>
        <w:bidi w:val="0"/>
        <w:spacing w:before="157" w:line="219" w:lineRule="auto"/>
        <w:ind w:left="58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10.2.1 </w:t>
      </w:r>
      <w:r>
        <w:rPr>
          <w:rFonts w:hint="eastAsia" w:ascii="宋体" w:hAnsi="宋体" w:eastAsia="宋体" w:cs="宋体"/>
          <w:color w:val="000000" w:themeColor="text1"/>
          <w:spacing w:val="0"/>
          <w:sz w:val="24"/>
          <w:szCs w:val="24"/>
          <w:highlight w:val="none"/>
          <w14:textFill>
            <w14:solidFill>
              <w14:schemeClr w14:val="tx1"/>
            </w14:solidFill>
          </w14:textFill>
        </w:rPr>
        <w:t>商务标书包括但不限于以下内容：</w:t>
      </w:r>
    </w:p>
    <w:p w14:paraId="352E57AE">
      <w:pPr>
        <w:keepNext w:val="0"/>
        <w:keepLines w:val="0"/>
        <w:pageBreakBefore w:val="0"/>
        <w:wordWrap w:val="0"/>
        <w:overflowPunct/>
        <w:topLinePunct w:val="0"/>
        <w:bidi w:val="0"/>
        <w:spacing w:before="154" w:line="22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（1）封面（格式一）；</w:t>
      </w:r>
    </w:p>
    <w:p w14:paraId="76EADC31">
      <w:pPr>
        <w:keepNext w:val="0"/>
        <w:keepLines w:val="0"/>
        <w:pageBreakBefore w:val="0"/>
        <w:wordWrap w:val="0"/>
        <w:overflowPunct/>
        <w:topLinePunct w:val="0"/>
        <w:bidi w:val="0"/>
        <w:spacing w:before="153" w:line="222"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目录；</w:t>
      </w:r>
    </w:p>
    <w:p w14:paraId="774FBD39">
      <w:pPr>
        <w:keepNext w:val="0"/>
        <w:keepLines w:val="0"/>
        <w:pageBreakBefore w:val="0"/>
        <w:wordWrap w:val="0"/>
        <w:overflowPunct/>
        <w:topLinePunct w:val="0"/>
        <w:bidi w:val="0"/>
        <w:spacing w:before="153" w:line="22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（3）《投标函》（格式二）；</w:t>
      </w:r>
    </w:p>
    <w:p w14:paraId="720161C8">
      <w:pPr>
        <w:keepNext w:val="0"/>
        <w:keepLines w:val="0"/>
        <w:pageBreakBefore w:val="0"/>
        <w:wordWrap w:val="0"/>
        <w:overflowPunct/>
        <w:topLinePunct w:val="0"/>
        <w:bidi w:val="0"/>
        <w:spacing w:before="153" w:line="22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（4）《各项承诺一览表》（格式三）；</w:t>
      </w:r>
    </w:p>
    <w:p w14:paraId="7094AFC2">
      <w:pPr>
        <w:keepNext w:val="0"/>
        <w:keepLines w:val="0"/>
        <w:pageBreakBefore w:val="0"/>
        <w:wordWrap w:val="0"/>
        <w:overflowPunct/>
        <w:topLinePunct w:val="0"/>
        <w:bidi w:val="0"/>
        <w:spacing w:before="154"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（5）《授权委托书》（格式四）；</w:t>
      </w:r>
    </w:p>
    <w:p w14:paraId="3AF70EF9">
      <w:pPr>
        <w:keepNext w:val="0"/>
        <w:keepLines w:val="0"/>
        <w:pageBreakBefore w:val="0"/>
        <w:wordWrap w:val="0"/>
        <w:overflowPunct/>
        <w:topLinePunct w:val="0"/>
        <w:bidi w:val="0"/>
        <w:spacing w:before="156" w:line="22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（6）《法定代表人身份证明》（格式五）；</w:t>
      </w:r>
    </w:p>
    <w:p w14:paraId="2DB8A529">
      <w:pPr>
        <w:keepNext w:val="0"/>
        <w:keepLines w:val="0"/>
        <w:pageBreakBefore w:val="0"/>
        <w:wordWrap w:val="0"/>
        <w:overflowPunct/>
        <w:topLinePunct w:val="0"/>
        <w:bidi w:val="0"/>
        <w:spacing w:before="154"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（7）《联合体协议书》（格式六）及所附资料；</w:t>
      </w:r>
    </w:p>
    <w:p w14:paraId="6673BC70">
      <w:pPr>
        <w:keepNext w:val="0"/>
        <w:keepLines w:val="0"/>
        <w:pageBreakBefore w:val="0"/>
        <w:wordWrap w:val="0"/>
        <w:overflowPunct/>
        <w:topLinePunct w:val="0"/>
        <w:bidi w:val="0"/>
        <w:spacing w:before="153" w:line="309" w:lineRule="auto"/>
        <w:ind w:left="13" w:right="133"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投标保证缴纳证明（投标人采用投标保证金的，附建设工程交易系统《缴纳投标保证金通知书》页面截图和银行转账单彩色扫描件；采用投标保证担保的，附银行保函彩色扫描件；采用投标保证保险的，附电子保单和</w:t>
      </w:r>
      <w:r>
        <w:rPr>
          <w:rFonts w:hint="eastAsia" w:ascii="宋体" w:hAnsi="宋体" w:eastAsia="宋体" w:cs="宋体"/>
          <w:b/>
          <w:bCs/>
          <w:color w:val="000000" w:themeColor="text1"/>
          <w:spacing w:val="0"/>
          <w:sz w:val="24"/>
          <w:szCs w:val="24"/>
          <w:highlight w:val="none"/>
          <w14:textFill>
            <w14:solidFill>
              <w14:schemeClr w14:val="tx1"/>
            </w14:solidFill>
          </w14:textFill>
        </w:rPr>
        <w:t>《韶关市公共资源交易一体化平台保证金缴纳信息》页面截图</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36031B27">
      <w:pPr>
        <w:keepNext w:val="0"/>
        <w:keepLines w:val="0"/>
        <w:pageBreakBefore w:val="0"/>
        <w:wordWrap w:val="0"/>
        <w:overflowPunct/>
        <w:topLinePunct w:val="0"/>
        <w:bidi w:val="0"/>
        <w:spacing w:before="156"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（9）《投标人基本情况表》（格式七）及所附资料；</w:t>
      </w:r>
    </w:p>
    <w:p w14:paraId="2CE7262F">
      <w:pPr>
        <w:keepNext w:val="0"/>
        <w:keepLines w:val="0"/>
        <w:pageBreakBefore w:val="0"/>
        <w:wordWrap w:val="0"/>
        <w:overflowPunct/>
        <w:topLinePunct w:val="0"/>
        <w:bidi w:val="0"/>
        <w:spacing w:before="155"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（10）《项目经理简历表》（格式八）及所附资料；</w:t>
      </w:r>
    </w:p>
    <w:p w14:paraId="4BF4D313">
      <w:pPr>
        <w:keepNext w:val="0"/>
        <w:keepLines w:val="0"/>
        <w:pageBreakBefore w:val="0"/>
        <w:wordWrap w:val="0"/>
        <w:overflowPunct/>
        <w:topLinePunct w:val="0"/>
        <w:bidi w:val="0"/>
        <w:spacing w:before="154" w:line="22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（11）《项目经理任职声明》（格式九）；</w:t>
      </w:r>
    </w:p>
    <w:p w14:paraId="6D95CC60">
      <w:pPr>
        <w:keepNext w:val="0"/>
        <w:keepLines w:val="0"/>
        <w:pageBreakBefore w:val="0"/>
        <w:wordWrap w:val="0"/>
        <w:overflowPunct/>
        <w:topLinePunct w:val="0"/>
        <w:bidi w:val="0"/>
        <w:spacing w:before="156"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（12）《项目技术负责人简历表》（格式十）及所附资料；</w:t>
      </w:r>
    </w:p>
    <w:p w14:paraId="0132BAD9">
      <w:pPr>
        <w:keepNext w:val="0"/>
        <w:keepLines w:val="0"/>
        <w:pageBreakBefore w:val="0"/>
        <w:wordWrap w:val="0"/>
        <w:overflowPunct/>
        <w:topLinePunct w:val="0"/>
        <w:bidi w:val="0"/>
        <w:spacing w:before="154"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（13）《项</w:t>
      </w:r>
      <w:bookmarkStart w:id="51" w:name="OLE_LINK7"/>
      <w:r>
        <w:rPr>
          <w:rFonts w:hint="eastAsia" w:ascii="宋体" w:hAnsi="宋体" w:eastAsia="宋体" w:cs="宋体"/>
          <w:color w:val="000000" w:themeColor="text1"/>
          <w:spacing w:val="0"/>
          <w:sz w:val="24"/>
          <w:szCs w:val="24"/>
          <w:highlight w:val="none"/>
          <w14:textFill>
            <w14:solidFill>
              <w14:schemeClr w14:val="tx1"/>
            </w14:solidFill>
          </w14:textFill>
        </w:rPr>
        <w:t>目管理机构组成表》（格式十一）及</w:t>
      </w:r>
      <w:bookmarkEnd w:id="51"/>
      <w:r>
        <w:rPr>
          <w:rFonts w:hint="eastAsia" w:ascii="宋体" w:hAnsi="宋体" w:eastAsia="宋体" w:cs="宋体"/>
          <w:color w:val="000000" w:themeColor="text1"/>
          <w:spacing w:val="0"/>
          <w:sz w:val="24"/>
          <w:szCs w:val="24"/>
          <w:highlight w:val="none"/>
          <w14:textFill>
            <w14:solidFill>
              <w14:schemeClr w14:val="tx1"/>
            </w14:solidFill>
          </w14:textFill>
        </w:rPr>
        <w:t>所附资料；</w:t>
      </w:r>
    </w:p>
    <w:p w14:paraId="6E0A04ED">
      <w:pPr>
        <w:keepNext w:val="0"/>
        <w:keepLines w:val="0"/>
        <w:pageBreakBefore w:val="0"/>
        <w:wordWrap w:val="0"/>
        <w:overflowPunct/>
        <w:topLinePunct w:val="0"/>
        <w:bidi w:val="0"/>
        <w:spacing w:before="155"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（14）本节第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15.5.1 </w:t>
      </w:r>
      <w:r>
        <w:rPr>
          <w:rFonts w:hint="eastAsia" w:ascii="宋体" w:hAnsi="宋体" w:eastAsia="宋体" w:cs="宋体"/>
          <w:color w:val="000000" w:themeColor="text1"/>
          <w:spacing w:val="0"/>
          <w:sz w:val="24"/>
          <w:szCs w:val="24"/>
          <w:highlight w:val="none"/>
          <w14:textFill>
            <w14:solidFill>
              <w14:schemeClr w14:val="tx1"/>
            </w14:solidFill>
          </w14:textFill>
        </w:rPr>
        <w:t>目“评标方法 ”要求提供的评审资料；</w:t>
      </w:r>
    </w:p>
    <w:p w14:paraId="03DF9A5F">
      <w:pPr>
        <w:keepNext w:val="0"/>
        <w:keepLines w:val="0"/>
        <w:pageBreakBefore w:val="0"/>
        <w:wordWrap w:val="0"/>
        <w:overflowPunct/>
        <w:topLinePunct w:val="0"/>
        <w:bidi w:val="0"/>
        <w:spacing w:before="78" w:line="299" w:lineRule="auto"/>
        <w:ind w:left="8" w:right="61" w:firstLine="4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（15）投标人认为有必要补充的其他资料。（例如投标人已经工商变更，但其企业资质证书、安全生产许可证或其员工执业资格注册证书上的企业名称未能在投标期间完成变更的书面说明和佐证材料等）</w:t>
      </w:r>
    </w:p>
    <w:p w14:paraId="29D2CA8C">
      <w:pPr>
        <w:keepNext w:val="0"/>
        <w:keepLines w:val="0"/>
        <w:pageBreakBefore w:val="0"/>
        <w:wordWrap w:val="0"/>
        <w:overflowPunct/>
        <w:topLinePunct w:val="0"/>
        <w:bidi w:val="0"/>
        <w:spacing w:before="155" w:line="262" w:lineRule="auto"/>
        <w:ind w:left="9" w:right="61" w:firstLine="48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10.2.2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本节第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10.2.1  </w:t>
      </w:r>
      <w:r>
        <w:rPr>
          <w:rFonts w:hint="eastAsia" w:ascii="宋体" w:hAnsi="宋体" w:eastAsia="宋体" w:cs="宋体"/>
          <w:color w:val="000000" w:themeColor="text1"/>
          <w:spacing w:val="0"/>
          <w:sz w:val="24"/>
          <w:szCs w:val="24"/>
          <w:highlight w:val="none"/>
          <w14:textFill>
            <w14:solidFill>
              <w14:schemeClr w14:val="tx1"/>
            </w14:solidFill>
          </w14:textFill>
        </w:rPr>
        <w:t>目中所列出的商务标书组成内容中，第（1）至第（13）项所有投标人均应提供，</w:t>
      </w:r>
      <w:r>
        <w:rPr>
          <w:rFonts w:hint="eastAsia" w:ascii="宋体" w:hAnsi="宋体" w:eastAsia="宋体" w:cs="宋体"/>
          <w:b/>
          <w:bCs/>
          <w:color w:val="000000" w:themeColor="text1"/>
          <w:spacing w:val="0"/>
          <w:sz w:val="24"/>
          <w:szCs w:val="24"/>
          <w:highlight w:val="none"/>
          <w14:textFill>
            <w14:solidFill>
              <w14:schemeClr w14:val="tx1"/>
            </w14:solidFill>
          </w14:textFill>
        </w:rPr>
        <w:t>但非联合体投标的，无需提供第（7）项内容。</w:t>
      </w:r>
    </w:p>
    <w:p w14:paraId="2F3F2186">
      <w:pPr>
        <w:keepNext w:val="0"/>
        <w:keepLines w:val="0"/>
        <w:pageBreakBefore w:val="0"/>
        <w:wordWrap w:val="0"/>
        <w:overflowPunct/>
        <w:topLinePunct w:val="0"/>
        <w:bidi w:val="0"/>
        <w:spacing w:before="199" w:line="279" w:lineRule="auto"/>
        <w:ind w:right="61" w:firstLine="482"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10.2.3 </w:t>
      </w:r>
      <w:r>
        <w:rPr>
          <w:rFonts w:hint="eastAsia" w:ascii="宋体" w:hAnsi="宋体" w:eastAsia="宋体" w:cs="宋体"/>
          <w:color w:val="000000" w:themeColor="text1"/>
          <w:spacing w:val="0"/>
          <w:sz w:val="24"/>
          <w:szCs w:val="24"/>
          <w:highlight w:val="none"/>
          <w14:textFill>
            <w14:solidFill>
              <w14:schemeClr w14:val="tx1"/>
            </w14:solidFill>
          </w14:textFill>
        </w:rPr>
        <w:t>商务标书的组成内容按本节第 10.2.1 目规定的顺序整理、编排后，逐页（页码起始从封面开始）连续标记页码。</w:t>
      </w:r>
    </w:p>
    <w:p w14:paraId="2120F2BD">
      <w:pPr>
        <w:pStyle w:val="6"/>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2D4DCA8F">
      <w:pPr>
        <w:keepNext w:val="0"/>
        <w:keepLines w:val="0"/>
        <w:pageBreakBefore w:val="0"/>
        <w:wordWrap w:val="0"/>
        <w:overflowPunct/>
        <w:topLinePunct w:val="0"/>
        <w:bidi w:val="0"/>
        <w:spacing w:before="78" w:line="219" w:lineRule="auto"/>
        <w:ind w:left="496"/>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52" w:name="_Toc10602"/>
      <w:bookmarkStart w:id="53" w:name="_Toc29370"/>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  </w:t>
      </w:r>
      <w:r>
        <w:rPr>
          <w:rFonts w:hint="eastAsia" w:ascii="宋体" w:hAnsi="宋体" w:eastAsia="宋体" w:cs="宋体"/>
          <w:color w:val="000000" w:themeColor="text1"/>
          <w:spacing w:val="0"/>
          <w:sz w:val="24"/>
          <w:szCs w:val="24"/>
          <w:highlight w:val="none"/>
          <w14:textFill>
            <w14:solidFill>
              <w14:schemeClr w14:val="tx1"/>
            </w14:solidFill>
          </w14:textFill>
        </w:rPr>
        <w:t>经济标书的编制要求</w:t>
      </w:r>
      <w:bookmarkEnd w:id="52"/>
      <w:bookmarkEnd w:id="53"/>
    </w:p>
    <w:p w14:paraId="1F78619A">
      <w:pPr>
        <w:keepNext w:val="0"/>
        <w:keepLines w:val="0"/>
        <w:pageBreakBefore w:val="0"/>
        <w:wordWrap w:val="0"/>
        <w:overflowPunct/>
        <w:topLinePunct w:val="0"/>
        <w:bidi w:val="0"/>
        <w:spacing w:before="154" w:line="219"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10.3.1  </w:t>
      </w:r>
      <w:r>
        <w:rPr>
          <w:rFonts w:hint="eastAsia" w:ascii="宋体" w:hAnsi="宋体" w:eastAsia="宋体" w:cs="宋体"/>
          <w:color w:val="000000" w:themeColor="text1"/>
          <w:spacing w:val="0"/>
          <w:sz w:val="24"/>
          <w:szCs w:val="24"/>
          <w:highlight w:val="none"/>
          <w14:textFill>
            <w14:solidFill>
              <w14:schemeClr w14:val="tx1"/>
            </w14:solidFill>
          </w14:textFill>
        </w:rPr>
        <w:t>经济标书包括以下内容：</w:t>
      </w:r>
    </w:p>
    <w:p w14:paraId="57663477">
      <w:pPr>
        <w:keepNext w:val="0"/>
        <w:keepLines w:val="0"/>
        <w:pageBreakBefore w:val="0"/>
        <w:wordWrap w:val="0"/>
        <w:overflowPunct/>
        <w:topLinePunct w:val="0"/>
        <w:bidi w:val="0"/>
        <w:spacing w:before="156"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（1）封面（格式一）；</w:t>
      </w:r>
    </w:p>
    <w:p w14:paraId="18A4AD47">
      <w:pPr>
        <w:keepNext w:val="0"/>
        <w:keepLines w:val="0"/>
        <w:pageBreakBefore w:val="0"/>
        <w:wordWrap w:val="0"/>
        <w:overflowPunct/>
        <w:topLinePunct w:val="0"/>
        <w:bidi w:val="0"/>
        <w:spacing w:before="153" w:line="222"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目录；</w:t>
      </w:r>
    </w:p>
    <w:p w14:paraId="74083071">
      <w:pPr>
        <w:keepNext w:val="0"/>
        <w:keepLines w:val="0"/>
        <w:pageBreakBefore w:val="0"/>
        <w:wordWrap w:val="0"/>
        <w:overflowPunct/>
        <w:topLinePunct w:val="0"/>
        <w:bidi w:val="0"/>
        <w:spacing w:before="150"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（3）《投标总价》；</w:t>
      </w:r>
    </w:p>
    <w:p w14:paraId="105877BB">
      <w:pPr>
        <w:keepNext w:val="0"/>
        <w:keepLines w:val="0"/>
        <w:pageBreakBefore w:val="0"/>
        <w:widowControl/>
        <w:kinsoku w:val="0"/>
        <w:wordWrap w:val="0"/>
        <w:overflowPunct/>
        <w:topLinePunct w:val="0"/>
        <w:autoSpaceDE w:val="0"/>
        <w:autoSpaceDN w:val="0"/>
        <w:bidi w:val="0"/>
        <w:adjustRightInd w:val="0"/>
        <w:snapToGrid w:val="0"/>
        <w:spacing w:before="155" w:line="310" w:lineRule="auto"/>
        <w:ind w:left="6"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说明：《投标总价》的格式按照《</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）执行，并应满足以下要求：</w:t>
      </w:r>
    </w:p>
    <w:p w14:paraId="2569EC2C">
      <w:pPr>
        <w:keepNext w:val="0"/>
        <w:keepLines w:val="0"/>
        <w:pageBreakBefore w:val="0"/>
        <w:wordWrap w:val="0"/>
        <w:overflowPunct/>
        <w:topLinePunct w:val="0"/>
        <w:bidi w:val="0"/>
        <w:spacing w:before="150" w:line="309" w:lineRule="auto"/>
        <w:ind w:left="8" w:firstLine="48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a </w:t>
      </w:r>
      <w:r>
        <w:rPr>
          <w:rFonts w:hint="eastAsia" w:ascii="宋体" w:hAnsi="宋体" w:eastAsia="宋体" w:cs="宋体"/>
          <w:color w:val="000000" w:themeColor="text1"/>
          <w:spacing w:val="0"/>
          <w:sz w:val="24"/>
          <w:szCs w:val="24"/>
          <w:highlight w:val="none"/>
          <w14:textFill>
            <w14:solidFill>
              <w14:schemeClr w14:val="tx1"/>
            </w14:solidFill>
          </w14:textFill>
        </w:rPr>
        <w:t>．《投标总价扉页》后应附编制人的造价工程师注册证书彩色扫描件（须扫描至变更注册栏，</w:t>
      </w:r>
      <w:r>
        <w:rPr>
          <w:rFonts w:hint="eastAsia" w:ascii="宋体" w:hAnsi="宋体" w:eastAsia="宋体" w:cs="宋体"/>
          <w:b/>
          <w:bCs/>
          <w:color w:val="000000" w:themeColor="text1"/>
          <w:spacing w:val="0"/>
          <w:sz w:val="24"/>
          <w:szCs w:val="24"/>
          <w:highlight w:val="none"/>
          <w14:textFill>
            <w14:solidFill>
              <w14:schemeClr w14:val="tx1"/>
            </w14:solidFill>
          </w14:textFill>
        </w:rPr>
        <w:t>一级造价师或二级造价师均可提供电子证书</w:t>
      </w:r>
      <w:r>
        <w:rPr>
          <w:rFonts w:hint="eastAsia" w:ascii="宋体" w:hAnsi="宋体" w:eastAsia="宋体" w:cs="宋体"/>
          <w:color w:val="000000" w:themeColor="text1"/>
          <w:spacing w:val="0"/>
          <w:sz w:val="24"/>
          <w:szCs w:val="24"/>
          <w:highlight w:val="none"/>
          <w14:textFill>
            <w14:solidFill>
              <w14:schemeClr w14:val="tx1"/>
            </w14:solidFill>
          </w14:textFill>
        </w:rPr>
        <w:t>）；投标人委托造价咨询单位编制《投标总价》的，在该扉页“投标人”栏目加盖造价咨询人公章，并在该扉页后附造价咨询人的营业执照副本彩色扫描件。</w:t>
      </w:r>
    </w:p>
    <w:p w14:paraId="068BAFD3">
      <w:pPr>
        <w:keepNext w:val="0"/>
        <w:keepLines w:val="0"/>
        <w:pageBreakBefore w:val="0"/>
        <w:wordWrap w:val="0"/>
        <w:overflowPunct/>
        <w:topLinePunct w:val="0"/>
        <w:bidi w:val="0"/>
        <w:spacing w:before="119" w:line="314" w:lineRule="auto"/>
        <w:ind w:left="10" w:right="61" w:firstLine="47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b.  </w:t>
      </w:r>
      <w:r>
        <w:rPr>
          <w:rFonts w:hint="eastAsia" w:ascii="宋体" w:hAnsi="宋体" w:eastAsia="宋体" w:cs="宋体"/>
          <w:color w:val="000000" w:themeColor="text1"/>
          <w:spacing w:val="0"/>
          <w:sz w:val="24"/>
          <w:szCs w:val="24"/>
          <w:highlight w:val="none"/>
          <w14:textFill>
            <w14:solidFill>
              <w14:schemeClr w14:val="tx1"/>
            </w14:solidFill>
          </w14:textFill>
        </w:rPr>
        <w:t>投标人认为有必要补充的其他资料（例如关于投标总价下浮率超过 15%的书面说明和佐证材料）。</w:t>
      </w:r>
    </w:p>
    <w:p w14:paraId="05D38EAE">
      <w:pPr>
        <w:keepNext w:val="0"/>
        <w:keepLines w:val="0"/>
        <w:pageBreakBefore w:val="0"/>
        <w:wordWrap w:val="0"/>
        <w:overflowPunct/>
        <w:topLinePunct w:val="0"/>
        <w:bidi w:val="0"/>
        <w:spacing w:before="99" w:line="280" w:lineRule="auto"/>
        <w:ind w:left="10" w:right="63" w:firstLine="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10.3.2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本节第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10.3.1  </w:t>
      </w:r>
      <w:r>
        <w:rPr>
          <w:rFonts w:hint="eastAsia" w:ascii="宋体" w:hAnsi="宋体" w:eastAsia="宋体" w:cs="宋体"/>
          <w:color w:val="000000" w:themeColor="text1"/>
          <w:spacing w:val="0"/>
          <w:sz w:val="24"/>
          <w:szCs w:val="24"/>
          <w:highlight w:val="none"/>
          <w14:textFill>
            <w14:solidFill>
              <w14:schemeClr w14:val="tx1"/>
            </w14:solidFill>
          </w14:textFill>
        </w:rPr>
        <w:t>目中所列出的经济标书组成内容中，第（1）至第（3）项所有投标人均应提供。</w:t>
      </w:r>
    </w:p>
    <w:p w14:paraId="1592DD8B">
      <w:pPr>
        <w:keepNext w:val="0"/>
        <w:keepLines w:val="0"/>
        <w:pageBreakBefore w:val="0"/>
        <w:widowControl/>
        <w:kinsoku w:val="0"/>
        <w:wordWrap w:val="0"/>
        <w:overflowPunct/>
        <w:topLinePunct w:val="0"/>
        <w:autoSpaceDE w:val="0"/>
        <w:autoSpaceDN w:val="0"/>
        <w:bidi w:val="0"/>
        <w:adjustRightInd w:val="0"/>
        <w:snapToGrid w:val="0"/>
        <w:spacing w:before="155" w:line="310" w:lineRule="auto"/>
        <w:ind w:left="6" w:right="62" w:firstLine="488"/>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10.3.3 </w:t>
      </w:r>
      <w:r>
        <w:rPr>
          <w:rFonts w:hint="eastAsia" w:ascii="宋体" w:hAnsi="宋体" w:eastAsia="宋体" w:cs="宋体"/>
          <w:color w:val="000000" w:themeColor="text1"/>
          <w:spacing w:val="0"/>
          <w:sz w:val="24"/>
          <w:szCs w:val="24"/>
          <w:highlight w:val="none"/>
          <w14:textFill>
            <w14:solidFill>
              <w14:schemeClr w14:val="tx1"/>
            </w14:solidFill>
          </w14:textFill>
        </w:rPr>
        <w:t>经济标书的组成内容按本节第 10.3.1 目规定的顺序整理、编排后，逐页（页码起始从封面开始）连续标记页码。</w:t>
      </w:r>
    </w:p>
    <w:p w14:paraId="3A6D334B">
      <w:pPr>
        <w:keepNext w:val="0"/>
        <w:keepLines w:val="0"/>
        <w:pageBreakBefore w:val="0"/>
        <w:wordWrap w:val="0"/>
        <w:overflowPunct/>
        <w:topLinePunct w:val="0"/>
        <w:bidi w:val="0"/>
        <w:spacing w:before="82" w:line="213" w:lineRule="auto"/>
        <w:ind w:left="496"/>
        <w:outlineLvl w:val="9"/>
        <w:rPr>
          <w:rFonts w:hint="eastAsia" w:ascii="宋体" w:hAnsi="宋体" w:eastAsia="宋体" w:cs="宋体"/>
          <w:color w:val="000000" w:themeColor="text1"/>
          <w:spacing w:val="0"/>
          <w:sz w:val="25"/>
          <w:szCs w:val="25"/>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  </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施工组织设计的编制要求</w:t>
      </w:r>
    </w:p>
    <w:p w14:paraId="7828F48B">
      <w:pPr>
        <w:keepNext w:val="0"/>
        <w:keepLines w:val="0"/>
        <w:pageBreakBefore w:val="0"/>
        <w:wordWrap w:val="0"/>
        <w:overflowPunct/>
        <w:topLinePunct w:val="0"/>
        <w:bidi w:val="0"/>
        <w:spacing w:before="151" w:line="219"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10.4.1 </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施工组织设计的编制依据包括且不限于：</w:t>
      </w:r>
    </w:p>
    <w:p w14:paraId="69CA5D7C">
      <w:pPr>
        <w:keepNext w:val="0"/>
        <w:keepLines w:val="0"/>
        <w:pageBreakBefore w:val="0"/>
        <w:wordWrap w:val="0"/>
        <w:overflowPunct/>
        <w:topLinePunct w:val="0"/>
        <w:bidi w:val="0"/>
        <w:spacing w:before="156"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（1）招标文件及其答疑（或修改）公告；</w:t>
      </w:r>
    </w:p>
    <w:p w14:paraId="3D9B573B">
      <w:pPr>
        <w:keepNext w:val="0"/>
        <w:keepLines w:val="0"/>
        <w:pageBreakBefore w:val="0"/>
        <w:wordWrap w:val="0"/>
        <w:overflowPunct/>
        <w:topLinePunct w:val="0"/>
        <w:bidi w:val="0"/>
        <w:spacing w:before="155" w:line="221"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（2）施工图及相关资料；</w:t>
      </w:r>
    </w:p>
    <w:p w14:paraId="56E6D366">
      <w:pPr>
        <w:keepNext w:val="0"/>
        <w:keepLines w:val="0"/>
        <w:pageBreakBefore w:val="0"/>
        <w:wordWrap w:val="0"/>
        <w:overflowPunct/>
        <w:topLinePunct w:val="0"/>
        <w:bidi w:val="0"/>
        <w:spacing w:before="152"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（3）施工现场情况、工程特点；</w:t>
      </w:r>
    </w:p>
    <w:p w14:paraId="3FE9ED6F">
      <w:pPr>
        <w:keepNext w:val="0"/>
        <w:keepLines w:val="0"/>
        <w:pageBreakBefore w:val="0"/>
        <w:wordWrap w:val="0"/>
        <w:overflowPunct/>
        <w:topLinePunct w:val="0"/>
        <w:bidi w:val="0"/>
        <w:spacing w:before="78"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（4）相关法律、法规、规定；</w:t>
      </w:r>
    </w:p>
    <w:p w14:paraId="059FD045">
      <w:pPr>
        <w:keepNext w:val="0"/>
        <w:keepLines w:val="0"/>
        <w:pageBreakBefore w:val="0"/>
        <w:wordWrap w:val="0"/>
        <w:overflowPunct/>
        <w:topLinePunct w:val="0"/>
        <w:bidi w:val="0"/>
        <w:spacing w:before="153" w:line="299" w:lineRule="auto"/>
        <w:ind w:left="10" w:right="21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50B2B5BD">
      <w:pPr>
        <w:keepNext w:val="0"/>
        <w:keepLines w:val="0"/>
        <w:pageBreakBefore w:val="0"/>
        <w:wordWrap w:val="0"/>
        <w:overflowPunct/>
        <w:topLinePunct w:val="0"/>
        <w:bidi w:val="0"/>
        <w:spacing w:before="155"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（6）企业内部标准、工法。</w:t>
      </w:r>
    </w:p>
    <w:p w14:paraId="6608343E">
      <w:pPr>
        <w:keepNext w:val="0"/>
        <w:keepLines w:val="0"/>
        <w:pageBreakBefore w:val="0"/>
        <w:wordWrap w:val="0"/>
        <w:overflowPunct/>
        <w:topLinePunct w:val="0"/>
        <w:bidi w:val="0"/>
        <w:spacing w:before="153" w:line="22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10.4.2 </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施工组织设计包括但不限于以下内容：</w:t>
      </w:r>
    </w:p>
    <w:p w14:paraId="11AC19C5">
      <w:pPr>
        <w:keepNext w:val="0"/>
        <w:keepLines w:val="0"/>
        <w:pageBreakBefore w:val="0"/>
        <w:wordWrap w:val="0"/>
        <w:overflowPunct/>
        <w:topLinePunct w:val="0"/>
        <w:bidi w:val="0"/>
        <w:spacing w:before="153"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（1）封面（格式一）；</w:t>
      </w:r>
    </w:p>
    <w:p w14:paraId="0D89566C">
      <w:pPr>
        <w:keepNext w:val="0"/>
        <w:keepLines w:val="0"/>
        <w:pageBreakBefore w:val="0"/>
        <w:wordWrap w:val="0"/>
        <w:overflowPunct/>
        <w:topLinePunct w:val="0"/>
        <w:bidi w:val="0"/>
        <w:spacing w:before="156" w:line="222"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（2）目录；</w:t>
      </w:r>
    </w:p>
    <w:p w14:paraId="42EF60D6">
      <w:pPr>
        <w:keepNext w:val="0"/>
        <w:keepLines w:val="0"/>
        <w:pageBreakBefore w:val="0"/>
        <w:wordWrap w:val="0"/>
        <w:overflowPunct/>
        <w:topLinePunct w:val="0"/>
        <w:bidi w:val="0"/>
        <w:spacing w:before="150"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（3）总体概述（包括施工程序总体设想及施工段划分等内容）；</w:t>
      </w:r>
    </w:p>
    <w:p w14:paraId="2188CD8A">
      <w:pPr>
        <w:keepNext w:val="0"/>
        <w:keepLines w:val="0"/>
        <w:pageBreakBefore w:val="0"/>
        <w:wordWrap w:val="0"/>
        <w:overflowPunct/>
        <w:topLinePunct w:val="0"/>
        <w:bidi w:val="0"/>
        <w:spacing w:before="154" w:line="299" w:lineRule="auto"/>
        <w:ind w:left="9" w:right="211"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（4）施工总进度计划及保证措施（包括进度管理目标；以横道图或标明关键线路的网络进度计划；保障进度计划需要的人、材、机需求计划及保证措施；违约责任承诺等内容）；</w:t>
      </w:r>
    </w:p>
    <w:p w14:paraId="1FC69F82">
      <w:pPr>
        <w:keepNext w:val="0"/>
        <w:keepLines w:val="0"/>
        <w:pageBreakBefore w:val="0"/>
        <w:wordWrap w:val="0"/>
        <w:overflowPunct/>
        <w:topLinePunct w:val="0"/>
        <w:bidi w:val="0"/>
        <w:spacing w:before="153"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（5）质量保证措施（包括质量管理目标；相应保证措施；违约责任承诺等内容</w:t>
      </w:r>
      <w:r>
        <w:rPr>
          <w:rFonts w:hint="eastAsia" w:ascii="宋体" w:hAnsi="宋体" w:eastAsia="宋体" w:cs="宋体"/>
          <w:color w:val="000000" w:themeColor="text1"/>
          <w:spacing w:val="0"/>
          <w:w w:val="97"/>
          <w:sz w:val="24"/>
          <w:szCs w:val="24"/>
          <w:highlight w:val="none"/>
          <w14:textFill>
            <w14:solidFill>
              <w14:schemeClr w14:val="tx1"/>
            </w14:solidFill>
          </w14:textFill>
        </w:rPr>
        <w:t>）；</w:t>
      </w:r>
    </w:p>
    <w:p w14:paraId="69700B99">
      <w:pPr>
        <w:keepNext w:val="0"/>
        <w:keepLines w:val="0"/>
        <w:pageBreakBefore w:val="0"/>
        <w:widowControl/>
        <w:kinsoku w:val="0"/>
        <w:wordWrap w:val="0"/>
        <w:overflowPunct/>
        <w:topLinePunct w:val="0"/>
        <w:autoSpaceDE w:val="0"/>
        <w:autoSpaceDN w:val="0"/>
        <w:bidi w:val="0"/>
        <w:adjustRightInd w:val="0"/>
        <w:snapToGrid w:val="0"/>
        <w:spacing w:before="156" w:line="310" w:lineRule="auto"/>
        <w:ind w:left="11" w:right="210" w:firstLine="488"/>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（6）施工技术措施（包括关键施工技术、工艺及工程项目实施的重点、难点分析和解决方案；新技术应用与承诺等内容）；</w:t>
      </w:r>
    </w:p>
    <w:p w14:paraId="4D11B874">
      <w:pPr>
        <w:keepNext w:val="0"/>
        <w:keepLines w:val="0"/>
        <w:pageBreakBefore w:val="0"/>
        <w:wordWrap w:val="0"/>
        <w:overflowPunct/>
        <w:topLinePunct w:val="0"/>
        <w:bidi w:val="0"/>
        <w:spacing w:before="118" w:line="297" w:lineRule="auto"/>
        <w:ind w:left="11" w:right="31"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（7）绿色施工、安全防护、文明施工措施计划(应对建设单位组织的勘察设计等单位在施工招标文件中列出的危大工程清单(详见格式十三)进行投标文件回应，如有)；</w:t>
      </w:r>
    </w:p>
    <w:p w14:paraId="00EDD96D">
      <w:pPr>
        <w:keepNext w:val="0"/>
        <w:keepLines w:val="0"/>
        <w:pageBreakBefore w:val="0"/>
        <w:wordWrap w:val="0"/>
        <w:overflowPunct/>
        <w:topLinePunct w:val="0"/>
        <w:bidi w:val="0"/>
        <w:spacing w:before="118" w:line="297" w:lineRule="auto"/>
        <w:ind w:left="11" w:right="31"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（8）施工现场总平面布置（</w:t>
      </w:r>
      <w:bookmarkStart w:id="54" w:name="OLE_LINK8"/>
      <w:r>
        <w:rPr>
          <w:rFonts w:hint="eastAsia" w:ascii="宋体" w:hAnsi="宋体" w:eastAsia="宋体" w:cs="宋体"/>
          <w:color w:val="000000" w:themeColor="text1"/>
          <w:spacing w:val="0"/>
          <w:sz w:val="24"/>
          <w:szCs w:val="24"/>
          <w:highlight w:val="none"/>
          <w14:textFill>
            <w14:solidFill>
              <w14:schemeClr w14:val="tx1"/>
            </w14:solidFill>
          </w14:textFill>
        </w:rPr>
        <w:t>投标人应递交一份施工现场总平面布置图，绘出现场临时设施布置图表并附文字说明，说明临时设施、加工车间、现场办公、设备及仓储、供电、供水、卫生、生活、道路、消防等设施的情况和布置</w:t>
      </w:r>
      <w:bookmarkEnd w:id="54"/>
      <w:r>
        <w:rPr>
          <w:rFonts w:hint="eastAsia" w:ascii="宋体" w:hAnsi="宋体" w:eastAsia="宋体" w:cs="宋体"/>
          <w:color w:val="000000" w:themeColor="text1"/>
          <w:spacing w:val="0"/>
          <w:sz w:val="24"/>
          <w:szCs w:val="24"/>
          <w:highlight w:val="none"/>
          <w14:textFill>
            <w14:solidFill>
              <w14:schemeClr w14:val="tx1"/>
            </w14:solidFill>
          </w14:textFill>
        </w:rPr>
        <w:t>）；</w:t>
      </w:r>
    </w:p>
    <w:p w14:paraId="523DCF6A">
      <w:pPr>
        <w:keepNext w:val="0"/>
        <w:keepLines w:val="0"/>
        <w:pageBreakBefore w:val="0"/>
        <w:wordWrap w:val="0"/>
        <w:overflowPunct/>
        <w:topLinePunct w:val="0"/>
        <w:bidi w:val="0"/>
        <w:spacing w:before="155"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（9）项目管理机构。</w:t>
      </w:r>
    </w:p>
    <w:p w14:paraId="16991E29">
      <w:pPr>
        <w:keepNext w:val="0"/>
        <w:keepLines w:val="0"/>
        <w:pageBreakBefore w:val="0"/>
        <w:wordWrap w:val="0"/>
        <w:overflowPunct/>
        <w:topLinePunct w:val="0"/>
        <w:bidi w:val="0"/>
        <w:spacing w:before="154" w:line="280" w:lineRule="auto"/>
        <w:ind w:right="211"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（10）投标人认为有必要补充的其他内容（例如对总包管理的认识以及对专业分包工程的管理、协调、配合、服务方案）。</w:t>
      </w:r>
    </w:p>
    <w:p w14:paraId="5EA512C0">
      <w:pPr>
        <w:keepNext w:val="0"/>
        <w:keepLines w:val="0"/>
        <w:pageBreakBefore w:val="0"/>
        <w:wordWrap w:val="0"/>
        <w:overflowPunct/>
        <w:topLinePunct w:val="0"/>
        <w:bidi w:val="0"/>
        <w:spacing w:before="152" w:line="279" w:lineRule="auto"/>
        <w:ind w:right="196" w:firstLine="482"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10.4.3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本节第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10.4.2  </w:t>
      </w:r>
      <w:r>
        <w:rPr>
          <w:rFonts w:hint="eastAsia" w:ascii="宋体" w:hAnsi="宋体" w:eastAsia="宋体" w:cs="宋体"/>
          <w:color w:val="000000" w:themeColor="text1"/>
          <w:spacing w:val="0"/>
          <w:sz w:val="24"/>
          <w:szCs w:val="24"/>
          <w:highlight w:val="none"/>
          <w14:textFill>
            <w14:solidFill>
              <w14:schemeClr w14:val="tx1"/>
            </w14:solidFill>
          </w14:textFill>
        </w:rPr>
        <w:t>目中所列出的施工组织设计组成内容中，第（1）至第（9）项所有投标人均应提供。</w:t>
      </w:r>
    </w:p>
    <w:p w14:paraId="6B854B9F">
      <w:pPr>
        <w:keepNext w:val="0"/>
        <w:keepLines w:val="0"/>
        <w:pageBreakBefore w:val="0"/>
        <w:wordWrap w:val="0"/>
        <w:overflowPunct/>
        <w:topLinePunct w:val="0"/>
        <w:bidi w:val="0"/>
        <w:spacing w:before="157" w:line="279" w:lineRule="auto"/>
        <w:ind w:right="211" w:firstLine="482"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10.4.4 </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施工组织设计的组成内容按本节第 10.4.2 目规定的顺序整理、编排后，逐页（页码起始从封面开始）连续标记页码。</w:t>
      </w:r>
    </w:p>
    <w:p w14:paraId="7DA830C4">
      <w:pPr>
        <w:keepNext w:val="0"/>
        <w:keepLines w:val="0"/>
        <w:pageBreakBefore w:val="0"/>
        <w:wordWrap w:val="0"/>
        <w:overflowPunct/>
        <w:topLinePunct w:val="0"/>
        <w:bidi w:val="0"/>
        <w:outlineLvl w:val="9"/>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10.4.5</w:t>
      </w:r>
      <w:bookmarkStart w:id="55" w:name="OLE_LINK9"/>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施工组织设计的正文不得超过</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150</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页</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bookmarkEnd w:id="55"/>
      <w:bookmarkStart w:id="56" w:name="bookmark121"/>
      <w:bookmarkEnd w:id="56"/>
    </w:p>
    <w:p w14:paraId="756D668B">
      <w:pPr>
        <w:keepNext w:val="0"/>
        <w:keepLines w:val="0"/>
        <w:pageBreakBefore w:val="0"/>
        <w:widowControl w:val="0"/>
        <w:kinsoku/>
        <w:wordWrap w:val="0"/>
        <w:overflowPunct/>
        <w:topLinePunct w:val="0"/>
        <w:autoSpaceDE/>
        <w:autoSpaceDN/>
        <w:bidi w:val="0"/>
        <w:adjustRightInd/>
        <w:snapToGrid/>
        <w:spacing w:line="400" w:lineRule="exact"/>
        <w:ind w:firstLine="482" w:firstLineChars="200"/>
        <w:jc w:val="both"/>
        <w:textAlignment w:val="baseline"/>
        <w:outlineLvl w:val="9"/>
        <w:rPr>
          <w:rFonts w:hint="eastAsia" w:ascii="宋体" w:hAnsi="宋体" w:eastAsia="宋体" w:cs="宋体"/>
          <w:b/>
          <w:bCs/>
          <w:snapToGrid w:val="0"/>
          <w:color w:val="000000" w:themeColor="text1"/>
          <w:kern w:val="0"/>
          <w:sz w:val="24"/>
          <w:szCs w:val="24"/>
          <w:highlight w:val="none"/>
          <w:lang w:val="en-US" w:eastAsia="zh-CN"/>
          <w14:textFill>
            <w14:solidFill>
              <w14:schemeClr w14:val="tx1"/>
            </w14:solidFill>
          </w14:textFill>
        </w:rPr>
      </w:pPr>
      <w:bookmarkStart w:id="57" w:name="_Toc21936"/>
      <w:r>
        <w:rPr>
          <w:rFonts w:hint="eastAsia" w:ascii="宋体" w:hAnsi="宋体" w:eastAsia="宋体" w:cs="宋体"/>
          <w:b/>
          <w:bCs/>
          <w:snapToGrid w:val="0"/>
          <w:color w:val="000000" w:themeColor="text1"/>
          <w:kern w:val="0"/>
          <w:sz w:val="24"/>
          <w:szCs w:val="24"/>
          <w:highlight w:val="none"/>
          <w:lang w:val="en-US" w:eastAsia="zh-CN"/>
          <w14:textFill>
            <w14:solidFill>
              <w14:schemeClr w14:val="tx1"/>
            </w14:solidFill>
          </w14:textFill>
        </w:rPr>
        <w:t>10.5定标文件的编制要求：</w:t>
      </w:r>
    </w:p>
    <w:p w14:paraId="419DC743">
      <w:pPr>
        <w:keepNext w:val="0"/>
        <w:keepLines w:val="0"/>
        <w:pageBreakBefore w:val="0"/>
        <w:wordWrap w:val="0"/>
        <w:overflowPunct/>
        <w:topLinePunct w:val="0"/>
        <w:bidi w:val="0"/>
        <w:spacing w:before="152" w:line="279" w:lineRule="auto"/>
        <w:ind w:right="196" w:firstLine="480" w:firstLineChars="200"/>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0.5</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 xml:space="preserve">.1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定标文件</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包括以下内容：</w:t>
      </w:r>
    </w:p>
    <w:p w14:paraId="14FCA730">
      <w:pPr>
        <w:keepNext w:val="0"/>
        <w:keepLines w:val="0"/>
        <w:pageBreakBefore w:val="0"/>
        <w:wordWrap w:val="0"/>
        <w:overflowPunct/>
        <w:topLinePunct w:val="0"/>
        <w:bidi w:val="0"/>
        <w:spacing w:before="152" w:line="279" w:lineRule="auto"/>
        <w:ind w:right="196" w:firstLine="480" w:firstLineChars="200"/>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（1）封面（格式一）；</w:t>
      </w:r>
    </w:p>
    <w:p w14:paraId="10A248F8">
      <w:pPr>
        <w:keepNext w:val="0"/>
        <w:keepLines w:val="0"/>
        <w:pageBreakBefore w:val="0"/>
        <w:wordWrap w:val="0"/>
        <w:overflowPunct/>
        <w:topLinePunct w:val="0"/>
        <w:bidi w:val="0"/>
        <w:spacing w:before="152" w:line="279" w:lineRule="auto"/>
        <w:ind w:right="196" w:firstLine="480" w:firstLineChars="200"/>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2)定标因素评审资料（格式十六）</w:t>
      </w:r>
    </w:p>
    <w:p w14:paraId="3F8F4FAD">
      <w:pPr>
        <w:keepNext w:val="0"/>
        <w:keepLines w:val="0"/>
        <w:pageBreakBefore w:val="0"/>
        <w:wordWrap w:val="0"/>
        <w:overflowPunct/>
        <w:topLinePunct w:val="0"/>
        <w:bidi w:val="0"/>
        <w:spacing w:before="78" w:line="221" w:lineRule="auto"/>
        <w:ind w:firstLine="480" w:firstLineChars="200"/>
        <w:outlineLvl w:val="9"/>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0.5</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 xml:space="preserve"> 本节第1</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0.5</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目中所列出的组成内容中，第（1）</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至第（2）</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项所有投标人均应提供。</w:t>
      </w:r>
    </w:p>
    <w:p w14:paraId="334D0149">
      <w:pPr>
        <w:keepNext w:val="0"/>
        <w:keepLines w:val="0"/>
        <w:pageBreakBefore w:val="0"/>
        <w:wordWrap w:val="0"/>
        <w:overflowPunct/>
        <w:topLinePunct w:val="0"/>
        <w:bidi w:val="0"/>
        <w:spacing w:before="78" w:line="221" w:lineRule="auto"/>
        <w:ind w:left="496"/>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58" w:name="_Toc13772"/>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 </w:t>
      </w:r>
      <w:r>
        <w:rPr>
          <w:rFonts w:hint="eastAsia" w:ascii="宋体" w:hAnsi="宋体" w:eastAsia="宋体" w:cs="宋体"/>
          <w:color w:val="000000" w:themeColor="text1"/>
          <w:spacing w:val="0"/>
          <w:sz w:val="24"/>
          <w:szCs w:val="24"/>
          <w:highlight w:val="none"/>
          <w14:textFill>
            <w14:solidFill>
              <w14:schemeClr w14:val="tx1"/>
            </w14:solidFill>
          </w14:textFill>
        </w:rPr>
        <w:t>电子投标</w:t>
      </w:r>
      <w:bookmarkEnd w:id="57"/>
      <w:bookmarkEnd w:id="58"/>
    </w:p>
    <w:p w14:paraId="2928C8B1">
      <w:pPr>
        <w:keepNext w:val="0"/>
        <w:keepLines w:val="0"/>
        <w:pageBreakBefore w:val="0"/>
        <w:wordWrap w:val="0"/>
        <w:overflowPunct/>
        <w:topLinePunct w:val="0"/>
        <w:bidi w:val="0"/>
        <w:spacing w:before="112" w:line="295" w:lineRule="auto"/>
        <w:ind w:left="10" w:firstLine="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11.1  </w:t>
      </w:r>
      <w:r>
        <w:rPr>
          <w:rFonts w:hint="eastAsia" w:ascii="宋体" w:hAnsi="宋体" w:eastAsia="宋体" w:cs="宋体"/>
          <w:color w:val="000000" w:themeColor="text1"/>
          <w:spacing w:val="0"/>
          <w:sz w:val="24"/>
          <w:szCs w:val="24"/>
          <w:highlight w:val="none"/>
          <w14:textFill>
            <w14:solidFill>
              <w14:schemeClr w14:val="tx1"/>
            </w14:solidFill>
          </w14:textFill>
        </w:rPr>
        <w:t>在建设工程交易系统上传加盖了电子印章的投标文件、录入相关信息及标书页码信息，</w:t>
      </w:r>
      <w:r>
        <w:rPr>
          <w:rFonts w:hint="eastAsia" w:ascii="宋体" w:hAnsi="宋体" w:eastAsia="宋体" w:cs="宋体"/>
          <w:b/>
          <w:bCs/>
          <w:color w:val="000000" w:themeColor="text1"/>
          <w:spacing w:val="0"/>
          <w:sz w:val="24"/>
          <w:szCs w:val="24"/>
          <w:highlight w:val="none"/>
          <w14:textFill>
            <w14:solidFill>
              <w14:schemeClr w14:val="tx1"/>
            </w14:solidFill>
          </w14:textFill>
        </w:rPr>
        <w:t>（页码起始从封面开始）</w:t>
      </w:r>
      <w:r>
        <w:rPr>
          <w:rFonts w:hint="eastAsia" w:ascii="宋体" w:hAnsi="宋体" w:eastAsia="宋体" w:cs="宋体"/>
          <w:color w:val="000000" w:themeColor="text1"/>
          <w:spacing w:val="0"/>
          <w:sz w:val="24"/>
          <w:szCs w:val="24"/>
          <w:highlight w:val="none"/>
          <w14:textFill>
            <w14:solidFill>
              <w14:schemeClr w14:val="tx1"/>
            </w14:solidFill>
          </w14:textFill>
        </w:rPr>
        <w:t>并提交投标标书。提交标书为已加密投标文件。具体操作参照《韶关市公共资源建设工程交易系统-投标人操作指南（电子评标）》。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71973AD4">
      <w:pPr>
        <w:keepNext w:val="0"/>
        <w:keepLines w:val="0"/>
        <w:pageBreakBefore w:val="0"/>
        <w:wordWrap w:val="0"/>
        <w:overflowPunct/>
        <w:topLinePunct w:val="0"/>
        <w:bidi w:val="0"/>
        <w:spacing w:before="115" w:line="286" w:lineRule="auto"/>
        <w:ind w:left="10" w:right="81" w:firstLine="485"/>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11.2  </w:t>
      </w:r>
      <w:r>
        <w:rPr>
          <w:rFonts w:hint="eastAsia" w:ascii="宋体" w:hAnsi="宋体" w:eastAsia="宋体" w:cs="宋体"/>
          <w:color w:val="000000" w:themeColor="text1"/>
          <w:spacing w:val="0"/>
          <w:sz w:val="24"/>
          <w:szCs w:val="24"/>
          <w:highlight w:val="none"/>
          <w14:textFill>
            <w14:solidFill>
              <w14:schemeClr w14:val="tx1"/>
            </w14:solidFill>
          </w14:textFill>
        </w:rPr>
        <w:t>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p>
    <w:p w14:paraId="05B82554">
      <w:pPr>
        <w:keepNext w:val="0"/>
        <w:keepLines w:val="0"/>
        <w:pageBreakBefore w:val="0"/>
        <w:widowControl/>
        <w:numPr>
          <w:ilvl w:val="0"/>
          <w:numId w:val="0"/>
        </w:numPr>
        <w:kinsoku w:val="0"/>
        <w:wordWrap w:val="0"/>
        <w:overflowPunct/>
        <w:topLinePunct w:val="0"/>
        <w:autoSpaceDE w:val="0"/>
        <w:autoSpaceDN w:val="0"/>
        <w:bidi w:val="0"/>
        <w:adjustRightInd w:val="0"/>
        <w:snapToGrid w:val="0"/>
        <w:spacing w:before="78" w:line="286" w:lineRule="auto"/>
        <w:ind w:firstLine="482" w:firstLineChars="200"/>
        <w:textAlignment w:val="baseline"/>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59" w:name="_Toc9378"/>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12.</w:t>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bookmarkStart w:id="60" w:name="_Toc29834"/>
      <w:r>
        <w:rPr>
          <w:rFonts w:hint="eastAsia" w:ascii="宋体" w:hAnsi="宋体" w:eastAsia="宋体" w:cs="宋体"/>
          <w:b/>
          <w:bCs/>
          <w:color w:val="000000" w:themeColor="text1"/>
          <w:spacing w:val="0"/>
          <w:sz w:val="24"/>
          <w:szCs w:val="24"/>
          <w:highlight w:val="none"/>
          <w14:textFill>
            <w14:solidFill>
              <w14:schemeClr w14:val="tx1"/>
            </w14:solidFill>
          </w14:textFill>
        </w:rPr>
        <w:t>电子投标及投标解密失败及突发情况的补救方案</w:t>
      </w:r>
      <w:bookmarkEnd w:id="59"/>
      <w:bookmarkEnd w:id="60"/>
    </w:p>
    <w:p w14:paraId="656A950F">
      <w:pPr>
        <w:keepNext w:val="0"/>
        <w:keepLines w:val="0"/>
        <w:pageBreakBefore w:val="0"/>
        <w:widowControl/>
        <w:kinsoku w:val="0"/>
        <w:wordWrap w:val="0"/>
        <w:overflowPunct/>
        <w:topLinePunct w:val="0"/>
        <w:autoSpaceDE w:val="0"/>
        <w:autoSpaceDN w:val="0"/>
        <w:bidi w:val="0"/>
        <w:adjustRightInd w:val="0"/>
        <w:snapToGrid w:val="0"/>
        <w:spacing w:before="78" w:line="286" w:lineRule="auto"/>
        <w:ind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12.1 </w:t>
      </w:r>
      <w:r>
        <w:rPr>
          <w:rFonts w:hint="eastAsia" w:ascii="宋体" w:hAnsi="宋体" w:eastAsia="宋体" w:cs="宋体"/>
          <w:color w:val="000000" w:themeColor="text1"/>
          <w:spacing w:val="0"/>
          <w:sz w:val="24"/>
          <w:szCs w:val="24"/>
          <w:highlight w:val="none"/>
          <w14:textFill>
            <w14:solidFill>
              <w14:schemeClr w14:val="tx1"/>
            </w14:solidFill>
          </w14:textFill>
        </w:rPr>
        <w:t>按照交易平台关于全流程电子化项目的相关指南进行操作。详见：全国公共资源交易平台（广东省 ·韶关市）（https://ygp.gdzwfw.gov.cn/ggzy-portal/#/440200/index）服务指南栏目发布的最新版操作指引。</w:t>
      </w:r>
    </w:p>
    <w:p w14:paraId="3E34A594">
      <w:pPr>
        <w:keepNext w:val="0"/>
        <w:keepLines w:val="0"/>
        <w:pageBreakBefore w:val="0"/>
        <w:widowControl/>
        <w:kinsoku w:val="0"/>
        <w:wordWrap w:val="0"/>
        <w:overflowPunct/>
        <w:topLinePunct w:val="0"/>
        <w:autoSpaceDE w:val="0"/>
        <w:autoSpaceDN w:val="0"/>
        <w:bidi w:val="0"/>
        <w:adjustRightInd w:val="0"/>
        <w:snapToGrid w:val="0"/>
        <w:spacing w:before="113" w:line="286" w:lineRule="auto"/>
        <w:ind w:left="496"/>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12.2  </w:t>
      </w:r>
      <w:r>
        <w:rPr>
          <w:rFonts w:hint="eastAsia" w:ascii="宋体" w:hAnsi="宋体" w:eastAsia="宋体" w:cs="宋体"/>
          <w:color w:val="000000" w:themeColor="text1"/>
          <w:spacing w:val="0"/>
          <w:sz w:val="24"/>
          <w:szCs w:val="24"/>
          <w:highlight w:val="none"/>
          <w14:textFill>
            <w14:solidFill>
              <w14:schemeClr w14:val="tx1"/>
            </w14:solidFill>
          </w14:textFill>
        </w:rPr>
        <w:t>补救方案：</w:t>
      </w:r>
    </w:p>
    <w:p w14:paraId="7A5C0062">
      <w:pPr>
        <w:keepNext w:val="0"/>
        <w:keepLines w:val="0"/>
        <w:pageBreakBefore w:val="0"/>
        <w:wordWrap w:val="0"/>
        <w:overflowPunct/>
        <w:topLinePunct w:val="0"/>
        <w:bidi w:val="0"/>
        <w:spacing w:before="115" w:line="22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12.2.1  </w:t>
      </w:r>
      <w:r>
        <w:rPr>
          <w:rFonts w:hint="eastAsia" w:ascii="宋体" w:hAnsi="宋体" w:eastAsia="宋体" w:cs="宋体"/>
          <w:color w:val="000000" w:themeColor="text1"/>
          <w:spacing w:val="0"/>
          <w:sz w:val="24"/>
          <w:szCs w:val="24"/>
          <w:highlight w:val="none"/>
          <w14:textFill>
            <w14:solidFill>
              <w14:schemeClr w14:val="tx1"/>
            </w14:solidFill>
          </w14:textFill>
        </w:rPr>
        <w:t>投标文件解密失败的补救方案：</w:t>
      </w:r>
    </w:p>
    <w:p w14:paraId="2D1DE68F">
      <w:pPr>
        <w:keepNext w:val="0"/>
        <w:keepLines w:val="0"/>
        <w:pageBreakBefore w:val="0"/>
        <w:wordWrap w:val="0"/>
        <w:overflowPunct/>
        <w:topLinePunct w:val="0"/>
        <w:bidi w:val="0"/>
        <w:spacing w:before="115" w:line="298" w:lineRule="auto"/>
        <w:ind w:right="81"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 30 分钟内）内</w:t>
      </w:r>
      <w:bookmarkStart w:id="61" w:name="bookmark122"/>
      <w:bookmarkEnd w:id="61"/>
      <w:r>
        <w:rPr>
          <w:rFonts w:hint="eastAsia" w:ascii="宋体" w:hAnsi="宋体" w:eastAsia="宋体" w:cs="宋体"/>
          <w:color w:val="000000" w:themeColor="text1"/>
          <w:spacing w:val="0"/>
          <w:sz w:val="24"/>
          <w:szCs w:val="24"/>
          <w:highlight w:val="none"/>
          <w14:textFill>
            <w14:solidFill>
              <w14:schemeClr w14:val="tx1"/>
            </w14:solidFill>
          </w14:textFill>
        </w:rPr>
        <w:t>重新提交投标文件继续开标程序。</w:t>
      </w:r>
    </w:p>
    <w:p w14:paraId="0F175F6A">
      <w:pPr>
        <w:keepNext w:val="0"/>
        <w:keepLines w:val="0"/>
        <w:pageBreakBefore w:val="0"/>
        <w:wordWrap w:val="0"/>
        <w:overflowPunct/>
        <w:topLinePunct w:val="0"/>
        <w:bidi w:val="0"/>
        <w:spacing w:before="114" w:line="22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12.2.2  </w:t>
      </w:r>
      <w:r>
        <w:rPr>
          <w:rFonts w:hint="eastAsia" w:ascii="宋体" w:hAnsi="宋体" w:eastAsia="宋体" w:cs="宋体"/>
          <w:color w:val="000000" w:themeColor="text1"/>
          <w:spacing w:val="0"/>
          <w:sz w:val="24"/>
          <w:szCs w:val="24"/>
          <w:highlight w:val="none"/>
          <w14:textFill>
            <w14:solidFill>
              <w14:schemeClr w14:val="tx1"/>
            </w14:solidFill>
          </w14:textFill>
        </w:rPr>
        <w:t>评标时突发情况的补救方案</w:t>
      </w:r>
    </w:p>
    <w:p w14:paraId="5863CD1F">
      <w:pPr>
        <w:keepNext w:val="0"/>
        <w:keepLines w:val="0"/>
        <w:pageBreakBefore w:val="0"/>
        <w:wordWrap w:val="0"/>
        <w:overflowPunct/>
        <w:topLinePunct w:val="0"/>
        <w:bidi w:val="0"/>
        <w:spacing w:before="114" w:line="303" w:lineRule="auto"/>
        <w:ind w:right="81"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在评标过程中，因主场或副场网络故障、电子设备或者评标系统故障，以及其他原因导致无法继续进行评标时，在 4 小时以内解除故障的可继续评标，超过 4 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58ACD5FB">
      <w:pPr>
        <w:keepNext w:val="0"/>
        <w:keepLines w:val="0"/>
        <w:pageBreakBefore w:val="0"/>
        <w:wordWrap w:val="0"/>
        <w:overflowPunct/>
        <w:topLinePunct w:val="0"/>
        <w:bidi w:val="0"/>
        <w:spacing w:before="69" w:line="324" w:lineRule="auto"/>
        <w:ind w:left="11" w:right="81" w:firstLine="484"/>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12.2.3  </w:t>
      </w:r>
      <w:r>
        <w:rPr>
          <w:rFonts w:hint="eastAsia" w:ascii="宋体" w:hAnsi="宋体" w:eastAsia="宋体" w:cs="宋体"/>
          <w:color w:val="000000" w:themeColor="text1"/>
          <w:spacing w:val="0"/>
          <w:sz w:val="24"/>
          <w:szCs w:val="24"/>
          <w:highlight w:val="none"/>
          <w14:textFill>
            <w14:solidFill>
              <w14:schemeClr w14:val="tx1"/>
            </w14:solidFill>
          </w14:textFill>
        </w:rPr>
        <w:t>除发生上述情况外，开标评标均以投标人（联合体投标的，由联合体牵头人）通过交易平台网上递交的电子投标文件为准。</w:t>
      </w:r>
    </w:p>
    <w:p w14:paraId="5DCEDB99">
      <w:pPr>
        <w:keepNext w:val="0"/>
        <w:keepLines w:val="0"/>
        <w:pageBreakBefore w:val="0"/>
        <w:wordWrap w:val="0"/>
        <w:overflowPunct/>
        <w:topLinePunct w:val="0"/>
        <w:bidi w:val="0"/>
        <w:spacing w:before="78" w:line="220" w:lineRule="auto"/>
        <w:ind w:left="496"/>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62" w:name="_Toc18349"/>
      <w:bookmarkStart w:id="63" w:name="_Toc27195"/>
      <w:r>
        <w:rPr>
          <w:rFonts w:hint="eastAsia" w:ascii="宋体" w:hAnsi="宋体" w:eastAsia="宋体" w:cs="宋体"/>
          <w:b/>
          <w:bCs/>
          <w:color w:val="000000" w:themeColor="text1"/>
          <w:spacing w:val="0"/>
          <w:sz w:val="24"/>
          <w:szCs w:val="24"/>
          <w:highlight w:val="none"/>
          <w14:textFill>
            <w14:solidFill>
              <w14:schemeClr w14:val="tx1"/>
            </w14:solidFill>
          </w14:textFill>
        </w:rPr>
        <w:t>13 ．投标文件的提交</w:t>
      </w:r>
      <w:bookmarkEnd w:id="62"/>
      <w:bookmarkEnd w:id="63"/>
    </w:p>
    <w:p w14:paraId="7068EE2E">
      <w:pPr>
        <w:keepNext w:val="0"/>
        <w:keepLines w:val="0"/>
        <w:pageBreakBefore w:val="0"/>
        <w:wordWrap w:val="0"/>
        <w:overflowPunct/>
        <w:topLinePunct w:val="0"/>
        <w:bidi w:val="0"/>
        <w:spacing w:before="123" w:line="278" w:lineRule="auto"/>
        <w:ind w:left="13" w:right="81" w:firstLine="48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13.1  </w:t>
      </w:r>
      <w:r>
        <w:rPr>
          <w:rFonts w:hint="eastAsia" w:ascii="宋体" w:hAnsi="宋体" w:eastAsia="宋体" w:cs="宋体"/>
          <w:color w:val="000000" w:themeColor="text1"/>
          <w:spacing w:val="0"/>
          <w:sz w:val="24"/>
          <w:szCs w:val="24"/>
          <w:highlight w:val="none"/>
          <w14:textFill>
            <w14:solidFill>
              <w14:schemeClr w14:val="tx1"/>
            </w14:solidFill>
          </w14:textFill>
        </w:rPr>
        <w:t>在投标文件提交截止时间前，投标人通过全国公共资源交易平台（广东省·韶关市）提交已加密投标文件。逾期提交的电子投标文件，全国公共资源交易平台（广东省 ·韶关市）将予以拒收。</w:t>
      </w:r>
    </w:p>
    <w:p w14:paraId="09924D0F">
      <w:pPr>
        <w:keepNext w:val="0"/>
        <w:keepLines w:val="0"/>
        <w:pageBreakBefore w:val="0"/>
        <w:wordWrap w:val="0"/>
        <w:overflowPunct/>
        <w:topLinePunct w:val="0"/>
        <w:bidi w:val="0"/>
        <w:spacing w:before="115" w:line="219"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13.2  </w:t>
      </w:r>
      <w:r>
        <w:rPr>
          <w:rFonts w:hint="eastAsia" w:ascii="宋体" w:hAnsi="宋体" w:eastAsia="宋体" w:cs="宋体"/>
          <w:color w:val="000000" w:themeColor="text1"/>
          <w:spacing w:val="0"/>
          <w:sz w:val="24"/>
          <w:szCs w:val="24"/>
          <w:highlight w:val="none"/>
          <w14:textFill>
            <w14:solidFill>
              <w14:schemeClr w14:val="tx1"/>
            </w14:solidFill>
          </w14:textFill>
        </w:rPr>
        <w:t>提交时间和地点：见本章第二节“重要事项时间地点一览表 ”</w:t>
      </w:r>
    </w:p>
    <w:p w14:paraId="683F40A3">
      <w:pPr>
        <w:keepNext w:val="0"/>
        <w:keepLines w:val="0"/>
        <w:pageBreakBefore w:val="0"/>
        <w:wordWrap w:val="0"/>
        <w:overflowPunct/>
        <w:topLinePunct w:val="0"/>
        <w:bidi w:val="0"/>
        <w:spacing w:before="113" w:line="279" w:lineRule="auto"/>
        <w:ind w:left="9" w:right="24" w:firstLine="48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13.3  </w:t>
      </w:r>
      <w:r>
        <w:rPr>
          <w:rFonts w:hint="eastAsia" w:ascii="宋体" w:hAnsi="宋体" w:eastAsia="宋体" w:cs="宋体"/>
          <w:color w:val="000000" w:themeColor="text1"/>
          <w:spacing w:val="0"/>
          <w:sz w:val="24"/>
          <w:szCs w:val="24"/>
          <w:highlight w:val="none"/>
          <w14:textFill>
            <w14:solidFill>
              <w14:schemeClr w14:val="tx1"/>
            </w14:solidFill>
          </w14:textFill>
        </w:rPr>
        <w:t>递交时间和地点：投标人如有招标文件要求提交的用于评审的证书、证件、证明原件（附一式两份清单），由投标人法定代表人或其委托代理人在指定的时间和地点递交（见“重要事项时间地点一览表 ”）。</w:t>
      </w:r>
    </w:p>
    <w:p w14:paraId="1E722792">
      <w:pPr>
        <w:keepNext w:val="0"/>
        <w:keepLines w:val="0"/>
        <w:pageBreakBefore w:val="0"/>
        <w:wordWrap w:val="0"/>
        <w:overflowPunct/>
        <w:topLinePunct w:val="0"/>
        <w:bidi w:val="0"/>
        <w:spacing w:before="112" w:line="219" w:lineRule="auto"/>
        <w:ind w:firstLine="482" w:firstLineChars="20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13.4  </w:t>
      </w:r>
      <w:r>
        <w:rPr>
          <w:rFonts w:hint="eastAsia" w:ascii="宋体" w:hAnsi="宋体" w:eastAsia="宋体" w:cs="宋体"/>
          <w:color w:val="000000" w:themeColor="text1"/>
          <w:spacing w:val="0"/>
          <w:sz w:val="24"/>
          <w:szCs w:val="24"/>
          <w:highlight w:val="none"/>
          <w14:textFill>
            <w14:solidFill>
              <w14:schemeClr w14:val="tx1"/>
            </w14:solidFill>
          </w14:textFill>
        </w:rPr>
        <w:t>代理机构对因不可抗力事件造成的投标文件的损坏、丢失的，不承担责任。</w:t>
      </w:r>
    </w:p>
    <w:p w14:paraId="458845F2">
      <w:pPr>
        <w:keepNext w:val="0"/>
        <w:keepLines w:val="0"/>
        <w:pageBreakBefore w:val="0"/>
        <w:wordWrap w:val="0"/>
        <w:overflowPunct/>
        <w:topLinePunct w:val="0"/>
        <w:bidi w:val="0"/>
        <w:spacing w:before="116" w:line="22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13.5  </w:t>
      </w:r>
      <w:r>
        <w:rPr>
          <w:rFonts w:hint="eastAsia" w:ascii="宋体" w:hAnsi="宋体" w:eastAsia="宋体" w:cs="宋体"/>
          <w:color w:val="000000" w:themeColor="text1"/>
          <w:spacing w:val="0"/>
          <w:sz w:val="24"/>
          <w:szCs w:val="24"/>
          <w:highlight w:val="none"/>
          <w14:textFill>
            <w14:solidFill>
              <w14:schemeClr w14:val="tx1"/>
            </w14:solidFill>
          </w14:textFill>
        </w:rPr>
        <w:t>出现下述情形之一，属于未成功提交投标文件，按无效投标处理：</w:t>
      </w:r>
    </w:p>
    <w:p w14:paraId="26FD4E45">
      <w:pPr>
        <w:keepNext w:val="0"/>
        <w:keepLines w:val="0"/>
        <w:pageBreakBefore w:val="0"/>
        <w:wordWrap w:val="0"/>
        <w:overflowPunct/>
        <w:topLinePunct w:val="0"/>
        <w:bidi w:val="0"/>
        <w:spacing w:before="115" w:line="219" w:lineRule="auto"/>
        <w:ind w:left="74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（1）至提交投标文件截止时，投标文件未完整上传及提交标书；</w:t>
      </w:r>
    </w:p>
    <w:p w14:paraId="0801F50A">
      <w:pPr>
        <w:keepNext w:val="0"/>
        <w:keepLines w:val="0"/>
        <w:pageBreakBefore w:val="0"/>
        <w:wordWrap w:val="0"/>
        <w:overflowPunct/>
        <w:topLinePunct w:val="0"/>
        <w:bidi w:val="0"/>
        <w:spacing w:before="114" w:line="220" w:lineRule="auto"/>
        <w:ind w:left="74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（2）解密失败且在规定时间内未重新提交投标文件的；</w:t>
      </w:r>
    </w:p>
    <w:p w14:paraId="04D5C6EB">
      <w:pPr>
        <w:keepNext w:val="0"/>
        <w:keepLines w:val="0"/>
        <w:pageBreakBefore w:val="0"/>
        <w:wordWrap w:val="0"/>
        <w:overflowPunct/>
        <w:topLinePunct w:val="0"/>
        <w:bidi w:val="0"/>
        <w:spacing w:before="115" w:line="220" w:lineRule="auto"/>
        <w:ind w:left="74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（3）投标文件损坏或格式不正确的；</w:t>
      </w:r>
    </w:p>
    <w:p w14:paraId="43D9083E">
      <w:pPr>
        <w:keepNext w:val="0"/>
        <w:keepLines w:val="0"/>
        <w:pageBreakBefore w:val="0"/>
        <w:wordWrap w:val="0"/>
        <w:overflowPunct/>
        <w:topLinePunct w:val="0"/>
        <w:bidi w:val="0"/>
        <w:spacing w:before="115" w:line="219"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13.6  </w:t>
      </w:r>
      <w:r>
        <w:rPr>
          <w:rFonts w:hint="eastAsia" w:ascii="宋体" w:hAnsi="宋体" w:eastAsia="宋体" w:cs="宋体"/>
          <w:color w:val="000000" w:themeColor="text1"/>
          <w:spacing w:val="0"/>
          <w:sz w:val="24"/>
          <w:szCs w:val="24"/>
          <w:highlight w:val="none"/>
          <w14:textFill>
            <w14:solidFill>
              <w14:schemeClr w14:val="tx1"/>
            </w14:solidFill>
          </w14:textFill>
        </w:rPr>
        <w:t>联合体投标的，由联合体牵头人按以上要求递交相关资料。</w:t>
      </w:r>
    </w:p>
    <w:p w14:paraId="7FCFB836">
      <w:pPr>
        <w:keepNext w:val="0"/>
        <w:keepLines w:val="0"/>
        <w:pageBreakBefore w:val="0"/>
        <w:widowControl/>
        <w:kinsoku w:val="0"/>
        <w:wordWrap w:val="0"/>
        <w:overflowPunct/>
        <w:topLinePunct w:val="0"/>
        <w:autoSpaceDE w:val="0"/>
        <w:autoSpaceDN w:val="0"/>
        <w:bidi w:val="0"/>
        <w:adjustRightInd w:val="0"/>
        <w:snapToGrid w:val="0"/>
        <w:spacing w:before="113" w:line="286" w:lineRule="auto"/>
        <w:ind w:left="11" w:right="23" w:firstLine="488"/>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13.7  </w:t>
      </w:r>
      <w:r>
        <w:rPr>
          <w:rFonts w:hint="eastAsia" w:ascii="宋体" w:hAnsi="宋体" w:eastAsia="宋体" w:cs="宋体"/>
          <w:color w:val="000000" w:themeColor="text1"/>
          <w:spacing w:val="0"/>
          <w:sz w:val="24"/>
          <w:szCs w:val="24"/>
          <w:highlight w:val="none"/>
          <w14:textFill>
            <w14:solidFill>
              <w14:schemeClr w14:val="tx1"/>
            </w14:solidFill>
          </w14:textFill>
        </w:rPr>
        <w:t>招标人或其授权的招标代理机构核对、接收投标人递交的投标相关资料后，应向投标人出具标明签收人和签收时间的凭证，并妥善保管。</w:t>
      </w:r>
    </w:p>
    <w:p w14:paraId="465B9D6E">
      <w:pPr>
        <w:keepNext w:val="0"/>
        <w:keepLines w:val="0"/>
        <w:pageBreakBefore w:val="0"/>
        <w:wordWrap w:val="0"/>
        <w:overflowPunct/>
        <w:topLinePunct w:val="0"/>
        <w:bidi w:val="0"/>
        <w:spacing w:before="113" w:line="279" w:lineRule="auto"/>
        <w:ind w:left="9" w:right="24" w:firstLine="48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13.8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本次招标投标有效期为</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90</w:t>
      </w:r>
      <w:r>
        <w:rPr>
          <w:rFonts w:hint="eastAsia" w:ascii="宋体" w:hAnsi="宋体" w:eastAsia="宋体" w:cs="宋体"/>
          <w:color w:val="000000" w:themeColor="text1"/>
          <w:spacing w:val="0"/>
          <w:sz w:val="24"/>
          <w:szCs w:val="24"/>
          <w:highlight w:val="none"/>
          <w14:textFill>
            <w14:solidFill>
              <w14:schemeClr w14:val="tx1"/>
            </w14:solidFill>
          </w14:textFill>
        </w:rPr>
        <w:t>个日历天，投标有效期从提交投标文件的截止之日起计算。在此期间，投标人不得撤销或修改其投标文件，否则其投标保证不予退还。</w:t>
      </w:r>
    </w:p>
    <w:p w14:paraId="2CB00EB8">
      <w:pPr>
        <w:keepNext w:val="0"/>
        <w:keepLines w:val="0"/>
        <w:pageBreakBefore w:val="0"/>
        <w:wordWrap w:val="0"/>
        <w:overflowPunct/>
        <w:topLinePunct w:val="0"/>
        <w:bidi w:val="0"/>
        <w:spacing w:before="145" w:line="221" w:lineRule="auto"/>
        <w:ind w:left="496"/>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64" w:name="_Toc22047"/>
      <w:bookmarkStart w:id="65" w:name="_Toc22417"/>
      <w:r>
        <w:rPr>
          <w:rFonts w:hint="eastAsia" w:ascii="宋体" w:hAnsi="宋体" w:eastAsia="宋体" w:cs="宋体"/>
          <w:b/>
          <w:bCs/>
          <w:color w:val="000000" w:themeColor="text1"/>
          <w:spacing w:val="0"/>
          <w:sz w:val="24"/>
          <w:szCs w:val="24"/>
          <w:highlight w:val="none"/>
          <w14:textFill>
            <w14:solidFill>
              <w14:schemeClr w14:val="tx1"/>
            </w14:solidFill>
          </w14:textFill>
        </w:rPr>
        <w:t>14 ．开标</w:t>
      </w:r>
      <w:bookmarkEnd w:id="64"/>
      <w:bookmarkEnd w:id="65"/>
    </w:p>
    <w:p w14:paraId="034EB3D3">
      <w:pPr>
        <w:keepNext w:val="0"/>
        <w:keepLines w:val="0"/>
        <w:pageBreakBefore w:val="0"/>
        <w:wordWrap w:val="0"/>
        <w:overflowPunct/>
        <w:topLinePunct w:val="0"/>
        <w:bidi w:val="0"/>
        <w:spacing w:before="155" w:line="329" w:lineRule="auto"/>
        <w:ind w:left="10" w:right="81" w:firstLine="485"/>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14.1  </w:t>
      </w:r>
      <w:r>
        <w:rPr>
          <w:rFonts w:hint="eastAsia" w:ascii="宋体" w:hAnsi="宋体" w:eastAsia="宋体" w:cs="宋体"/>
          <w:color w:val="000000" w:themeColor="text1"/>
          <w:spacing w:val="0"/>
          <w:sz w:val="24"/>
          <w:szCs w:val="24"/>
          <w:highlight w:val="none"/>
          <w14:textFill>
            <w14:solidFill>
              <w14:schemeClr w14:val="tx1"/>
            </w14:solidFill>
          </w14:textFill>
        </w:rPr>
        <w:t>招标人邀请所有正确获取招标文件、电子投标、缴纳投标保证的投标人参加开标，投标人可自主决定是否参加。投标人可登陆交易平台观看开标实况、提出异议或进行澄清、确认等操作（具体按招标文件和系统操作手册为准）。投标人不参加开</w:t>
      </w:r>
      <w:bookmarkStart w:id="66" w:name="bookmark123"/>
      <w:bookmarkEnd w:id="66"/>
      <w:r>
        <w:rPr>
          <w:rFonts w:hint="eastAsia" w:ascii="宋体" w:hAnsi="宋体" w:eastAsia="宋体" w:cs="宋体"/>
          <w:color w:val="000000" w:themeColor="text1"/>
          <w:spacing w:val="0"/>
          <w:sz w:val="24"/>
          <w:szCs w:val="24"/>
          <w:highlight w:val="none"/>
          <w14:textFill>
            <w14:solidFill>
              <w14:schemeClr w14:val="tx1"/>
            </w14:solidFill>
          </w14:textFill>
        </w:rPr>
        <w:t>标的，视其默认开标结果，以及放弃在开标期间见证、监督、投诉、申辩的权利。</w:t>
      </w:r>
    </w:p>
    <w:p w14:paraId="05862D79">
      <w:pPr>
        <w:keepNext w:val="0"/>
        <w:keepLines w:val="0"/>
        <w:pageBreakBefore w:val="0"/>
        <w:wordWrap w:val="0"/>
        <w:overflowPunct/>
        <w:topLinePunct w:val="0"/>
        <w:bidi w:val="0"/>
        <w:spacing w:before="156" w:line="219"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14.1.1  </w:t>
      </w:r>
      <w:r>
        <w:rPr>
          <w:rFonts w:hint="eastAsia" w:ascii="宋体" w:hAnsi="宋体" w:eastAsia="宋体" w:cs="宋体"/>
          <w:color w:val="000000" w:themeColor="text1"/>
          <w:spacing w:val="0"/>
          <w:sz w:val="24"/>
          <w:szCs w:val="24"/>
          <w:highlight w:val="none"/>
          <w14:textFill>
            <w14:solidFill>
              <w14:schemeClr w14:val="tx1"/>
            </w14:solidFill>
          </w14:textFill>
        </w:rPr>
        <w:t>开标时间和地点：见本章第二节“重要事项时间地点一览表 ”。</w:t>
      </w:r>
    </w:p>
    <w:p w14:paraId="08F091B7">
      <w:pPr>
        <w:keepNext w:val="0"/>
        <w:keepLines w:val="0"/>
        <w:pageBreakBefore w:val="0"/>
        <w:widowControl/>
        <w:kinsoku w:val="0"/>
        <w:wordWrap w:val="0"/>
        <w:overflowPunct/>
        <w:topLinePunct w:val="0"/>
        <w:autoSpaceDE w:val="0"/>
        <w:autoSpaceDN w:val="0"/>
        <w:bidi w:val="0"/>
        <w:adjustRightInd w:val="0"/>
        <w:snapToGrid w:val="0"/>
        <w:spacing w:before="153" w:line="320" w:lineRule="auto"/>
        <w:ind w:left="11" w:firstLine="488"/>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14.1.2 </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开标前 24 小时，若建设工程交易系统显示缴纳投标保证（包括投标保证金、投标保证担保、投标保证保险）的投标人数量不足 3 个时，招标人将取消原定于次日召开的开标活动。投标人可在投标保证缴纳截止时间（见本章第二节“重要事项时间地点一览表 ”）至电子投标截止时间（见本章第二节“重要事项时间地点一览表 ”）期间登录全国公共资源交易平台（广东省·韶关市）（https://ygp.gdzwfw.gov.cn/ggzy-portal/#/440200/index）查询是否发布了取消开标活动的相关信息。</w:t>
      </w:r>
    </w:p>
    <w:p w14:paraId="55E539B0">
      <w:pPr>
        <w:keepNext w:val="0"/>
        <w:keepLines w:val="0"/>
        <w:pageBreakBefore w:val="0"/>
        <w:wordWrap w:val="0"/>
        <w:overflowPunct/>
        <w:topLinePunct w:val="0"/>
        <w:bidi w:val="0"/>
        <w:spacing w:before="159" w:line="319" w:lineRule="auto"/>
        <w:ind w:left="10" w:right="80" w:firstLine="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14.1.3</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本项目实行全流程电子化招标投标，投标人在交易平台按要求上传加盖电子印章并经加密的电子投标文件，并在交易平台录入准确的页码信息即可完成在线投标</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7A2CFB6D">
      <w:pPr>
        <w:keepNext w:val="0"/>
        <w:keepLines w:val="0"/>
        <w:pageBreakBefore w:val="0"/>
        <w:wordWrap w:val="0"/>
        <w:overflowPunct/>
        <w:topLinePunct w:val="0"/>
        <w:bidi w:val="0"/>
        <w:spacing w:before="152" w:line="221"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14.2  </w:t>
      </w:r>
      <w:r>
        <w:rPr>
          <w:rFonts w:hint="eastAsia" w:ascii="宋体" w:hAnsi="宋体" w:eastAsia="宋体" w:cs="宋体"/>
          <w:color w:val="000000" w:themeColor="text1"/>
          <w:spacing w:val="0"/>
          <w:sz w:val="24"/>
          <w:szCs w:val="24"/>
          <w:highlight w:val="none"/>
          <w14:textFill>
            <w14:solidFill>
              <w14:schemeClr w14:val="tx1"/>
            </w14:solidFill>
          </w14:textFill>
        </w:rPr>
        <w:t>开标程序</w:t>
      </w:r>
    </w:p>
    <w:p w14:paraId="48C37DE6">
      <w:pPr>
        <w:keepNext w:val="0"/>
        <w:keepLines w:val="0"/>
        <w:pageBreakBefore w:val="0"/>
        <w:wordWrap w:val="0"/>
        <w:overflowPunct/>
        <w:topLinePunct w:val="0"/>
        <w:bidi w:val="0"/>
        <w:spacing w:before="42" w:line="219" w:lineRule="auto"/>
        <w:ind w:left="501"/>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67" w:name="_Toc15587"/>
      <w:bookmarkStart w:id="68" w:name="_Toc10685"/>
      <w:bookmarkStart w:id="69" w:name="_Toc8314"/>
      <w:bookmarkStart w:id="70" w:name="_Toc10291"/>
      <w:r>
        <w:rPr>
          <w:rFonts w:hint="eastAsia" w:ascii="宋体" w:hAnsi="宋体" w:eastAsia="宋体" w:cs="宋体"/>
          <w:color w:val="000000" w:themeColor="text1"/>
          <w:spacing w:val="0"/>
          <w:sz w:val="24"/>
          <w:szCs w:val="24"/>
          <w:highlight w:val="none"/>
          <w14:textFill>
            <w14:solidFill>
              <w14:schemeClr w14:val="tx1"/>
            </w14:solidFill>
          </w14:textFill>
        </w:rPr>
        <w:t>（1）主持人（招标人代表或招标人授权的招标代理机构人员）宣读开标纪律。</w:t>
      </w:r>
      <w:bookmarkEnd w:id="67"/>
      <w:bookmarkEnd w:id="68"/>
      <w:bookmarkEnd w:id="69"/>
      <w:bookmarkEnd w:id="70"/>
    </w:p>
    <w:p w14:paraId="776645C0">
      <w:pPr>
        <w:keepNext w:val="0"/>
        <w:keepLines w:val="0"/>
        <w:pageBreakBefore w:val="0"/>
        <w:wordWrap w:val="0"/>
        <w:overflowPunct/>
        <w:topLinePunct w:val="0"/>
        <w:bidi w:val="0"/>
        <w:spacing w:before="181" w:line="219" w:lineRule="auto"/>
        <w:ind w:left="501"/>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71" w:name="_Toc30853"/>
      <w:bookmarkStart w:id="72" w:name="_Toc16292"/>
      <w:bookmarkStart w:id="73" w:name="_Toc2011"/>
      <w:bookmarkStart w:id="74" w:name="_Toc20238"/>
      <w:r>
        <w:rPr>
          <w:rFonts w:hint="eastAsia" w:ascii="宋体" w:hAnsi="宋体" w:eastAsia="宋体" w:cs="宋体"/>
          <w:color w:val="000000" w:themeColor="text1"/>
          <w:spacing w:val="0"/>
          <w:sz w:val="24"/>
          <w:szCs w:val="24"/>
          <w:highlight w:val="none"/>
          <w14:textFill>
            <w14:solidFill>
              <w14:schemeClr w14:val="tx1"/>
            </w14:solidFill>
          </w14:textFill>
        </w:rPr>
        <w:t>（2）主持人宣布唱标人、记录人、见证人、监督人等有关人员姓名。</w:t>
      </w:r>
      <w:bookmarkEnd w:id="71"/>
      <w:bookmarkEnd w:id="72"/>
      <w:bookmarkEnd w:id="73"/>
      <w:bookmarkEnd w:id="74"/>
    </w:p>
    <w:p w14:paraId="505384A6">
      <w:pPr>
        <w:keepNext w:val="0"/>
        <w:keepLines w:val="0"/>
        <w:pageBreakBefore w:val="0"/>
        <w:wordWrap w:val="0"/>
        <w:overflowPunct/>
        <w:topLinePunct w:val="0"/>
        <w:bidi w:val="0"/>
        <w:spacing w:before="183" w:line="219" w:lineRule="auto"/>
        <w:ind w:left="501"/>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75" w:name="_Toc26494"/>
      <w:bookmarkStart w:id="76" w:name="_Toc1974"/>
      <w:bookmarkStart w:id="77" w:name="_Toc31716"/>
      <w:bookmarkStart w:id="78" w:name="_Toc17462"/>
      <w:r>
        <w:rPr>
          <w:rFonts w:hint="eastAsia" w:ascii="宋体" w:hAnsi="宋体" w:eastAsia="宋体" w:cs="宋体"/>
          <w:color w:val="000000" w:themeColor="text1"/>
          <w:spacing w:val="0"/>
          <w:sz w:val="24"/>
          <w:szCs w:val="24"/>
          <w:highlight w:val="none"/>
          <w14:textFill>
            <w14:solidFill>
              <w14:schemeClr w14:val="tx1"/>
            </w14:solidFill>
          </w14:textFill>
        </w:rPr>
        <w:t>（3）唱标人公布在投标截止时间前进行投标文件的投标人数量和名称</w:t>
      </w:r>
      <w:bookmarkEnd w:id="75"/>
      <w:bookmarkEnd w:id="76"/>
      <w:bookmarkEnd w:id="77"/>
      <w:bookmarkEnd w:id="78"/>
    </w:p>
    <w:p w14:paraId="0C0A9C7B">
      <w:pPr>
        <w:keepNext w:val="0"/>
        <w:keepLines w:val="0"/>
        <w:pageBreakBefore w:val="0"/>
        <w:widowControl/>
        <w:kinsoku w:val="0"/>
        <w:wordWrap w:val="0"/>
        <w:overflowPunct/>
        <w:topLinePunct w:val="0"/>
        <w:autoSpaceDE w:val="0"/>
        <w:autoSpaceDN w:val="0"/>
        <w:bidi w:val="0"/>
        <w:adjustRightInd w:val="0"/>
        <w:snapToGrid w:val="0"/>
        <w:spacing w:before="181" w:line="310" w:lineRule="auto"/>
        <w:ind w:left="499"/>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79" w:name="_Toc8179"/>
      <w:bookmarkStart w:id="80" w:name="_Toc27967"/>
      <w:bookmarkStart w:id="81" w:name="_Toc20559"/>
      <w:bookmarkStart w:id="82" w:name="_Toc15860"/>
      <w:r>
        <w:rPr>
          <w:rFonts w:hint="eastAsia" w:ascii="宋体" w:hAnsi="宋体" w:eastAsia="宋体" w:cs="宋体"/>
          <w:color w:val="000000" w:themeColor="text1"/>
          <w:spacing w:val="0"/>
          <w:sz w:val="24"/>
          <w:szCs w:val="24"/>
          <w:highlight w:val="none"/>
          <w14:textFill>
            <w14:solidFill>
              <w14:schemeClr w14:val="tx1"/>
            </w14:solidFill>
          </w14:textFill>
        </w:rPr>
        <w:t>（4）招标代理机构会同交易场所工作人员对投标人的电子投标信息进行解密，</w:t>
      </w:r>
      <w:bookmarkEnd w:id="79"/>
      <w:bookmarkEnd w:id="80"/>
      <w:bookmarkEnd w:id="81"/>
      <w:bookmarkEnd w:id="82"/>
      <w:r>
        <w:rPr>
          <w:rFonts w:hint="eastAsia" w:ascii="宋体" w:hAnsi="宋体" w:eastAsia="宋体" w:cs="宋体"/>
          <w:color w:val="000000" w:themeColor="text1"/>
          <w:spacing w:val="0"/>
          <w:sz w:val="24"/>
          <w:szCs w:val="24"/>
          <w:highlight w:val="none"/>
          <w14:textFill>
            <w14:solidFill>
              <w14:schemeClr w14:val="tx1"/>
            </w14:solidFill>
          </w14:textFill>
        </w:rPr>
        <w:t>建设工程交易系统自动生成《投标保证缴纳情况表》和《开标一览表》。</w:t>
      </w:r>
    </w:p>
    <w:p w14:paraId="4F5D7C80">
      <w:pPr>
        <w:keepNext w:val="0"/>
        <w:keepLines w:val="0"/>
        <w:pageBreakBefore w:val="0"/>
        <w:wordWrap w:val="0"/>
        <w:overflowPunct/>
        <w:topLinePunct w:val="0"/>
        <w:bidi w:val="0"/>
        <w:spacing w:before="182" w:line="360" w:lineRule="auto"/>
        <w:ind w:firstLine="482" w:firstLineChars="200"/>
        <w:outlineLvl w:val="9"/>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83" w:name="_Toc28266"/>
      <w:bookmarkStart w:id="84" w:name="_Toc2199"/>
      <w:bookmarkStart w:id="85" w:name="_Toc28812"/>
      <w:bookmarkStart w:id="86" w:name="_Toc26216"/>
      <w:r>
        <w:rPr>
          <w:rFonts w:hint="eastAsia" w:ascii="宋体" w:hAnsi="宋体" w:eastAsia="宋体" w:cs="宋体"/>
          <w:b/>
          <w:bCs/>
          <w:color w:val="000000" w:themeColor="text1"/>
          <w:spacing w:val="0"/>
          <w:sz w:val="24"/>
          <w:szCs w:val="24"/>
          <w:highlight w:val="none"/>
          <w14:textFill>
            <w14:solidFill>
              <w14:schemeClr w14:val="tx1"/>
            </w14:solidFill>
          </w14:textFill>
        </w:rPr>
        <w:t>温馨提示：因本项目实行全流程电子化招标投标，投标人无须进行现场签到，可</w:t>
      </w:r>
      <w:bookmarkEnd w:id="83"/>
      <w:bookmarkEnd w:id="84"/>
      <w:bookmarkEnd w:id="85"/>
      <w:r>
        <w:rPr>
          <w:rFonts w:hint="eastAsia" w:ascii="宋体" w:hAnsi="宋体" w:eastAsia="宋体" w:cs="宋体"/>
          <w:b/>
          <w:bCs/>
          <w:color w:val="000000" w:themeColor="text1"/>
          <w:spacing w:val="0"/>
          <w:sz w:val="24"/>
          <w:szCs w:val="24"/>
          <w:highlight w:val="none"/>
          <w14:textFill>
            <w14:solidFill>
              <w14:schemeClr w14:val="tx1"/>
            </w14:solidFill>
          </w14:textFill>
        </w:rPr>
        <w:t>登录交易平台观看开标实况、提出异议或进行澄清、确认等操作，对开标事项的异议未在开标期间提出的，招标</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人不</w:t>
      </w:r>
      <w:r>
        <w:rPr>
          <w:rFonts w:hint="eastAsia" w:ascii="宋体" w:hAnsi="宋体" w:eastAsia="宋体" w:cs="宋体"/>
          <w:b/>
          <w:bCs/>
          <w:color w:val="000000" w:themeColor="text1"/>
          <w:spacing w:val="0"/>
          <w:sz w:val="24"/>
          <w:szCs w:val="24"/>
          <w:highlight w:val="none"/>
          <w14:textFill>
            <w14:solidFill>
              <w14:schemeClr w14:val="tx1"/>
            </w14:solidFill>
          </w14:textFill>
        </w:rPr>
        <w:t>予受理。具体按招标文件和系统操作手册为准。</w:t>
      </w:r>
      <w:bookmarkEnd w:id="86"/>
    </w:p>
    <w:p w14:paraId="29DDC04A">
      <w:pPr>
        <w:keepNext w:val="0"/>
        <w:keepLines w:val="0"/>
        <w:pageBreakBefore w:val="0"/>
        <w:wordWrap w:val="0"/>
        <w:overflowPunct/>
        <w:topLinePunct w:val="0"/>
        <w:bidi w:val="0"/>
        <w:spacing w:before="182" w:line="360" w:lineRule="auto"/>
        <w:ind w:firstLine="482" w:firstLineChars="200"/>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14.3  </w:t>
      </w:r>
      <w:r>
        <w:rPr>
          <w:rFonts w:hint="eastAsia" w:ascii="宋体" w:hAnsi="宋体" w:eastAsia="宋体" w:cs="宋体"/>
          <w:color w:val="000000" w:themeColor="text1"/>
          <w:spacing w:val="0"/>
          <w:sz w:val="24"/>
          <w:szCs w:val="24"/>
          <w:highlight w:val="none"/>
          <w14:textFill>
            <w14:solidFill>
              <w14:schemeClr w14:val="tx1"/>
            </w14:solidFill>
          </w14:textFill>
        </w:rPr>
        <w:t>投标人对开标相关事项（如开标程序等）有异议的，必须在开标期间和开标现场提出，招标人或其授权的招标代理机构应当场作出答复，并记录在案。对开标事项的异议未在开标期间和开标现场提出的，招标人不予受理。</w:t>
      </w:r>
    </w:p>
    <w:p w14:paraId="1DB30EA2">
      <w:pPr>
        <w:keepNext w:val="0"/>
        <w:keepLines w:val="0"/>
        <w:pageBreakBefore w:val="0"/>
        <w:wordWrap w:val="0"/>
        <w:overflowPunct/>
        <w:topLinePunct w:val="0"/>
        <w:bidi w:val="0"/>
        <w:spacing w:before="155" w:line="279" w:lineRule="auto"/>
        <w:ind w:left="8" w:right="82" w:firstLine="487"/>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14.4 </w:t>
      </w:r>
      <w:r>
        <w:rPr>
          <w:rFonts w:hint="eastAsia" w:ascii="宋体" w:hAnsi="宋体" w:eastAsia="宋体" w:cs="宋体"/>
          <w:color w:val="000000" w:themeColor="text1"/>
          <w:spacing w:val="0"/>
          <w:sz w:val="24"/>
          <w:szCs w:val="24"/>
          <w:highlight w:val="none"/>
          <w14:textFill>
            <w14:solidFill>
              <w14:schemeClr w14:val="tx1"/>
            </w14:solidFill>
          </w14:textFill>
        </w:rPr>
        <w:t>招标代理机构将资料原件（如有）、《开标一览表》以及其他有关资料移交评标委员会。</w:t>
      </w:r>
    </w:p>
    <w:p w14:paraId="2E809B78">
      <w:pPr>
        <w:keepNext w:val="0"/>
        <w:keepLines w:val="0"/>
        <w:pageBreakBefore w:val="0"/>
        <w:wordWrap w:val="0"/>
        <w:overflowPunct/>
        <w:topLinePunct w:val="0"/>
        <w:bidi w:val="0"/>
        <w:spacing w:before="78" w:line="221" w:lineRule="auto"/>
        <w:ind w:left="496"/>
        <w:outlineLvl w:val="2"/>
        <w:rPr>
          <w:rFonts w:hint="eastAsia" w:ascii="宋体" w:hAnsi="宋体" w:eastAsia="宋体" w:cs="宋体"/>
          <w:color w:val="000000" w:themeColor="text1"/>
          <w:spacing w:val="0"/>
          <w:highlight w:val="none"/>
          <w14:textFill>
            <w14:solidFill>
              <w14:schemeClr w14:val="tx1"/>
            </w14:solidFill>
          </w14:textFill>
        </w:rPr>
      </w:pPr>
      <w:bookmarkStart w:id="87" w:name="_Toc961"/>
      <w:bookmarkStart w:id="88" w:name="_Toc9669"/>
      <w:r>
        <w:rPr>
          <w:rFonts w:hint="eastAsia" w:ascii="宋体" w:hAnsi="宋体" w:eastAsia="宋体" w:cs="宋体"/>
          <w:b/>
          <w:bCs/>
          <w:color w:val="000000" w:themeColor="text1"/>
          <w:spacing w:val="0"/>
          <w:sz w:val="24"/>
          <w:szCs w:val="24"/>
          <w:highlight w:val="none"/>
          <w14:textFill>
            <w14:solidFill>
              <w14:schemeClr w14:val="tx1"/>
            </w14:solidFill>
          </w14:textFill>
        </w:rPr>
        <w:t>15 ．评标</w:t>
      </w:r>
      <w:bookmarkEnd w:id="87"/>
      <w:bookmarkEnd w:id="88"/>
    </w:p>
    <w:p w14:paraId="6B3E0F13">
      <w:pPr>
        <w:keepNext w:val="0"/>
        <w:keepLines w:val="0"/>
        <w:pageBreakBefore w:val="0"/>
        <w:wordWrap w:val="0"/>
        <w:overflowPunct/>
        <w:topLinePunct w:val="0"/>
        <w:bidi w:val="0"/>
        <w:spacing w:before="78" w:line="331" w:lineRule="auto"/>
        <w:ind w:left="8" w:right="65" w:firstLine="480"/>
        <w:rPr>
          <w:rFonts w:hint="eastAsia" w:ascii="宋体" w:hAnsi="宋体" w:eastAsia="宋体" w:cs="宋体"/>
          <w:color w:val="000000" w:themeColor="text1"/>
          <w:spacing w:val="0"/>
          <w:sz w:val="24"/>
          <w:szCs w:val="24"/>
          <w:highlight w:val="none"/>
          <w14:textFill>
            <w14:solidFill>
              <w14:schemeClr w14:val="tx1"/>
            </w14:solidFill>
          </w14:textFill>
        </w:rPr>
      </w:pPr>
      <w:bookmarkStart w:id="89" w:name="bookmark124"/>
      <w:bookmarkEnd w:id="89"/>
      <w:r>
        <w:rPr>
          <w:rFonts w:hint="eastAsia" w:ascii="宋体" w:hAnsi="宋体" w:eastAsia="宋体" w:cs="宋体"/>
          <w:color w:val="000000" w:themeColor="text1"/>
          <w:spacing w:val="0"/>
          <w:sz w:val="24"/>
          <w:szCs w:val="24"/>
          <w:highlight w:val="none"/>
          <w14:textFill>
            <w14:solidFill>
              <w14:schemeClr w14:val="tx1"/>
            </w14:solidFill>
          </w14:textFill>
        </w:rPr>
        <w:t>评标分为初步评审和详细评审两个阶段，由评标委员会在有关部门的监督下，严格按照本招标文件指定的评标方法，对投标人的投标文件进行审查、评审。评标委员会完成评标后，评标委员会按照投标人评审综合总得分由高到低的原则,向招标人推荐已明确的定标候选人数量（不标明排序），并向招标人提交由全体评标委员会成员签字的评标报告。</w:t>
      </w:r>
    </w:p>
    <w:p w14:paraId="1AE0EC81">
      <w:pPr>
        <w:keepNext w:val="0"/>
        <w:keepLines w:val="0"/>
        <w:pageBreakBefore w:val="0"/>
        <w:wordWrap w:val="0"/>
        <w:overflowPunct/>
        <w:topLinePunct w:val="0"/>
        <w:bidi w:val="0"/>
        <w:spacing w:before="38" w:line="219"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  </w:t>
      </w:r>
      <w:r>
        <w:rPr>
          <w:rFonts w:hint="eastAsia" w:ascii="宋体" w:hAnsi="宋体" w:eastAsia="宋体" w:cs="宋体"/>
          <w:color w:val="000000" w:themeColor="text1"/>
          <w:spacing w:val="0"/>
          <w:sz w:val="24"/>
          <w:szCs w:val="24"/>
          <w:highlight w:val="none"/>
          <w14:textFill>
            <w14:solidFill>
              <w14:schemeClr w14:val="tx1"/>
            </w14:solidFill>
          </w14:textFill>
        </w:rPr>
        <w:t>评标委员会</w:t>
      </w:r>
    </w:p>
    <w:p w14:paraId="31B92F0C">
      <w:pPr>
        <w:keepNext w:val="0"/>
        <w:keepLines w:val="0"/>
        <w:pageBreakBefore w:val="0"/>
        <w:wordWrap w:val="0"/>
        <w:overflowPunct/>
        <w:topLinePunct w:val="0"/>
        <w:bidi w:val="0"/>
        <w:spacing w:before="155" w:line="324" w:lineRule="auto"/>
        <w:ind w:left="10" w:right="65" w:firstLine="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15.1.1 </w:t>
      </w:r>
      <w:r>
        <w:rPr>
          <w:rFonts w:hint="eastAsia" w:ascii="宋体" w:hAnsi="宋体" w:eastAsia="宋体" w:cs="宋体"/>
          <w:color w:val="000000" w:themeColor="text1"/>
          <w:spacing w:val="0"/>
          <w:sz w:val="24"/>
          <w:szCs w:val="24"/>
          <w:highlight w:val="none"/>
          <w14:textFill>
            <w14:solidFill>
              <w14:schemeClr w14:val="tx1"/>
            </w14:solidFill>
          </w14:textFill>
        </w:rPr>
        <w:t>评标委员会由</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5 </w:t>
      </w:r>
      <w:r>
        <w:rPr>
          <w:rFonts w:hint="eastAsia" w:ascii="宋体" w:hAnsi="宋体" w:eastAsia="宋体" w:cs="宋体"/>
          <w:color w:val="000000" w:themeColor="text1"/>
          <w:spacing w:val="0"/>
          <w:sz w:val="24"/>
          <w:szCs w:val="24"/>
          <w:highlight w:val="none"/>
          <w14:textFill>
            <w14:solidFill>
              <w14:schemeClr w14:val="tx1"/>
            </w14:solidFill>
          </w14:textFill>
        </w:rPr>
        <w:t>人组成，其中招标人代表</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0 </w:t>
      </w:r>
      <w:r>
        <w:rPr>
          <w:rFonts w:hint="eastAsia" w:ascii="宋体" w:hAnsi="宋体" w:eastAsia="宋体" w:cs="宋体"/>
          <w:color w:val="000000" w:themeColor="text1"/>
          <w:spacing w:val="0"/>
          <w:sz w:val="24"/>
          <w:szCs w:val="24"/>
          <w:highlight w:val="none"/>
          <w14:textFill>
            <w14:solidFill>
              <w14:schemeClr w14:val="tx1"/>
            </w14:solidFill>
          </w14:textFill>
        </w:rPr>
        <w:t>人，专家</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5 </w:t>
      </w:r>
      <w:r>
        <w:rPr>
          <w:rFonts w:hint="eastAsia" w:ascii="宋体" w:hAnsi="宋体" w:eastAsia="宋体" w:cs="宋体"/>
          <w:color w:val="000000" w:themeColor="text1"/>
          <w:spacing w:val="0"/>
          <w:sz w:val="24"/>
          <w:szCs w:val="24"/>
          <w:highlight w:val="none"/>
          <w14:textFill>
            <w14:solidFill>
              <w14:schemeClr w14:val="tx1"/>
            </w14:solidFill>
          </w14:textFill>
        </w:rPr>
        <w:t>人。专家从</w:t>
      </w:r>
      <w:r>
        <w:rPr>
          <w:rFonts w:hint="eastAsia" w:ascii="宋体" w:hAnsi="宋体" w:eastAsia="宋体" w:cs="宋体"/>
          <w:color w:val="000000" w:themeColor="text1"/>
          <w:spacing w:val="0"/>
          <w:sz w:val="24"/>
          <w:szCs w:val="24"/>
          <w:highlight w:val="none"/>
          <w:u w:val="none"/>
          <w14:textFill>
            <w14:solidFill>
              <w14:schemeClr w14:val="tx1"/>
            </w14:solidFill>
          </w14:textFill>
        </w:rPr>
        <w:t>广东省综合评标评审专家库</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u w:val="single"/>
          <w14:textFill>
            <w14:solidFill>
              <w14:schemeClr w14:val="tx1"/>
            </w14:solidFill>
          </w14:textFill>
        </w:rPr>
        <w:t>韶关区域</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中随机抽取，其中技术类专家</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3 </w:t>
      </w:r>
      <w:r>
        <w:rPr>
          <w:rFonts w:hint="eastAsia" w:ascii="宋体" w:hAnsi="宋体" w:eastAsia="宋体" w:cs="宋体"/>
          <w:color w:val="000000" w:themeColor="text1"/>
          <w:spacing w:val="0"/>
          <w:sz w:val="24"/>
          <w:szCs w:val="24"/>
          <w:highlight w:val="none"/>
          <w14:textFill>
            <w14:solidFill>
              <w14:schemeClr w14:val="tx1"/>
            </w14:solidFill>
          </w14:textFill>
        </w:rPr>
        <w:t>人，经济类专家</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2 </w:t>
      </w:r>
      <w:r>
        <w:rPr>
          <w:rFonts w:hint="eastAsia" w:ascii="宋体" w:hAnsi="宋体" w:eastAsia="宋体" w:cs="宋体"/>
          <w:color w:val="000000" w:themeColor="text1"/>
          <w:spacing w:val="0"/>
          <w:sz w:val="24"/>
          <w:szCs w:val="24"/>
          <w:highlight w:val="none"/>
          <w14:textFill>
            <w14:solidFill>
              <w14:schemeClr w14:val="tx1"/>
            </w14:solidFill>
          </w14:textFill>
        </w:rPr>
        <w:t>人。评标委员会设负责人，由评标委员会成员推举产生。评标委员会负责人与评标委员会的其他成员有同等的表决权。</w:t>
      </w:r>
    </w:p>
    <w:p w14:paraId="3773E95D">
      <w:pPr>
        <w:keepNext w:val="0"/>
        <w:keepLines w:val="0"/>
        <w:pageBreakBefore w:val="0"/>
        <w:wordWrap w:val="0"/>
        <w:overflowPunct/>
        <w:topLinePunct w:val="0"/>
        <w:bidi w:val="0"/>
        <w:spacing w:before="32" w:line="280" w:lineRule="auto"/>
        <w:ind w:left="13" w:right="7" w:firstLine="56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15.1.2  </w:t>
      </w:r>
      <w:r>
        <w:rPr>
          <w:rFonts w:hint="eastAsia" w:ascii="宋体" w:hAnsi="宋体" w:eastAsia="宋体" w:cs="宋体"/>
          <w:color w:val="000000" w:themeColor="text1"/>
          <w:spacing w:val="0"/>
          <w:sz w:val="24"/>
          <w:szCs w:val="24"/>
          <w:highlight w:val="none"/>
          <w14:textFill>
            <w14:solidFill>
              <w14:schemeClr w14:val="tx1"/>
            </w14:solidFill>
          </w14:textFill>
        </w:rPr>
        <w:t>评标委员会应认真、公正、诚实、廉洁地履行职责。有下列情形之一的，不得担任评标委员会成员：</w:t>
      </w:r>
    </w:p>
    <w:p w14:paraId="630ECC06">
      <w:pPr>
        <w:keepNext w:val="0"/>
        <w:keepLines w:val="0"/>
        <w:pageBreakBefore w:val="0"/>
        <w:wordWrap w:val="0"/>
        <w:overflowPunct/>
        <w:topLinePunct w:val="0"/>
        <w:bidi w:val="0"/>
        <w:spacing w:before="154" w:line="220"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（1）投标人或投标人主要负责人的近亲属；</w:t>
      </w:r>
    </w:p>
    <w:p w14:paraId="6812A920">
      <w:pPr>
        <w:keepNext w:val="0"/>
        <w:keepLines w:val="0"/>
        <w:pageBreakBefore w:val="0"/>
        <w:wordWrap w:val="0"/>
        <w:overflowPunct/>
        <w:topLinePunct w:val="0"/>
        <w:bidi w:val="0"/>
        <w:spacing w:before="153" w:line="220"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（2）项目主管部门或者行政监督部门的人员；</w:t>
      </w:r>
    </w:p>
    <w:p w14:paraId="4E3A1FF1">
      <w:pPr>
        <w:keepNext w:val="0"/>
        <w:keepLines w:val="0"/>
        <w:pageBreakBefore w:val="0"/>
        <w:wordWrap w:val="0"/>
        <w:overflowPunct/>
        <w:topLinePunct w:val="0"/>
        <w:bidi w:val="0"/>
        <w:spacing w:before="155" w:line="221"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（3）与投标人有经济利益关系，可能影响对投标公正评审的；</w:t>
      </w:r>
    </w:p>
    <w:p w14:paraId="6C955D4C">
      <w:pPr>
        <w:keepNext w:val="0"/>
        <w:keepLines w:val="0"/>
        <w:pageBreakBefore w:val="0"/>
        <w:wordWrap w:val="0"/>
        <w:overflowPunct/>
        <w:topLinePunct w:val="0"/>
        <w:bidi w:val="0"/>
        <w:spacing w:before="153" w:line="279" w:lineRule="auto"/>
        <w:ind w:left="8" w:right="65" w:firstLine="57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（4）曾因在招标、评标以及其他与招标投标有关活动中从事违法行为而受过行政处罚或刑事处罚的。</w:t>
      </w:r>
    </w:p>
    <w:p w14:paraId="3C4B0D01">
      <w:pPr>
        <w:keepNext w:val="0"/>
        <w:keepLines w:val="0"/>
        <w:pageBreakBefore w:val="0"/>
        <w:wordWrap w:val="0"/>
        <w:overflowPunct/>
        <w:topLinePunct w:val="0"/>
        <w:bidi w:val="0"/>
        <w:spacing w:before="155" w:line="219" w:lineRule="auto"/>
        <w:ind w:left="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评标委员会成员有以上情形之一的，应主动提出回避。</w:t>
      </w:r>
    </w:p>
    <w:p w14:paraId="779D0486">
      <w:pPr>
        <w:keepNext w:val="0"/>
        <w:keepLines w:val="0"/>
        <w:pageBreakBefore w:val="0"/>
        <w:wordWrap w:val="0"/>
        <w:overflowPunct/>
        <w:topLinePunct w:val="0"/>
        <w:bidi w:val="0"/>
        <w:spacing w:before="154" w:line="279" w:lineRule="auto"/>
        <w:ind w:left="8" w:right="65" w:firstLine="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15.1.3  </w:t>
      </w:r>
      <w:r>
        <w:rPr>
          <w:rFonts w:hint="eastAsia" w:ascii="宋体" w:hAnsi="宋体" w:eastAsia="宋体" w:cs="宋体"/>
          <w:color w:val="000000" w:themeColor="text1"/>
          <w:spacing w:val="0"/>
          <w:sz w:val="24"/>
          <w:szCs w:val="24"/>
          <w:highlight w:val="none"/>
          <w14:textFill>
            <w14:solidFill>
              <w14:schemeClr w14:val="tx1"/>
            </w14:solidFill>
          </w14:textFill>
        </w:rPr>
        <w:t>评标全过程实行封闭式管理，在中标结果公布前，禁止评标委员会成员以任何方式私下接触投标人。</w:t>
      </w:r>
    </w:p>
    <w:p w14:paraId="4E1CA66A">
      <w:pPr>
        <w:keepNext w:val="0"/>
        <w:keepLines w:val="0"/>
        <w:pageBreakBefore w:val="0"/>
        <w:wordWrap w:val="0"/>
        <w:overflowPunct/>
        <w:topLinePunct w:val="0"/>
        <w:bidi w:val="0"/>
        <w:spacing w:before="157" w:line="298" w:lineRule="auto"/>
        <w:ind w:left="11" w:right="65" w:firstLine="48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15.1.4  </w:t>
      </w:r>
      <w:r>
        <w:rPr>
          <w:rFonts w:hint="eastAsia" w:ascii="宋体" w:hAnsi="宋体" w:eastAsia="宋体" w:cs="宋体"/>
          <w:color w:val="000000" w:themeColor="text1"/>
          <w:spacing w:val="0"/>
          <w:sz w:val="24"/>
          <w:szCs w:val="24"/>
          <w:highlight w:val="none"/>
          <w14:textFill>
            <w14:solidFill>
              <w14:schemeClr w14:val="tx1"/>
            </w14:solidFill>
          </w14:textFill>
        </w:rPr>
        <w:t>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2761184C">
      <w:pPr>
        <w:keepNext w:val="0"/>
        <w:keepLines w:val="0"/>
        <w:pageBreakBefore w:val="0"/>
        <w:wordWrap w:val="0"/>
        <w:overflowPunct/>
        <w:topLinePunct w:val="0"/>
        <w:bidi w:val="0"/>
        <w:spacing w:before="156" w:line="309" w:lineRule="auto"/>
        <w:ind w:left="8" w:right="65" w:firstLine="56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15.1.5  </w:t>
      </w:r>
      <w:r>
        <w:rPr>
          <w:rFonts w:hint="eastAsia" w:ascii="宋体" w:hAnsi="宋体" w:eastAsia="宋体" w:cs="宋体"/>
          <w:color w:val="000000" w:themeColor="text1"/>
          <w:spacing w:val="0"/>
          <w:sz w:val="24"/>
          <w:szCs w:val="24"/>
          <w:highlight w:val="none"/>
          <w14:textFill>
            <w14:solidFill>
              <w14:schemeClr w14:val="tx1"/>
            </w14:solidFill>
          </w14:textFill>
        </w:rPr>
        <w:t>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3267A2AD">
      <w:pPr>
        <w:keepNext w:val="0"/>
        <w:keepLines w:val="0"/>
        <w:pageBreakBefore w:val="0"/>
        <w:wordWrap w:val="0"/>
        <w:overflowPunct/>
        <w:topLinePunct w:val="0"/>
        <w:bidi w:val="0"/>
        <w:spacing w:before="79" w:line="221" w:lineRule="auto"/>
        <w:ind w:left="577"/>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15.2  </w:t>
      </w:r>
      <w:r>
        <w:rPr>
          <w:rFonts w:hint="eastAsia" w:ascii="宋体" w:hAnsi="宋体" w:eastAsia="宋体" w:cs="宋体"/>
          <w:color w:val="000000" w:themeColor="text1"/>
          <w:spacing w:val="0"/>
          <w:sz w:val="24"/>
          <w:szCs w:val="24"/>
          <w:highlight w:val="none"/>
          <w14:textFill>
            <w14:solidFill>
              <w14:schemeClr w14:val="tx1"/>
            </w14:solidFill>
          </w14:textFill>
        </w:rPr>
        <w:t>评标方法</w:t>
      </w:r>
    </w:p>
    <w:p w14:paraId="31CCE9AE">
      <w:pPr>
        <w:keepNext w:val="0"/>
        <w:keepLines w:val="0"/>
        <w:pageBreakBefore w:val="0"/>
        <w:wordWrap w:val="0"/>
        <w:overflowPunct/>
        <w:topLinePunct w:val="0"/>
        <w:bidi w:val="0"/>
        <w:spacing w:before="78" w:line="326" w:lineRule="auto"/>
        <w:ind w:left="231" w:right="181" w:firstLine="560"/>
        <w:rPr>
          <w:rFonts w:hint="eastAsia" w:ascii="宋体" w:hAnsi="宋体" w:eastAsia="宋体" w:cs="宋体"/>
          <w:color w:val="000000" w:themeColor="text1"/>
          <w:spacing w:val="0"/>
          <w:highlight w:val="none"/>
          <w14:textFill>
            <w14:solidFill>
              <w14:schemeClr w14:val="tx1"/>
            </w14:solidFill>
          </w14:textFill>
        </w:rPr>
      </w:pPr>
      <w:bookmarkStart w:id="90" w:name="bookmark125"/>
      <w:bookmarkEnd w:id="90"/>
      <w:r>
        <w:rPr>
          <w:rFonts w:hint="eastAsia" w:ascii="宋体" w:hAnsi="宋体" w:eastAsia="宋体" w:cs="宋体"/>
          <w:color w:val="000000" w:themeColor="text1"/>
          <w:spacing w:val="0"/>
          <w:sz w:val="24"/>
          <w:szCs w:val="24"/>
          <w:highlight w:val="none"/>
          <w14:textFill>
            <w14:solidFill>
              <w14:schemeClr w14:val="tx1"/>
            </w14:solidFill>
          </w14:textFill>
        </w:rPr>
        <w:t>根据有关法律、法规的相关规定，结合本招标项目资金来源和规模特点，本次招标采用</w:t>
      </w:r>
      <w:r>
        <w:rPr>
          <w:rFonts w:hint="eastAsia" w:ascii="宋体" w:hAnsi="宋体" w:eastAsia="宋体" w:cs="宋体"/>
          <w:b/>
          <w:bCs/>
          <w:color w:val="000000" w:themeColor="text1"/>
          <w:spacing w:val="0"/>
          <w:sz w:val="24"/>
          <w:szCs w:val="24"/>
          <w:highlight w:val="none"/>
          <w:u w:val="single"/>
          <w14:textFill>
            <w14:solidFill>
              <w14:schemeClr w14:val="tx1"/>
            </w14:solidFill>
          </w14:textFill>
        </w:rPr>
        <w:t xml:space="preserve"> 综合评估法 </w:t>
      </w:r>
      <w:r>
        <w:rPr>
          <w:rFonts w:hint="eastAsia" w:ascii="宋体" w:hAnsi="宋体" w:eastAsia="宋体" w:cs="宋体"/>
          <w:color w:val="000000" w:themeColor="text1"/>
          <w:spacing w:val="0"/>
          <w:sz w:val="24"/>
          <w:szCs w:val="24"/>
          <w:highlight w:val="none"/>
          <w:u w:val="singl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评标方法名称）进行评标。</w:t>
      </w:r>
    </w:p>
    <w:p w14:paraId="444FBDD2">
      <w:pPr>
        <w:keepNext w:val="0"/>
        <w:keepLines w:val="0"/>
        <w:pageBreakBefore w:val="0"/>
        <w:wordWrap w:val="0"/>
        <w:overflowPunct/>
        <w:topLinePunct w:val="0"/>
        <w:bidi w:val="0"/>
        <w:spacing w:before="154" w:line="269" w:lineRule="auto"/>
        <w:ind w:left="220" w:right="33" w:firstLine="496"/>
        <w:rPr>
          <w:rFonts w:hint="eastAsia" w:ascii="宋体" w:hAnsi="宋体" w:eastAsia="宋体" w:cs="宋体"/>
          <w:color w:val="000000" w:themeColor="text1"/>
          <w:spacing w:val="0"/>
          <w:sz w:val="25"/>
          <w:szCs w:val="25"/>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15.3  </w:t>
      </w:r>
      <w:r>
        <w:rPr>
          <w:rFonts w:hint="eastAsia" w:ascii="宋体" w:hAnsi="宋体" w:eastAsia="宋体" w:cs="宋体"/>
          <w:color w:val="000000" w:themeColor="text1"/>
          <w:spacing w:val="0"/>
          <w:sz w:val="24"/>
          <w:szCs w:val="24"/>
          <w:highlight w:val="none"/>
          <w14:textFill>
            <w14:solidFill>
              <w14:schemeClr w14:val="tx1"/>
            </w14:solidFill>
          </w14:textFill>
        </w:rPr>
        <w:t>评审范围：评标委员会应对所有投标人的投标文件进行评审。</w:t>
      </w:r>
    </w:p>
    <w:p w14:paraId="0A158934">
      <w:pPr>
        <w:keepNext w:val="0"/>
        <w:keepLines w:val="0"/>
        <w:pageBreakBefore w:val="0"/>
        <w:wordWrap w:val="0"/>
        <w:overflowPunct/>
        <w:topLinePunct w:val="0"/>
        <w:bidi w:val="0"/>
        <w:spacing w:before="153" w:line="220" w:lineRule="auto"/>
        <w:ind w:left="71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15.4  </w:t>
      </w:r>
      <w:r>
        <w:rPr>
          <w:rFonts w:hint="eastAsia" w:ascii="宋体" w:hAnsi="宋体" w:eastAsia="宋体" w:cs="宋体"/>
          <w:color w:val="000000" w:themeColor="text1"/>
          <w:spacing w:val="0"/>
          <w:sz w:val="24"/>
          <w:szCs w:val="24"/>
          <w:highlight w:val="none"/>
          <w14:textFill>
            <w14:solidFill>
              <w14:schemeClr w14:val="tx1"/>
            </w14:solidFill>
          </w14:textFill>
        </w:rPr>
        <w:t>初步评审阶段</w:t>
      </w:r>
    </w:p>
    <w:p w14:paraId="0814EC29">
      <w:pPr>
        <w:keepNext w:val="0"/>
        <w:keepLines w:val="0"/>
        <w:pageBreakBefore w:val="0"/>
        <w:wordWrap w:val="0"/>
        <w:overflowPunct/>
        <w:topLinePunct w:val="0"/>
        <w:bidi w:val="0"/>
        <w:spacing w:before="153" w:line="220" w:lineRule="auto"/>
        <w:ind w:left="70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初步评审阶段分为资格评审、形式评审和响应性评审三个环节。</w:t>
      </w:r>
    </w:p>
    <w:p w14:paraId="39AEA1BE">
      <w:pPr>
        <w:keepNext w:val="0"/>
        <w:keepLines w:val="0"/>
        <w:pageBreakBefore w:val="0"/>
        <w:wordWrap w:val="0"/>
        <w:overflowPunct/>
        <w:topLinePunct w:val="0"/>
        <w:bidi w:val="0"/>
        <w:spacing w:before="155" w:line="279" w:lineRule="auto"/>
        <w:ind w:left="719" w:right="5820" w:rightChars="0" w:hanging="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15.4.1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资格评审环节 </w:t>
      </w:r>
    </w:p>
    <w:p w14:paraId="58B00498">
      <w:pPr>
        <w:keepNext w:val="0"/>
        <w:keepLines w:val="0"/>
        <w:pageBreakBefore w:val="0"/>
        <w:wordWrap w:val="0"/>
        <w:overflowPunct/>
        <w:topLinePunct w:val="0"/>
        <w:bidi w:val="0"/>
        <w:spacing w:before="155" w:line="279" w:lineRule="auto"/>
        <w:ind w:left="719" w:right="5820" w:rightChars="0" w:hanging="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资格评审事项包</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括</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18695609">
      <w:pPr>
        <w:keepNext w:val="0"/>
        <w:keepLines w:val="0"/>
        <w:pageBreakBefore w:val="0"/>
        <w:wordWrap w:val="0"/>
        <w:overflowPunct/>
        <w:topLinePunct w:val="0"/>
        <w:bidi w:val="0"/>
        <w:spacing w:before="152" w:line="315" w:lineRule="auto"/>
        <w:ind w:left="23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（1）投标人是否符合本章第三节第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 </w:t>
      </w:r>
      <w:r>
        <w:rPr>
          <w:rFonts w:hint="eastAsia" w:ascii="宋体" w:hAnsi="宋体" w:eastAsia="宋体" w:cs="宋体"/>
          <w:color w:val="000000" w:themeColor="text1"/>
          <w:spacing w:val="0"/>
          <w:sz w:val="24"/>
          <w:szCs w:val="24"/>
          <w:highlight w:val="none"/>
          <w14:textFill>
            <w14:solidFill>
              <w14:schemeClr w14:val="tx1"/>
            </w14:solidFill>
          </w14:textFill>
        </w:rPr>
        <w:t>条“禁止投标条款 ”规定。如果“禁止投标条款 ”包括失信惩戒的，投标人信用信息的获取采用现场实时查询的方式实施。由</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评标委员会</w:t>
      </w:r>
      <w:r>
        <w:rPr>
          <w:rFonts w:hint="eastAsia" w:ascii="宋体" w:hAnsi="宋体" w:eastAsia="宋体" w:cs="宋体"/>
          <w:color w:val="000000" w:themeColor="text1"/>
          <w:spacing w:val="0"/>
          <w:sz w:val="24"/>
          <w:szCs w:val="24"/>
          <w:highlight w:val="none"/>
          <w14:textFill>
            <w14:solidFill>
              <w14:schemeClr w14:val="tx1"/>
            </w14:solidFill>
          </w14:textFill>
        </w:rPr>
        <w:t>登录信用中国网站（https://www.creditchina.gov.cn），在企业查询界面下载和打印《法人和非法人组织公共信用信息报告》。</w:t>
      </w:r>
    </w:p>
    <w:p w14:paraId="375F7385">
      <w:pPr>
        <w:keepNext w:val="0"/>
        <w:keepLines w:val="0"/>
        <w:pageBreakBefore w:val="0"/>
        <w:wordWrap w:val="0"/>
        <w:overflowPunct/>
        <w:topLinePunct w:val="0"/>
        <w:bidi w:val="0"/>
        <w:spacing w:before="152" w:line="315" w:lineRule="auto"/>
        <w:ind w:left="23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（2）投标人名称是否与营业执照、资质证书、安全生产许可证一致。</w:t>
      </w:r>
    </w:p>
    <w:p w14:paraId="164D7887">
      <w:pPr>
        <w:keepNext w:val="0"/>
        <w:keepLines w:val="0"/>
        <w:pageBreakBefore w:val="0"/>
        <w:wordWrap w:val="0"/>
        <w:overflowPunct/>
        <w:topLinePunct w:val="0"/>
        <w:bidi w:val="0"/>
        <w:spacing w:before="152" w:line="315" w:lineRule="auto"/>
        <w:ind w:left="23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（3）投标人的资质是否符合招标文件规定；其营业执照、资质证书、安全生产许可证（含实时网页查询页，可参考网址 https://zlaq.mohurd.gov.cn/fwmh/bjxcjgl/fwm</w:t>
      </w:r>
      <w:bookmarkStart w:id="91" w:name="bookmark126"/>
      <w:bookmarkEnd w:id="91"/>
      <w:r>
        <w:rPr>
          <w:rFonts w:hint="eastAsia" w:ascii="宋体" w:hAnsi="宋体" w:eastAsia="宋体" w:cs="宋体"/>
          <w:color w:val="000000" w:themeColor="text1"/>
          <w:spacing w:val="0"/>
          <w:sz w:val="24"/>
          <w:szCs w:val="24"/>
          <w:highlight w:val="none"/>
          <w14:textFill>
            <w14:solidFill>
              <w14:schemeClr w14:val="tx1"/>
            </w14:solidFill>
          </w14:textFill>
        </w:rPr>
        <w:t>h/pages/construction_safety/qyaqscxkz/qyaqscxkz）是否合法、有效、准确。</w:t>
      </w:r>
    </w:p>
    <w:p w14:paraId="540CBBB1">
      <w:pPr>
        <w:keepNext w:val="0"/>
        <w:keepLines w:val="0"/>
        <w:pageBreakBefore w:val="0"/>
        <w:wordWrap w:val="0"/>
        <w:overflowPunct/>
        <w:topLinePunct w:val="0"/>
        <w:bidi w:val="0"/>
        <w:spacing w:before="152" w:line="315" w:lineRule="auto"/>
        <w:ind w:left="23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（4）《项目经理简历表》中拟派项目经理是否与《开标一览表》一致。</w:t>
      </w:r>
    </w:p>
    <w:p w14:paraId="6B9B0D89">
      <w:pPr>
        <w:keepNext w:val="0"/>
        <w:keepLines w:val="0"/>
        <w:pageBreakBefore w:val="0"/>
        <w:wordWrap w:val="0"/>
        <w:overflowPunct/>
        <w:topLinePunct w:val="0"/>
        <w:bidi w:val="0"/>
        <w:spacing w:before="152" w:line="315" w:lineRule="auto"/>
        <w:ind w:left="23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拟派项目经理、项目技术负责人、专职安全员的条件是否符合招标文件规定；拟派的项目经理是否在投标文件《项目经理简历表》中签字确认；项目技术负责人是否在投标文件《项目技术负责人简历表》中签字确认；项目管理机构组成人员的各类证书、证件、证明是否合法、有效、准确；是否擅自修改、遗漏《项目经理任职声明》的实质性内容。</w:t>
      </w:r>
    </w:p>
    <w:p w14:paraId="33FF0F7A">
      <w:pPr>
        <w:keepNext w:val="0"/>
        <w:keepLines w:val="0"/>
        <w:pageBreakBefore w:val="0"/>
        <w:wordWrap w:val="0"/>
        <w:overflowPunct/>
        <w:topLinePunct w:val="0"/>
        <w:bidi w:val="0"/>
        <w:spacing w:before="152" w:line="315" w:lineRule="auto"/>
        <w:ind w:left="23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联合体投标的，是否提交《联合体协议书》；是否擅自修改、遗漏《联合体协议书》的实质性内容；联合体成员的数量、资质是否符合招标文件规定；联合体成员是否以自己名义单独或者参加其他联合体参与本招标项目投标。</w:t>
      </w:r>
    </w:p>
    <w:p w14:paraId="12F54F61">
      <w:pPr>
        <w:keepNext w:val="0"/>
        <w:keepLines w:val="0"/>
        <w:pageBreakBefore w:val="0"/>
        <w:wordWrap w:val="0"/>
        <w:overflowPunct/>
        <w:topLinePunct w:val="0"/>
        <w:bidi w:val="0"/>
        <w:spacing w:before="152" w:line="315" w:lineRule="auto"/>
        <w:ind w:left="23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（7）投标人为外省建筑企业的，是否按规定在“进粤企业和人员诚信信息登记平台”录入企业及其拟派人员有关信息并通过数据规范检查。</w:t>
      </w:r>
    </w:p>
    <w:p w14:paraId="27E19AD3">
      <w:pPr>
        <w:keepNext w:val="0"/>
        <w:keepLines w:val="0"/>
        <w:pageBreakBefore w:val="0"/>
        <w:wordWrap w:val="0"/>
        <w:overflowPunct/>
        <w:topLinePunct w:val="0"/>
        <w:bidi w:val="0"/>
        <w:spacing w:before="15" w:line="360" w:lineRule="auto"/>
        <w:ind w:right="2" w:firstLine="482" w:firstLineChars="200"/>
        <w:jc w:val="both"/>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92" w:name="_Toc22778"/>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15.4.2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形式评审环节</w:t>
      </w:r>
    </w:p>
    <w:p w14:paraId="72253524">
      <w:pPr>
        <w:keepNext w:val="0"/>
        <w:keepLines w:val="0"/>
        <w:pageBreakBefore w:val="0"/>
        <w:wordWrap w:val="0"/>
        <w:overflowPunct/>
        <w:topLinePunct w:val="0"/>
        <w:bidi w:val="0"/>
        <w:spacing w:before="15" w:line="360" w:lineRule="auto"/>
        <w:ind w:right="2" w:firstLine="480" w:firstLineChars="200"/>
        <w:jc w:val="both"/>
        <w:outlineLvl w:val="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形式评审事</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项包括</w:t>
      </w:r>
      <w:bookmarkEnd w:id="92"/>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4EA57E30">
      <w:pPr>
        <w:keepNext w:val="0"/>
        <w:keepLines w:val="0"/>
        <w:pageBreakBefore w:val="0"/>
        <w:wordWrap w:val="0"/>
        <w:overflowPunct/>
        <w:topLinePunct w:val="0"/>
        <w:bidi w:val="0"/>
        <w:spacing w:before="40" w:line="360" w:lineRule="auto"/>
        <w:ind w:left="501"/>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93" w:name="_Toc4914"/>
      <w:bookmarkStart w:id="94" w:name="_Toc23632"/>
      <w:bookmarkStart w:id="95" w:name="_Toc20481"/>
      <w:bookmarkStart w:id="96" w:name="_Toc13304"/>
      <w:r>
        <w:rPr>
          <w:rFonts w:hint="eastAsia" w:ascii="宋体" w:hAnsi="宋体" w:eastAsia="宋体" w:cs="宋体"/>
          <w:color w:val="000000" w:themeColor="text1"/>
          <w:spacing w:val="0"/>
          <w:sz w:val="24"/>
          <w:szCs w:val="24"/>
          <w:highlight w:val="none"/>
          <w14:textFill>
            <w14:solidFill>
              <w14:schemeClr w14:val="tx1"/>
            </w14:solidFill>
          </w14:textFill>
        </w:rPr>
        <w:t>（1）各分册是否按招标文件规定加盖电子印章。</w:t>
      </w:r>
      <w:bookmarkEnd w:id="93"/>
      <w:bookmarkEnd w:id="94"/>
      <w:bookmarkEnd w:id="95"/>
      <w:bookmarkEnd w:id="96"/>
    </w:p>
    <w:p w14:paraId="1B27A302">
      <w:pPr>
        <w:keepNext w:val="0"/>
        <w:keepLines w:val="0"/>
        <w:pageBreakBefore w:val="0"/>
        <w:wordWrap w:val="0"/>
        <w:overflowPunct/>
        <w:topLinePunct w:val="0"/>
        <w:bidi w:val="0"/>
        <w:spacing w:before="15" w:line="360" w:lineRule="auto"/>
        <w:ind w:firstLine="480" w:firstLineChars="200"/>
        <w:outlineLvl w:val="9"/>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97" w:name="_Toc28409"/>
      <w:bookmarkStart w:id="98" w:name="_Toc27432"/>
      <w:bookmarkStart w:id="99" w:name="_Toc10806"/>
      <w:bookmarkStart w:id="100" w:name="_Toc12756"/>
      <w:r>
        <w:rPr>
          <w:rFonts w:hint="eastAsia" w:ascii="宋体" w:hAnsi="宋体" w:eastAsia="宋体" w:cs="宋体"/>
          <w:color w:val="000000" w:themeColor="text1"/>
          <w:spacing w:val="0"/>
          <w:sz w:val="24"/>
          <w:szCs w:val="24"/>
          <w:highlight w:val="none"/>
          <w14:textFill>
            <w14:solidFill>
              <w14:schemeClr w14:val="tx1"/>
            </w14:solidFill>
          </w14:textFill>
        </w:rPr>
        <w:t xml:space="preserve">（2）本节第 </w:t>
      </w:r>
      <w:r>
        <w:rPr>
          <w:rFonts w:hint="eastAsia" w:ascii="宋体" w:hAnsi="宋体" w:eastAsia="宋体" w:cs="宋体"/>
          <w:b/>
          <w:bCs/>
          <w:color w:val="000000" w:themeColor="text1"/>
          <w:spacing w:val="0"/>
          <w:sz w:val="24"/>
          <w:szCs w:val="24"/>
          <w:highlight w:val="none"/>
          <w14:textFill>
            <w14:solidFill>
              <w14:schemeClr w14:val="tx1"/>
            </w14:solidFill>
          </w14:textFill>
        </w:rPr>
        <w:t>10.2.2</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目、第 </w:t>
      </w:r>
      <w:r>
        <w:rPr>
          <w:rFonts w:hint="eastAsia" w:ascii="宋体" w:hAnsi="宋体" w:eastAsia="宋体" w:cs="宋体"/>
          <w:b/>
          <w:bCs/>
          <w:color w:val="000000" w:themeColor="text1"/>
          <w:spacing w:val="0"/>
          <w:sz w:val="24"/>
          <w:szCs w:val="24"/>
          <w:highlight w:val="none"/>
          <w14:textFill>
            <w14:solidFill>
              <w14:schemeClr w14:val="tx1"/>
            </w14:solidFill>
          </w14:textFill>
        </w:rPr>
        <w:t>10.3.2</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目、第 </w:t>
      </w:r>
      <w:r>
        <w:rPr>
          <w:rFonts w:hint="eastAsia" w:ascii="宋体" w:hAnsi="宋体" w:eastAsia="宋体" w:cs="宋体"/>
          <w:b/>
          <w:bCs/>
          <w:color w:val="000000" w:themeColor="text1"/>
          <w:spacing w:val="0"/>
          <w:sz w:val="24"/>
          <w:szCs w:val="24"/>
          <w:highlight w:val="none"/>
          <w14:textFill>
            <w14:solidFill>
              <w14:schemeClr w14:val="tx1"/>
            </w14:solidFill>
          </w14:textFill>
        </w:rPr>
        <w:t>10.4.3</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目中规定的“所有投标人均应提</w:t>
      </w:r>
      <w:bookmarkEnd w:id="97"/>
      <w:bookmarkEnd w:id="98"/>
      <w:bookmarkEnd w:id="99"/>
      <w:r>
        <w:rPr>
          <w:rFonts w:hint="eastAsia" w:ascii="宋体" w:hAnsi="宋体" w:eastAsia="宋体" w:cs="宋体"/>
          <w:color w:val="000000" w:themeColor="text1"/>
          <w:spacing w:val="0"/>
          <w:sz w:val="24"/>
          <w:szCs w:val="24"/>
          <w:highlight w:val="none"/>
          <w14:textFill>
            <w14:solidFill>
              <w14:schemeClr w14:val="tx1"/>
            </w14:solidFill>
          </w14:textFill>
        </w:rPr>
        <w:t>供 ”的组成内容（包括该组成内容的所附资料）是否完整、齐全</w:t>
      </w:r>
      <w:bookmarkEnd w:id="100"/>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15AF52E2">
      <w:pPr>
        <w:keepNext w:val="0"/>
        <w:keepLines w:val="0"/>
        <w:pageBreakBefore w:val="0"/>
        <w:wordWrap w:val="0"/>
        <w:overflowPunct/>
        <w:topLinePunct w:val="0"/>
        <w:bidi w:val="0"/>
        <w:spacing w:before="15" w:line="360" w:lineRule="auto"/>
        <w:ind w:right="2" w:firstLine="480" w:firstLineChars="200"/>
        <w:jc w:val="both"/>
        <w:outlineLvl w:val="9"/>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101" w:name="_Toc22691"/>
      <w:bookmarkStart w:id="102" w:name="_Toc9581"/>
      <w:bookmarkStart w:id="103" w:name="_Toc15678"/>
      <w:bookmarkStart w:id="104" w:name="_Toc17918"/>
      <w:r>
        <w:rPr>
          <w:rFonts w:hint="eastAsia" w:ascii="宋体" w:hAnsi="宋体" w:eastAsia="宋体" w:cs="宋体"/>
          <w:color w:val="000000" w:themeColor="text1"/>
          <w:spacing w:val="0"/>
          <w:sz w:val="24"/>
          <w:szCs w:val="24"/>
          <w:highlight w:val="none"/>
          <w:lang w:eastAsia="zh-CN"/>
          <w14:textFill>
            <w14:solidFill>
              <w14:schemeClr w14:val="tx1"/>
            </w14:solidFill>
          </w14:textFill>
        </w:rPr>
        <w:t>（3）</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施工组织设计采用“暗标 ”方式进行评审的，施工组织设计的规格颜色、文字排版、正文篇幅（若有）是否符合规定；其任何部位是否出现手写以及涂改、行间插字或删除痕迹；其任何部位是否出现投标人的名称和其它可识别投标人身份的字符、徽标、人员名称以及其他特殊标记。</w:t>
      </w:r>
      <w:bookmarkEnd w:id="101"/>
      <w:bookmarkEnd w:id="102"/>
      <w:bookmarkEnd w:id="103"/>
      <w:bookmarkEnd w:id="104"/>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本次招标项目不适用</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w:t>
      </w:r>
    </w:p>
    <w:p w14:paraId="5B0B29C4">
      <w:pPr>
        <w:keepNext w:val="0"/>
        <w:keepLines w:val="0"/>
        <w:pageBreakBefore w:val="0"/>
        <w:wordWrap w:val="0"/>
        <w:overflowPunct/>
        <w:topLinePunct w:val="0"/>
        <w:bidi w:val="0"/>
        <w:spacing w:before="15" w:line="360" w:lineRule="auto"/>
        <w:ind w:right="2" w:firstLine="482" w:firstLineChars="200"/>
        <w:jc w:val="both"/>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05" w:name="_Toc22562"/>
      <w:bookmarkStart w:id="106" w:name="_Toc16645"/>
      <w:bookmarkStart w:id="107" w:name="_Toc14202"/>
      <w:bookmarkStart w:id="108" w:name="_Toc22642"/>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15.4.3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响应性评审环节 </w:t>
      </w:r>
    </w:p>
    <w:p w14:paraId="69F5E200">
      <w:pPr>
        <w:keepNext w:val="0"/>
        <w:keepLines w:val="0"/>
        <w:pageBreakBefore w:val="0"/>
        <w:wordWrap w:val="0"/>
        <w:overflowPunct/>
        <w:topLinePunct w:val="0"/>
        <w:bidi w:val="0"/>
        <w:spacing w:before="15" w:line="360" w:lineRule="auto"/>
        <w:ind w:right="2" w:firstLine="480" w:firstLineChars="200"/>
        <w:jc w:val="both"/>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响应性评审事</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项</w:t>
      </w:r>
      <w:r>
        <w:rPr>
          <w:rFonts w:hint="eastAsia" w:ascii="宋体" w:hAnsi="宋体" w:eastAsia="宋体" w:cs="宋体"/>
          <w:color w:val="000000" w:themeColor="text1"/>
          <w:spacing w:val="0"/>
          <w:sz w:val="24"/>
          <w:szCs w:val="24"/>
          <w:highlight w:val="none"/>
          <w14:textFill>
            <w14:solidFill>
              <w14:schemeClr w14:val="tx1"/>
            </w14:solidFill>
          </w14:textFill>
        </w:rPr>
        <w:t>包括：</w:t>
      </w:r>
      <w:bookmarkEnd w:id="105"/>
      <w:bookmarkEnd w:id="106"/>
      <w:bookmarkEnd w:id="107"/>
      <w:bookmarkEnd w:id="108"/>
    </w:p>
    <w:p w14:paraId="0A2173BC">
      <w:pPr>
        <w:keepNext w:val="0"/>
        <w:keepLines w:val="0"/>
        <w:pageBreakBefore w:val="0"/>
        <w:wordWrap w:val="0"/>
        <w:overflowPunct/>
        <w:topLinePunct w:val="0"/>
        <w:bidi w:val="0"/>
        <w:spacing w:before="155" w:line="360" w:lineRule="auto"/>
        <w:ind w:left="9"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（1）投标有效期、质量标准、工期等是否响应招标文件实质性要求；是否擅自修改、遗漏《投标函》《各项承诺一览表》的实质性内容。</w:t>
      </w:r>
    </w:p>
    <w:p w14:paraId="5225B394">
      <w:pPr>
        <w:keepNext w:val="0"/>
        <w:keepLines w:val="0"/>
        <w:pageBreakBefore w:val="0"/>
        <w:wordWrap w:val="0"/>
        <w:overflowPunct/>
        <w:topLinePunct w:val="0"/>
        <w:bidi w:val="0"/>
        <w:spacing w:before="152" w:line="36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（2）编制《投标总价》的造价工程师，其注册证书是否合法、有效。</w:t>
      </w:r>
    </w:p>
    <w:p w14:paraId="407B50B8">
      <w:pPr>
        <w:keepNext w:val="0"/>
        <w:keepLines w:val="0"/>
        <w:pageBreakBefore w:val="0"/>
        <w:wordWrap w:val="0"/>
        <w:overflowPunct/>
        <w:topLinePunct w:val="0"/>
        <w:bidi w:val="0"/>
        <w:spacing w:before="158" w:line="360" w:lineRule="auto"/>
        <w:ind w:left="21" w:right="2" w:firstLine="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（3）投标人委托造价咨询单位编制《投标总价》的，是否在《投标总价扉页》“投标人 ”栏目加盖造价咨询人公章；是否提供造价咨询人的营业执照副本彩色扫描件；</w:t>
      </w:r>
    </w:p>
    <w:p w14:paraId="33F4A496">
      <w:pPr>
        <w:keepNext w:val="0"/>
        <w:keepLines w:val="0"/>
        <w:pageBreakBefore w:val="0"/>
        <w:wordWrap w:val="0"/>
        <w:overflowPunct/>
        <w:topLinePunct w:val="0"/>
        <w:bidi w:val="0"/>
        <w:spacing w:before="158" w:line="328" w:lineRule="auto"/>
        <w:ind w:left="9" w:firstLine="491"/>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（4）投标总价是否唯一；投标总价是否超出</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是否达到最低要求；暂列金额、暂估价是否按照招标工程量清单统一报价；投标人是否以低于成本的价格竞标。</w:t>
      </w:r>
    </w:p>
    <w:p w14:paraId="0FEFD797">
      <w:pPr>
        <w:keepNext w:val="0"/>
        <w:keepLines w:val="0"/>
        <w:pageBreakBefore w:val="0"/>
        <w:wordWrap w:val="0"/>
        <w:overflowPunct/>
        <w:topLinePunct w:val="0"/>
        <w:bidi w:val="0"/>
        <w:spacing w:before="38" w:line="360" w:lineRule="auto"/>
        <w:ind w:right="2" w:firstLine="482" w:firstLineChars="200"/>
        <w:jc w:val="both"/>
        <w:rPr>
          <w:rFonts w:hint="eastAsia" w:ascii="宋体" w:hAnsi="宋体" w:eastAsia="宋体" w:cs="宋体"/>
          <w:color w:val="000000" w:themeColor="text1"/>
          <w:spacing w:val="0"/>
          <w:position w:val="-8"/>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注：如果某投标人的投标总价下浮率超过</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15% ，又未提供相应书面说明和佐证</w:t>
      </w:r>
      <w:bookmarkStart w:id="109" w:name="bookmark127"/>
      <w:bookmarkEnd w:id="109"/>
      <w:r>
        <w:rPr>
          <w:rFonts w:hint="eastAsia" w:ascii="宋体" w:hAnsi="宋体" w:eastAsia="宋体" w:cs="宋体"/>
          <w:b/>
          <w:bCs/>
          <w:color w:val="000000" w:themeColor="text1"/>
          <w:spacing w:val="0"/>
          <w:sz w:val="24"/>
          <w:szCs w:val="24"/>
          <w:highlight w:val="none"/>
          <w14:textFill>
            <w14:solidFill>
              <w14:schemeClr w14:val="tx1"/>
            </w14:solidFill>
          </w14:textFill>
        </w:rPr>
        <w:t>材料或提供的书面说明和佐证材料不能令人信服的，评标委员会应认定其以低于成本的价格竞标，并否决其投标。评标委员会接受该投标人的投标总价而未否决其投标的，应在评标报告中说明判断理由。投标总价下浮率＝（1－投标总价÷</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14:textFill>
            <w14:solidFill>
              <w14:schemeClr w14:val="tx1"/>
            </w14:solidFill>
          </w14:textFill>
        </w:rPr>
        <w:t>）×100% 。</w:t>
      </w:r>
    </w:p>
    <w:p w14:paraId="2485C4DD">
      <w:pPr>
        <w:keepNext w:val="0"/>
        <w:keepLines w:val="0"/>
        <w:pageBreakBefore w:val="0"/>
        <w:wordWrap w:val="0"/>
        <w:overflowPunct/>
        <w:topLinePunct w:val="0"/>
        <w:bidi w:val="0"/>
        <w:spacing w:before="157" w:line="360" w:lineRule="auto"/>
        <w:ind w:left="11" w:right="114" w:firstLine="501" w:firstLineChars="209"/>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（5）施工组织设计的质量、进度保障措施是否符合国家和省市现行有关规范、规定、标准，是否能实现工程质量、进度管理目标。</w:t>
      </w:r>
    </w:p>
    <w:p w14:paraId="27A6EA2D">
      <w:pPr>
        <w:keepNext w:val="0"/>
        <w:keepLines w:val="0"/>
        <w:pageBreakBefore w:val="0"/>
        <w:wordWrap w:val="0"/>
        <w:overflowPunct/>
        <w:topLinePunct w:val="0"/>
        <w:bidi w:val="0"/>
        <w:spacing w:before="82" w:line="211" w:lineRule="auto"/>
        <w:ind w:left="580"/>
        <w:outlineLvl w:val="9"/>
        <w:rPr>
          <w:rFonts w:hint="eastAsia" w:ascii="宋体" w:hAnsi="宋体" w:eastAsia="宋体" w:cs="宋体"/>
          <w:color w:val="000000" w:themeColor="text1"/>
          <w:spacing w:val="0"/>
          <w:sz w:val="25"/>
          <w:szCs w:val="25"/>
          <w:highlight w:val="none"/>
          <w14:textFill>
            <w14:solidFill>
              <w14:schemeClr w14:val="tx1"/>
            </w14:solidFill>
          </w14:textFill>
        </w:rPr>
      </w:pPr>
      <w:bookmarkStart w:id="110" w:name="_Toc32114"/>
      <w:bookmarkStart w:id="111" w:name="_Toc19814"/>
      <w:bookmarkStart w:id="112" w:name="_Toc18204"/>
      <w:bookmarkStart w:id="113" w:name="_Toc15367"/>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15.4.4  </w:t>
      </w:r>
      <w:r>
        <w:rPr>
          <w:rFonts w:hint="eastAsia" w:ascii="宋体" w:hAnsi="宋体" w:eastAsia="宋体" w:cs="宋体"/>
          <w:color w:val="000000" w:themeColor="text1"/>
          <w:spacing w:val="0"/>
          <w:sz w:val="24"/>
          <w:szCs w:val="24"/>
          <w:highlight w:val="none"/>
          <w14:textFill>
            <w14:solidFill>
              <w14:schemeClr w14:val="tx1"/>
            </w14:solidFill>
          </w14:textFill>
        </w:rPr>
        <w:t>否决投标说明</w:t>
      </w:r>
      <w:bookmarkEnd w:id="110"/>
      <w:bookmarkEnd w:id="111"/>
      <w:bookmarkEnd w:id="112"/>
      <w:bookmarkEnd w:id="113"/>
    </w:p>
    <w:p w14:paraId="71D5DBDC">
      <w:pPr>
        <w:keepNext w:val="0"/>
        <w:keepLines w:val="0"/>
        <w:pageBreakBefore w:val="0"/>
        <w:wordWrap w:val="0"/>
        <w:overflowPunct/>
        <w:topLinePunct w:val="0"/>
        <w:bidi w:val="0"/>
        <w:spacing w:before="152" w:line="333" w:lineRule="auto"/>
        <w:ind w:left="11" w:right="175" w:firstLine="561"/>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初步评审阶段各个环节否决投标的全部条件，在本章第四节“否决投标条件”第</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条至第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 </w:t>
      </w:r>
      <w:r>
        <w:rPr>
          <w:rFonts w:hint="eastAsia" w:ascii="宋体" w:hAnsi="宋体" w:eastAsia="宋体" w:cs="宋体"/>
          <w:color w:val="000000" w:themeColor="text1"/>
          <w:spacing w:val="0"/>
          <w:sz w:val="24"/>
          <w:szCs w:val="24"/>
          <w:highlight w:val="none"/>
          <w14:textFill>
            <w14:solidFill>
              <w14:schemeClr w14:val="tx1"/>
            </w14:solidFill>
          </w14:textFill>
        </w:rPr>
        <w:t>条中集中列示。投标人有其中所列任何一种情形的，由评标委员会否决其投标。在初步评审阶段任何环节被否决的投标人，不进入下一环节（或阶段）评审。在初步评审阶段任何环节</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评标委员会经评审，认为所有投标都不符合招标文件要求的，可否决所有投标，项目的所有投标被否决的，招标人应依法重新组织招标。</w:t>
      </w:r>
    </w:p>
    <w:p w14:paraId="132A65C3">
      <w:pPr>
        <w:keepNext w:val="0"/>
        <w:keepLines w:val="0"/>
        <w:pageBreakBefore w:val="0"/>
        <w:wordWrap w:val="0"/>
        <w:overflowPunct/>
        <w:topLinePunct w:val="0"/>
        <w:bidi w:val="0"/>
        <w:spacing w:before="78" w:line="221" w:lineRule="auto"/>
        <w:ind w:left="5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drawing>
          <wp:anchor distT="0" distB="0" distL="114300" distR="114300" simplePos="0" relativeHeight="251663360" behindDoc="1" locked="0" layoutInCell="1" allowOverlap="1">
            <wp:simplePos x="0" y="0"/>
            <wp:positionH relativeFrom="column">
              <wp:posOffset>4789170</wp:posOffset>
            </wp:positionH>
            <wp:positionV relativeFrom="paragraph">
              <wp:posOffset>236220</wp:posOffset>
            </wp:positionV>
            <wp:extent cx="6350" cy="279400"/>
            <wp:effectExtent l="0" t="0" r="0" b="0"/>
            <wp:wrapNone/>
            <wp:docPr id="31" name="IM 46"/>
            <wp:cNvGraphicFramePr/>
            <a:graphic xmlns:a="http://schemas.openxmlformats.org/drawingml/2006/main">
              <a:graphicData uri="http://schemas.openxmlformats.org/drawingml/2006/picture">
                <pic:pic xmlns:pic="http://schemas.openxmlformats.org/drawingml/2006/picture">
                  <pic:nvPicPr>
                    <pic:cNvPr id="31" name="IM 46"/>
                    <pic:cNvPicPr/>
                  </pic:nvPicPr>
                  <pic:blipFill>
                    <a:blip r:embed="rId31"/>
                    <a:stretch>
                      <a:fillRect/>
                    </a:stretch>
                  </pic:blipFill>
                  <pic:spPr>
                    <a:xfrm>
                      <a:off x="0" y="0"/>
                      <a:ext cx="6350" cy="279400"/>
                    </a:xfrm>
                    <a:prstGeom prst="rect">
                      <a:avLst/>
                    </a:prstGeom>
                    <a:noFill/>
                    <a:ln>
                      <a:noFill/>
                    </a:ln>
                  </pic:spPr>
                </pic:pic>
              </a:graphicData>
            </a:graphic>
          </wp:anchor>
        </w:drawing>
      </w:r>
      <w:bookmarkStart w:id="114" w:name="bookmark128"/>
      <w:bookmarkEnd w:id="114"/>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15.5  </w:t>
      </w:r>
      <w:r>
        <w:rPr>
          <w:rFonts w:hint="eastAsia" w:ascii="宋体" w:hAnsi="宋体" w:eastAsia="宋体" w:cs="宋体"/>
          <w:color w:val="000000" w:themeColor="text1"/>
          <w:spacing w:val="0"/>
          <w:sz w:val="24"/>
          <w:szCs w:val="24"/>
          <w:highlight w:val="none"/>
          <w14:textFill>
            <w14:solidFill>
              <w14:schemeClr w14:val="tx1"/>
            </w14:solidFill>
          </w14:textFill>
        </w:rPr>
        <w:t>详细评审阶段</w:t>
      </w:r>
    </w:p>
    <w:p w14:paraId="60660A02">
      <w:pPr>
        <w:keepNext w:val="0"/>
        <w:keepLines w:val="0"/>
        <w:pageBreakBefore w:val="0"/>
        <w:wordWrap w:val="0"/>
        <w:overflowPunct/>
        <w:topLinePunct w:val="0"/>
        <w:bidi w:val="0"/>
        <w:spacing w:before="81" w:line="211" w:lineRule="auto"/>
        <w:ind w:left="498"/>
        <w:outlineLvl w:val="9"/>
        <w:rPr>
          <w:rFonts w:hint="eastAsia" w:ascii="宋体" w:hAnsi="宋体" w:eastAsia="宋体" w:cs="宋体"/>
          <w:color w:val="000000" w:themeColor="text1"/>
          <w:spacing w:val="0"/>
          <w:sz w:val="25"/>
          <w:szCs w:val="25"/>
          <w:highlight w:val="none"/>
          <w14:textFill>
            <w14:solidFill>
              <w14:schemeClr w14:val="tx1"/>
            </w14:solidFill>
          </w14:textFill>
        </w:rPr>
      </w:pPr>
      <w:bookmarkStart w:id="115" w:name="_Toc28572"/>
      <w:bookmarkStart w:id="116" w:name="_Toc4119"/>
      <w:bookmarkStart w:id="117" w:name="_Toc10503"/>
      <w:bookmarkStart w:id="118" w:name="_Toc14991"/>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15.5.1  </w:t>
      </w:r>
      <w:r>
        <w:rPr>
          <w:rFonts w:hint="eastAsia" w:ascii="宋体" w:hAnsi="宋体" w:eastAsia="宋体" w:cs="宋体"/>
          <w:color w:val="000000" w:themeColor="text1"/>
          <w:spacing w:val="0"/>
          <w:sz w:val="24"/>
          <w:szCs w:val="24"/>
          <w:highlight w:val="none"/>
          <w14:textFill>
            <w14:solidFill>
              <w14:schemeClr w14:val="tx1"/>
            </w14:solidFill>
          </w14:textFill>
        </w:rPr>
        <w:t>“综合评估法 ”评审程序</w:t>
      </w:r>
      <w:bookmarkEnd w:id="115"/>
      <w:bookmarkEnd w:id="116"/>
      <w:bookmarkEnd w:id="117"/>
      <w:bookmarkEnd w:id="118"/>
    </w:p>
    <w:p w14:paraId="1C11D96B">
      <w:pPr>
        <w:keepNext w:val="0"/>
        <w:keepLines w:val="0"/>
        <w:pageBreakBefore w:val="0"/>
        <w:wordWrap w:val="0"/>
        <w:overflowPunct/>
        <w:topLinePunct w:val="0"/>
        <w:bidi w:val="0"/>
        <w:spacing w:before="152" w:line="329" w:lineRule="auto"/>
        <w:ind w:left="14" w:right="81"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评审内容分为商务技术和投标报价两大部分。其中，商务技术合计满分</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100</w:t>
      </w:r>
      <w:r>
        <w:rPr>
          <w:rFonts w:hint="eastAsia" w:ascii="宋体" w:hAnsi="宋体" w:eastAsia="宋体" w:cs="宋体"/>
          <w:color w:val="000000" w:themeColor="text1"/>
          <w:spacing w:val="0"/>
          <w:sz w:val="24"/>
          <w:szCs w:val="24"/>
          <w:highlight w:val="none"/>
          <w14:textFill>
            <w14:solidFill>
              <w14:schemeClr w14:val="tx1"/>
            </w14:solidFill>
          </w14:textFill>
        </w:rPr>
        <w:t>分，权重为</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40</w:t>
      </w:r>
      <w:r>
        <w:rPr>
          <w:rFonts w:hint="eastAsia" w:ascii="宋体" w:hAnsi="宋体" w:eastAsia="宋体" w:cs="宋体"/>
          <w:color w:val="000000" w:themeColor="text1"/>
          <w:spacing w:val="0"/>
          <w:sz w:val="24"/>
          <w:szCs w:val="24"/>
          <w:highlight w:val="none"/>
          <w14:textFill>
            <w14:solidFill>
              <w14:schemeClr w14:val="tx1"/>
            </w14:solidFill>
          </w14:textFill>
        </w:rPr>
        <w:t>%；投标报价满分 100 分，权重为</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60</w:t>
      </w:r>
      <w:r>
        <w:rPr>
          <w:rFonts w:hint="eastAsia" w:ascii="宋体" w:hAnsi="宋体" w:eastAsia="宋体" w:cs="宋体"/>
          <w:color w:val="000000" w:themeColor="text1"/>
          <w:spacing w:val="0"/>
          <w:sz w:val="24"/>
          <w:szCs w:val="24"/>
          <w:highlight w:val="none"/>
          <w14:textFill>
            <w14:solidFill>
              <w14:schemeClr w14:val="tx1"/>
            </w14:solidFill>
          </w14:textFill>
        </w:rPr>
        <w:t>% 。两大部分权重之和应为 100%。</w:t>
      </w:r>
    </w:p>
    <w:p w14:paraId="3ABDDFFD">
      <w:pPr>
        <w:keepNext w:val="0"/>
        <w:keepLines w:val="0"/>
        <w:pageBreakBefore w:val="0"/>
        <w:wordWrap w:val="0"/>
        <w:overflowPunct/>
        <w:topLinePunct w:val="0"/>
        <w:bidi w:val="0"/>
        <w:spacing w:before="153" w:line="324" w:lineRule="auto"/>
        <w:ind w:left="14" w:right="81"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除特别注明外，综合得分以及商务技术得分、投标报价得分的中间过程计算值和最终值，均按“ 四舍五入 ”原则精确到两位小数。</w:t>
      </w:r>
    </w:p>
    <w:p w14:paraId="11F14EEB">
      <w:pPr>
        <w:keepNext w:val="0"/>
        <w:keepLines w:val="0"/>
        <w:pageBreakBefore w:val="0"/>
        <w:wordWrap w:val="0"/>
        <w:overflowPunct/>
        <w:topLinePunct w:val="0"/>
        <w:bidi w:val="0"/>
        <w:spacing w:before="38" w:line="220" w:lineRule="auto"/>
        <w:ind w:left="503"/>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19" w:name="_Toc18029"/>
      <w:bookmarkStart w:id="120" w:name="_Toc22949"/>
      <w:bookmarkStart w:id="121" w:name="_Toc17510"/>
      <w:bookmarkStart w:id="122" w:name="_Toc10398"/>
      <w:r>
        <w:rPr>
          <w:rFonts w:hint="eastAsia" w:ascii="宋体" w:hAnsi="宋体" w:eastAsia="宋体" w:cs="宋体"/>
          <w:color w:val="000000" w:themeColor="text1"/>
          <w:spacing w:val="0"/>
          <w:sz w:val="24"/>
          <w:szCs w:val="24"/>
          <w:highlight w:val="none"/>
          <w14:textFill>
            <w14:solidFill>
              <w14:schemeClr w14:val="tx1"/>
            </w14:solidFill>
          </w14:textFill>
        </w:rPr>
        <w:t>（1）商务技术得分 M</w:t>
      </w:r>
      <w:bookmarkEnd w:id="119"/>
      <w:bookmarkEnd w:id="120"/>
      <w:bookmarkEnd w:id="121"/>
      <w:bookmarkEnd w:id="122"/>
    </w:p>
    <w:p w14:paraId="7F4E18BB">
      <w:pPr>
        <w:keepNext w:val="0"/>
        <w:keepLines w:val="0"/>
        <w:pageBreakBefore w:val="0"/>
        <w:wordWrap w:val="0"/>
        <w:overflowPunct/>
        <w:topLinePunct w:val="0"/>
        <w:bidi w:val="0"/>
        <w:spacing w:before="153" w:line="279" w:lineRule="auto"/>
        <w:ind w:left="15" w:right="81"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a </w:t>
      </w:r>
      <w:r>
        <w:rPr>
          <w:rFonts w:hint="eastAsia" w:ascii="宋体" w:hAnsi="宋体" w:eastAsia="宋体" w:cs="宋体"/>
          <w:color w:val="000000" w:themeColor="text1"/>
          <w:spacing w:val="0"/>
          <w:sz w:val="24"/>
          <w:szCs w:val="24"/>
          <w:highlight w:val="none"/>
          <w14:textFill>
            <w14:solidFill>
              <w14:schemeClr w14:val="tx1"/>
            </w14:solidFill>
          </w14:textFill>
        </w:rPr>
        <w:t>．评标委员会按照《综合评分表》商务部分指定的评分标准对各评分因素进行打分。各评分因素得分之和即为某投标人的商务得分 M</w:t>
      </w:r>
      <w:r>
        <w:rPr>
          <w:rFonts w:hint="eastAsia" w:ascii="宋体" w:hAnsi="宋体" w:eastAsia="宋体" w:cs="宋体"/>
          <w:color w:val="000000" w:themeColor="text1"/>
          <w:spacing w:val="0"/>
          <w:position w:val="-1"/>
          <w:sz w:val="15"/>
          <w:szCs w:val="15"/>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20931295">
      <w:pPr>
        <w:keepNext w:val="0"/>
        <w:keepLines w:val="0"/>
        <w:pageBreakBefore w:val="0"/>
        <w:wordWrap w:val="0"/>
        <w:overflowPunct/>
        <w:topLinePunct w:val="0"/>
        <w:bidi w:val="0"/>
        <w:spacing w:before="154" w:line="299" w:lineRule="auto"/>
        <w:ind w:left="12" w:right="81" w:firstLine="47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b </w:t>
      </w:r>
      <w:r>
        <w:rPr>
          <w:rFonts w:hint="eastAsia" w:ascii="宋体" w:hAnsi="宋体" w:eastAsia="宋体" w:cs="宋体"/>
          <w:color w:val="000000" w:themeColor="text1"/>
          <w:spacing w:val="0"/>
          <w:sz w:val="24"/>
          <w:szCs w:val="24"/>
          <w:highlight w:val="none"/>
          <w14:textFill>
            <w14:solidFill>
              <w14:schemeClr w14:val="tx1"/>
            </w14:solidFill>
          </w14:textFill>
        </w:rPr>
        <w:t>．评标委员会各成员独立按照《综合评分表》技术部分（施工组织设计）指定的评分标准对各评分因素进行打分，累加后得出技术评分。将评标委员会所有成员的技术评分去掉最高分和最低分后，取算术平均值，即为某投标人的技术得分 M</w:t>
      </w:r>
      <w:r>
        <w:rPr>
          <w:rFonts w:hint="eastAsia" w:ascii="宋体" w:hAnsi="宋体" w:eastAsia="宋体" w:cs="宋体"/>
          <w:color w:val="000000" w:themeColor="text1"/>
          <w:spacing w:val="0"/>
          <w:position w:val="-1"/>
          <w:sz w:val="15"/>
          <w:szCs w:val="15"/>
          <w:highlight w:val="none"/>
          <w14:textFill>
            <w14:solidFill>
              <w14:schemeClr w14:val="tx1"/>
            </w14:solidFill>
          </w14:textFill>
        </w:rPr>
        <w:t>2</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0C018EDE">
      <w:pPr>
        <w:keepNext w:val="0"/>
        <w:keepLines w:val="0"/>
        <w:pageBreakBefore w:val="0"/>
        <w:wordWrap w:val="0"/>
        <w:overflowPunct/>
        <w:topLinePunct w:val="0"/>
        <w:bidi w:val="0"/>
        <w:spacing w:before="155" w:line="231" w:lineRule="auto"/>
        <w:ind w:left="491"/>
        <w:rPr>
          <w:rFonts w:hint="eastAsia" w:ascii="宋体" w:hAnsi="宋体" w:eastAsia="宋体" w:cs="宋体"/>
          <w:color w:val="000000" w:themeColor="text1"/>
          <w:spacing w:val="0"/>
          <w:sz w:val="15"/>
          <w:szCs w:val="15"/>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c </w:t>
      </w:r>
      <w:r>
        <w:rPr>
          <w:rFonts w:hint="eastAsia" w:ascii="宋体" w:hAnsi="宋体" w:eastAsia="宋体" w:cs="宋体"/>
          <w:color w:val="000000" w:themeColor="text1"/>
          <w:spacing w:val="0"/>
          <w:sz w:val="24"/>
          <w:szCs w:val="24"/>
          <w:highlight w:val="none"/>
          <w14:textFill>
            <w14:solidFill>
              <w14:schemeClr w14:val="tx1"/>
            </w14:solidFill>
          </w14:textFill>
        </w:rPr>
        <w:t>．M ＝M</w:t>
      </w:r>
      <w:r>
        <w:rPr>
          <w:rFonts w:hint="eastAsia" w:ascii="宋体" w:hAnsi="宋体" w:eastAsia="宋体" w:cs="宋体"/>
          <w:color w:val="000000" w:themeColor="text1"/>
          <w:spacing w:val="0"/>
          <w:position w:val="-1"/>
          <w:sz w:val="15"/>
          <w:szCs w:val="15"/>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14:textFill>
            <w14:solidFill>
              <w14:schemeClr w14:val="tx1"/>
            </w14:solidFill>
          </w14:textFill>
        </w:rPr>
        <w:t>＋M</w:t>
      </w:r>
      <w:r>
        <w:rPr>
          <w:rFonts w:hint="eastAsia" w:ascii="宋体" w:hAnsi="宋体" w:eastAsia="宋体" w:cs="宋体"/>
          <w:color w:val="000000" w:themeColor="text1"/>
          <w:spacing w:val="0"/>
          <w:position w:val="-1"/>
          <w:sz w:val="15"/>
          <w:szCs w:val="15"/>
          <w:highlight w:val="none"/>
          <w14:textFill>
            <w14:solidFill>
              <w14:schemeClr w14:val="tx1"/>
            </w14:solidFill>
          </w14:textFill>
        </w:rPr>
        <w:t>2</w:t>
      </w:r>
    </w:p>
    <w:p w14:paraId="277B94CD">
      <w:pPr>
        <w:keepNext w:val="0"/>
        <w:keepLines w:val="0"/>
        <w:pageBreakBefore w:val="0"/>
        <w:wordWrap w:val="0"/>
        <w:overflowPunct/>
        <w:topLinePunct w:val="0"/>
        <w:bidi w:val="0"/>
        <w:spacing w:before="139" w:line="22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式中：M</w:t>
      </w:r>
      <w:r>
        <w:rPr>
          <w:rFonts w:hint="eastAsia" w:ascii="宋体" w:hAnsi="宋体" w:eastAsia="宋体" w:cs="宋体"/>
          <w:color w:val="000000" w:themeColor="text1"/>
          <w:spacing w:val="0"/>
          <w:position w:val="-1"/>
          <w:sz w:val="15"/>
          <w:szCs w:val="15"/>
          <w:highlight w:val="none"/>
          <w14:textFill>
            <w14:solidFill>
              <w14:schemeClr w14:val="tx1"/>
            </w14:solidFill>
          </w14:textFill>
        </w:rPr>
        <w:t>1</w:t>
      </w:r>
      <w:r>
        <w:rPr>
          <w:rFonts w:hint="eastAsia" w:ascii="宋体" w:hAnsi="宋体" w:eastAsia="宋体" w:cs="宋体"/>
          <w:color w:val="000000" w:themeColor="text1"/>
          <w:spacing w:val="0"/>
          <w:w w:val="101"/>
          <w:position w:val="-1"/>
          <w:sz w:val="15"/>
          <w:szCs w:val="15"/>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为某投标人的商务得分，M</w:t>
      </w:r>
      <w:r>
        <w:rPr>
          <w:rFonts w:hint="eastAsia" w:ascii="宋体" w:hAnsi="宋体" w:eastAsia="宋体" w:cs="宋体"/>
          <w:color w:val="000000" w:themeColor="text1"/>
          <w:spacing w:val="0"/>
          <w:position w:val="-1"/>
          <w:sz w:val="15"/>
          <w:szCs w:val="15"/>
          <w:highlight w:val="none"/>
          <w14:textFill>
            <w14:solidFill>
              <w14:schemeClr w14:val="tx1"/>
            </w14:solidFill>
          </w14:textFill>
        </w:rPr>
        <w:t xml:space="preserve">2 </w:t>
      </w:r>
      <w:r>
        <w:rPr>
          <w:rFonts w:hint="eastAsia" w:ascii="宋体" w:hAnsi="宋体" w:eastAsia="宋体" w:cs="宋体"/>
          <w:color w:val="000000" w:themeColor="text1"/>
          <w:spacing w:val="0"/>
          <w:sz w:val="24"/>
          <w:szCs w:val="24"/>
          <w:highlight w:val="none"/>
          <w14:textFill>
            <w14:solidFill>
              <w14:schemeClr w14:val="tx1"/>
            </w14:solidFill>
          </w14:textFill>
        </w:rPr>
        <w:t>为某投标人的技术得分。</w:t>
      </w:r>
    </w:p>
    <w:p w14:paraId="6B037580">
      <w:pPr>
        <w:keepNext w:val="0"/>
        <w:keepLines w:val="0"/>
        <w:pageBreakBefore w:val="0"/>
        <w:wordWrap w:val="0"/>
        <w:overflowPunct/>
        <w:topLinePunct w:val="0"/>
        <w:bidi w:val="0"/>
        <w:spacing w:before="153" w:line="219" w:lineRule="auto"/>
        <w:ind w:left="503"/>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23" w:name="_Toc14059"/>
      <w:bookmarkStart w:id="124" w:name="_Toc16136"/>
      <w:bookmarkStart w:id="125" w:name="_Toc3958"/>
      <w:bookmarkStart w:id="126" w:name="_Toc27609"/>
      <w:r>
        <w:rPr>
          <w:rFonts w:hint="eastAsia" w:ascii="宋体" w:hAnsi="宋体" w:eastAsia="宋体" w:cs="宋体"/>
          <w:color w:val="000000" w:themeColor="text1"/>
          <w:spacing w:val="0"/>
          <w:sz w:val="24"/>
          <w:szCs w:val="24"/>
          <w:highlight w:val="none"/>
          <w14:textFill>
            <w14:solidFill>
              <w14:schemeClr w14:val="tx1"/>
            </w14:solidFill>
          </w14:textFill>
        </w:rPr>
        <w:t>（2）投标报价得分 N</w:t>
      </w:r>
      <w:bookmarkEnd w:id="123"/>
      <w:bookmarkEnd w:id="124"/>
      <w:bookmarkEnd w:id="125"/>
      <w:bookmarkEnd w:id="126"/>
    </w:p>
    <w:p w14:paraId="1BB7535A">
      <w:pPr>
        <w:keepNext w:val="0"/>
        <w:keepLines w:val="0"/>
        <w:pageBreakBefore w:val="0"/>
        <w:wordWrap w:val="0"/>
        <w:overflowPunct/>
        <w:topLinePunct w:val="0"/>
        <w:bidi w:val="0"/>
        <w:spacing w:before="157" w:line="219" w:lineRule="auto"/>
        <w:ind w:firstLine="482" w:firstLineChars="20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a </w:t>
      </w:r>
      <w:r>
        <w:rPr>
          <w:rFonts w:hint="eastAsia" w:ascii="宋体" w:hAnsi="宋体" w:eastAsia="宋体" w:cs="宋体"/>
          <w:color w:val="000000" w:themeColor="text1"/>
          <w:spacing w:val="0"/>
          <w:sz w:val="24"/>
          <w:szCs w:val="24"/>
          <w:highlight w:val="none"/>
          <w14:textFill>
            <w14:solidFill>
              <w14:schemeClr w14:val="tx1"/>
            </w14:solidFill>
          </w14:textFill>
        </w:rPr>
        <w:t>．评标委员会按照《综合评分表》投标报价部分指定的方法计算评标基准价 D。</w:t>
      </w:r>
    </w:p>
    <w:p w14:paraId="58AA9DB6">
      <w:pPr>
        <w:keepNext w:val="0"/>
        <w:keepLines w:val="0"/>
        <w:pageBreakBefore w:val="0"/>
        <w:wordWrap w:val="0"/>
        <w:overflowPunct/>
        <w:topLinePunct w:val="0"/>
        <w:bidi w:val="0"/>
        <w:spacing w:before="155" w:line="299" w:lineRule="auto"/>
        <w:ind w:left="12" w:right="83" w:firstLine="47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b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．采用内插法计算某投标人的投标报价得分 N ，即当投标人的投标总价等于评标基准价时得 100 分，每高于评标基准价一个百分点扣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 分,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每低于评标基准价一个百分点扣 </w:t>
      </w:r>
      <w:r>
        <w:rPr>
          <w:rFonts w:hint="eastAsia" w:ascii="宋体" w:hAnsi="宋体" w:eastAsia="宋体" w:cs="宋体"/>
          <w:b/>
          <w:bCs/>
          <w:color w:val="000000" w:themeColor="text1"/>
          <w:spacing w:val="0"/>
          <w:sz w:val="24"/>
          <w:szCs w:val="24"/>
          <w:highlight w:val="none"/>
          <w14:textFill>
            <w14:solidFill>
              <w14:schemeClr w14:val="tx1"/>
            </w14:solidFill>
          </w14:textFill>
        </w:rPr>
        <w:t>0.5 分</w:t>
      </w:r>
      <w:r>
        <w:rPr>
          <w:rFonts w:hint="eastAsia" w:ascii="宋体" w:hAnsi="宋体" w:eastAsia="宋体" w:cs="宋体"/>
          <w:color w:val="000000" w:themeColor="text1"/>
          <w:spacing w:val="0"/>
          <w:sz w:val="24"/>
          <w:szCs w:val="24"/>
          <w:highlight w:val="none"/>
          <w14:textFill>
            <w14:solidFill>
              <w14:schemeClr w14:val="tx1"/>
            </w14:solidFill>
          </w14:textFill>
        </w:rPr>
        <w:t>，扣完为止。公式如下：</w:t>
      </w:r>
    </w:p>
    <w:p w14:paraId="232F1429">
      <w:pPr>
        <w:keepNext w:val="0"/>
        <w:keepLines w:val="0"/>
        <w:pageBreakBefore w:val="0"/>
        <w:wordWrap w:val="0"/>
        <w:overflowPunct/>
        <w:topLinePunct w:val="0"/>
        <w:bidi w:val="0"/>
        <w:spacing w:before="118" w:line="333" w:lineRule="exact"/>
        <w:ind w:left="241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3"/>
          <w:sz w:val="24"/>
          <w:szCs w:val="24"/>
          <w:highlight w:val="none"/>
          <w14:textFill>
            <w14:solidFill>
              <w14:schemeClr w14:val="tx1"/>
            </w14:solidFill>
          </w14:textFill>
        </w:rPr>
        <w:t>N ＝100－（| Di－D | ÷D） × 100×E</w:t>
      </w:r>
    </w:p>
    <w:p w14:paraId="6B667673">
      <w:pPr>
        <w:keepNext w:val="0"/>
        <w:keepLines w:val="0"/>
        <w:pageBreakBefore w:val="0"/>
        <w:wordWrap w:val="0"/>
        <w:overflowPunct/>
        <w:topLinePunct w:val="0"/>
        <w:bidi w:val="0"/>
        <w:spacing w:before="106" w:line="316" w:lineRule="auto"/>
        <w:ind w:left="7" w:right="17"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式中：D 为评标基准价；Di为某投标人的投标总价；E 为扣分因子，当 Di＞D时，E ＝</w:t>
      </w:r>
      <w:r>
        <w:rPr>
          <w:rFonts w:hint="eastAsia" w:ascii="宋体" w:hAnsi="宋体" w:eastAsia="宋体" w:cs="宋体"/>
          <w:b/>
          <w:bCs/>
          <w:color w:val="000000" w:themeColor="text1"/>
          <w:spacing w:val="0"/>
          <w:sz w:val="24"/>
          <w:szCs w:val="24"/>
          <w:highlight w:val="none"/>
          <w14:textFill>
            <w14:solidFill>
              <w14:schemeClr w14:val="tx1"/>
            </w14:solidFill>
          </w14:textFill>
        </w:rPr>
        <w:t>1 ；</w:t>
      </w:r>
      <w:r>
        <w:rPr>
          <w:rFonts w:hint="eastAsia" w:ascii="宋体" w:hAnsi="宋体" w:eastAsia="宋体" w:cs="宋体"/>
          <w:color w:val="000000" w:themeColor="text1"/>
          <w:spacing w:val="0"/>
          <w:sz w:val="24"/>
          <w:szCs w:val="24"/>
          <w:highlight w:val="none"/>
          <w14:textFill>
            <w14:solidFill>
              <w14:schemeClr w14:val="tx1"/>
            </w14:solidFill>
          </w14:textFill>
        </w:rPr>
        <w:t>当 Di＜D</w:t>
      </w:r>
      <w:r>
        <w:rPr>
          <w:rFonts w:hint="eastAsia" w:ascii="宋体" w:hAnsi="宋体" w:eastAsia="宋体" w:cs="宋体"/>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时，E </w:t>
      </w:r>
      <w:r>
        <w:rPr>
          <w:rFonts w:hint="eastAsia" w:ascii="宋体" w:hAnsi="宋体" w:eastAsia="宋体" w:cs="宋体"/>
          <w:b/>
          <w:bCs/>
          <w:color w:val="000000" w:themeColor="text1"/>
          <w:spacing w:val="0"/>
          <w:sz w:val="24"/>
          <w:szCs w:val="24"/>
          <w:highlight w:val="none"/>
          <w14:textFill>
            <w14:solidFill>
              <w14:schemeClr w14:val="tx1"/>
            </w14:solidFill>
          </w14:textFill>
        </w:rPr>
        <w:t>＝0.5</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w:t>
      </w:r>
    </w:p>
    <w:p w14:paraId="6F340CA9">
      <w:pPr>
        <w:keepNext w:val="0"/>
        <w:keepLines w:val="0"/>
        <w:pageBreakBefore w:val="0"/>
        <w:wordWrap w:val="0"/>
        <w:overflowPunct/>
        <w:topLinePunct w:val="0"/>
        <w:bidi w:val="0"/>
        <w:spacing w:before="95" w:line="220" w:lineRule="auto"/>
        <w:ind w:left="503"/>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27" w:name="_Toc7915"/>
      <w:bookmarkStart w:id="128" w:name="_Toc3861"/>
      <w:bookmarkStart w:id="129" w:name="_Toc576"/>
      <w:bookmarkStart w:id="130" w:name="_Toc4990"/>
      <w:r>
        <w:rPr>
          <w:rFonts w:hint="eastAsia" w:ascii="宋体" w:hAnsi="宋体" w:eastAsia="宋体" w:cs="宋体"/>
          <w:color w:val="000000" w:themeColor="text1"/>
          <w:spacing w:val="0"/>
          <w:sz w:val="24"/>
          <w:szCs w:val="24"/>
          <w:highlight w:val="none"/>
          <w14:textFill>
            <w14:solidFill>
              <w14:schemeClr w14:val="tx1"/>
            </w14:solidFill>
          </w14:textFill>
        </w:rPr>
        <w:t>（3）综合得分</w:t>
      </w:r>
      <w:bookmarkEnd w:id="127"/>
      <w:bookmarkEnd w:id="128"/>
      <w:bookmarkEnd w:id="129"/>
      <w:bookmarkEnd w:id="130"/>
    </w:p>
    <w:p w14:paraId="50217631">
      <w:pPr>
        <w:keepNext w:val="0"/>
        <w:keepLines w:val="0"/>
        <w:pageBreakBefore w:val="0"/>
        <w:wordWrap w:val="0"/>
        <w:overflowPunct/>
        <w:topLinePunct w:val="0"/>
        <w:bidi w:val="0"/>
        <w:spacing w:before="153" w:line="220" w:lineRule="auto"/>
        <w:ind w:left="49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综合得分换算为百分制，满分 100 分，公式如下：</w:t>
      </w:r>
    </w:p>
    <w:p w14:paraId="215CB6BC">
      <w:pPr>
        <w:keepNext w:val="0"/>
        <w:keepLines w:val="0"/>
        <w:pageBreakBefore w:val="0"/>
        <w:wordWrap w:val="0"/>
        <w:overflowPunct/>
        <w:topLinePunct w:val="0"/>
        <w:bidi w:val="0"/>
        <w:spacing w:before="155" w:line="324" w:lineRule="auto"/>
        <w:ind w:left="496" w:right="532" w:hanging="3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综合得分＝M÷商务技术合计满分×100×商务技术权重＋N×投标报价权重</w:t>
      </w:r>
    </w:p>
    <w:p w14:paraId="390CA99F">
      <w:pPr>
        <w:keepNext w:val="0"/>
        <w:keepLines w:val="0"/>
        <w:pageBreakBefore w:val="0"/>
        <w:wordWrap w:val="0"/>
        <w:overflowPunct/>
        <w:topLinePunct w:val="0"/>
        <w:bidi w:val="0"/>
        <w:spacing w:before="155" w:line="324" w:lineRule="auto"/>
        <w:ind w:left="496" w:right="532" w:hanging="3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式中：M 为商务技术得分，N 为投标报价得分。</w:t>
      </w:r>
    </w:p>
    <w:p w14:paraId="21FDBF10">
      <w:pPr>
        <w:keepNext w:val="0"/>
        <w:keepLines w:val="0"/>
        <w:pageBreakBefore w:val="0"/>
        <w:widowControl w:val="0"/>
        <w:numPr>
          <w:ilvl w:val="0"/>
          <w:numId w:val="0"/>
        </w:numPr>
        <w:kinsoku/>
        <w:wordWrap w:val="0"/>
        <w:topLinePunct w:val="0"/>
        <w:autoSpaceDE/>
        <w:autoSpaceDN/>
        <w:bidi w:val="0"/>
        <w:adjustRightInd/>
        <w:snapToGrid/>
        <w:spacing w:line="400" w:lineRule="exact"/>
        <w:ind w:firstLine="480" w:firstLineChars="200"/>
        <w:jc w:val="left"/>
        <w:textAlignment w:val="auto"/>
        <w:rPr>
          <w:rFonts w:hint="eastAsia" w:ascii="宋体" w:hAnsi="宋体" w:eastAsia="宋体" w:cs="宋体"/>
          <w:b w:val="0"/>
          <w:bCs w:val="0"/>
          <w:snapToGrid w:val="0"/>
          <w:color w:val="000000" w:themeColor="text1"/>
          <w:kern w:val="0"/>
          <w:sz w:val="24"/>
          <w:szCs w:val="24"/>
          <w:highlight w:val="none"/>
          <w:lang w:eastAsia="zh-CN"/>
          <w14:textFill>
            <w14:solidFill>
              <w14:schemeClr w14:val="tx1"/>
            </w14:solidFill>
          </w14:textFill>
        </w:rPr>
      </w:pPr>
      <w:r>
        <w:rPr>
          <w:rFonts w:hint="default" w:ascii="宋体" w:hAnsi="宋体" w:eastAsia="宋体" w:cs="宋体"/>
          <w:b w:val="0"/>
          <w:bCs w:val="0"/>
          <w:snapToGrid w:val="0"/>
          <w:color w:val="000000" w:themeColor="text1"/>
          <w:kern w:val="0"/>
          <w:sz w:val="24"/>
          <w:szCs w:val="24"/>
          <w:highlight w:val="none"/>
          <w:lang w:val="en-US" w:eastAsia="zh-CN" w:bidi="ar-SA"/>
          <w14:textFill>
            <w14:solidFill>
              <w14:schemeClr w14:val="tx1"/>
            </w14:solidFill>
          </w14:textFill>
        </w:rPr>
        <w:t>（4）</w:t>
      </w:r>
      <w:r>
        <w:rPr>
          <w:rFonts w:hint="eastAsia" w:ascii="宋体" w:hAnsi="宋体" w:eastAsia="宋体" w:cs="宋体"/>
          <w:b w:val="0"/>
          <w:bCs w:val="0"/>
          <w:snapToGrid w:val="0"/>
          <w:color w:val="000000" w:themeColor="text1"/>
          <w:kern w:val="0"/>
          <w:sz w:val="24"/>
          <w:szCs w:val="24"/>
          <w:highlight w:val="none"/>
          <w:lang w:eastAsia="zh-CN"/>
          <w14:textFill>
            <w14:solidFill>
              <w14:schemeClr w14:val="tx1"/>
            </w14:solidFill>
          </w14:textFill>
        </w:rPr>
        <w:t>评标委员会根据招标文件规定的评分细则，对招标文件中的各评审因素进行评审、比较、打分，将得分</w:t>
      </w:r>
      <w:r>
        <w:rPr>
          <w:rFonts w:hint="eastAsia" w:ascii="宋体" w:hAnsi="宋体" w:eastAsia="宋体" w:cs="宋体"/>
          <w:b/>
          <w:bCs/>
          <w:snapToGrid w:val="0"/>
          <w:color w:val="000000" w:themeColor="text1"/>
          <w:kern w:val="0"/>
          <w:sz w:val="24"/>
          <w:szCs w:val="24"/>
          <w:highlight w:val="none"/>
          <w:lang w:eastAsia="zh-CN"/>
          <w14:textFill>
            <w14:solidFill>
              <w14:schemeClr w14:val="tx1"/>
            </w14:solidFill>
          </w14:textFill>
        </w:rPr>
        <w:t>前5名不排序（按企业统一社会信用代码后4位大小排位）</w:t>
      </w:r>
      <w:r>
        <w:rPr>
          <w:rFonts w:hint="eastAsia" w:ascii="宋体" w:hAnsi="宋体" w:eastAsia="宋体" w:cs="宋体"/>
          <w:b w:val="0"/>
          <w:bCs w:val="0"/>
          <w:snapToGrid w:val="0"/>
          <w:color w:val="000000" w:themeColor="text1"/>
          <w:kern w:val="0"/>
          <w:sz w:val="24"/>
          <w:szCs w:val="24"/>
          <w:highlight w:val="none"/>
          <w:lang w:eastAsia="zh-CN"/>
          <w14:textFill>
            <w14:solidFill>
              <w14:schemeClr w14:val="tx1"/>
            </w14:solidFill>
          </w14:textFill>
        </w:rPr>
        <w:t>的投标人作为定标候选人推荐给招标人，并对</w:t>
      </w:r>
      <w:r>
        <w:rPr>
          <w:rFonts w:hint="eastAsia" w:ascii="宋体" w:hAnsi="宋体" w:eastAsia="宋体" w:cs="宋体"/>
          <w:b/>
          <w:bCs/>
          <w:snapToGrid w:val="0"/>
          <w:color w:val="000000" w:themeColor="text1"/>
          <w:kern w:val="0"/>
          <w:sz w:val="24"/>
          <w:szCs w:val="24"/>
          <w:highlight w:val="none"/>
          <w:lang w:eastAsia="zh-CN"/>
          <w14:textFill>
            <w14:solidFill>
              <w14:schemeClr w14:val="tx1"/>
            </w14:solidFill>
          </w14:textFill>
        </w:rPr>
        <w:t>每个定标候选人的优势、风险等评审情况进行说明</w:t>
      </w:r>
      <w:r>
        <w:rPr>
          <w:rFonts w:hint="eastAsia" w:ascii="宋体" w:hAnsi="宋体" w:eastAsia="宋体" w:cs="宋体"/>
          <w:b w:val="0"/>
          <w:bCs w:val="0"/>
          <w:snapToGrid w:val="0"/>
          <w:color w:val="000000" w:themeColor="text1"/>
          <w:kern w:val="0"/>
          <w:sz w:val="24"/>
          <w:szCs w:val="24"/>
          <w:highlight w:val="none"/>
          <w:lang w:eastAsia="zh-CN"/>
          <w14:textFill>
            <w14:solidFill>
              <w14:schemeClr w14:val="tx1"/>
            </w14:solidFill>
          </w14:textFill>
        </w:rPr>
        <w:t>。当投标人综合总得分相同时，以报价低为前；当投标人综合总得分相同且报价相同时，由评标委员会投票确定排前。</w:t>
      </w:r>
    </w:p>
    <w:p w14:paraId="7D5387EE">
      <w:pPr>
        <w:keepNext w:val="0"/>
        <w:keepLines w:val="0"/>
        <w:pageBreakBefore w:val="0"/>
        <w:widowControl/>
        <w:kinsoku w:val="0"/>
        <w:wordWrap w:val="0"/>
        <w:overflowPunct/>
        <w:topLinePunct w:val="0"/>
        <w:autoSpaceDE w:val="0"/>
        <w:autoSpaceDN w:val="0"/>
        <w:bidi w:val="0"/>
        <w:adjustRightInd w:val="0"/>
        <w:snapToGrid w:val="0"/>
        <w:spacing w:before="37" w:line="310" w:lineRule="auto"/>
        <w:ind w:firstLine="442" w:firstLineChars="20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2"/>
          <w:szCs w:val="22"/>
          <w:highlight w:val="none"/>
          <w:lang w:eastAsia="zh-CN"/>
          <w14:textFill>
            <w14:solidFill>
              <w14:schemeClr w14:val="tx1"/>
            </w14:solidFill>
          </w14:textFill>
        </w:rPr>
        <w:t>定标候选人得分只作为评标委员会的推荐依据，不作为定标委员会对中标候选人排序的依据。</w:t>
      </w:r>
      <w:r>
        <w:rPr>
          <w:rFonts w:hint="eastAsia" w:ascii="宋体" w:hAnsi="宋体" w:eastAsia="宋体" w:cs="宋体"/>
          <w:b/>
          <w:bCs/>
          <w:snapToGrid w:val="0"/>
          <w:color w:val="000000" w:themeColor="text1"/>
          <w:kern w:val="0"/>
          <w:sz w:val="22"/>
          <w:szCs w:val="22"/>
          <w:highlight w:val="none"/>
          <w:lang w:val="en-US" w:eastAsia="zh-CN"/>
          <w14:textFill>
            <w14:solidFill>
              <w14:schemeClr w14:val="tx1"/>
            </w14:solidFill>
          </w14:textFill>
        </w:rPr>
        <w:t>当有效投标人数量不足5名但满足法定要求时，所有通过评审的有效投标人均应作为定标候选人。</w:t>
      </w:r>
    </w:p>
    <w:p w14:paraId="22C172D9">
      <w:pPr>
        <w:keepNext w:val="0"/>
        <w:keepLines w:val="0"/>
        <w:pageBreakBefore w:val="0"/>
        <w:wordWrap w:val="0"/>
        <w:overflowPunct/>
        <w:topLinePunct w:val="0"/>
        <w:bidi w:val="0"/>
        <w:rPr>
          <w:rFonts w:hint="eastAsia" w:ascii="宋体" w:hAnsi="宋体" w:eastAsia="宋体" w:cs="宋体"/>
          <w:b/>
          <w:bCs/>
          <w:color w:val="000000" w:themeColor="text1"/>
          <w:spacing w:val="0"/>
          <w:sz w:val="30"/>
          <w:szCs w:val="30"/>
          <w:highlight w:val="none"/>
          <w14:textFill>
            <w14:solidFill>
              <w14:schemeClr w14:val="tx1"/>
            </w14:solidFill>
          </w14:textFill>
        </w:rPr>
      </w:pPr>
      <w:bookmarkStart w:id="131" w:name="_Toc16801"/>
      <w:bookmarkStart w:id="132" w:name="_Toc17375"/>
      <w:bookmarkStart w:id="133" w:name="_Toc3020"/>
      <w:r>
        <w:rPr>
          <w:rFonts w:hint="eastAsia" w:ascii="宋体" w:hAnsi="宋体" w:eastAsia="宋体" w:cs="宋体"/>
          <w:b/>
          <w:bCs/>
          <w:color w:val="000000" w:themeColor="text1"/>
          <w:spacing w:val="0"/>
          <w:sz w:val="30"/>
          <w:szCs w:val="30"/>
          <w:highlight w:val="none"/>
          <w14:textFill>
            <w14:solidFill>
              <w14:schemeClr w14:val="tx1"/>
            </w14:solidFill>
          </w14:textFill>
        </w:rPr>
        <w:br w:type="page"/>
      </w:r>
    </w:p>
    <w:p w14:paraId="042A8A28">
      <w:pPr>
        <w:keepNext w:val="0"/>
        <w:keepLines w:val="0"/>
        <w:pageBreakBefore w:val="0"/>
        <w:wordWrap w:val="0"/>
        <w:overflowPunct/>
        <w:topLinePunct w:val="0"/>
        <w:bidi w:val="0"/>
        <w:spacing w:before="98" w:line="221" w:lineRule="auto"/>
        <w:ind w:left="4248"/>
        <w:outlineLvl w:val="9"/>
        <w:rPr>
          <w:rFonts w:hint="eastAsia" w:ascii="宋体" w:hAnsi="宋体" w:eastAsia="宋体" w:cs="宋体"/>
          <w:color w:val="000000" w:themeColor="text1"/>
          <w:spacing w:val="0"/>
          <w:sz w:val="30"/>
          <w:szCs w:val="30"/>
          <w:highlight w:val="none"/>
          <w14:textFill>
            <w14:solidFill>
              <w14:schemeClr w14:val="tx1"/>
            </w14:solidFill>
          </w14:textFill>
        </w:rPr>
      </w:pPr>
      <w:r>
        <w:rPr>
          <w:rFonts w:hint="eastAsia" w:ascii="宋体" w:hAnsi="宋体" w:eastAsia="宋体" w:cs="宋体"/>
          <w:b/>
          <w:bCs/>
          <w:color w:val="000000" w:themeColor="text1"/>
          <w:spacing w:val="0"/>
          <w:sz w:val="30"/>
          <w:szCs w:val="30"/>
          <w:highlight w:val="none"/>
          <w14:textFill>
            <w14:solidFill>
              <w14:schemeClr w14:val="tx1"/>
            </w14:solidFill>
          </w14:textFill>
        </w:rPr>
        <w:t>综合评分表</w:t>
      </w:r>
      <w:bookmarkEnd w:id="131"/>
      <w:bookmarkEnd w:id="132"/>
      <w:bookmarkEnd w:id="133"/>
    </w:p>
    <w:tbl>
      <w:tblPr>
        <w:tblStyle w:val="15"/>
        <w:tblW w:w="10814" w:type="dxa"/>
        <w:jc w:val="center"/>
        <w:tblLayout w:type="fixed"/>
        <w:tblCellMar>
          <w:top w:w="0" w:type="dxa"/>
          <w:left w:w="108" w:type="dxa"/>
          <w:bottom w:w="0" w:type="dxa"/>
          <w:right w:w="108" w:type="dxa"/>
        </w:tblCellMar>
      </w:tblPr>
      <w:tblGrid>
        <w:gridCol w:w="1295"/>
        <w:gridCol w:w="3285"/>
        <w:gridCol w:w="537"/>
        <w:gridCol w:w="5697"/>
      </w:tblGrid>
      <w:tr w14:paraId="19E95322">
        <w:tblPrEx>
          <w:tblCellMar>
            <w:top w:w="0" w:type="dxa"/>
            <w:left w:w="108" w:type="dxa"/>
            <w:bottom w:w="0" w:type="dxa"/>
            <w:right w:w="108" w:type="dxa"/>
          </w:tblCellMar>
        </w:tblPrEx>
        <w:trPr>
          <w:trHeight w:val="512" w:hRule="exact"/>
          <w:jc w:val="center"/>
        </w:trPr>
        <w:tc>
          <w:tcPr>
            <w:tcW w:w="10814" w:type="dxa"/>
            <w:gridSpan w:val="4"/>
            <w:tcBorders>
              <w:top w:val="single" w:color="auto" w:sz="4" w:space="0"/>
              <w:left w:val="single" w:color="auto" w:sz="4" w:space="0"/>
              <w:bottom w:val="single" w:color="auto" w:sz="4" w:space="0"/>
              <w:right w:val="single" w:color="auto" w:sz="4" w:space="0"/>
            </w:tcBorders>
            <w:shd w:val="clear" w:color="auto" w:fill="D7D7D7"/>
            <w:noWrap w:val="0"/>
            <w:vAlign w:val="center"/>
          </w:tcPr>
          <w:p w14:paraId="501F1FD6">
            <w:pPr>
              <w:keepNext w:val="0"/>
              <w:keepLines w:val="0"/>
              <w:widowControl w:val="0"/>
              <w:suppressLineNumbers w:val="0"/>
              <w:tabs>
                <w:tab w:val="left" w:pos="1354"/>
                <w:tab w:val="left" w:pos="1459"/>
                <w:tab w:val="center" w:pos="3902"/>
                <w:tab w:val="right" w:pos="7805"/>
              </w:tabs>
              <w:kinsoku/>
              <w:wordWrap w:val="0"/>
              <w:autoSpaceDE/>
              <w:autoSpaceDN/>
              <w:adjustRightInd w:val="0"/>
              <w:snapToGrid w:val="0"/>
              <w:spacing w:before="0" w:beforeAutospacing="0" w:after="0" w:afterAutospacing="0" w:line="440" w:lineRule="exact"/>
              <w:ind w:left="0" w:right="0"/>
              <w:jc w:val="both"/>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val="en-US" w:eastAsia="zh-CN" w:bidi="ar-SA"/>
                <w14:textFill>
                  <w14:solidFill>
                    <w14:schemeClr w14:val="tx1"/>
                  </w14:solidFill>
                </w14:textFill>
              </w:rPr>
              <w:t>商务部分，满分：</w:t>
            </w:r>
            <w:r>
              <w:rPr>
                <w:rFonts w:hint="eastAsia" w:ascii="宋体" w:hAnsi="宋体" w:eastAsia="宋体" w:cs="宋体"/>
                <w:b/>
                <w:bCs/>
                <w:snapToGrid w:val="0"/>
                <w:color w:val="000000" w:themeColor="text1"/>
                <w:kern w:val="0"/>
                <w:sz w:val="21"/>
                <w:szCs w:val="21"/>
                <w:highlight w:val="none"/>
                <w:u w:val="single"/>
                <w:lang w:val="en-US" w:eastAsia="zh-CN" w:bidi="ar-SA"/>
                <w14:textFill>
                  <w14:solidFill>
                    <w14:schemeClr w14:val="tx1"/>
                  </w14:solidFill>
                </w14:textFill>
              </w:rPr>
              <w:t xml:space="preserve"> 80 </w:t>
            </w:r>
            <w:r>
              <w:rPr>
                <w:rFonts w:hint="eastAsia" w:ascii="宋体" w:hAnsi="宋体" w:eastAsia="宋体" w:cs="宋体"/>
                <w:b/>
                <w:bCs/>
                <w:snapToGrid w:val="0"/>
                <w:color w:val="000000" w:themeColor="text1"/>
                <w:kern w:val="0"/>
                <w:sz w:val="21"/>
                <w:szCs w:val="21"/>
                <w:highlight w:val="none"/>
                <w:lang w:val="en-US" w:eastAsia="zh-CN" w:bidi="ar-SA"/>
                <w14:textFill>
                  <w14:solidFill>
                    <w14:schemeClr w14:val="tx1"/>
                  </w14:solidFill>
                </w14:textFill>
              </w:rPr>
              <w:t>分。</w:t>
            </w:r>
          </w:p>
        </w:tc>
      </w:tr>
      <w:tr w14:paraId="26F17784">
        <w:tblPrEx>
          <w:tblCellMar>
            <w:top w:w="0" w:type="dxa"/>
            <w:left w:w="108" w:type="dxa"/>
            <w:bottom w:w="0" w:type="dxa"/>
            <w:right w:w="108" w:type="dxa"/>
          </w:tblCellMar>
        </w:tblPrEx>
        <w:trPr>
          <w:trHeight w:val="531" w:hRule="exact"/>
          <w:jc w:val="center"/>
        </w:trPr>
        <w:tc>
          <w:tcPr>
            <w:tcW w:w="1295" w:type="dxa"/>
            <w:tcBorders>
              <w:top w:val="single" w:color="auto" w:sz="4" w:space="0"/>
              <w:left w:val="single" w:color="auto" w:sz="4" w:space="0"/>
              <w:bottom w:val="single" w:color="auto" w:sz="4" w:space="0"/>
              <w:right w:val="single" w:color="auto" w:sz="4" w:space="0"/>
            </w:tcBorders>
            <w:noWrap w:val="0"/>
            <w:vAlign w:val="center"/>
          </w:tcPr>
          <w:p w14:paraId="315FE541">
            <w:pPr>
              <w:keepNext w:val="0"/>
              <w:keepLines w:val="0"/>
              <w:pageBreakBefore w:val="0"/>
              <w:widowControl w:val="0"/>
              <w:suppressLineNumbers w:val="0"/>
              <w:tabs>
                <w:tab w:val="left" w:pos="1354"/>
                <w:tab w:val="left" w:pos="1459"/>
                <w:tab w:val="center" w:pos="3902"/>
                <w:tab w:val="right" w:pos="7805"/>
              </w:tabs>
              <w:kinsoku/>
              <w:wordWrap w:val="0"/>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评分因素</w:t>
            </w:r>
          </w:p>
        </w:tc>
        <w:tc>
          <w:tcPr>
            <w:tcW w:w="3822" w:type="dxa"/>
            <w:gridSpan w:val="2"/>
            <w:tcBorders>
              <w:top w:val="single" w:color="auto" w:sz="4" w:space="0"/>
              <w:left w:val="single" w:color="auto" w:sz="4" w:space="0"/>
              <w:bottom w:val="single" w:color="auto" w:sz="4" w:space="0"/>
              <w:right w:val="single" w:color="auto" w:sz="4" w:space="0"/>
            </w:tcBorders>
            <w:noWrap w:val="0"/>
            <w:vAlign w:val="center"/>
          </w:tcPr>
          <w:p w14:paraId="39826153">
            <w:pPr>
              <w:keepNext w:val="0"/>
              <w:keepLines w:val="0"/>
              <w:pageBreakBefore w:val="0"/>
              <w:widowControl w:val="0"/>
              <w:suppressLineNumbers w:val="0"/>
              <w:tabs>
                <w:tab w:val="left" w:pos="1354"/>
                <w:tab w:val="left" w:pos="1459"/>
                <w:tab w:val="center" w:pos="3902"/>
                <w:tab w:val="right" w:pos="7805"/>
              </w:tabs>
              <w:kinsoku/>
              <w:wordWrap w:val="0"/>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评分标准</w:t>
            </w:r>
          </w:p>
        </w:tc>
        <w:tc>
          <w:tcPr>
            <w:tcW w:w="5697" w:type="dxa"/>
            <w:tcBorders>
              <w:top w:val="single" w:color="auto" w:sz="4" w:space="0"/>
              <w:left w:val="single" w:color="auto" w:sz="4" w:space="0"/>
              <w:bottom w:val="single" w:color="auto" w:sz="4" w:space="0"/>
              <w:right w:val="single" w:color="auto" w:sz="4" w:space="0"/>
            </w:tcBorders>
            <w:noWrap w:val="0"/>
            <w:vAlign w:val="center"/>
          </w:tcPr>
          <w:p w14:paraId="25984758">
            <w:pPr>
              <w:keepNext w:val="0"/>
              <w:keepLines w:val="0"/>
              <w:pageBreakBefore w:val="0"/>
              <w:widowControl w:val="0"/>
              <w:suppressLineNumbers w:val="0"/>
              <w:tabs>
                <w:tab w:val="left" w:pos="1354"/>
                <w:tab w:val="left" w:pos="1459"/>
                <w:tab w:val="center" w:pos="3902"/>
                <w:tab w:val="right" w:pos="7805"/>
              </w:tabs>
              <w:kinsoku/>
              <w:wordWrap w:val="0"/>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备注</w:t>
            </w:r>
          </w:p>
        </w:tc>
      </w:tr>
      <w:tr w14:paraId="1ECF259D">
        <w:tblPrEx>
          <w:tblCellMar>
            <w:top w:w="0" w:type="dxa"/>
            <w:left w:w="108" w:type="dxa"/>
            <w:bottom w:w="0" w:type="dxa"/>
            <w:right w:w="108" w:type="dxa"/>
          </w:tblCellMar>
        </w:tblPrEx>
        <w:trPr>
          <w:trHeight w:val="7010" w:hRule="atLeast"/>
          <w:jc w:val="center"/>
        </w:trPr>
        <w:tc>
          <w:tcPr>
            <w:tcW w:w="1295" w:type="dxa"/>
            <w:tcBorders>
              <w:top w:val="single" w:color="auto" w:sz="4" w:space="0"/>
              <w:left w:val="single" w:color="auto" w:sz="4" w:space="0"/>
              <w:bottom w:val="single" w:color="auto" w:sz="4" w:space="0"/>
              <w:right w:val="single" w:color="auto" w:sz="4" w:space="0"/>
            </w:tcBorders>
            <w:noWrap w:val="0"/>
            <w:vAlign w:val="center"/>
          </w:tcPr>
          <w:p w14:paraId="53F96AE8">
            <w:pPr>
              <w:keepNext w:val="0"/>
              <w:keepLines w:val="0"/>
              <w:pageBreakBefore w:val="0"/>
              <w:widowControl w:val="0"/>
              <w:kinsoku/>
              <w:wordWrap w:val="0"/>
              <w:overflowPunct/>
              <w:topLinePunct w:val="0"/>
              <w:autoSpaceDE/>
              <w:autoSpaceDN/>
              <w:bidi w:val="0"/>
              <w:adjustRightInd w:val="0"/>
              <w:snapToGrid w:val="0"/>
              <w:spacing w:after="0" w:afterLines="0" w:line="300" w:lineRule="exact"/>
              <w:ind w:firstLine="0" w:firstLineChars="0"/>
              <w:jc w:val="center"/>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企业奖项</w:t>
            </w:r>
          </w:p>
          <w:p w14:paraId="73F0ACBD">
            <w:pPr>
              <w:keepNext w:val="0"/>
              <w:keepLines w:val="0"/>
              <w:pageBreakBefore w:val="0"/>
              <w:widowControl w:val="0"/>
              <w:kinsoku/>
              <w:wordWrap w:val="0"/>
              <w:overflowPunct/>
              <w:topLinePunct w:val="0"/>
              <w:autoSpaceDE/>
              <w:autoSpaceDN/>
              <w:bidi w:val="0"/>
              <w:adjustRightInd w:val="0"/>
              <w:snapToGrid w:val="0"/>
              <w:spacing w:after="0" w:afterLines="0" w:line="300" w:lineRule="exact"/>
              <w:ind w:firstLine="0" w:firstLineChars="0"/>
              <w:jc w:val="center"/>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val="en-US" w:eastAsia="zh-CN" w:bidi="ar-SA"/>
                <w14:textFill>
                  <w14:solidFill>
                    <w14:schemeClr w14:val="tx1"/>
                  </w14:solidFill>
                </w14:textFill>
              </w:rPr>
              <w:t>（10分）</w:t>
            </w:r>
          </w:p>
        </w:tc>
        <w:tc>
          <w:tcPr>
            <w:tcW w:w="3822" w:type="dxa"/>
            <w:gridSpan w:val="2"/>
            <w:tcBorders>
              <w:top w:val="single" w:color="auto" w:sz="4" w:space="0"/>
              <w:left w:val="single" w:color="auto" w:sz="4" w:space="0"/>
              <w:bottom w:val="single" w:color="auto" w:sz="4" w:space="0"/>
              <w:right w:val="single" w:color="auto" w:sz="4" w:space="0"/>
            </w:tcBorders>
            <w:noWrap w:val="0"/>
            <w:vAlign w:val="center"/>
          </w:tcPr>
          <w:p w14:paraId="473EB6CA">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企业近</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 xml:space="preserve"> 5 </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年来（20</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21</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年1月1日至</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今</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）获得</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建筑工程类</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奖项情况：</w:t>
            </w:r>
          </w:p>
          <w:p w14:paraId="7E05BBEE">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1．获得国家级奖项的，每个得</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 xml:space="preserve"> 8</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分。</w:t>
            </w:r>
          </w:p>
          <w:p w14:paraId="4B5030F7">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2．获得省级奖项的，每个得</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6</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分。</w:t>
            </w:r>
          </w:p>
          <w:p w14:paraId="273F885D">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3．获得地市级奖项的，每个得</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4</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分。</w:t>
            </w:r>
          </w:p>
          <w:p w14:paraId="57633D28">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4．以上奖项均未获得的，不予计分。</w:t>
            </w:r>
          </w:p>
          <w:p w14:paraId="16CCBB8F">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i w:val="0"/>
                <w:iCs w:val="0"/>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5．</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本项最高得10分。</w:t>
            </w:r>
          </w:p>
        </w:tc>
        <w:tc>
          <w:tcPr>
            <w:tcW w:w="5697" w:type="dxa"/>
            <w:tcBorders>
              <w:top w:val="single" w:color="auto" w:sz="4" w:space="0"/>
              <w:left w:val="single" w:color="auto" w:sz="4" w:space="0"/>
              <w:bottom w:val="single" w:color="auto" w:sz="4" w:space="0"/>
              <w:right w:val="single" w:color="auto" w:sz="4" w:space="0"/>
            </w:tcBorders>
            <w:noWrap w:val="0"/>
            <w:vAlign w:val="center"/>
          </w:tcPr>
          <w:p w14:paraId="42E580A2">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trike/>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1．允许投标人提交多个业绩，不同业绩可以累加，但同一业绩只按最高级别奖项计分一次。</w:t>
            </w:r>
          </w:p>
          <w:p w14:paraId="3518C7C4">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2．需附有关奖项证明彩色扫描件，</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同时提供原件供核对。（奖项如电子证书的除外）</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p>
          <w:p w14:paraId="5D8B3D89">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3．颁发机构限定以下范围：</w:t>
            </w:r>
          </w:p>
          <w:p w14:paraId="66C78AC2">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①国家级奖项：</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国务院、住建部、中国建筑业</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相关</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协会</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（相关协会需经民政部门备案）</w:t>
            </w:r>
          </w:p>
          <w:p w14:paraId="60E94FC5">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②省级奖项：</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省级人民政府、省级住建部门、省级建筑业</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相关</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协会</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（相关协会需经民政部门备案）</w:t>
            </w:r>
          </w:p>
          <w:p w14:paraId="02EA9EF8">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③地市级奖项：</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地市级人民政府、地市级住建部门、地市级建筑</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业相关</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协会</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（相关协会需经民政部门备案</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p>
          <w:p w14:paraId="750E57C9">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4．获奖时间以奖项证明的落款日期为准。</w:t>
            </w:r>
          </w:p>
          <w:p w14:paraId="24B3776D">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5．任一奖项有以下情形之一的，该奖项视为无效，不予计分：</w:t>
            </w:r>
          </w:p>
          <w:p w14:paraId="6042E04E">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①未提供奖项原件的；</w:t>
            </w:r>
          </w:p>
          <w:p w14:paraId="68DC44E1">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②奖项不属于指定类别的；</w:t>
            </w:r>
          </w:p>
          <w:p w14:paraId="5BD30509">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③颁发机构不符合要求的；</w:t>
            </w:r>
          </w:p>
          <w:p w14:paraId="17E7514A">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④获奖时间不符合要求的。</w:t>
            </w:r>
          </w:p>
          <w:p w14:paraId="68F7ACBD">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b w:val="0"/>
                <w:bCs w:val="0"/>
                <w:i w:val="0"/>
                <w:iCs w:val="0"/>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说明：以上所称“要求”均指本表评分标准及备注的要求，下同。</w:t>
            </w:r>
          </w:p>
        </w:tc>
      </w:tr>
      <w:tr w14:paraId="4D84FCA0">
        <w:tblPrEx>
          <w:tblCellMar>
            <w:top w:w="0" w:type="dxa"/>
            <w:left w:w="108" w:type="dxa"/>
            <w:bottom w:w="0" w:type="dxa"/>
            <w:right w:w="108" w:type="dxa"/>
          </w:tblCellMar>
        </w:tblPrEx>
        <w:trPr>
          <w:trHeight w:val="2125" w:hRule="atLeast"/>
          <w:jc w:val="center"/>
        </w:trPr>
        <w:tc>
          <w:tcPr>
            <w:tcW w:w="1295" w:type="dxa"/>
            <w:tcBorders>
              <w:top w:val="single" w:color="auto" w:sz="4" w:space="0"/>
              <w:left w:val="single" w:color="auto" w:sz="4" w:space="0"/>
              <w:bottom w:val="single" w:color="auto" w:sz="4" w:space="0"/>
              <w:right w:val="single" w:color="auto" w:sz="4" w:space="0"/>
            </w:tcBorders>
            <w:noWrap w:val="0"/>
            <w:vAlign w:val="center"/>
          </w:tcPr>
          <w:p w14:paraId="399DDC06">
            <w:pPr>
              <w:keepNext w:val="0"/>
              <w:keepLines w:val="0"/>
              <w:pageBreakBefore w:val="0"/>
              <w:widowControl w:val="0"/>
              <w:kinsoku/>
              <w:wordWrap w:val="0"/>
              <w:overflowPunct/>
              <w:topLinePunct w:val="0"/>
              <w:autoSpaceDE/>
              <w:autoSpaceDN/>
              <w:bidi w:val="0"/>
              <w:adjustRightInd w:val="0"/>
              <w:snapToGrid w:val="0"/>
              <w:spacing w:after="0" w:afterLines="0" w:line="300" w:lineRule="exact"/>
              <w:ind w:firstLine="0" w:firstLineChars="0"/>
              <w:jc w:val="center"/>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项目经理</w:t>
            </w:r>
          </w:p>
          <w:p w14:paraId="440D8093">
            <w:pPr>
              <w:keepNext w:val="0"/>
              <w:keepLines w:val="0"/>
              <w:pageBreakBefore w:val="0"/>
              <w:widowControl w:val="0"/>
              <w:kinsoku/>
              <w:wordWrap w:val="0"/>
              <w:overflowPunct/>
              <w:topLinePunct w:val="0"/>
              <w:autoSpaceDE/>
              <w:autoSpaceDN/>
              <w:bidi w:val="0"/>
              <w:adjustRightInd w:val="0"/>
              <w:snapToGrid w:val="0"/>
              <w:spacing w:after="0" w:afterLines="0" w:line="300" w:lineRule="exact"/>
              <w:ind w:firstLine="0" w:firstLineChars="0"/>
              <w:jc w:val="center"/>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综合素质</w:t>
            </w:r>
          </w:p>
          <w:p w14:paraId="2630EC01">
            <w:pPr>
              <w:keepNext w:val="0"/>
              <w:keepLines w:val="0"/>
              <w:pageBreakBefore w:val="0"/>
              <w:widowControl w:val="0"/>
              <w:kinsoku/>
              <w:wordWrap w:val="0"/>
              <w:overflowPunct/>
              <w:topLinePunct w:val="0"/>
              <w:autoSpaceDE/>
              <w:autoSpaceDN/>
              <w:bidi w:val="0"/>
              <w:adjustRightInd w:val="0"/>
              <w:snapToGrid w:val="0"/>
              <w:spacing w:after="0" w:afterLines="0" w:line="300" w:lineRule="exact"/>
              <w:ind w:firstLine="0" w:firstLineChars="0"/>
              <w:jc w:val="center"/>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val="en-US" w:eastAsia="zh-CN" w:bidi="ar-SA"/>
                <w14:textFill>
                  <w14:solidFill>
                    <w14:schemeClr w14:val="tx1"/>
                  </w14:solidFill>
                </w14:textFill>
              </w:rPr>
              <w:t>（10分）</w:t>
            </w:r>
          </w:p>
        </w:tc>
        <w:tc>
          <w:tcPr>
            <w:tcW w:w="3822" w:type="dxa"/>
            <w:gridSpan w:val="2"/>
            <w:tcBorders>
              <w:top w:val="single" w:color="auto" w:sz="4" w:space="0"/>
              <w:left w:val="single" w:color="auto" w:sz="4" w:space="0"/>
              <w:bottom w:val="single" w:color="auto" w:sz="4" w:space="0"/>
              <w:right w:val="single" w:color="auto" w:sz="4" w:space="0"/>
            </w:tcBorders>
            <w:noWrap w:val="0"/>
            <w:vAlign w:val="center"/>
          </w:tcPr>
          <w:p w14:paraId="15DAD903">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项目经理工程类技术职称情况：</w:t>
            </w:r>
          </w:p>
          <w:p w14:paraId="5B0EF0CB">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1.具备工程师</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或以上</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 xml:space="preserve">职称的，得 </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10</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分。</w:t>
            </w:r>
          </w:p>
          <w:p w14:paraId="5D2AE335">
            <w:pPr>
              <w:keepNext w:val="0"/>
              <w:keepLines w:val="0"/>
              <w:pageBreakBefore w:val="0"/>
              <w:widowControl w:val="0"/>
              <w:tabs>
                <w:tab w:val="left" w:pos="312"/>
              </w:tabs>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2.具备助理工程师职称的，得</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 xml:space="preserve"> 5</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分。</w:t>
            </w:r>
          </w:p>
          <w:p w14:paraId="2DD13955">
            <w:pPr>
              <w:keepNext w:val="0"/>
              <w:keepLines w:val="0"/>
              <w:pageBreakBefore w:val="0"/>
              <w:widowControl w:val="0"/>
              <w:tabs>
                <w:tab w:val="left" w:pos="312"/>
              </w:tabs>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3.不具备以上职称的，不予计分。</w:t>
            </w:r>
          </w:p>
          <w:p w14:paraId="5DE3AF89">
            <w:pPr>
              <w:keepNext w:val="0"/>
              <w:keepLines w:val="0"/>
              <w:pageBreakBefore w:val="0"/>
              <w:widowControl w:val="0"/>
              <w:tabs>
                <w:tab w:val="left" w:pos="312"/>
              </w:tabs>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4.</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本项最高得10分。</w:t>
            </w:r>
          </w:p>
        </w:tc>
        <w:tc>
          <w:tcPr>
            <w:tcW w:w="5697" w:type="dxa"/>
            <w:tcBorders>
              <w:top w:val="single" w:color="auto" w:sz="4" w:space="0"/>
              <w:left w:val="single" w:color="auto" w:sz="4" w:space="0"/>
              <w:bottom w:val="single" w:color="auto" w:sz="4" w:space="0"/>
              <w:right w:val="single" w:color="auto" w:sz="4" w:space="0"/>
            </w:tcBorders>
            <w:noWrap w:val="0"/>
            <w:vAlign w:val="center"/>
          </w:tcPr>
          <w:p w14:paraId="6AE07620">
            <w:pPr>
              <w:keepNext w:val="0"/>
              <w:keepLines w:val="0"/>
              <w:pageBreakBefore w:val="0"/>
              <w:widowControl w:val="0"/>
              <w:kinsoku/>
              <w:wordWrap w:val="0"/>
              <w:overflowPunct/>
              <w:topLinePunct w:val="0"/>
              <w:autoSpaceDE/>
              <w:autoSpaceDN/>
              <w:bidi w:val="0"/>
              <w:adjustRightInd w:val="0"/>
              <w:snapToGrid w:val="0"/>
              <w:spacing w:line="300" w:lineRule="exact"/>
              <w:jc w:val="both"/>
              <w:textAlignment w:val="auto"/>
              <w:rPr>
                <w:rFonts w:hint="eastAsia" w:ascii="宋体" w:hAnsi="宋体" w:eastAsia="宋体" w:cs="宋体"/>
                <w:b w:val="0"/>
                <w:bCs w:val="0"/>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需附职称证彩色扫描件</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或打印件，</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同时提供原件供核对。（职称证为电子证书打印件的除外）</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p>
        </w:tc>
      </w:tr>
      <w:tr w14:paraId="7DA415B9">
        <w:tblPrEx>
          <w:tblCellMar>
            <w:top w:w="0" w:type="dxa"/>
            <w:left w:w="108" w:type="dxa"/>
            <w:bottom w:w="0" w:type="dxa"/>
            <w:right w:w="108" w:type="dxa"/>
          </w:tblCellMar>
        </w:tblPrEx>
        <w:trPr>
          <w:trHeight w:val="360" w:hRule="atLeast"/>
          <w:jc w:val="center"/>
        </w:trPr>
        <w:tc>
          <w:tcPr>
            <w:tcW w:w="1295" w:type="dxa"/>
            <w:tcBorders>
              <w:top w:val="single" w:color="auto" w:sz="4" w:space="0"/>
              <w:left w:val="single" w:color="auto" w:sz="4" w:space="0"/>
              <w:bottom w:val="single" w:color="auto" w:sz="4" w:space="0"/>
              <w:right w:val="single" w:color="auto" w:sz="4" w:space="0"/>
            </w:tcBorders>
            <w:noWrap w:val="0"/>
            <w:vAlign w:val="center"/>
          </w:tcPr>
          <w:p w14:paraId="2E93AD68">
            <w:pPr>
              <w:keepNext w:val="0"/>
              <w:keepLines w:val="0"/>
              <w:pageBreakBefore w:val="0"/>
              <w:widowControl/>
              <w:kinsoku/>
              <w:overflowPunct/>
              <w:topLinePunct w:val="0"/>
              <w:autoSpaceDE/>
              <w:autoSpaceDN/>
              <w:bidi w:val="0"/>
              <w:adjustRightInd w:val="0"/>
              <w:snapToGrid w:val="0"/>
              <w:spacing w:after="0" w:afterLines="0" w:line="300" w:lineRule="exact"/>
              <w:jc w:val="center"/>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企业业绩（</w:t>
            </w: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10分）</w:t>
            </w:r>
          </w:p>
        </w:tc>
        <w:tc>
          <w:tcPr>
            <w:tcW w:w="3822" w:type="dxa"/>
            <w:gridSpan w:val="2"/>
            <w:tcBorders>
              <w:top w:val="single" w:color="auto" w:sz="4" w:space="0"/>
              <w:left w:val="single" w:color="auto" w:sz="4" w:space="0"/>
              <w:bottom w:val="single" w:color="auto" w:sz="4" w:space="0"/>
              <w:right w:val="single" w:color="auto" w:sz="4" w:space="0"/>
            </w:tcBorders>
            <w:noWrap w:val="0"/>
            <w:vAlign w:val="center"/>
          </w:tcPr>
          <w:p w14:paraId="09C3D5BC">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企业近</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 xml:space="preserve"> </w:t>
            </w:r>
            <w:r>
              <w:rPr>
                <w:rFonts w:hint="eastAsia" w:ascii="宋体" w:hAnsi="宋体" w:eastAsia="宋体" w:cs="宋体"/>
                <w:b w:val="0"/>
                <w:bCs w:val="0"/>
                <w:snapToGrid w:val="0"/>
                <w:color w:val="000000" w:themeColor="text1"/>
                <w:kern w:val="0"/>
                <w:sz w:val="21"/>
                <w:szCs w:val="21"/>
                <w:highlight w:val="none"/>
                <w:u w:val="single"/>
                <w:lang w:eastAsia="zh-CN"/>
                <w14:textFill>
                  <w14:solidFill>
                    <w14:schemeClr w14:val="tx1"/>
                  </w14:solidFill>
                </w14:textFill>
              </w:rPr>
              <w:t>5</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 xml:space="preserve"> </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年来（20</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21</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年1月1日至</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今</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）业绩情况：</w:t>
            </w:r>
          </w:p>
          <w:p w14:paraId="607D88D0">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 xml:space="preserve"> 承接 </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过类似工程的，每个得</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 xml:space="preserve"> 5</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分。</w:t>
            </w:r>
          </w:p>
          <w:p w14:paraId="2A1003C1">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2．未</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 xml:space="preserve"> 承接 </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过类似工程的，不予计分。</w:t>
            </w:r>
          </w:p>
          <w:p w14:paraId="3472F819">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3．</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 xml:space="preserve">本项最高得10分。 </w:t>
            </w:r>
          </w:p>
        </w:tc>
        <w:tc>
          <w:tcPr>
            <w:tcW w:w="5697" w:type="dxa"/>
            <w:tcBorders>
              <w:top w:val="single" w:color="auto" w:sz="4" w:space="0"/>
              <w:left w:val="single" w:color="auto" w:sz="4" w:space="0"/>
              <w:bottom w:val="single" w:color="auto" w:sz="4" w:space="0"/>
              <w:right w:val="single" w:color="auto" w:sz="4" w:space="0"/>
            </w:tcBorders>
            <w:noWrap w:val="0"/>
            <w:vAlign w:val="center"/>
          </w:tcPr>
          <w:p w14:paraId="0AF8BC8E">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1．类似工程指：</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房屋建筑类</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工程施工</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p>
          <w:p w14:paraId="639F9F4B">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trike/>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2．需附有关业绩（仅限于以</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施工总承包单位</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身份参建的项目）合同协议书关键页彩色扫描件，</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同时提供原件供核对。</w:t>
            </w:r>
          </w:p>
          <w:p w14:paraId="5CEFC5E7">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3．业绩时间以合同协议书日期为准。</w:t>
            </w:r>
          </w:p>
          <w:p w14:paraId="7141A237">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4．任一业绩有以下情形之一的，该业绩视为无效，不予计分：</w:t>
            </w:r>
          </w:p>
          <w:p w14:paraId="55503107">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①未提供业绩证明材料原件的；</w:t>
            </w:r>
          </w:p>
          <w:p w14:paraId="71F6A5A4">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②业绩不属于类似工程的；</w:t>
            </w:r>
          </w:p>
          <w:p w14:paraId="28AC6C15">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③不是以指定身份参建的；</w:t>
            </w:r>
          </w:p>
          <w:p w14:paraId="618F8AAF">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b w:val="0"/>
                <w:bCs w:val="0"/>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t xml:space="preserve">④业绩时间不符合要求的。 </w:t>
            </w:r>
          </w:p>
        </w:tc>
      </w:tr>
      <w:tr w14:paraId="0D19BC94">
        <w:tblPrEx>
          <w:tblCellMar>
            <w:top w:w="0" w:type="dxa"/>
            <w:left w:w="108" w:type="dxa"/>
            <w:bottom w:w="0" w:type="dxa"/>
            <w:right w:w="108" w:type="dxa"/>
          </w:tblCellMar>
        </w:tblPrEx>
        <w:trPr>
          <w:trHeight w:val="2151" w:hRule="atLeast"/>
          <w:jc w:val="center"/>
        </w:trPr>
        <w:tc>
          <w:tcPr>
            <w:tcW w:w="1295" w:type="dxa"/>
            <w:tcBorders>
              <w:top w:val="single" w:color="auto" w:sz="4" w:space="0"/>
              <w:left w:val="single" w:color="auto" w:sz="4" w:space="0"/>
              <w:bottom w:val="single" w:color="auto" w:sz="4" w:space="0"/>
              <w:right w:val="single" w:color="auto" w:sz="4" w:space="0"/>
            </w:tcBorders>
            <w:noWrap w:val="0"/>
            <w:vAlign w:val="center"/>
          </w:tcPr>
          <w:p w14:paraId="6C8BA643">
            <w:pPr>
              <w:keepNext w:val="0"/>
              <w:keepLines w:val="0"/>
              <w:pageBreakBefore w:val="0"/>
              <w:widowControl w:val="0"/>
              <w:kinsoku/>
              <w:wordWrap w:val="0"/>
              <w:overflowPunct/>
              <w:topLinePunct w:val="0"/>
              <w:autoSpaceDE/>
              <w:autoSpaceDN/>
              <w:bidi w:val="0"/>
              <w:adjustRightInd w:val="0"/>
              <w:snapToGrid w:val="0"/>
              <w:spacing w:after="0" w:afterLines="0" w:line="300" w:lineRule="exact"/>
              <w:ind w:firstLine="0" w:firstLineChars="0"/>
              <w:jc w:val="center"/>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企业银行</w:t>
            </w:r>
          </w:p>
          <w:p w14:paraId="1482C0E6">
            <w:pPr>
              <w:keepNext w:val="0"/>
              <w:keepLines w:val="0"/>
              <w:pageBreakBefore w:val="0"/>
              <w:widowControl w:val="0"/>
              <w:kinsoku/>
              <w:wordWrap w:val="0"/>
              <w:overflowPunct/>
              <w:topLinePunct w:val="0"/>
              <w:autoSpaceDE/>
              <w:autoSpaceDN/>
              <w:bidi w:val="0"/>
              <w:adjustRightInd w:val="0"/>
              <w:snapToGrid w:val="0"/>
              <w:spacing w:after="0" w:afterLines="0" w:line="300" w:lineRule="exact"/>
              <w:ind w:firstLine="0" w:firstLineChars="0"/>
              <w:jc w:val="center"/>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资信评级</w:t>
            </w:r>
          </w:p>
          <w:p w14:paraId="500A97A9">
            <w:pPr>
              <w:keepNext w:val="0"/>
              <w:keepLines w:val="0"/>
              <w:pageBreakBefore w:val="0"/>
              <w:widowControl w:val="0"/>
              <w:kinsoku/>
              <w:wordWrap w:val="0"/>
              <w:overflowPunct/>
              <w:topLinePunct w:val="0"/>
              <w:autoSpaceDE/>
              <w:autoSpaceDN/>
              <w:bidi w:val="0"/>
              <w:adjustRightInd w:val="0"/>
              <w:snapToGrid w:val="0"/>
              <w:spacing w:after="0" w:afterLines="0" w:line="300" w:lineRule="exact"/>
              <w:ind w:firstLine="0" w:firstLineChars="0"/>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val="en-US" w:eastAsia="zh-CN" w:bidi="ar-SA"/>
                <w14:textFill>
                  <w14:solidFill>
                    <w14:schemeClr w14:val="tx1"/>
                  </w14:solidFill>
                </w14:textFill>
              </w:rPr>
              <w:t>（10分）</w:t>
            </w:r>
          </w:p>
        </w:tc>
        <w:tc>
          <w:tcPr>
            <w:tcW w:w="3822" w:type="dxa"/>
            <w:gridSpan w:val="2"/>
            <w:tcBorders>
              <w:top w:val="single" w:color="auto" w:sz="4" w:space="0"/>
              <w:left w:val="single" w:color="auto" w:sz="4" w:space="0"/>
              <w:bottom w:val="single" w:color="auto" w:sz="4" w:space="0"/>
              <w:right w:val="single" w:color="auto" w:sz="4" w:space="0"/>
            </w:tcBorders>
            <w:noWrap w:val="0"/>
            <w:vAlign w:val="center"/>
          </w:tcPr>
          <w:p w14:paraId="4D664D92">
            <w:pPr>
              <w:keepNext w:val="0"/>
              <w:keepLines w:val="0"/>
              <w:pageBreakBefore w:val="0"/>
              <w:widowControl w:val="0"/>
              <w:kinsoku/>
              <w:wordWrap w:val="0"/>
              <w:overflowPunct/>
              <w:topLinePunct w:val="0"/>
              <w:autoSpaceDE/>
              <w:autoSpaceDN/>
              <w:bidi w:val="0"/>
              <w:adjustRightInd w:val="0"/>
              <w:snapToGrid w:val="0"/>
              <w:spacing w:after="0" w:afterLines="0" w:line="400" w:lineRule="exact"/>
              <w:ind w:firstLine="0" w:firstLineChars="0"/>
              <w:jc w:val="both"/>
              <w:textAlignment w:val="auto"/>
              <w:rPr>
                <w:rFonts w:hint="default" w:ascii="宋体" w:hAnsi="宋体" w:eastAsia="宋体" w:cs="宋体"/>
                <w:snapToGrid w:val="0"/>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1.银行资信评级AAA(含AAA+、AAA-)的，得</w:t>
            </w:r>
            <w:r>
              <w:rPr>
                <w:rFonts w:hint="eastAsia" w:ascii="宋体" w:hAnsi="宋体" w:eastAsia="宋体" w:cs="宋体"/>
                <w:snapToGrid w:val="0"/>
                <w:color w:val="000000" w:themeColor="text1"/>
                <w:kern w:val="0"/>
                <w:sz w:val="21"/>
                <w:szCs w:val="21"/>
                <w:highlight w:val="none"/>
                <w:u w:val="single"/>
                <w:lang w:val="en-US" w:eastAsia="zh-CN" w:bidi="ar"/>
                <w14:textFill>
                  <w14:solidFill>
                    <w14:schemeClr w14:val="tx1"/>
                  </w14:solidFill>
                </w14:textFill>
              </w:rPr>
              <w:t>10</w:t>
            </w: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分；</w:t>
            </w:r>
          </w:p>
          <w:p w14:paraId="5215251E">
            <w:pPr>
              <w:keepNext w:val="0"/>
              <w:keepLines w:val="0"/>
              <w:pageBreakBefore w:val="0"/>
              <w:widowControl w:val="0"/>
              <w:kinsoku/>
              <w:wordWrap w:val="0"/>
              <w:overflowPunct/>
              <w:topLinePunct w:val="0"/>
              <w:autoSpaceDE/>
              <w:autoSpaceDN/>
              <w:bidi w:val="0"/>
              <w:adjustRightInd w:val="0"/>
              <w:snapToGrid w:val="0"/>
              <w:spacing w:after="0" w:afterLines="0" w:line="400" w:lineRule="exact"/>
              <w:ind w:firstLine="0" w:firstLineChars="0"/>
              <w:jc w:val="both"/>
              <w:textAlignment w:val="auto"/>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2.银行资信评级AA(含AA+、AA-)的，得</w:t>
            </w:r>
            <w:r>
              <w:rPr>
                <w:rFonts w:hint="eastAsia" w:ascii="宋体" w:hAnsi="宋体" w:eastAsia="宋体" w:cs="宋体"/>
                <w:snapToGrid w:val="0"/>
                <w:color w:val="000000" w:themeColor="text1"/>
                <w:kern w:val="0"/>
                <w:sz w:val="21"/>
                <w:szCs w:val="21"/>
                <w:highlight w:val="none"/>
                <w:u w:val="single"/>
                <w:lang w:val="en-US" w:eastAsia="zh-CN" w:bidi="ar"/>
                <w14:textFill>
                  <w14:solidFill>
                    <w14:schemeClr w14:val="tx1"/>
                  </w14:solidFill>
                </w14:textFill>
              </w:rPr>
              <w:t xml:space="preserve">5 </w:t>
            </w: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分；</w:t>
            </w:r>
          </w:p>
          <w:p w14:paraId="354DD6F7">
            <w:pPr>
              <w:keepNext w:val="0"/>
              <w:keepLines w:val="0"/>
              <w:pageBreakBefore w:val="0"/>
              <w:widowControl w:val="0"/>
              <w:kinsoku/>
              <w:wordWrap w:val="0"/>
              <w:overflowPunct/>
              <w:topLinePunct w:val="0"/>
              <w:autoSpaceDE/>
              <w:autoSpaceDN/>
              <w:bidi w:val="0"/>
              <w:adjustRightInd w:val="0"/>
              <w:snapToGrid w:val="0"/>
              <w:spacing w:after="0" w:afterLines="0" w:line="400" w:lineRule="exact"/>
              <w:ind w:firstLine="0" w:firstLineChars="0"/>
              <w:jc w:val="both"/>
              <w:textAlignment w:val="auto"/>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3．银行资信评级A(含A+、A-)得</w:t>
            </w:r>
            <w:r>
              <w:rPr>
                <w:rFonts w:hint="eastAsia" w:ascii="宋体" w:hAnsi="宋体" w:eastAsia="宋体" w:cs="宋体"/>
                <w:snapToGrid w:val="0"/>
                <w:color w:val="000000" w:themeColor="text1"/>
                <w:kern w:val="0"/>
                <w:sz w:val="21"/>
                <w:szCs w:val="21"/>
                <w:highlight w:val="none"/>
                <w:u w:val="single"/>
                <w:lang w:val="en-US" w:eastAsia="zh-CN" w:bidi="ar"/>
                <w14:textFill>
                  <w14:solidFill>
                    <w14:schemeClr w14:val="tx1"/>
                  </w14:solidFill>
                </w14:textFill>
              </w:rPr>
              <w:t>2.5</w:t>
            </w: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分；</w:t>
            </w:r>
          </w:p>
          <w:p w14:paraId="79935A15">
            <w:pPr>
              <w:keepNext w:val="0"/>
              <w:keepLines w:val="0"/>
              <w:pageBreakBefore w:val="0"/>
              <w:widowControl w:val="0"/>
              <w:kinsoku/>
              <w:wordWrap w:val="0"/>
              <w:overflowPunct/>
              <w:topLinePunct w:val="0"/>
              <w:autoSpaceDE/>
              <w:autoSpaceDN/>
              <w:bidi w:val="0"/>
              <w:adjustRightInd w:val="0"/>
              <w:snapToGrid w:val="0"/>
              <w:spacing w:after="0" w:afterLines="0" w:line="400" w:lineRule="exact"/>
              <w:ind w:firstLine="0" w:firstLineChars="0"/>
              <w:jc w:val="both"/>
              <w:textAlignment w:val="auto"/>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4．未获得过以上评级的，或评级证书（证明）无效的，不予计分；</w:t>
            </w:r>
          </w:p>
          <w:p w14:paraId="23BEF377">
            <w:pPr>
              <w:keepNext w:val="0"/>
              <w:keepLines w:val="0"/>
              <w:pageBreakBefore w:val="0"/>
              <w:widowControl w:val="0"/>
              <w:kinsoku/>
              <w:wordWrap w:val="0"/>
              <w:overflowPunct/>
              <w:topLinePunct w:val="0"/>
              <w:autoSpaceDE/>
              <w:autoSpaceDN/>
              <w:bidi w:val="0"/>
              <w:adjustRightInd w:val="0"/>
              <w:snapToGrid w:val="0"/>
              <w:spacing w:after="0" w:afterLines="0" w:line="400" w:lineRule="exact"/>
              <w:ind w:firstLine="0" w:firstLineChars="0"/>
              <w:jc w:val="both"/>
              <w:textAlignment w:val="auto"/>
              <w:rPr>
                <w:rFonts w:hint="eastAsia" w:ascii="宋体" w:hAnsi="宋体" w:eastAsia="宋体" w:cs="宋体"/>
                <w:color w:val="000000" w:themeColor="text1"/>
                <w:kern w:val="0"/>
                <w:sz w:val="21"/>
                <w:szCs w:val="21"/>
                <w:highlight w:val="none"/>
                <w:u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5.</w:t>
            </w:r>
            <w:r>
              <w:rPr>
                <w:rFonts w:hint="eastAsia" w:ascii="宋体" w:hAnsi="宋体" w:eastAsia="宋体" w:cs="宋体"/>
                <w:b/>
                <w:bCs/>
                <w:snapToGrid w:val="0"/>
                <w:color w:val="000000" w:themeColor="text1"/>
                <w:kern w:val="0"/>
                <w:sz w:val="21"/>
                <w:szCs w:val="21"/>
                <w:highlight w:val="none"/>
                <w:lang w:val="en-US" w:eastAsia="zh-CN" w:bidi="ar"/>
                <w14:textFill>
                  <w14:solidFill>
                    <w14:schemeClr w14:val="tx1"/>
                  </w14:solidFill>
                </w14:textFill>
              </w:rPr>
              <w:t>本项最高得10分。</w:t>
            </w:r>
          </w:p>
        </w:tc>
        <w:tc>
          <w:tcPr>
            <w:tcW w:w="5697" w:type="dxa"/>
            <w:tcBorders>
              <w:top w:val="single" w:color="auto" w:sz="4" w:space="0"/>
              <w:left w:val="single" w:color="auto" w:sz="4" w:space="0"/>
              <w:bottom w:val="single" w:color="auto" w:sz="4" w:space="0"/>
              <w:right w:val="single" w:color="auto" w:sz="4" w:space="0"/>
            </w:tcBorders>
            <w:noWrap w:val="0"/>
            <w:vAlign w:val="center"/>
          </w:tcPr>
          <w:p w14:paraId="5E934915">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1．需附在有效期内的资信评级证书（证明）彩色扫描件，</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同时提供原件供核对</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p>
          <w:p w14:paraId="0BD59BF7">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2．评级证书（证明）须由</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市级或以</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上</w:t>
            </w:r>
            <w:r>
              <w:rPr>
                <w:rFonts w:hint="eastAsia" w:ascii="宋体" w:hAnsi="宋体" w:eastAsia="宋体" w:cs="宋体"/>
                <w:snapToGrid w:val="0"/>
                <w:color w:val="000000" w:themeColor="text1"/>
                <w:kern w:val="0"/>
                <w:sz w:val="21"/>
                <w:szCs w:val="21"/>
                <w:highlight w:val="none"/>
                <w:u w:val="single"/>
                <w:lang w:eastAsia="zh-CN"/>
                <w14:textFill>
                  <w14:solidFill>
                    <w14:schemeClr w14:val="tx1"/>
                  </w14:solidFill>
                </w14:textFill>
              </w:rPr>
              <w:t>金融机构</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出具。</w:t>
            </w:r>
          </w:p>
          <w:p w14:paraId="155425E6">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3．评级证书（证明）有以下情形之一的，视为无效：</w:t>
            </w:r>
          </w:p>
          <w:p w14:paraId="0D8439F4">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①未提供评级证书（证明）原件的；</w:t>
            </w:r>
          </w:p>
          <w:p w14:paraId="73EDB93F">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②评级证书（证明）不在有效期内的；</w:t>
            </w:r>
          </w:p>
          <w:p w14:paraId="04BCE6C0">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b w:val="0"/>
                <w:bCs w:val="0"/>
                <w:snapToGrid/>
                <w:color w:val="000000" w:themeColor="text1"/>
                <w:kern w:val="0"/>
                <w:sz w:val="21"/>
                <w:szCs w:val="21"/>
                <w:highlight w:val="none"/>
                <w:u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③出具机构不符合要求的。</w:t>
            </w:r>
          </w:p>
        </w:tc>
      </w:tr>
      <w:tr w14:paraId="352187B7">
        <w:tblPrEx>
          <w:tblCellMar>
            <w:top w:w="0" w:type="dxa"/>
            <w:left w:w="108" w:type="dxa"/>
            <w:bottom w:w="0" w:type="dxa"/>
            <w:right w:w="108" w:type="dxa"/>
          </w:tblCellMar>
        </w:tblPrEx>
        <w:trPr>
          <w:trHeight w:val="2540" w:hRule="atLeast"/>
          <w:jc w:val="center"/>
        </w:trPr>
        <w:tc>
          <w:tcPr>
            <w:tcW w:w="1295" w:type="dxa"/>
            <w:tcBorders>
              <w:top w:val="single" w:color="auto" w:sz="4" w:space="0"/>
              <w:left w:val="single" w:color="auto" w:sz="4" w:space="0"/>
              <w:bottom w:val="single" w:color="auto" w:sz="4" w:space="0"/>
              <w:right w:val="single" w:color="auto" w:sz="4" w:space="0"/>
            </w:tcBorders>
            <w:noWrap w:val="0"/>
            <w:vAlign w:val="center"/>
          </w:tcPr>
          <w:p w14:paraId="6116331F">
            <w:pPr>
              <w:keepNext w:val="0"/>
              <w:keepLines w:val="0"/>
              <w:pageBreakBefore w:val="0"/>
              <w:widowControl w:val="0"/>
              <w:kinsoku/>
              <w:wordWrap w:val="0"/>
              <w:overflowPunct/>
              <w:topLinePunct w:val="0"/>
              <w:autoSpaceDE/>
              <w:autoSpaceDN/>
              <w:bidi w:val="0"/>
              <w:adjustRightInd w:val="0"/>
              <w:snapToGrid w:val="0"/>
              <w:spacing w:before="0" w:beforeLines="0" w:after="0" w:afterLines="0" w:line="30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000000" w:themeColor="text1"/>
                <w:spacing w:val="0"/>
                <w:kern w:val="0"/>
                <w:sz w:val="21"/>
                <w:szCs w:val="21"/>
                <w:highlight w:val="none"/>
                <w:lang w:val="en-US" w:eastAsia="zh-CN" w:bidi="ar"/>
                <w14:textFill>
                  <w14:solidFill>
                    <w14:schemeClr w14:val="tx1"/>
                  </w14:solidFill>
                </w14:textFill>
              </w:rPr>
            </w:pPr>
            <w:r>
              <w:rPr>
                <w:rFonts w:hint="eastAsia" w:ascii="宋体" w:hAnsi="宋体" w:eastAsia="宋体" w:cs="宋体"/>
                <w:caps w:val="0"/>
                <w:smallCaps w:val="0"/>
                <w:snapToGrid w:val="0"/>
                <w:color w:val="000000" w:themeColor="text1"/>
                <w:spacing w:val="0"/>
                <w:kern w:val="0"/>
                <w:sz w:val="21"/>
                <w:szCs w:val="21"/>
                <w:highlight w:val="none"/>
                <w:lang w:val="en-US" w:eastAsia="zh-CN" w:bidi="ar"/>
                <w14:textFill>
                  <w14:solidFill>
                    <w14:schemeClr w14:val="tx1"/>
                  </w14:solidFill>
                </w14:textFill>
              </w:rPr>
              <w:t>企业管理</w:t>
            </w:r>
          </w:p>
          <w:p w14:paraId="50337FE6">
            <w:pPr>
              <w:keepNext w:val="0"/>
              <w:keepLines w:val="0"/>
              <w:pageBreakBefore w:val="0"/>
              <w:widowControl w:val="0"/>
              <w:kinsoku/>
              <w:wordWrap w:val="0"/>
              <w:overflowPunct/>
              <w:topLinePunct w:val="0"/>
              <w:autoSpaceDE/>
              <w:autoSpaceDN/>
              <w:bidi w:val="0"/>
              <w:adjustRightInd w:val="0"/>
              <w:snapToGrid w:val="0"/>
              <w:spacing w:before="0" w:beforeLines="0" w:after="0" w:afterLines="0" w:line="30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000000" w:themeColor="text1"/>
                <w:spacing w:val="0"/>
                <w:kern w:val="0"/>
                <w:sz w:val="21"/>
                <w:szCs w:val="21"/>
                <w:highlight w:val="none"/>
                <w:lang w:val="en-US" w:eastAsia="zh-CN" w:bidi="ar"/>
                <w14:textFill>
                  <w14:solidFill>
                    <w14:schemeClr w14:val="tx1"/>
                  </w14:solidFill>
                </w14:textFill>
              </w:rPr>
            </w:pPr>
            <w:r>
              <w:rPr>
                <w:rFonts w:hint="eastAsia" w:ascii="宋体" w:hAnsi="宋体" w:eastAsia="宋体" w:cs="宋体"/>
                <w:caps w:val="0"/>
                <w:smallCaps w:val="0"/>
                <w:snapToGrid w:val="0"/>
                <w:color w:val="000000" w:themeColor="text1"/>
                <w:spacing w:val="0"/>
                <w:kern w:val="0"/>
                <w:sz w:val="21"/>
                <w:szCs w:val="21"/>
                <w:highlight w:val="none"/>
                <w:lang w:val="en-US" w:eastAsia="zh-CN" w:bidi="ar"/>
                <w14:textFill>
                  <w14:solidFill>
                    <w14:schemeClr w14:val="tx1"/>
                  </w14:solidFill>
                </w14:textFill>
              </w:rPr>
              <w:t>体系认证</w:t>
            </w:r>
          </w:p>
          <w:p w14:paraId="56539F70">
            <w:pPr>
              <w:keepNext w:val="0"/>
              <w:keepLines w:val="0"/>
              <w:pageBreakBefore w:val="0"/>
              <w:widowControl w:val="0"/>
              <w:kinsoku/>
              <w:wordWrap w:val="0"/>
              <w:overflowPunct/>
              <w:topLinePunct w:val="0"/>
              <w:autoSpaceDE/>
              <w:autoSpaceDN/>
              <w:bidi w:val="0"/>
              <w:adjustRightInd w:val="0"/>
              <w:snapToGrid w:val="0"/>
              <w:spacing w:before="0" w:beforeLines="0" w:after="0" w:afterLines="0" w:line="300" w:lineRule="exact"/>
              <w:ind w:left="0" w:leftChars="0" w:right="0" w:rightChars="0" w:firstLine="0" w:firstLineChars="0"/>
              <w:jc w:val="center"/>
              <w:textAlignment w:val="auto"/>
              <w:outlineLvl w:val="9"/>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caps w:val="0"/>
                <w:smallCaps w:val="0"/>
                <w:snapToGrid w:val="0"/>
                <w:color w:val="000000" w:themeColor="text1"/>
                <w:spacing w:val="0"/>
                <w:kern w:val="0"/>
                <w:sz w:val="21"/>
                <w:szCs w:val="21"/>
                <w:highlight w:val="none"/>
                <w:lang w:val="en-US" w:eastAsia="zh-CN" w:bidi="ar"/>
                <w14:textFill>
                  <w14:solidFill>
                    <w14:schemeClr w14:val="tx1"/>
                  </w14:solidFill>
                </w14:textFill>
              </w:rPr>
              <w:t>（6分）</w:t>
            </w:r>
          </w:p>
        </w:tc>
        <w:tc>
          <w:tcPr>
            <w:tcW w:w="3822" w:type="dxa"/>
            <w:gridSpan w:val="2"/>
            <w:tcBorders>
              <w:top w:val="single" w:color="auto" w:sz="4" w:space="0"/>
              <w:left w:val="single" w:color="auto" w:sz="4" w:space="0"/>
              <w:bottom w:val="single" w:color="auto" w:sz="4" w:space="0"/>
              <w:right w:val="single" w:color="auto" w:sz="4" w:space="0"/>
            </w:tcBorders>
            <w:noWrap w:val="0"/>
            <w:vAlign w:val="center"/>
          </w:tcPr>
          <w:p w14:paraId="0A2C3AC6">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w:t>
            </w:r>
            <w:r>
              <w:rPr>
                <w:rFonts w:hint="eastAsia" w:ascii="宋体" w:hAnsi="宋体" w:eastAsia="宋体" w:cs="宋体"/>
                <w:snapToGrid w:val="0"/>
                <w:color w:val="000000" w:themeColor="text1"/>
                <w:kern w:val="0"/>
                <w:sz w:val="21"/>
                <w:szCs w:val="21"/>
                <w:highlight w:val="none"/>
                <w:lang w:eastAsia="zh-CN" w:bidi="ar"/>
                <w14:textFill>
                  <w14:solidFill>
                    <w14:schemeClr w14:val="tx1"/>
                  </w14:solidFill>
                </w14:textFill>
              </w:rPr>
              <w:t>质量管理体系认证证书、职业健康安全管理体系认证证书、环境管理体系认证证书中，每获得1项认证</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得</w:t>
            </w: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分，最高得</w:t>
            </w:r>
            <w:r>
              <w:rPr>
                <w:rFonts w:hint="eastAsia" w:ascii="宋体" w:hAnsi="宋体" w:eastAsia="宋体" w:cs="宋体"/>
                <w:bCs/>
                <w:snapToGrid w:val="0"/>
                <w:color w:val="000000" w:themeColor="text1"/>
                <w:kern w:val="0"/>
                <w:sz w:val="21"/>
                <w:szCs w:val="21"/>
                <w:highlight w:val="none"/>
                <w:lang w:val="en-US" w:eastAsia="zh-CN"/>
                <w14:textFill>
                  <w14:solidFill>
                    <w14:schemeClr w14:val="tx1"/>
                  </w14:solidFill>
                </w14:textFill>
              </w:rPr>
              <w:t>6</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分。</w:t>
            </w:r>
          </w:p>
          <w:p w14:paraId="44034E90">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2．未获得以上认证的，不予计分。</w:t>
            </w:r>
          </w:p>
          <w:p w14:paraId="7D196B2C">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3.</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本项最高得</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6</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5697" w:type="dxa"/>
            <w:tcBorders>
              <w:top w:val="single" w:color="auto" w:sz="4" w:space="0"/>
              <w:left w:val="single" w:color="auto" w:sz="4" w:space="0"/>
              <w:bottom w:val="single" w:color="auto" w:sz="4" w:space="0"/>
              <w:right w:val="single" w:color="auto" w:sz="4" w:space="0"/>
            </w:tcBorders>
            <w:noWrap w:val="0"/>
            <w:vAlign w:val="center"/>
          </w:tcPr>
          <w:p w14:paraId="2FA4FBB5">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1．需附在有效期内的认证证书彩色扫描件</w:t>
            </w:r>
            <w:r>
              <w:rPr>
                <w:rFonts w:hint="eastAsia" w:ascii="宋体" w:hAnsi="宋体" w:eastAsia="宋体" w:cs="宋体"/>
                <w:color w:val="000000" w:themeColor="text1"/>
                <w:sz w:val="22"/>
                <w:szCs w:val="22"/>
                <w:highlight w:val="none"/>
                <w:lang w:eastAsia="zh-CN"/>
                <w14:textFill>
                  <w14:solidFill>
                    <w14:schemeClr w14:val="tx1"/>
                  </w14:solidFill>
                </w14:textFill>
              </w:rPr>
              <w:t>，</w:t>
            </w:r>
            <w:r>
              <w:rPr>
                <w:rFonts w:hint="eastAsia" w:ascii="宋体" w:hAnsi="宋体" w:eastAsia="宋体" w:cs="宋体"/>
                <w:b/>
                <w:bCs/>
                <w:color w:val="000000" w:themeColor="text1"/>
                <w:sz w:val="22"/>
                <w:szCs w:val="22"/>
                <w:highlight w:val="none"/>
                <w:lang w:eastAsia="zh-CN"/>
                <w14:textFill>
                  <w14:solidFill>
                    <w14:schemeClr w14:val="tx1"/>
                  </w14:solidFill>
                </w14:textFill>
              </w:rPr>
              <w:t>同时提供原件供核对（证书为电子证书的除外）</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w:t>
            </w:r>
          </w:p>
          <w:p w14:paraId="53104D0E">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2．任一认证证书有以下情形之一的，该认证证书视为无效，不予计分：</w:t>
            </w:r>
          </w:p>
          <w:p w14:paraId="10FB50AD">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①未提供认证证书原件的；</w:t>
            </w:r>
          </w:p>
          <w:p w14:paraId="43BA601B">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b w:val="0"/>
                <w:bCs w:val="0"/>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②认证证书不在有效期内的。</w:t>
            </w:r>
          </w:p>
        </w:tc>
      </w:tr>
      <w:tr w14:paraId="3959F470">
        <w:tblPrEx>
          <w:tblCellMar>
            <w:top w:w="0" w:type="dxa"/>
            <w:left w:w="108" w:type="dxa"/>
            <w:bottom w:w="0" w:type="dxa"/>
            <w:right w:w="108" w:type="dxa"/>
          </w:tblCellMar>
        </w:tblPrEx>
        <w:trPr>
          <w:trHeight w:val="3860" w:hRule="atLeast"/>
          <w:jc w:val="center"/>
        </w:trPr>
        <w:tc>
          <w:tcPr>
            <w:tcW w:w="1295" w:type="dxa"/>
            <w:tcBorders>
              <w:top w:val="single" w:color="auto" w:sz="4" w:space="0"/>
              <w:left w:val="single" w:color="auto" w:sz="4" w:space="0"/>
              <w:bottom w:val="single" w:color="auto" w:sz="4" w:space="0"/>
              <w:right w:val="single" w:color="auto" w:sz="4" w:space="0"/>
            </w:tcBorders>
            <w:noWrap w:val="0"/>
            <w:vAlign w:val="center"/>
          </w:tcPr>
          <w:p w14:paraId="012A257D">
            <w:pPr>
              <w:keepNext w:val="0"/>
              <w:keepLines w:val="0"/>
              <w:pageBreakBefore w:val="0"/>
              <w:widowControl w:val="0"/>
              <w:kinsoku/>
              <w:wordWrap w:val="0"/>
              <w:overflowPunct/>
              <w:topLinePunct w:val="0"/>
              <w:autoSpaceDE/>
              <w:autoSpaceDN/>
              <w:bidi w:val="0"/>
              <w:adjustRightInd w:val="0"/>
              <w:snapToGrid w:val="0"/>
              <w:spacing w:after="0" w:afterLines="0" w:line="300" w:lineRule="exact"/>
              <w:ind w:firstLine="0" w:firstLineChars="0"/>
              <w:jc w:val="center"/>
              <w:textAlignment w:val="auto"/>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企业</w:t>
            </w:r>
          </w:p>
          <w:p w14:paraId="7D837E04">
            <w:pPr>
              <w:keepNext w:val="0"/>
              <w:keepLines w:val="0"/>
              <w:pageBreakBefore w:val="0"/>
              <w:widowControl w:val="0"/>
              <w:kinsoku/>
              <w:wordWrap w:val="0"/>
              <w:overflowPunct/>
              <w:topLinePunct w:val="0"/>
              <w:autoSpaceDE/>
              <w:autoSpaceDN/>
              <w:bidi w:val="0"/>
              <w:adjustRightInd w:val="0"/>
              <w:snapToGrid w:val="0"/>
              <w:spacing w:after="0" w:afterLines="0" w:line="300" w:lineRule="exact"/>
              <w:ind w:firstLine="0" w:firstLineChars="0"/>
              <w:jc w:val="center"/>
              <w:textAlignment w:val="auto"/>
              <w:rPr>
                <w:rFonts w:hint="eastAsia" w:ascii="宋体" w:hAnsi="宋体" w:eastAsia="宋体" w:cs="宋体"/>
                <w:strike/>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财务状况</w:t>
            </w:r>
          </w:p>
          <w:p w14:paraId="31C54887">
            <w:pPr>
              <w:keepNext w:val="0"/>
              <w:keepLines w:val="0"/>
              <w:pageBreakBefore w:val="0"/>
              <w:widowControl w:val="0"/>
              <w:kinsoku/>
              <w:wordWrap w:val="0"/>
              <w:overflowPunct/>
              <w:topLinePunct w:val="0"/>
              <w:autoSpaceDE/>
              <w:autoSpaceDN/>
              <w:bidi w:val="0"/>
              <w:adjustRightInd w:val="0"/>
              <w:snapToGrid w:val="0"/>
              <w:spacing w:before="0" w:beforeLines="0" w:after="0" w:afterLines="0" w:line="300" w:lineRule="exact"/>
              <w:ind w:left="0" w:leftChars="0" w:right="0" w:rightChars="0" w:firstLine="0" w:firstLineChars="0"/>
              <w:jc w:val="center"/>
              <w:textAlignment w:val="auto"/>
              <w:outlineLvl w:val="9"/>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val="en-US" w:eastAsia="zh-CN" w:bidi="ar"/>
                <w14:textFill>
                  <w14:solidFill>
                    <w14:schemeClr w14:val="tx1"/>
                  </w14:solidFill>
                </w14:textFill>
              </w:rPr>
              <w:t>（9分）</w:t>
            </w:r>
          </w:p>
        </w:tc>
        <w:tc>
          <w:tcPr>
            <w:tcW w:w="3822" w:type="dxa"/>
            <w:gridSpan w:val="2"/>
            <w:tcBorders>
              <w:top w:val="single" w:color="auto" w:sz="4" w:space="0"/>
              <w:left w:val="single" w:color="auto" w:sz="4" w:space="0"/>
              <w:bottom w:val="single" w:color="auto" w:sz="4" w:space="0"/>
              <w:right w:val="single" w:color="auto" w:sz="4" w:space="0"/>
            </w:tcBorders>
            <w:noWrap w:val="0"/>
            <w:vAlign w:val="center"/>
          </w:tcPr>
          <w:p w14:paraId="2EA059E3">
            <w:pPr>
              <w:keepNext w:val="0"/>
              <w:keepLines w:val="0"/>
              <w:pageBreakBefore w:val="0"/>
              <w:widowControl w:val="0"/>
              <w:numPr>
                <w:ilvl w:val="0"/>
                <w:numId w:val="0"/>
              </w:numPr>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1.</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提供不少于</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100</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万元银行授信证明的，得4分。</w:t>
            </w:r>
          </w:p>
          <w:p w14:paraId="1145D47F">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2．提供投标人基本账户在本项目招标公告发布之日起至投标截止时间期间出现过至少连续3日不少于</w:t>
            </w:r>
            <w:r>
              <w:rPr>
                <w:rFonts w:hint="eastAsia" w:ascii="宋体" w:hAnsi="宋体" w:eastAsia="宋体" w:cs="宋体"/>
                <w:snapToGrid w:val="0"/>
                <w:color w:val="000000" w:themeColor="text1"/>
                <w:kern w:val="0"/>
                <w:sz w:val="21"/>
                <w:szCs w:val="21"/>
                <w:highlight w:val="none"/>
                <w:u w:val="single"/>
                <w:lang w:val="en-US" w:eastAsia="zh-CN"/>
                <w14:textFill>
                  <w14:solidFill>
                    <w14:schemeClr w14:val="tx1"/>
                  </w14:solidFill>
                </w14:textFill>
              </w:rPr>
              <w:t>100</w:t>
            </w: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万元存款余额资金流水证明的，得5分。</w:t>
            </w:r>
          </w:p>
          <w:p w14:paraId="1948DF95">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3．未提供以上两项证明的，不予计分。</w:t>
            </w:r>
          </w:p>
          <w:p w14:paraId="32B85FB6">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14:textFill>
                  <w14:solidFill>
                    <w14:schemeClr w14:val="tx1"/>
                  </w14:solidFill>
                </w14:textFill>
              </w:rPr>
              <w:t>4.</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本项最高得</w:t>
            </w:r>
            <w:r>
              <w:rPr>
                <w:rFonts w:hint="eastAsia" w:ascii="宋体" w:hAnsi="宋体" w:eastAsia="宋体" w:cs="宋体"/>
                <w:b/>
                <w:bCs/>
                <w:snapToGrid w:val="0"/>
                <w:color w:val="000000" w:themeColor="text1"/>
                <w:kern w:val="0"/>
                <w:sz w:val="21"/>
                <w:szCs w:val="21"/>
                <w:highlight w:val="none"/>
                <w:lang w:val="en-US" w:eastAsia="zh-CN"/>
                <w14:textFill>
                  <w14:solidFill>
                    <w14:schemeClr w14:val="tx1"/>
                  </w14:solidFill>
                </w14:textFill>
              </w:rPr>
              <w:t>9</w:t>
            </w: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分。</w:t>
            </w:r>
          </w:p>
        </w:tc>
        <w:tc>
          <w:tcPr>
            <w:tcW w:w="5697" w:type="dxa"/>
            <w:tcBorders>
              <w:top w:val="single" w:color="auto" w:sz="4" w:space="0"/>
              <w:left w:val="single" w:color="auto" w:sz="4" w:space="0"/>
              <w:bottom w:val="single" w:color="auto" w:sz="4" w:space="0"/>
              <w:right w:val="single" w:color="auto" w:sz="4" w:space="0"/>
            </w:tcBorders>
            <w:noWrap w:val="0"/>
            <w:vAlign w:val="center"/>
          </w:tcPr>
          <w:p w14:paraId="614ABDDE">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1．需附在有效期内的有关证明扫描件。</w:t>
            </w:r>
          </w:p>
          <w:p w14:paraId="10BFA671">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2．银行授信证明有以下情形之一的，视为无效，不予计分：</w:t>
            </w:r>
          </w:p>
          <w:p w14:paraId="300E70D3">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①授信证明不在有效期内的；</w:t>
            </w:r>
          </w:p>
          <w:p w14:paraId="7D3DBC17">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②授信额度不符合要求的；</w:t>
            </w:r>
          </w:p>
          <w:p w14:paraId="5FE0E25A">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3．存款余额资金流水证明有以下情形之一的，视为无效，不予计分：</w:t>
            </w:r>
          </w:p>
          <w:p w14:paraId="0960F0A0">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①存款账户不是基本账户的；</w:t>
            </w:r>
          </w:p>
          <w:p w14:paraId="3BAA155F">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②存款时间不符合要求的；</w:t>
            </w:r>
          </w:p>
          <w:p w14:paraId="2FC1B86F">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b w:val="0"/>
                <w:bCs w:val="0"/>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③存款额度不符合要求的。</w:t>
            </w:r>
          </w:p>
        </w:tc>
      </w:tr>
      <w:tr w14:paraId="0E3EE3DE">
        <w:tblPrEx>
          <w:tblCellMar>
            <w:top w:w="0" w:type="dxa"/>
            <w:left w:w="108" w:type="dxa"/>
            <w:bottom w:w="0" w:type="dxa"/>
            <w:right w:w="108" w:type="dxa"/>
          </w:tblCellMar>
        </w:tblPrEx>
        <w:trPr>
          <w:trHeight w:val="1535" w:hRule="atLeast"/>
          <w:jc w:val="center"/>
        </w:trPr>
        <w:tc>
          <w:tcPr>
            <w:tcW w:w="1295" w:type="dxa"/>
            <w:vMerge w:val="restart"/>
            <w:tcBorders>
              <w:top w:val="single" w:color="auto" w:sz="4" w:space="0"/>
              <w:left w:val="single" w:color="auto" w:sz="4" w:space="0"/>
              <w:bottom w:val="single" w:color="auto" w:sz="4" w:space="0"/>
              <w:right w:val="single" w:color="auto" w:sz="4" w:space="0"/>
            </w:tcBorders>
            <w:noWrap w:val="0"/>
            <w:vAlign w:val="center"/>
          </w:tcPr>
          <w:p w14:paraId="47454C02">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招标人自选项</w:t>
            </w:r>
          </w:p>
          <w:p w14:paraId="74BEAB49">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val="en-US" w:eastAsia="zh-CN" w:bidi="ar-SA"/>
                <w14:textFill>
                  <w14:solidFill>
                    <w14:schemeClr w14:val="tx1"/>
                  </w14:solidFill>
                </w14:textFill>
              </w:rPr>
              <w:t>（25分）</w:t>
            </w:r>
          </w:p>
        </w:tc>
        <w:tc>
          <w:tcPr>
            <w:tcW w:w="3822" w:type="dxa"/>
            <w:gridSpan w:val="2"/>
            <w:tcBorders>
              <w:top w:val="single" w:color="auto" w:sz="4" w:space="0"/>
              <w:left w:val="single" w:color="auto" w:sz="4" w:space="0"/>
              <w:bottom w:val="single" w:color="auto" w:sz="4" w:space="0"/>
              <w:right w:val="single" w:color="auto" w:sz="4" w:space="0"/>
            </w:tcBorders>
            <w:noWrap w:val="0"/>
            <w:vAlign w:val="center"/>
          </w:tcPr>
          <w:p w14:paraId="5F7F351F">
            <w:pPr>
              <w:keepNext w:val="0"/>
              <w:keepLines w:val="0"/>
              <w:pageBreakBefore w:val="0"/>
              <w:widowControl w:val="0"/>
              <w:numPr>
                <w:ilvl w:val="0"/>
                <w:numId w:val="0"/>
              </w:numPr>
              <w:kinsoku/>
              <w:overflowPunct/>
              <w:topLinePunct w:val="0"/>
              <w:autoSpaceDE/>
              <w:autoSpaceDN/>
              <w:bidi w:val="0"/>
              <w:spacing w:after="120" w:afterLines="0" w:line="400" w:lineRule="exact"/>
              <w:ind w:left="0" w:leftChars="0" w:firstLine="0" w:firstLineChars="0"/>
              <w:jc w:val="both"/>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aps w:val="0"/>
                <w:smallCaps w:val="0"/>
                <w:snapToGrid w:val="0"/>
                <w:color w:val="000000" w:themeColor="text1"/>
                <w:spacing w:val="0"/>
                <w:kern w:val="0"/>
                <w:sz w:val="21"/>
                <w:szCs w:val="21"/>
                <w:highlight w:val="none"/>
                <w:lang w:val="en-US" w:eastAsia="zh-CN" w:bidi="ar-SA"/>
                <w14:textFill>
                  <w14:solidFill>
                    <w14:schemeClr w14:val="tx1"/>
                  </w14:solidFill>
                </w14:textFill>
              </w:rPr>
              <w:t>企业获得过高新技术企业证书且证书在有效期内的，得5分。</w:t>
            </w:r>
          </w:p>
        </w:tc>
        <w:tc>
          <w:tcPr>
            <w:tcW w:w="5697" w:type="dxa"/>
            <w:tcBorders>
              <w:top w:val="single" w:color="auto" w:sz="4" w:space="0"/>
              <w:left w:val="single" w:color="auto" w:sz="4" w:space="0"/>
              <w:bottom w:val="single" w:color="auto" w:sz="4" w:space="0"/>
              <w:right w:val="single" w:color="auto" w:sz="4" w:space="0"/>
            </w:tcBorders>
            <w:noWrap w:val="0"/>
            <w:vAlign w:val="center"/>
          </w:tcPr>
          <w:p w14:paraId="230F1467">
            <w:pPr>
              <w:keepNext w:val="0"/>
              <w:keepLines w:val="0"/>
              <w:pageBreakBefore w:val="0"/>
              <w:widowControl/>
              <w:suppressLineNumbers w:val="0"/>
              <w:kinsoku/>
              <w:overflowPunct/>
              <w:topLinePunct w:val="0"/>
              <w:autoSpaceDE/>
              <w:autoSpaceDN/>
              <w:bidi w:val="0"/>
              <w:adjustRightInd/>
              <w:snapToGrid/>
              <w:spacing w:line="360" w:lineRule="exact"/>
              <w:jc w:val="left"/>
              <w:textAlignment w:val="auto"/>
              <w:rPr>
                <w:rFonts w:hint="eastAsia" w:ascii="宋体" w:hAnsi="宋体" w:eastAsia="宋体" w:cs="宋体"/>
                <w:caps w:val="0"/>
                <w:smallCaps w:val="0"/>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caps w:val="0"/>
                <w:smallCaps w:val="0"/>
                <w:snapToGrid w:val="0"/>
                <w:color w:val="000000" w:themeColor="text1"/>
                <w:spacing w:val="0"/>
                <w:kern w:val="0"/>
                <w:sz w:val="21"/>
                <w:szCs w:val="21"/>
                <w:highlight w:val="none"/>
                <w:lang w:val="en-US" w:eastAsia="zh-CN" w:bidi="ar-SA"/>
                <w14:textFill>
                  <w14:solidFill>
                    <w14:schemeClr w14:val="tx1"/>
                  </w14:solidFill>
                </w14:textFill>
              </w:rPr>
              <w:t>提供高新技术企业证书彩色扫描件或打印件，</w:t>
            </w:r>
            <w:r>
              <w:rPr>
                <w:rFonts w:hint="eastAsia" w:ascii="宋体" w:hAnsi="宋体" w:eastAsia="宋体" w:cs="宋体"/>
                <w:b/>
                <w:bCs/>
                <w:caps w:val="0"/>
                <w:smallCaps w:val="0"/>
                <w:snapToGrid w:val="0"/>
                <w:color w:val="000000" w:themeColor="text1"/>
                <w:spacing w:val="0"/>
                <w:kern w:val="0"/>
                <w:sz w:val="21"/>
                <w:szCs w:val="21"/>
                <w:highlight w:val="none"/>
                <w:lang w:val="en-US" w:eastAsia="zh-CN" w:bidi="ar-SA"/>
                <w14:textFill>
                  <w14:solidFill>
                    <w14:schemeClr w14:val="tx1"/>
                  </w14:solidFill>
                </w14:textFill>
              </w:rPr>
              <w:t>提供原件供核对（证书为电子证书的除外）</w:t>
            </w:r>
            <w:r>
              <w:rPr>
                <w:rFonts w:hint="eastAsia" w:ascii="宋体" w:hAnsi="宋体" w:eastAsia="宋体" w:cs="宋体"/>
                <w:caps w:val="0"/>
                <w:smallCaps w:val="0"/>
                <w:snapToGrid w:val="0"/>
                <w:color w:val="000000" w:themeColor="text1"/>
                <w:spacing w:val="0"/>
                <w:kern w:val="0"/>
                <w:sz w:val="21"/>
                <w:szCs w:val="21"/>
                <w:highlight w:val="none"/>
                <w:lang w:val="en-US" w:eastAsia="zh-CN" w:bidi="ar-SA"/>
                <w14:textFill>
                  <w14:solidFill>
                    <w14:schemeClr w14:val="tx1"/>
                  </w14:solidFill>
                </w14:textFill>
              </w:rPr>
              <w:t>，提供网上查询截图。</w:t>
            </w:r>
          </w:p>
          <w:p w14:paraId="3F6B6C8E">
            <w:pPr>
              <w:keepNext w:val="0"/>
              <w:keepLines w:val="0"/>
              <w:pageBreakBefore w:val="0"/>
              <w:widowControl/>
              <w:suppressLineNumbers w:val="0"/>
              <w:kinsoku/>
              <w:overflowPunct/>
              <w:topLinePunct w:val="0"/>
              <w:autoSpaceDE/>
              <w:autoSpaceDN/>
              <w:bidi w:val="0"/>
              <w:adjustRightInd/>
              <w:snapToGrid/>
              <w:spacing w:line="360" w:lineRule="exact"/>
              <w:jc w:val="left"/>
              <w:textAlignment w:val="auto"/>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bCs/>
                <w:caps w:val="0"/>
                <w:smallCaps w:val="0"/>
                <w:snapToGrid w:val="0"/>
                <w:color w:val="000000" w:themeColor="text1"/>
                <w:spacing w:val="0"/>
                <w:kern w:val="0"/>
                <w:sz w:val="21"/>
                <w:szCs w:val="21"/>
                <w:highlight w:val="none"/>
                <w:lang w:val="en-US" w:eastAsia="zh-CN" w:bidi="ar-SA"/>
                <w14:textFill>
                  <w14:solidFill>
                    <w14:schemeClr w14:val="tx1"/>
                  </w14:solidFill>
                </w14:textFill>
              </w:rPr>
              <w:t>备注:高新企业证书3年有效，非有效期内证书经查询会显示失效。</w:t>
            </w:r>
          </w:p>
        </w:tc>
      </w:tr>
      <w:tr w14:paraId="53CAB344">
        <w:tblPrEx>
          <w:tblCellMar>
            <w:top w:w="0" w:type="dxa"/>
            <w:left w:w="108" w:type="dxa"/>
            <w:bottom w:w="0" w:type="dxa"/>
            <w:right w:w="108" w:type="dxa"/>
          </w:tblCellMar>
        </w:tblPrEx>
        <w:trPr>
          <w:trHeight w:val="2680" w:hRule="atLeast"/>
          <w:jc w:val="center"/>
        </w:trPr>
        <w:tc>
          <w:tcPr>
            <w:tcW w:w="1295" w:type="dxa"/>
            <w:vMerge w:val="continue"/>
            <w:tcBorders>
              <w:top w:val="single" w:color="auto" w:sz="4" w:space="0"/>
              <w:left w:val="single" w:color="auto" w:sz="4" w:space="0"/>
              <w:bottom w:val="single" w:color="auto" w:sz="4" w:space="0"/>
              <w:right w:val="single" w:color="auto" w:sz="4" w:space="0"/>
            </w:tcBorders>
            <w:noWrap w:val="0"/>
            <w:vAlign w:val="center"/>
          </w:tcPr>
          <w:p w14:paraId="7C1B8C50">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p>
        </w:tc>
        <w:tc>
          <w:tcPr>
            <w:tcW w:w="3822" w:type="dxa"/>
            <w:gridSpan w:val="2"/>
            <w:tcBorders>
              <w:top w:val="single" w:color="auto" w:sz="4" w:space="0"/>
              <w:left w:val="single" w:color="auto" w:sz="4" w:space="0"/>
              <w:bottom w:val="single" w:color="auto" w:sz="4" w:space="0"/>
              <w:right w:val="single" w:color="auto" w:sz="4" w:space="0"/>
            </w:tcBorders>
            <w:noWrap w:val="0"/>
            <w:vAlign w:val="center"/>
          </w:tcPr>
          <w:p w14:paraId="3731E48B">
            <w:pPr>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400" w:lineRule="exact"/>
              <w:ind w:left="0" w:leftChars="0" w:firstLine="0" w:firstLineChars="0"/>
              <w:jc w:val="both"/>
              <w:textAlignment w:val="auto"/>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1.企业近5年来（2021年1月1日至今）获得过中国建筑业协会中小企业与供应链分会颁发的AAA级企业信用等级证书的，得2分，连续获得2年或以上的，得5分，</w:t>
            </w: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本小项最高得5分</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t>
            </w:r>
          </w:p>
          <w:p w14:paraId="00C43B30">
            <w:pPr>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400" w:lineRule="exact"/>
              <w:ind w:left="0" w:leftChars="0" w:firstLine="0" w:firstLineChars="0"/>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2.其他情形的，不予计分。</w:t>
            </w:r>
          </w:p>
        </w:tc>
        <w:tc>
          <w:tcPr>
            <w:tcW w:w="5697" w:type="dxa"/>
            <w:tcBorders>
              <w:top w:val="single" w:color="auto" w:sz="4" w:space="0"/>
              <w:left w:val="single" w:color="auto" w:sz="4" w:space="0"/>
              <w:bottom w:val="single" w:color="auto" w:sz="4" w:space="0"/>
              <w:right w:val="single" w:color="auto" w:sz="4" w:space="0"/>
            </w:tcBorders>
            <w:noWrap w:val="0"/>
            <w:vAlign w:val="center"/>
          </w:tcPr>
          <w:p w14:paraId="1445D857">
            <w:pPr>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360" w:lineRule="exact"/>
              <w:ind w:left="0" w:leftChars="0" w:firstLine="0" w:firstLineChars="0"/>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1.证书由“中国建筑业协会中小企业与供应链分会”颁发，须提供有关证书彩色扫描件，</w:t>
            </w:r>
            <w:r>
              <w:rPr>
                <w:rFonts w:hint="eastAsia" w:ascii="宋体" w:hAnsi="宋体" w:eastAsia="宋体" w:cs="宋体"/>
                <w:b/>
                <w:bCs/>
                <w:color w:val="000000" w:themeColor="text1"/>
                <w:sz w:val="22"/>
                <w:szCs w:val="22"/>
                <w:highlight w:val="none"/>
                <w:lang w:eastAsia="zh-CN"/>
                <w14:textFill>
                  <w14:solidFill>
                    <w14:schemeClr w14:val="tx1"/>
                  </w14:solidFill>
                </w14:textFill>
              </w:rPr>
              <w:t>同时提供原件供核对</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t>
            </w:r>
          </w:p>
          <w:p w14:paraId="364A9AFA">
            <w:pPr>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360" w:lineRule="exact"/>
              <w:ind w:left="0" w:leftChars="0" w:firstLine="0" w:firstLineChars="0"/>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2.获取时间以证书日期为准。</w:t>
            </w:r>
          </w:p>
          <w:p w14:paraId="60AE1F37">
            <w:pPr>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360" w:lineRule="exact"/>
              <w:ind w:left="0" w:leftChars="0" w:firstLine="0" w:firstLineChars="0"/>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3.未提供原件的，获取时间，颁发机构不符合要求的，按第2项标准处理。</w:t>
            </w:r>
          </w:p>
        </w:tc>
      </w:tr>
      <w:tr w14:paraId="29F7B6E5">
        <w:tblPrEx>
          <w:tblCellMar>
            <w:top w:w="0" w:type="dxa"/>
            <w:left w:w="108" w:type="dxa"/>
            <w:bottom w:w="0" w:type="dxa"/>
            <w:right w:w="108" w:type="dxa"/>
          </w:tblCellMar>
        </w:tblPrEx>
        <w:trPr>
          <w:trHeight w:val="2455" w:hRule="atLeast"/>
          <w:jc w:val="center"/>
        </w:trPr>
        <w:tc>
          <w:tcPr>
            <w:tcW w:w="1295" w:type="dxa"/>
            <w:vMerge w:val="continue"/>
            <w:tcBorders>
              <w:top w:val="single" w:color="auto" w:sz="4" w:space="0"/>
              <w:left w:val="single" w:color="auto" w:sz="4" w:space="0"/>
              <w:bottom w:val="single" w:color="auto" w:sz="4" w:space="0"/>
              <w:right w:val="single" w:color="auto" w:sz="4" w:space="0"/>
            </w:tcBorders>
            <w:noWrap w:val="0"/>
            <w:vAlign w:val="center"/>
          </w:tcPr>
          <w:p w14:paraId="6179E035">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p>
        </w:tc>
        <w:tc>
          <w:tcPr>
            <w:tcW w:w="3822" w:type="dxa"/>
            <w:gridSpan w:val="2"/>
            <w:tcBorders>
              <w:top w:val="single" w:color="auto" w:sz="4" w:space="0"/>
              <w:left w:val="single" w:color="auto" w:sz="4" w:space="0"/>
              <w:bottom w:val="single" w:color="auto" w:sz="4" w:space="0"/>
              <w:right w:val="single" w:color="auto" w:sz="4" w:space="0"/>
            </w:tcBorders>
            <w:noWrap w:val="0"/>
            <w:vAlign w:val="center"/>
          </w:tcPr>
          <w:p w14:paraId="1D24BC4F">
            <w:pPr>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400" w:lineRule="exact"/>
              <w:ind w:left="0" w:leftChars="0" w:firstLine="0" w:firstLineChars="0"/>
              <w:jc w:val="both"/>
              <w:textAlignment w:val="auto"/>
              <w:rPr>
                <w:rFonts w:hint="default"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1.企业近5年来（2021年1月1日至今）获得过省级或以上商业联合会颁发的诚信兴商证书的，得2分，连续获得2年或以上的，得5分，</w:t>
            </w:r>
            <w:r>
              <w:rPr>
                <w:rFonts w:hint="eastAsia" w:ascii="宋体" w:hAnsi="宋体" w:eastAsia="宋体" w:cs="宋体"/>
                <w:b/>
                <w:bCs/>
                <w:snapToGrid w:val="0"/>
                <w:color w:val="000000" w:themeColor="text1"/>
                <w:kern w:val="0"/>
                <w:sz w:val="21"/>
                <w:szCs w:val="21"/>
                <w:highlight w:val="none"/>
                <w:lang w:val="en-US" w:eastAsia="zh-CN" w:bidi="ar-SA"/>
                <w14:textFill>
                  <w14:solidFill>
                    <w14:schemeClr w14:val="tx1"/>
                  </w14:solidFill>
                </w14:textFill>
              </w:rPr>
              <w:t>本小项最高得5分</w:t>
            </w: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w:t>
            </w:r>
          </w:p>
          <w:p w14:paraId="19132083">
            <w:pPr>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400" w:lineRule="exact"/>
              <w:ind w:left="0" w:leftChars="0" w:firstLine="0" w:firstLineChars="0"/>
              <w:jc w:val="both"/>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2.其他情形的，不予计分。</w:t>
            </w:r>
          </w:p>
        </w:tc>
        <w:tc>
          <w:tcPr>
            <w:tcW w:w="5697" w:type="dxa"/>
            <w:tcBorders>
              <w:top w:val="single" w:color="auto" w:sz="4" w:space="0"/>
              <w:left w:val="single" w:color="auto" w:sz="4" w:space="0"/>
              <w:bottom w:val="single" w:color="auto" w:sz="4" w:space="0"/>
              <w:right w:val="single" w:color="auto" w:sz="4" w:space="0"/>
            </w:tcBorders>
            <w:noWrap w:val="0"/>
            <w:vAlign w:val="center"/>
          </w:tcPr>
          <w:p w14:paraId="00227ECB">
            <w:pPr>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360" w:lineRule="exact"/>
              <w:ind w:left="0" w:leftChars="0" w:firstLine="0" w:firstLineChars="0"/>
              <w:jc w:val="both"/>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1.证书由省级或以上商业联合会</w:t>
            </w: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（需经民政部门备案)</w:t>
            </w: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颁发，须提供有关证书彩色扫描件，</w:t>
            </w:r>
            <w:r>
              <w:rPr>
                <w:rFonts w:hint="eastAsia" w:ascii="宋体" w:hAnsi="宋体" w:eastAsia="宋体" w:cs="宋体"/>
                <w:b/>
                <w:bCs/>
                <w:color w:val="000000" w:themeColor="text1"/>
                <w:sz w:val="22"/>
                <w:szCs w:val="22"/>
                <w:highlight w:val="none"/>
                <w:lang w:eastAsia="zh-CN"/>
                <w14:textFill>
                  <w14:solidFill>
                    <w14:schemeClr w14:val="tx1"/>
                  </w14:solidFill>
                </w14:textFill>
              </w:rPr>
              <w:t>同时提供原件供核对</w:t>
            </w: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w:t>
            </w:r>
          </w:p>
          <w:p w14:paraId="0EB81D8A">
            <w:pPr>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360" w:lineRule="exact"/>
              <w:ind w:left="0" w:leftChars="0" w:firstLine="0" w:firstLineChars="0"/>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获取时间以证书日期为准。</w:t>
            </w:r>
          </w:p>
          <w:p w14:paraId="00A2DD53">
            <w:pPr>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360" w:lineRule="exact"/>
              <w:ind w:left="0" w:leftChars="0" w:firstLine="0" w:firstLineChars="0"/>
              <w:jc w:val="both"/>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3.未提供原件的，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获取时间，</w:t>
            </w: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颁发机构不符合要求的，按第2项标准处理。</w:t>
            </w:r>
          </w:p>
        </w:tc>
      </w:tr>
      <w:tr w14:paraId="5660B26A">
        <w:tblPrEx>
          <w:tblCellMar>
            <w:top w:w="0" w:type="dxa"/>
            <w:left w:w="108" w:type="dxa"/>
            <w:bottom w:w="0" w:type="dxa"/>
            <w:right w:w="108" w:type="dxa"/>
          </w:tblCellMar>
        </w:tblPrEx>
        <w:trPr>
          <w:trHeight w:val="2900" w:hRule="atLeast"/>
          <w:jc w:val="center"/>
        </w:trPr>
        <w:tc>
          <w:tcPr>
            <w:tcW w:w="1295" w:type="dxa"/>
            <w:vMerge w:val="continue"/>
            <w:tcBorders>
              <w:top w:val="single" w:color="auto" w:sz="4" w:space="0"/>
              <w:left w:val="single" w:color="auto" w:sz="4" w:space="0"/>
              <w:bottom w:val="single" w:color="auto" w:sz="4" w:space="0"/>
              <w:right w:val="single" w:color="auto" w:sz="4" w:space="0"/>
            </w:tcBorders>
            <w:noWrap w:val="0"/>
            <w:vAlign w:val="center"/>
          </w:tcPr>
          <w:p w14:paraId="17EC6BE9">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p>
        </w:tc>
        <w:tc>
          <w:tcPr>
            <w:tcW w:w="3822" w:type="dxa"/>
            <w:gridSpan w:val="2"/>
            <w:tcBorders>
              <w:top w:val="single" w:color="auto" w:sz="4" w:space="0"/>
              <w:left w:val="single" w:color="auto" w:sz="4" w:space="0"/>
              <w:bottom w:val="single" w:color="auto" w:sz="4" w:space="0"/>
              <w:right w:val="single" w:color="auto" w:sz="4" w:space="0"/>
            </w:tcBorders>
            <w:noWrap w:val="0"/>
            <w:vAlign w:val="center"/>
          </w:tcPr>
          <w:p w14:paraId="0341806B">
            <w:pPr>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400" w:lineRule="exact"/>
              <w:ind w:left="0" w:leftChars="0" w:firstLine="0" w:firstLineChars="0"/>
              <w:jc w:val="both"/>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1.企业近5年来（2021年1月1日至今）获得过国级“AAA级信用企业”称号的，得5分。</w:t>
            </w:r>
          </w:p>
          <w:p w14:paraId="7CDE915C">
            <w:pPr>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400" w:lineRule="exact"/>
              <w:ind w:left="0" w:leftChars="0" w:firstLine="0" w:firstLineChars="0"/>
              <w:jc w:val="both"/>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2.企业近5年来（2021年1月1日至今）获得过省级“AAA级信用企业”称号的，得2.5分。</w:t>
            </w:r>
          </w:p>
          <w:p w14:paraId="797CC71D">
            <w:pPr>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400" w:lineRule="exact"/>
              <w:ind w:left="0" w:leftChars="0" w:firstLine="0" w:firstLineChars="0"/>
              <w:jc w:val="both"/>
              <w:textAlignment w:val="auto"/>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3.</w:t>
            </w:r>
            <w:r>
              <w:rPr>
                <w:rFonts w:hint="eastAsia" w:ascii="宋体" w:hAnsi="宋体" w:eastAsia="宋体" w:cs="宋体"/>
                <w:b/>
                <w:bCs/>
                <w:snapToGrid w:val="0"/>
                <w:color w:val="000000" w:themeColor="text1"/>
                <w:kern w:val="0"/>
                <w:sz w:val="21"/>
                <w:szCs w:val="21"/>
                <w:highlight w:val="none"/>
                <w:lang w:val="en-US" w:eastAsia="zh-CN" w:bidi="ar-SA"/>
                <w14:textFill>
                  <w14:solidFill>
                    <w14:schemeClr w14:val="tx1"/>
                  </w14:solidFill>
                </w14:textFill>
              </w:rPr>
              <w:t>本小项最高得5分。</w:t>
            </w:r>
          </w:p>
        </w:tc>
        <w:tc>
          <w:tcPr>
            <w:tcW w:w="5697" w:type="dxa"/>
            <w:tcBorders>
              <w:top w:val="single" w:color="auto" w:sz="4" w:space="0"/>
              <w:left w:val="single" w:color="auto" w:sz="4" w:space="0"/>
              <w:bottom w:val="single" w:color="auto" w:sz="4" w:space="0"/>
              <w:right w:val="single" w:color="auto" w:sz="4" w:space="0"/>
            </w:tcBorders>
            <w:noWrap w:val="0"/>
            <w:vAlign w:val="center"/>
          </w:tcPr>
          <w:p w14:paraId="233EC275">
            <w:pPr>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360" w:lineRule="exact"/>
              <w:ind w:left="0" w:leftChars="0" w:firstLine="0" w:firstLineChars="0"/>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1、需附相关证书彩色扫描件，</w:t>
            </w:r>
            <w:r>
              <w:rPr>
                <w:rFonts w:hint="eastAsia" w:ascii="宋体" w:hAnsi="宋体" w:eastAsia="宋体" w:cs="宋体"/>
                <w:b/>
                <w:bCs/>
                <w:color w:val="000000" w:themeColor="text1"/>
                <w:sz w:val="22"/>
                <w:szCs w:val="22"/>
                <w:highlight w:val="none"/>
                <w:lang w:eastAsia="zh-CN"/>
                <w14:textFill>
                  <w14:solidFill>
                    <w14:schemeClr w14:val="tx1"/>
                  </w14:solidFill>
                </w14:textFill>
              </w:rPr>
              <w:t>同时提供原件供核对</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t>
            </w:r>
          </w:p>
          <w:p w14:paraId="4097CFC8">
            <w:pPr>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360" w:lineRule="exact"/>
              <w:ind w:left="0" w:leftChars="0" w:firstLine="0" w:firstLineChars="0"/>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2.证书须由国级/省级企业联合会和企业家协会</w:t>
            </w: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（需经民政部门备案)</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同时颁发。</w:t>
            </w:r>
          </w:p>
          <w:p w14:paraId="1107DB60">
            <w:pPr>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360" w:lineRule="exact"/>
              <w:ind w:left="0" w:leftChars="0" w:firstLine="0" w:firstLineChars="0"/>
              <w:jc w:val="both"/>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3.未提供原件的，颁发机构、获奖时间不符合评分标准和备注规定的，不予得分。</w:t>
            </w:r>
          </w:p>
        </w:tc>
      </w:tr>
      <w:tr w14:paraId="0F27B07D">
        <w:tblPrEx>
          <w:tblCellMar>
            <w:top w:w="0" w:type="dxa"/>
            <w:left w:w="108" w:type="dxa"/>
            <w:bottom w:w="0" w:type="dxa"/>
            <w:right w:w="108" w:type="dxa"/>
          </w:tblCellMar>
        </w:tblPrEx>
        <w:trPr>
          <w:trHeight w:val="2235" w:hRule="atLeast"/>
          <w:jc w:val="center"/>
        </w:trPr>
        <w:tc>
          <w:tcPr>
            <w:tcW w:w="1295" w:type="dxa"/>
            <w:vMerge w:val="continue"/>
            <w:tcBorders>
              <w:top w:val="single" w:color="auto" w:sz="4" w:space="0"/>
              <w:left w:val="single" w:color="auto" w:sz="4" w:space="0"/>
              <w:right w:val="single" w:color="auto" w:sz="4" w:space="0"/>
            </w:tcBorders>
            <w:noWrap w:val="0"/>
            <w:vAlign w:val="center"/>
          </w:tcPr>
          <w:p w14:paraId="4DF612D7">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p>
        </w:tc>
        <w:tc>
          <w:tcPr>
            <w:tcW w:w="3822" w:type="dxa"/>
            <w:gridSpan w:val="2"/>
            <w:tcBorders>
              <w:top w:val="single" w:color="auto" w:sz="4" w:space="0"/>
              <w:left w:val="single" w:color="auto" w:sz="4" w:space="0"/>
              <w:bottom w:val="single" w:color="auto" w:sz="4" w:space="0"/>
              <w:right w:val="single" w:color="auto" w:sz="4" w:space="0"/>
            </w:tcBorders>
            <w:noWrap w:val="0"/>
            <w:vAlign w:val="center"/>
          </w:tcPr>
          <w:p w14:paraId="4F4C7DD6">
            <w:pPr>
              <w:pStyle w:val="6"/>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企业近5年来（2021年度至2025年度）获得过纳税信用A级纳税人的，得2分，每增加1年加1分，</w:t>
            </w:r>
            <w:r>
              <w:rPr>
                <w:rFonts w:hint="eastAsia" w:ascii="宋体" w:hAnsi="宋体" w:eastAsia="宋体" w:cs="宋体"/>
                <w:b/>
                <w:bCs/>
                <w:snapToGrid w:val="0"/>
                <w:color w:val="000000" w:themeColor="text1"/>
                <w:kern w:val="0"/>
                <w:sz w:val="21"/>
                <w:szCs w:val="21"/>
                <w:highlight w:val="none"/>
                <w:lang w:val="en-US" w:eastAsia="zh-CN" w:bidi="ar-SA"/>
                <w14:textFill>
                  <w14:solidFill>
                    <w14:schemeClr w14:val="tx1"/>
                  </w14:solidFill>
                </w14:textFill>
              </w:rPr>
              <w:t>本小项最高得5分</w:t>
            </w: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w:t>
            </w:r>
          </w:p>
        </w:tc>
        <w:tc>
          <w:tcPr>
            <w:tcW w:w="5697" w:type="dxa"/>
            <w:tcBorders>
              <w:top w:val="single" w:color="auto" w:sz="4" w:space="0"/>
              <w:left w:val="single" w:color="auto" w:sz="4" w:space="0"/>
              <w:bottom w:val="single" w:color="auto" w:sz="4" w:space="0"/>
              <w:right w:val="single" w:color="auto" w:sz="4" w:space="0"/>
            </w:tcBorders>
            <w:noWrap w:val="0"/>
            <w:vAlign w:val="center"/>
          </w:tcPr>
          <w:p w14:paraId="47D83DE5">
            <w:pPr>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360" w:lineRule="exact"/>
              <w:ind w:left="0" w:leftChars="0" w:firstLine="0" w:firstLineChars="0"/>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1.必须提供企业纳税信用A级纳税人证明材料（或证书）彩色扫描件及国家税务总局（或省级电子税务局）网上查询截图打印件，否则不得分。</w:t>
            </w:r>
          </w:p>
          <w:p w14:paraId="165E9DDE">
            <w:pPr>
              <w:keepNext w:val="0"/>
              <w:keepLines w:val="0"/>
              <w:pageBreakBefore w:val="0"/>
              <w:widowControl w:val="0"/>
              <w:numPr>
                <w:ilvl w:val="0"/>
                <w:numId w:val="0"/>
              </w:numPr>
              <w:kinsoku/>
              <w:wordWrap w:val="0"/>
              <w:overflowPunct/>
              <w:topLinePunct w:val="0"/>
              <w:autoSpaceDE/>
              <w:autoSpaceDN/>
              <w:bidi w:val="0"/>
              <w:adjustRightInd w:val="0"/>
              <w:snapToGrid w:val="0"/>
              <w:spacing w:after="0" w:afterLines="0" w:line="360" w:lineRule="exact"/>
              <w:ind w:left="0" w:leftChars="0" w:firstLine="0" w:firstLineChars="0"/>
              <w:jc w:val="both"/>
              <w:textAlignment w:val="auto"/>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2.只计算投标人自身（不计算投标人的分公司、子公司及分支机构）</w:t>
            </w:r>
          </w:p>
        </w:tc>
      </w:tr>
      <w:tr w14:paraId="1536B5BF">
        <w:tblPrEx>
          <w:tblCellMar>
            <w:top w:w="0" w:type="dxa"/>
            <w:left w:w="108" w:type="dxa"/>
            <w:bottom w:w="0" w:type="dxa"/>
            <w:right w:w="108" w:type="dxa"/>
          </w:tblCellMar>
        </w:tblPrEx>
        <w:trPr>
          <w:trHeight w:val="800" w:hRule="exact"/>
          <w:jc w:val="center"/>
        </w:trPr>
        <w:tc>
          <w:tcPr>
            <w:tcW w:w="10814" w:type="dxa"/>
            <w:gridSpan w:val="4"/>
            <w:tcBorders>
              <w:top w:val="single" w:color="auto" w:sz="4" w:space="0"/>
              <w:left w:val="single" w:color="auto" w:sz="4" w:space="0"/>
              <w:bottom w:val="single" w:color="auto" w:sz="4" w:space="0"/>
              <w:right w:val="single" w:color="auto" w:sz="4" w:space="0"/>
            </w:tcBorders>
            <w:shd w:val="clear" w:color="auto" w:fill="D9D9D9"/>
            <w:noWrap w:val="0"/>
            <w:vAlign w:val="center"/>
          </w:tcPr>
          <w:p w14:paraId="74D29BC0">
            <w:pPr>
              <w:keepNext w:val="0"/>
              <w:keepLines w:val="0"/>
              <w:pageBreakBefore w:val="0"/>
              <w:widowControl w:val="0"/>
              <w:suppressLineNumbers w:val="0"/>
              <w:kinsoku/>
              <w:overflowPunct/>
              <w:topLinePunct w:val="0"/>
              <w:autoSpaceDE/>
              <w:autoSpaceDN/>
              <w:bidi w:val="0"/>
              <w:adjustRightInd w:val="0"/>
              <w:snapToGrid/>
              <w:spacing w:before="0" w:beforeAutospacing="0" w:afterAutospacing="0" w:line="360" w:lineRule="exact"/>
              <w:ind w:left="0" w:right="0"/>
              <w:jc w:val="left"/>
              <w:textAlignment w:val="baseline"/>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snapToGrid/>
                <w:color w:val="000000" w:themeColor="text1"/>
                <w:kern w:val="0"/>
                <w:sz w:val="21"/>
                <w:szCs w:val="21"/>
                <w:highlight w:val="none"/>
                <w:lang w:val="en-US" w:eastAsia="zh-CN" w:bidi="ar-SA"/>
                <w14:textFill>
                  <w14:solidFill>
                    <w14:schemeClr w14:val="tx1"/>
                  </w14:solidFill>
                </w14:textFill>
              </w:rPr>
              <w:t>技术部分（施工组织设计），满分：20分。</w:t>
            </w:r>
          </w:p>
        </w:tc>
      </w:tr>
      <w:tr w14:paraId="023CED60">
        <w:tblPrEx>
          <w:tblCellMar>
            <w:top w:w="0" w:type="dxa"/>
            <w:left w:w="108" w:type="dxa"/>
            <w:bottom w:w="0" w:type="dxa"/>
            <w:right w:w="108" w:type="dxa"/>
          </w:tblCellMar>
        </w:tblPrEx>
        <w:trPr>
          <w:trHeight w:val="758" w:hRule="exact"/>
          <w:jc w:val="center"/>
        </w:trPr>
        <w:tc>
          <w:tcPr>
            <w:tcW w:w="1295" w:type="dxa"/>
            <w:tcBorders>
              <w:top w:val="single" w:color="auto" w:sz="4" w:space="0"/>
              <w:left w:val="single" w:color="auto" w:sz="4" w:space="0"/>
              <w:bottom w:val="single" w:color="auto" w:sz="4" w:space="0"/>
              <w:right w:val="single" w:color="auto" w:sz="4" w:space="0"/>
            </w:tcBorders>
            <w:noWrap w:val="0"/>
            <w:vAlign w:val="center"/>
          </w:tcPr>
          <w:p w14:paraId="60DEF6A0">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Autospacing="0" w:line="360" w:lineRule="exact"/>
              <w:ind w:left="0" w:right="0"/>
              <w:jc w:val="center"/>
              <w:textAlignment w:val="auto"/>
              <w:rPr>
                <w:rFonts w:hint="eastAsia" w:ascii="宋体" w:hAnsi="宋体" w:eastAsia="宋体" w:cs="宋体"/>
                <w:snapToGrid/>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评分因素</w:t>
            </w:r>
          </w:p>
        </w:tc>
        <w:tc>
          <w:tcPr>
            <w:tcW w:w="3285" w:type="dxa"/>
            <w:tcBorders>
              <w:top w:val="single" w:color="auto" w:sz="4" w:space="0"/>
              <w:left w:val="single" w:color="auto" w:sz="4" w:space="0"/>
              <w:bottom w:val="single" w:color="auto" w:sz="4" w:space="0"/>
              <w:right w:val="single" w:color="auto" w:sz="4" w:space="0"/>
            </w:tcBorders>
            <w:noWrap w:val="0"/>
            <w:vAlign w:val="center"/>
          </w:tcPr>
          <w:p w14:paraId="51DC8380">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Autospacing="0" w:line="360" w:lineRule="exact"/>
              <w:ind w:left="0" w:right="0"/>
              <w:jc w:val="center"/>
              <w:textAlignment w:val="auto"/>
              <w:rPr>
                <w:rFonts w:hint="eastAsia" w:ascii="宋体" w:hAnsi="宋体" w:eastAsia="宋体" w:cs="宋体"/>
                <w:snapToGrid/>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评分标准</w:t>
            </w:r>
          </w:p>
        </w:tc>
        <w:tc>
          <w:tcPr>
            <w:tcW w:w="6234" w:type="dxa"/>
            <w:gridSpan w:val="2"/>
            <w:tcBorders>
              <w:top w:val="single" w:color="auto" w:sz="4" w:space="0"/>
              <w:left w:val="single" w:color="auto" w:sz="4" w:space="0"/>
              <w:bottom w:val="single" w:color="auto" w:sz="4" w:space="0"/>
              <w:right w:val="single" w:color="auto" w:sz="4" w:space="0"/>
            </w:tcBorders>
            <w:noWrap w:val="0"/>
            <w:vAlign w:val="center"/>
          </w:tcPr>
          <w:p w14:paraId="13E5154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Autospacing="0" w:line="360" w:lineRule="exact"/>
              <w:ind w:left="0" w:right="0"/>
              <w:jc w:val="center"/>
              <w:textAlignment w:val="auto"/>
              <w:rPr>
                <w:rFonts w:hint="eastAsia" w:ascii="宋体" w:hAnsi="宋体" w:eastAsia="宋体" w:cs="宋体"/>
                <w:snapToGrid/>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备注</w:t>
            </w:r>
          </w:p>
        </w:tc>
      </w:tr>
      <w:tr w14:paraId="4FC68675">
        <w:tblPrEx>
          <w:tblCellMar>
            <w:top w:w="0" w:type="dxa"/>
            <w:left w:w="108" w:type="dxa"/>
            <w:bottom w:w="0" w:type="dxa"/>
            <w:right w:w="108" w:type="dxa"/>
          </w:tblCellMar>
        </w:tblPrEx>
        <w:trPr>
          <w:trHeight w:val="4595" w:hRule="atLeast"/>
          <w:jc w:val="center"/>
        </w:trPr>
        <w:tc>
          <w:tcPr>
            <w:tcW w:w="1295" w:type="dxa"/>
            <w:tcBorders>
              <w:top w:val="single" w:color="auto" w:sz="4" w:space="0"/>
              <w:left w:val="single" w:color="auto" w:sz="4" w:space="0"/>
              <w:bottom w:val="single" w:color="auto" w:sz="4" w:space="0"/>
              <w:right w:val="single" w:color="auto" w:sz="4" w:space="0"/>
            </w:tcBorders>
            <w:noWrap w:val="0"/>
            <w:vAlign w:val="center"/>
          </w:tcPr>
          <w:p w14:paraId="16B787A5">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总体概述</w:t>
            </w:r>
          </w:p>
          <w:p w14:paraId="783AEE6B">
            <w:pPr>
              <w:keepNext w:val="0"/>
              <w:keepLines w:val="0"/>
              <w:pageBreakBefore w:val="0"/>
              <w:widowControl w:val="0"/>
              <w:kinsoku/>
              <w:wordWrap w:val="0"/>
              <w:overflowPunct/>
              <w:topLinePunct w:val="0"/>
              <w:autoSpaceDE/>
              <w:autoSpaceDN/>
              <w:bidi w:val="0"/>
              <w:adjustRightInd w:val="0"/>
              <w:snapToGrid w:val="0"/>
              <w:spacing w:after="0" w:afterLines="0" w:line="30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bidi="ar-SA"/>
                <w14:textFill>
                  <w14:solidFill>
                    <w14:schemeClr w14:val="tx1"/>
                  </w14:solidFill>
                </w14:textFill>
              </w:rPr>
              <w:t>（3分）</w:t>
            </w:r>
          </w:p>
        </w:tc>
        <w:tc>
          <w:tcPr>
            <w:tcW w:w="3285" w:type="dxa"/>
            <w:tcBorders>
              <w:top w:val="single" w:color="auto" w:sz="4" w:space="0"/>
              <w:left w:val="single" w:color="auto" w:sz="4" w:space="0"/>
              <w:bottom w:val="single" w:color="auto" w:sz="4" w:space="0"/>
              <w:right w:val="single" w:color="auto" w:sz="4" w:space="0"/>
            </w:tcBorders>
            <w:noWrap w:val="0"/>
            <w:vAlign w:val="center"/>
          </w:tcPr>
          <w:p w14:paraId="301F17A7">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【优】得该项因素分的90%～100%（含90%）；</w:t>
            </w:r>
          </w:p>
          <w:p w14:paraId="6D89206C">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【良】得该项因素分的80%～90%（含80%）；</w:t>
            </w:r>
          </w:p>
          <w:p w14:paraId="67479B18">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【中】得该项因素分的70%～80%（含70%）；</w:t>
            </w:r>
          </w:p>
          <w:p w14:paraId="0A85A281">
            <w:pPr>
              <w:keepNext w:val="0"/>
              <w:keepLines w:val="0"/>
              <w:pageBreakBefore w:val="0"/>
              <w:widowControl w:val="0"/>
              <w:kinsoku/>
              <w:wordWrap w:val="0"/>
              <w:overflowPunct/>
              <w:topLinePunct w:val="0"/>
              <w:autoSpaceDE/>
              <w:autoSpaceDN/>
              <w:bidi w:val="0"/>
              <w:adjustRightInd w:val="0"/>
              <w:snapToGrid w:val="0"/>
              <w:spacing w:after="0" w:afterLines="0" w:line="40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【差】得该项因素分的60%～70%（含60%）。</w:t>
            </w:r>
          </w:p>
        </w:tc>
        <w:tc>
          <w:tcPr>
            <w:tcW w:w="6234" w:type="dxa"/>
            <w:gridSpan w:val="2"/>
            <w:tcBorders>
              <w:top w:val="single" w:color="auto" w:sz="4" w:space="0"/>
              <w:left w:val="single" w:color="auto" w:sz="4" w:space="0"/>
              <w:bottom w:val="single" w:color="auto" w:sz="4" w:space="0"/>
              <w:right w:val="single" w:color="auto" w:sz="4" w:space="0"/>
            </w:tcBorders>
            <w:noWrap w:val="0"/>
            <w:vAlign w:val="center"/>
          </w:tcPr>
          <w:p w14:paraId="3FCF4525">
            <w:pPr>
              <w:keepNext w:val="0"/>
              <w:keepLines w:val="0"/>
              <w:pageBreakBefore w:val="0"/>
              <w:widowControl w:val="0"/>
              <w:kinsoku/>
              <w:wordWrap w:val="0"/>
              <w:overflowPunct/>
              <w:topLinePunct w:val="0"/>
              <w:autoSpaceDE/>
              <w:autoSpaceDN/>
              <w:bidi w:val="0"/>
              <w:adjustRightInd w:val="0"/>
              <w:snapToGrid w:val="0"/>
              <w:spacing w:after="0" w:afterLines="0" w:line="360" w:lineRule="exact"/>
              <w:jc w:val="left"/>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【优】对项目总体有深刻认识，表述清晰、完整、严谨、合理，措施先进、具体、有效、成熟，采用了新技术、新工艺、新材料、新设备；施工段划分呼应总体表述，划分清晰、合理，符合规范要求。</w:t>
            </w:r>
          </w:p>
          <w:p w14:paraId="158D3A23">
            <w:pPr>
              <w:keepNext w:val="0"/>
              <w:keepLines w:val="0"/>
              <w:pageBreakBefore w:val="0"/>
              <w:widowControl w:val="0"/>
              <w:kinsoku/>
              <w:wordWrap w:val="0"/>
              <w:overflowPunct/>
              <w:topLinePunct w:val="0"/>
              <w:autoSpaceDE/>
              <w:autoSpaceDN/>
              <w:bidi w:val="0"/>
              <w:adjustRightInd w:val="0"/>
              <w:snapToGrid w:val="0"/>
              <w:spacing w:after="0" w:afterLines="0" w:line="360" w:lineRule="exact"/>
              <w:jc w:val="left"/>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【良】对项目总体有一定认识，表述清晰、完整，措施具体有效；施工段划分呼应总体表述，划分清晰，符合规范要求。</w:t>
            </w:r>
          </w:p>
          <w:p w14:paraId="00041026">
            <w:pPr>
              <w:keepNext w:val="0"/>
              <w:keepLines w:val="0"/>
              <w:pageBreakBefore w:val="0"/>
              <w:widowControl w:val="0"/>
              <w:kinsoku/>
              <w:wordWrap w:val="0"/>
              <w:overflowPunct/>
              <w:topLinePunct w:val="0"/>
              <w:autoSpaceDE/>
              <w:autoSpaceDN/>
              <w:bidi w:val="0"/>
              <w:adjustRightInd w:val="0"/>
              <w:snapToGrid w:val="0"/>
              <w:spacing w:after="0" w:afterLines="0" w:line="360" w:lineRule="exact"/>
              <w:jc w:val="left"/>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【中】对项目总体有认识，有一定的措施但部分不具体；施工段划分较合理，符合规范要求。</w:t>
            </w:r>
          </w:p>
          <w:p w14:paraId="1B45A081">
            <w:pPr>
              <w:keepNext w:val="0"/>
              <w:keepLines w:val="0"/>
              <w:pageBreakBefore w:val="0"/>
              <w:widowControl w:val="0"/>
              <w:kinsoku/>
              <w:wordWrap w:val="0"/>
              <w:overflowPunct/>
              <w:topLinePunct w:val="0"/>
              <w:autoSpaceDE/>
              <w:autoSpaceDN/>
              <w:bidi w:val="0"/>
              <w:adjustRightInd w:val="0"/>
              <w:snapToGrid w:val="0"/>
              <w:spacing w:after="0" w:afterLines="0" w:line="36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【差】对项目认识不足，表述不清晰，措施不具体；施工段划分不合理。</w:t>
            </w:r>
          </w:p>
        </w:tc>
      </w:tr>
      <w:tr w14:paraId="30FC03EC">
        <w:tblPrEx>
          <w:tblCellMar>
            <w:top w:w="0" w:type="dxa"/>
            <w:left w:w="108" w:type="dxa"/>
            <w:bottom w:w="0" w:type="dxa"/>
            <w:right w:w="108" w:type="dxa"/>
          </w:tblCellMar>
        </w:tblPrEx>
        <w:trPr>
          <w:trHeight w:val="3303" w:hRule="atLeast"/>
          <w:jc w:val="center"/>
        </w:trPr>
        <w:tc>
          <w:tcPr>
            <w:tcW w:w="1295" w:type="dxa"/>
            <w:tcBorders>
              <w:top w:val="single" w:color="auto" w:sz="4" w:space="0"/>
              <w:left w:val="single" w:color="auto" w:sz="4" w:space="0"/>
              <w:bottom w:val="single" w:color="auto" w:sz="4" w:space="0"/>
              <w:right w:val="single" w:color="auto" w:sz="4" w:space="0"/>
            </w:tcBorders>
            <w:noWrap w:val="0"/>
            <w:vAlign w:val="center"/>
          </w:tcPr>
          <w:p w14:paraId="58F3A822">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施工总进</w:t>
            </w:r>
          </w:p>
          <w:p w14:paraId="0943A994">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度计划及</w:t>
            </w:r>
          </w:p>
          <w:p w14:paraId="589EE368">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保证措施</w:t>
            </w:r>
          </w:p>
          <w:p w14:paraId="015FA0EA">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bidi="ar-SA"/>
                <w14:textFill>
                  <w14:solidFill>
                    <w14:schemeClr w14:val="tx1"/>
                  </w14:solidFill>
                </w14:textFill>
              </w:rPr>
              <w:t>（3分）</w:t>
            </w:r>
          </w:p>
        </w:tc>
        <w:tc>
          <w:tcPr>
            <w:tcW w:w="3285" w:type="dxa"/>
            <w:tcBorders>
              <w:top w:val="single" w:color="auto" w:sz="4" w:space="0"/>
              <w:left w:val="single" w:color="auto" w:sz="4" w:space="0"/>
              <w:bottom w:val="single" w:color="auto" w:sz="4" w:space="0"/>
              <w:right w:val="single" w:color="auto" w:sz="4" w:space="0"/>
            </w:tcBorders>
            <w:noWrap w:val="0"/>
            <w:vAlign w:val="center"/>
          </w:tcPr>
          <w:p w14:paraId="77E80008">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【优】得该项因素分的90%～100%（含90%）；</w:t>
            </w:r>
          </w:p>
          <w:p w14:paraId="12C32874">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【良】得该项因素分的80%～90%（含80%）；</w:t>
            </w:r>
          </w:p>
          <w:p w14:paraId="36D6B3B8">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【中】得该项因素分的70%～80%（含70%）；</w:t>
            </w:r>
          </w:p>
          <w:p w14:paraId="067D98E4">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【差】得该项因素分的60%～70%（含60%）。</w:t>
            </w:r>
          </w:p>
        </w:tc>
        <w:tc>
          <w:tcPr>
            <w:tcW w:w="6234" w:type="dxa"/>
            <w:gridSpan w:val="2"/>
            <w:tcBorders>
              <w:top w:val="single" w:color="auto" w:sz="4" w:space="0"/>
              <w:left w:val="single" w:color="auto" w:sz="4" w:space="0"/>
              <w:bottom w:val="single" w:color="auto" w:sz="4" w:space="0"/>
              <w:right w:val="single" w:color="auto" w:sz="4" w:space="0"/>
            </w:tcBorders>
            <w:noWrap w:val="0"/>
            <w:vAlign w:val="center"/>
          </w:tcPr>
          <w:p w14:paraId="178B7B4D">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优】关键线路清晰、准确、完整，计划编制合理、可行。关键节点的控制措施有力、合理、可行。人、材、机需求和进场计划与进度计划相呼应，较好满足施工需要，调配投入计划合理、准确。进度违约责任承诺具体，经济赔偿合理。</w:t>
            </w:r>
          </w:p>
          <w:p w14:paraId="6B6D014E">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良】关键线路清晰、准确、完整，计划编制可行。关键节点的控制措施合理、可行。人、材、机需求和进场计划与进度计划相呼应，基本满足施工需要，调配投入计划基本合理、准确。进度违约责任承诺具体，经济赔偿较合理。</w:t>
            </w:r>
          </w:p>
          <w:p w14:paraId="061912D4">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【中】关键线路基本准确，计划编制基本合理。关键节点的控制措施基本可行。人、材、机需求和进场计划与进度计划相呼应，基本满足施工需要，调配投入计划基本合理。进度违约责任承诺具体。</w:t>
            </w:r>
          </w:p>
          <w:p w14:paraId="556D5542">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【差】关键线路不准确，计划编制不合理。关键节点的控制不可行。人、材、机需求和进场计划与进度计划不相呼应，不能满足施工需要。没有违约责任承诺。</w:t>
            </w:r>
          </w:p>
        </w:tc>
      </w:tr>
      <w:tr w14:paraId="7C9245A3">
        <w:tblPrEx>
          <w:tblCellMar>
            <w:top w:w="0" w:type="dxa"/>
            <w:left w:w="108" w:type="dxa"/>
            <w:bottom w:w="0" w:type="dxa"/>
            <w:right w:w="108" w:type="dxa"/>
          </w:tblCellMar>
        </w:tblPrEx>
        <w:trPr>
          <w:trHeight w:val="1155" w:hRule="atLeast"/>
          <w:jc w:val="center"/>
        </w:trPr>
        <w:tc>
          <w:tcPr>
            <w:tcW w:w="1295" w:type="dxa"/>
            <w:tcBorders>
              <w:top w:val="single" w:color="auto" w:sz="4" w:space="0"/>
              <w:left w:val="single" w:color="auto" w:sz="4" w:space="0"/>
              <w:bottom w:val="single" w:color="auto" w:sz="4" w:space="0"/>
              <w:right w:val="single" w:color="auto" w:sz="4" w:space="0"/>
            </w:tcBorders>
            <w:noWrap w:val="0"/>
            <w:vAlign w:val="center"/>
          </w:tcPr>
          <w:p w14:paraId="776DB5AF">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质量</w:t>
            </w:r>
          </w:p>
          <w:p w14:paraId="60056A7B">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保证措施</w:t>
            </w:r>
          </w:p>
          <w:p w14:paraId="70FF8780">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bidi="ar-SA"/>
                <w14:textFill>
                  <w14:solidFill>
                    <w14:schemeClr w14:val="tx1"/>
                  </w14:solidFill>
                </w14:textFill>
              </w:rPr>
              <w:t>（3分）</w:t>
            </w:r>
          </w:p>
        </w:tc>
        <w:tc>
          <w:tcPr>
            <w:tcW w:w="3285" w:type="dxa"/>
            <w:tcBorders>
              <w:top w:val="single" w:color="auto" w:sz="4" w:space="0"/>
              <w:left w:val="single" w:color="auto" w:sz="4" w:space="0"/>
              <w:bottom w:val="single" w:color="auto" w:sz="4" w:space="0"/>
              <w:right w:val="single" w:color="auto" w:sz="4" w:space="0"/>
            </w:tcBorders>
            <w:noWrap w:val="0"/>
            <w:vAlign w:val="center"/>
          </w:tcPr>
          <w:p w14:paraId="1D887CC5">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【优】得该项因素分的90%～100%（含90%）；</w:t>
            </w:r>
          </w:p>
          <w:p w14:paraId="07F6B999">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【良】得该项因素分的80%～90%（含80%）；</w:t>
            </w:r>
          </w:p>
          <w:p w14:paraId="53A35648">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【中】得该项因素分的70%～80%（含70%）；</w:t>
            </w:r>
          </w:p>
          <w:p w14:paraId="13537ACB">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【差】得该项因素分的60%～70%（含60%）。</w:t>
            </w:r>
          </w:p>
        </w:tc>
        <w:tc>
          <w:tcPr>
            <w:tcW w:w="6234" w:type="dxa"/>
            <w:gridSpan w:val="2"/>
            <w:tcBorders>
              <w:top w:val="single" w:color="auto" w:sz="4" w:space="0"/>
              <w:left w:val="single" w:color="auto" w:sz="4" w:space="0"/>
              <w:bottom w:val="single" w:color="auto" w:sz="4" w:space="0"/>
              <w:right w:val="single" w:color="auto" w:sz="4" w:space="0"/>
            </w:tcBorders>
            <w:noWrap w:val="0"/>
            <w:vAlign w:val="center"/>
          </w:tcPr>
          <w:p w14:paraId="43D7320B">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【优】应用新技术、新工艺、新材料、新设备，针对项目实际提出先进、可行、具体的保证措施。超过招标文件的质量要求。</w:t>
            </w:r>
          </w:p>
          <w:p w14:paraId="2AB97BF7">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【良】针对项目实际提出先进、可行、具体的保证措施。满足招标文件的质量要求。</w:t>
            </w:r>
          </w:p>
          <w:p w14:paraId="2302FB96">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【中】具体措施可行。满足招标文件的质量要求。</w:t>
            </w:r>
          </w:p>
          <w:p w14:paraId="60E10246">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【差】措施不可行，没有质量违约责任承诺。</w:t>
            </w:r>
          </w:p>
        </w:tc>
      </w:tr>
      <w:tr w14:paraId="08DE0D11">
        <w:tblPrEx>
          <w:tblCellMar>
            <w:top w:w="0" w:type="dxa"/>
            <w:left w:w="108" w:type="dxa"/>
            <w:bottom w:w="0" w:type="dxa"/>
            <w:right w:w="108" w:type="dxa"/>
          </w:tblCellMar>
        </w:tblPrEx>
        <w:trPr>
          <w:trHeight w:val="900" w:hRule="atLeast"/>
          <w:jc w:val="center"/>
        </w:trPr>
        <w:tc>
          <w:tcPr>
            <w:tcW w:w="1295" w:type="dxa"/>
            <w:tcBorders>
              <w:top w:val="single" w:color="auto" w:sz="4" w:space="0"/>
              <w:left w:val="single" w:color="auto" w:sz="4" w:space="0"/>
              <w:bottom w:val="single" w:color="auto" w:sz="4" w:space="0"/>
              <w:right w:val="single" w:color="auto" w:sz="4" w:space="0"/>
            </w:tcBorders>
            <w:noWrap w:val="0"/>
            <w:vAlign w:val="center"/>
          </w:tcPr>
          <w:p w14:paraId="7231C9E0">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施工</w:t>
            </w:r>
          </w:p>
          <w:p w14:paraId="2A24DF3E">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技术措施</w:t>
            </w:r>
          </w:p>
          <w:p w14:paraId="423DB0BC">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bidi="ar-SA"/>
                <w14:textFill>
                  <w14:solidFill>
                    <w14:schemeClr w14:val="tx1"/>
                  </w14:solidFill>
                </w14:textFill>
              </w:rPr>
              <w:t>（3分）</w:t>
            </w:r>
          </w:p>
        </w:tc>
        <w:tc>
          <w:tcPr>
            <w:tcW w:w="3285" w:type="dxa"/>
            <w:tcBorders>
              <w:top w:val="single" w:color="auto" w:sz="4" w:space="0"/>
              <w:left w:val="single" w:color="auto" w:sz="4" w:space="0"/>
              <w:bottom w:val="single" w:color="auto" w:sz="4" w:space="0"/>
              <w:right w:val="single" w:color="auto" w:sz="4" w:space="0"/>
            </w:tcBorders>
            <w:noWrap w:val="0"/>
            <w:vAlign w:val="center"/>
          </w:tcPr>
          <w:p w14:paraId="73491296">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【优】得该项因素分的90%～100%（含90%）；</w:t>
            </w:r>
          </w:p>
          <w:p w14:paraId="2245F56E">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【良】得该项因素分的80%～90%（含80%）；</w:t>
            </w:r>
          </w:p>
          <w:p w14:paraId="3D530F70">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【中】得该项因素分的70%～80%（含70%）；</w:t>
            </w:r>
          </w:p>
          <w:p w14:paraId="7131B982">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【差】得该项因素分的60%～70%（含60%）。</w:t>
            </w:r>
          </w:p>
        </w:tc>
        <w:tc>
          <w:tcPr>
            <w:tcW w:w="6234" w:type="dxa"/>
            <w:gridSpan w:val="2"/>
            <w:tcBorders>
              <w:top w:val="single" w:color="auto" w:sz="4" w:space="0"/>
              <w:left w:val="single" w:color="auto" w:sz="4" w:space="0"/>
              <w:bottom w:val="single" w:color="auto" w:sz="4" w:space="0"/>
              <w:right w:val="single" w:color="auto" w:sz="4" w:space="0"/>
            </w:tcBorders>
            <w:noWrap w:val="0"/>
            <w:vAlign w:val="center"/>
          </w:tcPr>
          <w:p w14:paraId="5BC2E287">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经济赔偿合理。</w:t>
            </w:r>
          </w:p>
          <w:p w14:paraId="3F75E711">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经济赔偿较合理。</w:t>
            </w:r>
          </w:p>
          <w:p w14:paraId="14935676">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7C0948D7">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【差】对项目关键技术有表述，对重点、难点有建议，解决方案不可行。采用的新技术针对性不强或验证材料不可靠，对节约投资、工期没有具体收益。无违约责任承诺。</w:t>
            </w:r>
          </w:p>
        </w:tc>
      </w:tr>
      <w:tr w14:paraId="030F196A">
        <w:tblPrEx>
          <w:tblCellMar>
            <w:top w:w="0" w:type="dxa"/>
            <w:left w:w="108" w:type="dxa"/>
            <w:bottom w:w="0" w:type="dxa"/>
            <w:right w:w="108" w:type="dxa"/>
          </w:tblCellMar>
        </w:tblPrEx>
        <w:trPr>
          <w:trHeight w:val="3465" w:hRule="atLeast"/>
          <w:jc w:val="center"/>
        </w:trPr>
        <w:tc>
          <w:tcPr>
            <w:tcW w:w="1295" w:type="dxa"/>
            <w:tcBorders>
              <w:top w:val="single" w:color="auto" w:sz="4" w:space="0"/>
              <w:left w:val="single" w:color="auto" w:sz="4" w:space="0"/>
              <w:bottom w:val="single" w:color="auto" w:sz="4" w:space="0"/>
              <w:right w:val="single" w:color="auto" w:sz="4" w:space="0"/>
            </w:tcBorders>
            <w:noWrap w:val="0"/>
            <w:vAlign w:val="center"/>
          </w:tcPr>
          <w:p w14:paraId="71090A65">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绿色施工、安全防护、文明施工措施计划</w:t>
            </w:r>
          </w:p>
          <w:p w14:paraId="124EE596">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bidi="ar-SA"/>
                <w14:textFill>
                  <w14:solidFill>
                    <w14:schemeClr w14:val="tx1"/>
                  </w14:solidFill>
                </w14:textFill>
              </w:rPr>
              <w:t>（3分）</w:t>
            </w:r>
          </w:p>
        </w:tc>
        <w:tc>
          <w:tcPr>
            <w:tcW w:w="3285" w:type="dxa"/>
            <w:tcBorders>
              <w:top w:val="single" w:color="auto" w:sz="4" w:space="0"/>
              <w:left w:val="single" w:color="auto" w:sz="4" w:space="0"/>
              <w:bottom w:val="single" w:color="auto" w:sz="4" w:space="0"/>
              <w:right w:val="single" w:color="auto" w:sz="4" w:space="0"/>
            </w:tcBorders>
            <w:noWrap w:val="0"/>
            <w:vAlign w:val="center"/>
          </w:tcPr>
          <w:p w14:paraId="7BF287F1">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【优】得该项因素分的90%～100%（含90%）；</w:t>
            </w:r>
          </w:p>
          <w:p w14:paraId="429F3502">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【良】得该项因素分的80%～90%（含80%）；</w:t>
            </w:r>
          </w:p>
          <w:p w14:paraId="3626271A">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【中】得该项因素分的70%～80%（含70%）；</w:t>
            </w:r>
          </w:p>
          <w:p w14:paraId="0C373555">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【差】得该项因素分的60%～70%（含60%）。</w:t>
            </w:r>
          </w:p>
        </w:tc>
        <w:tc>
          <w:tcPr>
            <w:tcW w:w="6234" w:type="dxa"/>
            <w:gridSpan w:val="2"/>
            <w:tcBorders>
              <w:top w:val="single" w:color="auto" w:sz="4" w:space="0"/>
              <w:left w:val="single" w:color="auto" w:sz="4" w:space="0"/>
              <w:bottom w:val="single" w:color="auto" w:sz="4" w:space="0"/>
              <w:right w:val="single" w:color="auto" w:sz="4" w:space="0"/>
            </w:tcBorders>
            <w:noWrap w:val="0"/>
            <w:vAlign w:val="center"/>
          </w:tcPr>
          <w:p w14:paraId="03DCE476">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【优】针对项目实际情况，有先进、具体、完整、可行的措施，采用规范准确、清晰。</w:t>
            </w:r>
          </w:p>
          <w:p w14:paraId="0E99A36C">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【良】针对项目实际情况，有合理的措施且具体、完整，采用规范准确。</w:t>
            </w:r>
          </w:p>
          <w:p w14:paraId="2159186F">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【中】有基本合理的措施，采用规范准确。</w:t>
            </w:r>
          </w:p>
          <w:p w14:paraId="12D7D278">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【差】措施不力，采用规范不正确。</w:t>
            </w:r>
          </w:p>
        </w:tc>
      </w:tr>
      <w:tr w14:paraId="5575B487">
        <w:tblPrEx>
          <w:tblCellMar>
            <w:top w:w="0" w:type="dxa"/>
            <w:left w:w="108" w:type="dxa"/>
            <w:bottom w:w="0" w:type="dxa"/>
            <w:right w:w="108" w:type="dxa"/>
          </w:tblCellMar>
        </w:tblPrEx>
        <w:trPr>
          <w:trHeight w:val="3465" w:hRule="atLeast"/>
          <w:jc w:val="center"/>
        </w:trPr>
        <w:tc>
          <w:tcPr>
            <w:tcW w:w="1295" w:type="dxa"/>
            <w:tcBorders>
              <w:top w:val="single" w:color="auto" w:sz="4" w:space="0"/>
              <w:left w:val="single" w:color="auto" w:sz="4" w:space="0"/>
              <w:bottom w:val="single" w:color="auto" w:sz="4" w:space="0"/>
              <w:right w:val="single" w:color="auto" w:sz="4" w:space="0"/>
            </w:tcBorders>
            <w:noWrap w:val="0"/>
            <w:vAlign w:val="center"/>
          </w:tcPr>
          <w:p w14:paraId="71EC2E1C">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施工平面</w:t>
            </w:r>
          </w:p>
          <w:p w14:paraId="2F612E4D">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布置和临时设施布置</w:t>
            </w:r>
          </w:p>
          <w:p w14:paraId="685EE2C8">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bidi="ar-SA"/>
                <w14:textFill>
                  <w14:solidFill>
                    <w14:schemeClr w14:val="tx1"/>
                  </w14:solidFill>
                </w14:textFill>
              </w:rPr>
              <w:t>（2分）</w:t>
            </w:r>
          </w:p>
        </w:tc>
        <w:tc>
          <w:tcPr>
            <w:tcW w:w="3285" w:type="dxa"/>
            <w:tcBorders>
              <w:top w:val="single" w:color="auto" w:sz="4" w:space="0"/>
              <w:left w:val="single" w:color="auto" w:sz="4" w:space="0"/>
              <w:bottom w:val="single" w:color="auto" w:sz="4" w:space="0"/>
              <w:right w:val="single" w:color="auto" w:sz="4" w:space="0"/>
            </w:tcBorders>
            <w:noWrap w:val="0"/>
            <w:vAlign w:val="center"/>
          </w:tcPr>
          <w:p w14:paraId="5C7A8E5A">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【优】得该项因素分的90%～100%（含90%）；</w:t>
            </w:r>
          </w:p>
          <w:p w14:paraId="5522E444">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【良】得该项因素分的80%～90%（含80%）；</w:t>
            </w:r>
          </w:p>
          <w:p w14:paraId="06180E55">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【中】得该项因素分的70%～80%（含70%）；</w:t>
            </w:r>
          </w:p>
          <w:p w14:paraId="59DBAF05">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【差】得该项因素分的60%～70%（含60%）。</w:t>
            </w:r>
          </w:p>
        </w:tc>
        <w:tc>
          <w:tcPr>
            <w:tcW w:w="6234" w:type="dxa"/>
            <w:gridSpan w:val="2"/>
            <w:tcBorders>
              <w:top w:val="single" w:color="auto" w:sz="4" w:space="0"/>
              <w:left w:val="single" w:color="auto" w:sz="4" w:space="0"/>
              <w:bottom w:val="single" w:color="auto" w:sz="4" w:space="0"/>
              <w:right w:val="single" w:color="auto" w:sz="4" w:space="0"/>
            </w:tcBorders>
            <w:noWrap w:val="0"/>
            <w:vAlign w:val="center"/>
          </w:tcPr>
          <w:p w14:paraId="188EFCB6">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【优】总体布置有针对性、合理，较好满足施工需要，符合绿色施工、安全防护、文明施工要求。</w:t>
            </w:r>
          </w:p>
          <w:p w14:paraId="7AEC9580">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【良】总体布置合理，能满足施工需要，基本符合绿色施工、安全防护、文明施工要求。</w:t>
            </w:r>
          </w:p>
          <w:p w14:paraId="222FFA14">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【中】总体布置基本合理，基本满足施工需要。</w:t>
            </w:r>
          </w:p>
          <w:p w14:paraId="5A206DD2">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【差】总体布置不合理，不符合绿色施工、安全防护、文明施工要求。</w:t>
            </w:r>
          </w:p>
        </w:tc>
      </w:tr>
      <w:tr w14:paraId="07611AB5">
        <w:tblPrEx>
          <w:tblCellMar>
            <w:top w:w="0" w:type="dxa"/>
            <w:left w:w="108" w:type="dxa"/>
            <w:bottom w:w="0" w:type="dxa"/>
            <w:right w:w="108" w:type="dxa"/>
          </w:tblCellMar>
        </w:tblPrEx>
        <w:trPr>
          <w:trHeight w:val="5905" w:hRule="atLeast"/>
          <w:jc w:val="center"/>
        </w:trPr>
        <w:tc>
          <w:tcPr>
            <w:tcW w:w="1295" w:type="dxa"/>
            <w:tcBorders>
              <w:top w:val="single" w:color="auto" w:sz="4" w:space="0"/>
              <w:left w:val="single" w:color="auto" w:sz="4" w:space="0"/>
              <w:bottom w:val="single" w:color="auto" w:sz="4" w:space="0"/>
              <w:right w:val="single" w:color="auto" w:sz="4" w:space="0"/>
            </w:tcBorders>
            <w:noWrap w:val="0"/>
            <w:vAlign w:val="center"/>
          </w:tcPr>
          <w:p w14:paraId="68CBDD5D">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项目</w:t>
            </w:r>
          </w:p>
          <w:p w14:paraId="074A1787">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管理机构</w:t>
            </w:r>
          </w:p>
          <w:p w14:paraId="4AB0F8F7">
            <w:pPr>
              <w:keepNext w:val="0"/>
              <w:keepLines w:val="0"/>
              <w:pageBreakBefore w:val="0"/>
              <w:widowControl w:val="0"/>
              <w:kinsoku/>
              <w:wordWrap w:val="0"/>
              <w:overflowPunct/>
              <w:topLinePunct w:val="0"/>
              <w:autoSpaceDE/>
              <w:autoSpaceDN/>
              <w:bidi w:val="0"/>
              <w:adjustRightInd w:val="0"/>
              <w:snapToGrid w:val="0"/>
              <w:spacing w:line="30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bidi="ar-SA"/>
                <w14:textFill>
                  <w14:solidFill>
                    <w14:schemeClr w14:val="tx1"/>
                  </w14:solidFill>
                </w14:textFill>
              </w:rPr>
              <w:t>（3分）</w:t>
            </w:r>
          </w:p>
        </w:tc>
        <w:tc>
          <w:tcPr>
            <w:tcW w:w="3285" w:type="dxa"/>
            <w:tcBorders>
              <w:top w:val="single" w:color="auto" w:sz="4" w:space="0"/>
              <w:left w:val="single" w:color="auto" w:sz="4" w:space="0"/>
              <w:bottom w:val="single" w:color="auto" w:sz="4" w:space="0"/>
              <w:right w:val="single" w:color="auto" w:sz="4" w:space="0"/>
            </w:tcBorders>
            <w:noWrap w:val="0"/>
            <w:vAlign w:val="center"/>
          </w:tcPr>
          <w:p w14:paraId="10E36BC1">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【优】得该项因素分的90%～100%（含90%）；</w:t>
            </w:r>
          </w:p>
          <w:p w14:paraId="3B78A371">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【良】得该项因素分的80%～90%（含80%）；</w:t>
            </w:r>
          </w:p>
          <w:p w14:paraId="17A722FC">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【中】得该项因素分的70%～80%（含70%）；</w:t>
            </w:r>
          </w:p>
          <w:p w14:paraId="159A5D6A">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【差】得该项因素分的60%～70%（含60%）。</w:t>
            </w:r>
          </w:p>
        </w:tc>
        <w:tc>
          <w:tcPr>
            <w:tcW w:w="6234" w:type="dxa"/>
            <w:gridSpan w:val="2"/>
            <w:tcBorders>
              <w:top w:val="single" w:color="auto" w:sz="4" w:space="0"/>
              <w:left w:val="single" w:color="auto" w:sz="4" w:space="0"/>
              <w:bottom w:val="single" w:color="auto" w:sz="4" w:space="0"/>
              <w:right w:val="single" w:color="auto" w:sz="4" w:space="0"/>
            </w:tcBorders>
            <w:noWrap w:val="0"/>
            <w:vAlign w:val="center"/>
          </w:tcPr>
          <w:p w14:paraId="13CFD94E">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优】组织机构形式合理，有完善的指挥系统，生产及质量、绿色施工、安全、文明施工、创优达标监控系统、联络协调系统，项目管理人员内高级职称人员20%（含20%）以上、中级职称人员及以上职称60%（含60%）以上。</w:t>
            </w:r>
          </w:p>
          <w:p w14:paraId="340B0AC0">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良】组织机构形式合理，指挥系统，生产及质量、绿色施工、安全、文明施工、创优达标监控系统、联络协调系统齐全，项目管理人员内高级职称人员15%～20%（含15%）、中级职称人员及以上职称50%～60%（含50%）。</w:t>
            </w:r>
          </w:p>
          <w:p w14:paraId="6B9AF227">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中】组织机构形式基本合理，有指挥系统，生产及质量、绿色施工、安全、文明施工、创优达标监控系统、联络协调系统，项目管理人员内高级职称人员10%～15%（含10%）、中级职称人员及以上职称40%～50%（含40%）。</w:t>
            </w:r>
          </w:p>
          <w:p w14:paraId="2FA6027B">
            <w:pPr>
              <w:keepNext w:val="0"/>
              <w:keepLines w:val="0"/>
              <w:pageBreakBefore w:val="0"/>
              <w:widowControl w:val="0"/>
              <w:kinsoku/>
              <w:wordWrap w:val="0"/>
              <w:overflowPunct/>
              <w:topLinePunct w:val="0"/>
              <w:autoSpaceDE/>
              <w:autoSpaceDN/>
              <w:bidi w:val="0"/>
              <w:adjustRightInd w:val="0"/>
              <w:snapToGrid w:val="0"/>
              <w:spacing w:line="360" w:lineRule="exact"/>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【差】组织机构形式合理，指挥系统，生产及质量、绿色施工、安全、文明施工、创优达标监控系统、联络协调系统不齐全，项目管理人员内高级职称人员10%以下、中级职称人员及以上职称40%以下。</w:t>
            </w:r>
          </w:p>
        </w:tc>
      </w:tr>
      <w:tr w14:paraId="01BABABF">
        <w:tblPrEx>
          <w:tblCellMar>
            <w:top w:w="0" w:type="dxa"/>
            <w:left w:w="108" w:type="dxa"/>
            <w:bottom w:w="0" w:type="dxa"/>
            <w:right w:w="108" w:type="dxa"/>
          </w:tblCellMar>
        </w:tblPrEx>
        <w:trPr>
          <w:trHeight w:val="554" w:hRule="exact"/>
          <w:jc w:val="center"/>
        </w:trPr>
        <w:tc>
          <w:tcPr>
            <w:tcW w:w="10814" w:type="dxa"/>
            <w:gridSpan w:val="4"/>
            <w:tcBorders>
              <w:top w:val="single" w:color="auto" w:sz="4" w:space="0"/>
              <w:left w:val="single" w:color="auto" w:sz="4" w:space="0"/>
              <w:bottom w:val="single" w:color="auto" w:sz="4" w:space="0"/>
              <w:right w:val="single" w:color="auto" w:sz="4" w:space="0"/>
            </w:tcBorders>
            <w:shd w:val="clear" w:color="auto" w:fill="D9D9D9"/>
            <w:noWrap w:val="0"/>
            <w:vAlign w:val="center"/>
          </w:tcPr>
          <w:p w14:paraId="037512C6">
            <w:pPr>
              <w:keepNext w:val="0"/>
              <w:keepLines w:val="0"/>
              <w:widowControl w:val="0"/>
              <w:suppressLineNumbers w:val="0"/>
              <w:kinsoku/>
              <w:autoSpaceDE/>
              <w:autoSpaceDN/>
              <w:adjustRightInd w:val="0"/>
              <w:snapToGrid/>
              <w:spacing w:before="0" w:beforeAutospacing="0" w:after="0" w:afterAutospacing="0" w:line="360" w:lineRule="atLeast"/>
              <w:ind w:left="0" w:right="0"/>
              <w:jc w:val="left"/>
              <w:textAlignment w:val="baseline"/>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snapToGrid/>
                <w:color w:val="000000" w:themeColor="text1"/>
                <w:kern w:val="0"/>
                <w:sz w:val="21"/>
                <w:szCs w:val="21"/>
                <w:highlight w:val="none"/>
                <w:lang w:val="en-US" w:eastAsia="zh-CN" w:bidi="ar-SA"/>
                <w14:textFill>
                  <w14:solidFill>
                    <w14:schemeClr w14:val="tx1"/>
                  </w14:solidFill>
                </w14:textFill>
              </w:rPr>
              <w:t>投标报价部分，满分：100分。</w:t>
            </w:r>
          </w:p>
        </w:tc>
      </w:tr>
      <w:tr w14:paraId="1FB17D4D">
        <w:tblPrEx>
          <w:tblCellMar>
            <w:top w:w="0" w:type="dxa"/>
            <w:left w:w="108" w:type="dxa"/>
            <w:bottom w:w="0" w:type="dxa"/>
            <w:right w:w="108" w:type="dxa"/>
          </w:tblCellMar>
        </w:tblPrEx>
        <w:trPr>
          <w:trHeight w:val="549" w:hRule="exact"/>
          <w:jc w:val="center"/>
        </w:trPr>
        <w:tc>
          <w:tcPr>
            <w:tcW w:w="1295" w:type="dxa"/>
            <w:tcBorders>
              <w:top w:val="single" w:color="auto" w:sz="4" w:space="0"/>
              <w:left w:val="single" w:color="auto" w:sz="4" w:space="0"/>
              <w:bottom w:val="single" w:color="auto" w:sz="4" w:space="0"/>
              <w:right w:val="single" w:color="auto" w:sz="4" w:space="0"/>
            </w:tcBorders>
            <w:noWrap w:val="0"/>
            <w:vAlign w:val="center"/>
          </w:tcPr>
          <w:p w14:paraId="667677B6">
            <w:pPr>
              <w:keepNext w:val="0"/>
              <w:keepLines w:val="0"/>
              <w:widowControl w:val="0"/>
              <w:suppressLineNumbers w:val="0"/>
              <w:kinsoku/>
              <w:autoSpaceDE/>
              <w:autoSpaceDN/>
              <w:adjustRightInd w:val="0"/>
              <w:snapToGrid/>
              <w:spacing w:before="0" w:beforeAutospacing="0" w:after="0" w:afterAutospacing="0" w:line="360" w:lineRule="atLeast"/>
              <w:ind w:left="0" w:right="0"/>
              <w:jc w:val="center"/>
              <w:textAlignment w:val="baseline"/>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t>评分事项</w:t>
            </w:r>
          </w:p>
        </w:tc>
        <w:tc>
          <w:tcPr>
            <w:tcW w:w="9519" w:type="dxa"/>
            <w:gridSpan w:val="3"/>
            <w:tcBorders>
              <w:top w:val="single" w:color="auto" w:sz="4" w:space="0"/>
              <w:left w:val="single" w:color="auto" w:sz="4" w:space="0"/>
              <w:bottom w:val="single" w:color="auto" w:sz="4" w:space="0"/>
              <w:right w:val="single" w:color="auto" w:sz="4" w:space="0"/>
            </w:tcBorders>
            <w:noWrap w:val="0"/>
            <w:vAlign w:val="center"/>
          </w:tcPr>
          <w:p w14:paraId="4A1D47F6">
            <w:pPr>
              <w:keepNext w:val="0"/>
              <w:keepLines w:val="0"/>
              <w:widowControl w:val="0"/>
              <w:suppressLineNumbers w:val="0"/>
              <w:kinsoku/>
              <w:autoSpaceDE/>
              <w:autoSpaceDN/>
              <w:adjustRightInd w:val="0"/>
              <w:snapToGrid/>
              <w:spacing w:before="0" w:beforeAutospacing="0" w:after="0" w:afterAutospacing="0" w:line="360" w:lineRule="atLeast"/>
              <w:ind w:left="0" w:right="0"/>
              <w:jc w:val="center"/>
              <w:textAlignment w:val="baseline"/>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t>评分方法</w:t>
            </w:r>
          </w:p>
        </w:tc>
      </w:tr>
      <w:tr w14:paraId="0DF26E13">
        <w:tblPrEx>
          <w:tblCellMar>
            <w:top w:w="0" w:type="dxa"/>
            <w:left w:w="108" w:type="dxa"/>
            <w:bottom w:w="0" w:type="dxa"/>
            <w:right w:w="108" w:type="dxa"/>
          </w:tblCellMar>
        </w:tblPrEx>
        <w:trPr>
          <w:trHeight w:val="4225" w:hRule="atLeast"/>
          <w:jc w:val="center"/>
        </w:trPr>
        <w:tc>
          <w:tcPr>
            <w:tcW w:w="1295" w:type="dxa"/>
            <w:tcBorders>
              <w:top w:val="single" w:color="auto" w:sz="4" w:space="0"/>
              <w:left w:val="single" w:color="auto" w:sz="4" w:space="0"/>
              <w:bottom w:val="single" w:color="auto" w:sz="4" w:space="0"/>
              <w:right w:val="single" w:color="auto" w:sz="4" w:space="0"/>
            </w:tcBorders>
            <w:noWrap w:val="0"/>
            <w:vAlign w:val="center"/>
          </w:tcPr>
          <w:p w14:paraId="21E6D79A">
            <w:pPr>
              <w:keepNext w:val="0"/>
              <w:keepLines w:val="0"/>
              <w:widowControl w:val="0"/>
              <w:suppressLineNumbers w:val="0"/>
              <w:kinsoku/>
              <w:autoSpaceDE/>
              <w:autoSpaceDN/>
              <w:adjustRightInd w:val="0"/>
              <w:snapToGrid/>
              <w:spacing w:before="0" w:beforeAutospacing="0" w:after="0" w:afterAutospacing="0" w:line="360" w:lineRule="atLeast"/>
              <w:ind w:left="0" w:right="0"/>
              <w:jc w:val="center"/>
              <w:textAlignment w:val="baseline"/>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t>评标基准价D</w:t>
            </w:r>
          </w:p>
        </w:tc>
        <w:tc>
          <w:tcPr>
            <w:tcW w:w="9519" w:type="dxa"/>
            <w:gridSpan w:val="3"/>
            <w:tcBorders>
              <w:top w:val="single" w:color="auto" w:sz="4" w:space="0"/>
              <w:left w:val="single" w:color="auto" w:sz="4" w:space="0"/>
              <w:bottom w:val="single" w:color="auto" w:sz="4" w:space="0"/>
              <w:right w:val="single" w:color="auto" w:sz="4" w:space="0"/>
            </w:tcBorders>
            <w:noWrap w:val="0"/>
            <w:vAlign w:val="center"/>
          </w:tcPr>
          <w:p w14:paraId="15589A27">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napToGrid/>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snapToGrid/>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t>确定</w:t>
            </w:r>
            <w:r>
              <w:rPr>
                <w:rFonts w:hint="eastAsia" w:ascii="宋体" w:hAnsi="宋体" w:eastAsia="宋体" w:cs="宋体"/>
                <w:b/>
                <w:bCs/>
                <w:snapToGrid/>
                <w:color w:val="000000" w:themeColor="text1"/>
                <w:kern w:val="0"/>
                <w:sz w:val="21"/>
                <w:szCs w:val="21"/>
                <w:highlight w:val="none"/>
                <w:lang w:val="en-US" w:eastAsia="zh-CN" w:bidi="ar-SA"/>
                <w14:textFill>
                  <w14:solidFill>
                    <w14:schemeClr w14:val="tx1"/>
                  </w14:solidFill>
                </w14:textFill>
              </w:rPr>
              <w:t>最高投标限价</w:t>
            </w:r>
            <w:r>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t>下浮系数n：用1～21号球分别代表一个下浮系数，由评委代表从这21个号码中随机抽取</w:t>
            </w:r>
            <w:r>
              <w:rPr>
                <w:rFonts w:hint="eastAsia" w:ascii="宋体" w:hAnsi="宋体" w:eastAsia="宋体" w:cs="宋体"/>
                <w:snapToGrid/>
                <w:color w:val="000000" w:themeColor="text1"/>
                <w:kern w:val="0"/>
                <w:sz w:val="21"/>
                <w:szCs w:val="21"/>
                <w:highlight w:val="none"/>
                <w:u w:val="single"/>
                <w:lang w:val="en-US" w:eastAsia="zh-CN" w:bidi="ar-SA"/>
                <w14:textFill>
                  <w14:solidFill>
                    <w14:schemeClr w14:val="tx1"/>
                  </w14:solidFill>
                </w14:textFill>
              </w:rPr>
              <w:t xml:space="preserve"> 3 </w:t>
            </w:r>
            <w:r>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t>次，每次抽取1个号码，抽出的号球不参与下次抽取。所抽取的3个号码对应下浮系数的算术平均值作为</w:t>
            </w:r>
            <w:r>
              <w:rPr>
                <w:rFonts w:hint="eastAsia" w:ascii="宋体" w:hAnsi="宋体" w:eastAsia="宋体" w:cs="宋体"/>
                <w:b/>
                <w:bCs/>
                <w:snapToGrid/>
                <w:color w:val="000000" w:themeColor="text1"/>
                <w:kern w:val="0"/>
                <w:sz w:val="21"/>
                <w:szCs w:val="21"/>
                <w:highlight w:val="none"/>
                <w:lang w:val="en-US" w:eastAsia="zh-CN" w:bidi="ar-SA"/>
                <w14:textFill>
                  <w14:solidFill>
                    <w14:schemeClr w14:val="tx1"/>
                  </w14:solidFill>
                </w14:textFill>
              </w:rPr>
              <w:t>最高投标限价</w:t>
            </w:r>
            <w:r>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t>下浮系数n。具体号码对应的下浮系数见下表。</w:t>
            </w:r>
          </w:p>
          <w:tbl>
            <w:tblPr>
              <w:tblStyle w:val="15"/>
              <w:tblW w:w="0" w:type="auto"/>
              <w:tblInd w:w="113" w:type="dxa"/>
              <w:tblLayout w:type="fixed"/>
              <w:tblCellMar>
                <w:top w:w="0" w:type="dxa"/>
                <w:left w:w="108" w:type="dxa"/>
                <w:bottom w:w="0" w:type="dxa"/>
                <w:right w:w="108" w:type="dxa"/>
              </w:tblCellMar>
            </w:tblPr>
            <w:tblGrid>
              <w:gridCol w:w="1725"/>
              <w:gridCol w:w="1044"/>
              <w:gridCol w:w="1050"/>
              <w:gridCol w:w="990"/>
              <w:gridCol w:w="975"/>
              <w:gridCol w:w="1215"/>
              <w:gridCol w:w="1035"/>
              <w:gridCol w:w="930"/>
            </w:tblGrid>
            <w:tr w14:paraId="17FDCD38">
              <w:tblPrEx>
                <w:tblCellMar>
                  <w:top w:w="0" w:type="dxa"/>
                  <w:left w:w="108" w:type="dxa"/>
                  <w:bottom w:w="0" w:type="dxa"/>
                  <w:right w:w="108" w:type="dxa"/>
                </w:tblCellMar>
              </w:tblPrEx>
              <w:trPr>
                <w:trHeight w:val="285" w:hRule="atLeast"/>
              </w:trPr>
              <w:tc>
                <w:tcPr>
                  <w:tcW w:w="1725"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4BEA4D74">
                  <w:pPr>
                    <w:keepNext w:val="0"/>
                    <w:keepLines w:val="0"/>
                    <w:widowControl w:val="0"/>
                    <w:suppressLineNumbers w:val="0"/>
                    <w:kinsoku/>
                    <w:autoSpaceDE/>
                    <w:autoSpaceDN/>
                    <w:adjustRightInd w:val="0"/>
                    <w:snapToGrid/>
                    <w:spacing w:before="0" w:beforeAutospacing="0" w:after="0" w:afterAutospacing="0" w:line="360" w:lineRule="atLeast"/>
                    <w:ind w:left="0" w:right="0"/>
                    <w:jc w:val="center"/>
                    <w:textAlignment w:val="baseline"/>
                    <w:rPr>
                      <w:rFonts w:hint="eastAsia" w:ascii="宋体" w:hAnsi="宋体" w:eastAsia="宋体" w:cs="宋体"/>
                      <w:b/>
                      <w:bCs/>
                      <w:snapToGrid/>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snapToGrid/>
                      <w:color w:val="000000" w:themeColor="text1"/>
                      <w:kern w:val="0"/>
                      <w:sz w:val="21"/>
                      <w:szCs w:val="21"/>
                      <w:highlight w:val="none"/>
                      <w:lang w:val="en-US" w:eastAsia="zh-CN" w:bidi="ar-SA"/>
                      <w14:textFill>
                        <w14:solidFill>
                          <w14:schemeClr w14:val="tx1"/>
                        </w14:solidFill>
                      </w14:textFill>
                    </w:rPr>
                    <w:t>号球</w:t>
                  </w:r>
                </w:p>
              </w:tc>
              <w:tc>
                <w:tcPr>
                  <w:tcW w:w="1044"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1A0410D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1</w:t>
                  </w:r>
                </w:p>
              </w:tc>
              <w:tc>
                <w:tcPr>
                  <w:tcW w:w="1050"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49BCEF3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2</w:t>
                  </w:r>
                </w:p>
              </w:tc>
              <w:tc>
                <w:tcPr>
                  <w:tcW w:w="990"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106FC0A1">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3</w:t>
                  </w:r>
                </w:p>
              </w:tc>
              <w:tc>
                <w:tcPr>
                  <w:tcW w:w="975"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744B538F">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4</w:t>
                  </w:r>
                </w:p>
              </w:tc>
              <w:tc>
                <w:tcPr>
                  <w:tcW w:w="1215"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62ECF17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5</w:t>
                  </w:r>
                </w:p>
              </w:tc>
              <w:tc>
                <w:tcPr>
                  <w:tcW w:w="1035"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3FAB992F">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6</w:t>
                  </w:r>
                </w:p>
              </w:tc>
              <w:tc>
                <w:tcPr>
                  <w:tcW w:w="930"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4AB70E55">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7</w:t>
                  </w:r>
                </w:p>
              </w:tc>
            </w:tr>
            <w:tr w14:paraId="096F86DF">
              <w:tblPrEx>
                <w:tblCellMar>
                  <w:top w:w="0" w:type="dxa"/>
                  <w:left w:w="108" w:type="dxa"/>
                  <w:bottom w:w="0" w:type="dxa"/>
                  <w:right w:w="108" w:type="dxa"/>
                </w:tblCellMar>
              </w:tblPrEx>
              <w:trPr>
                <w:trHeight w:val="347" w:hRule="atLeast"/>
              </w:trPr>
              <w:tc>
                <w:tcPr>
                  <w:tcW w:w="1725" w:type="dxa"/>
                  <w:tcBorders>
                    <w:top w:val="single" w:color="000000" w:sz="4" w:space="0"/>
                    <w:left w:val="single" w:color="000000" w:sz="4" w:space="0"/>
                    <w:bottom w:val="single" w:color="000000" w:sz="4" w:space="0"/>
                    <w:right w:val="single" w:color="000000" w:sz="4" w:space="0"/>
                  </w:tcBorders>
                  <w:noWrap w:val="0"/>
                  <w:vAlign w:val="center"/>
                </w:tcPr>
                <w:p w14:paraId="5608C584">
                  <w:pPr>
                    <w:keepNext w:val="0"/>
                    <w:keepLines w:val="0"/>
                    <w:widowControl w:val="0"/>
                    <w:suppressLineNumbers w:val="0"/>
                    <w:kinsoku/>
                    <w:autoSpaceDE/>
                    <w:autoSpaceDN/>
                    <w:adjustRightInd w:val="0"/>
                    <w:snapToGrid/>
                    <w:spacing w:before="0" w:beforeAutospacing="0" w:after="0" w:afterAutospacing="0" w:line="360" w:lineRule="atLeast"/>
                    <w:ind w:left="0" w:right="0"/>
                    <w:jc w:val="center"/>
                    <w:textAlignment w:val="baseline"/>
                    <w:rPr>
                      <w:rFonts w:hint="eastAsia" w:ascii="宋体" w:hAnsi="宋体" w:eastAsia="宋体" w:cs="宋体"/>
                      <w:b/>
                      <w:bCs/>
                      <w:snapToGrid/>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snapToGrid/>
                      <w:color w:val="000000" w:themeColor="text1"/>
                      <w:kern w:val="0"/>
                      <w:sz w:val="21"/>
                      <w:szCs w:val="21"/>
                      <w:highlight w:val="none"/>
                      <w:lang w:val="en-US" w:eastAsia="zh-CN" w:bidi="ar-SA"/>
                      <w14:textFill>
                        <w14:solidFill>
                          <w14:schemeClr w14:val="tx1"/>
                        </w14:solidFill>
                      </w14:textFill>
                    </w:rPr>
                    <w:t>下浮系数（%）</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39069851">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1.0</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C1850CF">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1.1</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73F805B">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1.2</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43DC9D20">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1.3</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24B829C8">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1.4</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19660D62">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1.5</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5D586F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1.6</w:t>
                  </w:r>
                </w:p>
              </w:tc>
            </w:tr>
            <w:tr w14:paraId="7BD69DAB">
              <w:tblPrEx>
                <w:tblCellMar>
                  <w:top w:w="0" w:type="dxa"/>
                  <w:left w:w="108" w:type="dxa"/>
                  <w:bottom w:w="0" w:type="dxa"/>
                  <w:right w:w="108" w:type="dxa"/>
                </w:tblCellMar>
              </w:tblPrEx>
              <w:trPr>
                <w:trHeight w:val="313" w:hRule="atLeast"/>
              </w:trPr>
              <w:tc>
                <w:tcPr>
                  <w:tcW w:w="1725"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3090C2E0">
                  <w:pPr>
                    <w:keepNext w:val="0"/>
                    <w:keepLines w:val="0"/>
                    <w:widowControl w:val="0"/>
                    <w:suppressLineNumbers w:val="0"/>
                    <w:kinsoku/>
                    <w:autoSpaceDE/>
                    <w:autoSpaceDN/>
                    <w:adjustRightInd w:val="0"/>
                    <w:snapToGrid/>
                    <w:spacing w:before="0" w:beforeAutospacing="0" w:after="0" w:afterAutospacing="0" w:line="360" w:lineRule="atLeast"/>
                    <w:ind w:left="0" w:right="0"/>
                    <w:jc w:val="center"/>
                    <w:textAlignment w:val="baseline"/>
                    <w:rPr>
                      <w:rFonts w:hint="eastAsia" w:ascii="宋体" w:hAnsi="宋体" w:eastAsia="宋体" w:cs="宋体"/>
                      <w:b/>
                      <w:bCs/>
                      <w:snapToGrid/>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snapToGrid/>
                      <w:color w:val="000000" w:themeColor="text1"/>
                      <w:kern w:val="0"/>
                      <w:sz w:val="21"/>
                      <w:szCs w:val="21"/>
                      <w:highlight w:val="none"/>
                      <w:lang w:val="en-US" w:eastAsia="zh-CN" w:bidi="ar-SA"/>
                      <w14:textFill>
                        <w14:solidFill>
                          <w14:schemeClr w14:val="tx1"/>
                        </w14:solidFill>
                      </w14:textFill>
                    </w:rPr>
                    <w:t>号球</w:t>
                  </w:r>
                </w:p>
              </w:tc>
              <w:tc>
                <w:tcPr>
                  <w:tcW w:w="1044"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66015818">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8</w:t>
                  </w:r>
                </w:p>
              </w:tc>
              <w:tc>
                <w:tcPr>
                  <w:tcW w:w="1050"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52F6C89F">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9</w:t>
                  </w:r>
                </w:p>
              </w:tc>
              <w:tc>
                <w:tcPr>
                  <w:tcW w:w="990"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6211FCE9">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10</w:t>
                  </w:r>
                </w:p>
              </w:tc>
              <w:tc>
                <w:tcPr>
                  <w:tcW w:w="975"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3B36B5A9">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11</w:t>
                  </w:r>
                </w:p>
              </w:tc>
              <w:tc>
                <w:tcPr>
                  <w:tcW w:w="1215"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515218D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12</w:t>
                  </w:r>
                </w:p>
              </w:tc>
              <w:tc>
                <w:tcPr>
                  <w:tcW w:w="1035"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78D5BC9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13</w:t>
                  </w:r>
                </w:p>
              </w:tc>
              <w:tc>
                <w:tcPr>
                  <w:tcW w:w="930"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0B19595B">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14</w:t>
                  </w:r>
                </w:p>
              </w:tc>
            </w:tr>
            <w:tr w14:paraId="69895145">
              <w:tblPrEx>
                <w:tblCellMar>
                  <w:top w:w="0" w:type="dxa"/>
                  <w:left w:w="108" w:type="dxa"/>
                  <w:bottom w:w="0" w:type="dxa"/>
                  <w:right w:w="108" w:type="dxa"/>
                </w:tblCellMar>
              </w:tblPrEx>
              <w:trPr>
                <w:trHeight w:val="313" w:hRule="atLeast"/>
              </w:trPr>
              <w:tc>
                <w:tcPr>
                  <w:tcW w:w="1725" w:type="dxa"/>
                  <w:tcBorders>
                    <w:top w:val="single" w:color="000000" w:sz="4" w:space="0"/>
                    <w:left w:val="single" w:color="000000" w:sz="4" w:space="0"/>
                    <w:bottom w:val="single" w:color="000000" w:sz="4" w:space="0"/>
                    <w:right w:val="single" w:color="000000" w:sz="4" w:space="0"/>
                  </w:tcBorders>
                  <w:noWrap w:val="0"/>
                  <w:vAlign w:val="center"/>
                </w:tcPr>
                <w:p w14:paraId="2EC4DAE2">
                  <w:pPr>
                    <w:keepNext w:val="0"/>
                    <w:keepLines w:val="0"/>
                    <w:widowControl w:val="0"/>
                    <w:suppressLineNumbers w:val="0"/>
                    <w:kinsoku/>
                    <w:autoSpaceDE/>
                    <w:autoSpaceDN/>
                    <w:adjustRightInd w:val="0"/>
                    <w:snapToGrid/>
                    <w:spacing w:before="0" w:beforeAutospacing="0" w:after="0" w:afterAutospacing="0" w:line="360" w:lineRule="atLeast"/>
                    <w:ind w:left="0" w:right="0"/>
                    <w:jc w:val="center"/>
                    <w:textAlignment w:val="baseline"/>
                    <w:rPr>
                      <w:rFonts w:hint="eastAsia" w:ascii="宋体" w:hAnsi="宋体" w:eastAsia="宋体" w:cs="宋体"/>
                      <w:b/>
                      <w:bCs/>
                      <w:snapToGrid/>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snapToGrid/>
                      <w:color w:val="000000" w:themeColor="text1"/>
                      <w:kern w:val="0"/>
                      <w:sz w:val="21"/>
                      <w:szCs w:val="21"/>
                      <w:highlight w:val="none"/>
                      <w:lang w:val="en-US" w:eastAsia="zh-CN" w:bidi="ar-SA"/>
                      <w14:textFill>
                        <w14:solidFill>
                          <w14:schemeClr w14:val="tx1"/>
                        </w14:solidFill>
                      </w14:textFill>
                    </w:rPr>
                    <w:t>下浮系数（%）</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15034489">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1.7</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1BD14AF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1.8</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633E4CB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1.9</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52C60FC4">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2.0</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2B884499">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2.1</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1609AE0D">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2.2</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0706338">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2.3</w:t>
                  </w:r>
                </w:p>
              </w:tc>
            </w:tr>
            <w:tr w14:paraId="368492A6">
              <w:tblPrEx>
                <w:tblCellMar>
                  <w:top w:w="0" w:type="dxa"/>
                  <w:left w:w="108" w:type="dxa"/>
                  <w:bottom w:w="0" w:type="dxa"/>
                  <w:right w:w="108" w:type="dxa"/>
                </w:tblCellMar>
              </w:tblPrEx>
              <w:trPr>
                <w:trHeight w:val="288" w:hRule="atLeast"/>
              </w:trPr>
              <w:tc>
                <w:tcPr>
                  <w:tcW w:w="1725"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25C76861">
                  <w:pPr>
                    <w:keepNext w:val="0"/>
                    <w:keepLines w:val="0"/>
                    <w:widowControl w:val="0"/>
                    <w:suppressLineNumbers w:val="0"/>
                    <w:kinsoku/>
                    <w:autoSpaceDE/>
                    <w:autoSpaceDN/>
                    <w:adjustRightInd w:val="0"/>
                    <w:snapToGrid/>
                    <w:spacing w:before="0" w:beforeAutospacing="0" w:after="0" w:afterAutospacing="0" w:line="360" w:lineRule="atLeast"/>
                    <w:ind w:left="0" w:right="0"/>
                    <w:jc w:val="center"/>
                    <w:textAlignment w:val="baseline"/>
                    <w:rPr>
                      <w:rFonts w:hint="eastAsia" w:ascii="宋体" w:hAnsi="宋体" w:eastAsia="宋体" w:cs="宋体"/>
                      <w:b/>
                      <w:bCs/>
                      <w:snapToGrid/>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snapToGrid/>
                      <w:color w:val="000000" w:themeColor="text1"/>
                      <w:kern w:val="0"/>
                      <w:sz w:val="21"/>
                      <w:szCs w:val="21"/>
                      <w:highlight w:val="none"/>
                      <w:lang w:val="en-US" w:eastAsia="zh-CN" w:bidi="ar-SA"/>
                      <w14:textFill>
                        <w14:solidFill>
                          <w14:schemeClr w14:val="tx1"/>
                        </w14:solidFill>
                      </w14:textFill>
                    </w:rPr>
                    <w:t>号球</w:t>
                  </w:r>
                </w:p>
              </w:tc>
              <w:tc>
                <w:tcPr>
                  <w:tcW w:w="1044"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312250E9">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15</w:t>
                  </w:r>
                </w:p>
              </w:tc>
              <w:tc>
                <w:tcPr>
                  <w:tcW w:w="1050"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02AC240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16</w:t>
                  </w:r>
                </w:p>
              </w:tc>
              <w:tc>
                <w:tcPr>
                  <w:tcW w:w="990"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2CEB2B01">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17</w:t>
                  </w:r>
                </w:p>
              </w:tc>
              <w:tc>
                <w:tcPr>
                  <w:tcW w:w="975"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6343F47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18</w:t>
                  </w:r>
                </w:p>
              </w:tc>
              <w:tc>
                <w:tcPr>
                  <w:tcW w:w="1215"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598B6320">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19</w:t>
                  </w:r>
                </w:p>
              </w:tc>
              <w:tc>
                <w:tcPr>
                  <w:tcW w:w="1035"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568221D2">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20</w:t>
                  </w:r>
                </w:p>
              </w:tc>
              <w:tc>
                <w:tcPr>
                  <w:tcW w:w="930"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769A027F">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1"/>
                      <w:szCs w:val="21"/>
                      <w:highlight w:val="none"/>
                      <w:lang w:eastAsia="zh-CN"/>
                      <w14:textFill>
                        <w14:solidFill>
                          <w14:schemeClr w14:val="tx1"/>
                        </w14:solidFill>
                      </w14:textFill>
                    </w:rPr>
                    <w:t>21</w:t>
                  </w:r>
                </w:p>
              </w:tc>
            </w:tr>
            <w:tr w14:paraId="66DB1362">
              <w:tblPrEx>
                <w:tblCellMar>
                  <w:top w:w="0" w:type="dxa"/>
                  <w:left w:w="108" w:type="dxa"/>
                  <w:bottom w:w="0" w:type="dxa"/>
                  <w:right w:w="108" w:type="dxa"/>
                </w:tblCellMar>
              </w:tblPrEx>
              <w:trPr>
                <w:trHeight w:val="385" w:hRule="atLeast"/>
              </w:trPr>
              <w:tc>
                <w:tcPr>
                  <w:tcW w:w="1725" w:type="dxa"/>
                  <w:tcBorders>
                    <w:top w:val="single" w:color="000000" w:sz="4" w:space="0"/>
                    <w:left w:val="single" w:color="000000" w:sz="4" w:space="0"/>
                    <w:bottom w:val="single" w:color="000000" w:sz="4" w:space="0"/>
                    <w:right w:val="single" w:color="000000" w:sz="4" w:space="0"/>
                  </w:tcBorders>
                  <w:noWrap w:val="0"/>
                  <w:vAlign w:val="center"/>
                </w:tcPr>
                <w:p w14:paraId="54C8DCDA">
                  <w:pPr>
                    <w:keepNext w:val="0"/>
                    <w:keepLines w:val="0"/>
                    <w:widowControl w:val="0"/>
                    <w:suppressLineNumbers w:val="0"/>
                    <w:kinsoku/>
                    <w:autoSpaceDE/>
                    <w:autoSpaceDN/>
                    <w:adjustRightInd w:val="0"/>
                    <w:snapToGrid/>
                    <w:spacing w:before="0" w:beforeAutospacing="0" w:after="0" w:afterAutospacing="0" w:line="360" w:lineRule="atLeast"/>
                    <w:ind w:left="0" w:right="0"/>
                    <w:jc w:val="center"/>
                    <w:textAlignment w:val="baseline"/>
                    <w:rPr>
                      <w:rFonts w:hint="eastAsia" w:ascii="宋体" w:hAnsi="宋体" w:eastAsia="宋体" w:cs="宋体"/>
                      <w:b/>
                      <w:bCs/>
                      <w:snapToGrid/>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snapToGrid/>
                      <w:color w:val="000000" w:themeColor="text1"/>
                      <w:kern w:val="0"/>
                      <w:sz w:val="21"/>
                      <w:szCs w:val="21"/>
                      <w:highlight w:val="none"/>
                      <w:lang w:val="en-US" w:eastAsia="zh-CN" w:bidi="ar-SA"/>
                      <w14:textFill>
                        <w14:solidFill>
                          <w14:schemeClr w14:val="tx1"/>
                        </w14:solidFill>
                      </w14:textFill>
                    </w:rPr>
                    <w:t>下浮系数（%）</w:t>
                  </w:r>
                </w:p>
              </w:tc>
              <w:tc>
                <w:tcPr>
                  <w:tcW w:w="1044" w:type="dxa"/>
                  <w:tcBorders>
                    <w:top w:val="single" w:color="000000" w:sz="4" w:space="0"/>
                    <w:left w:val="single" w:color="000000" w:sz="4" w:space="0"/>
                    <w:bottom w:val="single" w:color="000000" w:sz="4" w:space="0"/>
                    <w:right w:val="single" w:color="000000" w:sz="4" w:space="0"/>
                  </w:tcBorders>
                  <w:noWrap w:val="0"/>
                  <w:vAlign w:val="center"/>
                </w:tcPr>
                <w:p w14:paraId="082B753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2.4</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CBF9F61">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2.5</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CC7E719">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2.6</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14:paraId="3A752005">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2.7</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14:paraId="7FFF710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2.8</w:t>
                  </w:r>
                </w:p>
              </w:tc>
              <w:tc>
                <w:tcPr>
                  <w:tcW w:w="1035" w:type="dxa"/>
                  <w:tcBorders>
                    <w:top w:val="single" w:color="000000" w:sz="4" w:space="0"/>
                    <w:left w:val="single" w:color="000000" w:sz="4" w:space="0"/>
                    <w:bottom w:val="single" w:color="000000" w:sz="4" w:space="0"/>
                    <w:right w:val="single" w:color="000000" w:sz="4" w:space="0"/>
                  </w:tcBorders>
                  <w:noWrap w:val="0"/>
                  <w:vAlign w:val="center"/>
                </w:tcPr>
                <w:p w14:paraId="444CC26B">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2.9</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2858C3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eastAsia="zh-CN"/>
                      <w14:textFill>
                        <w14:solidFill>
                          <w14:schemeClr w14:val="tx1"/>
                        </w14:solidFill>
                      </w14:textFill>
                    </w:rPr>
                    <w:t>3.0</w:t>
                  </w:r>
                </w:p>
              </w:tc>
            </w:tr>
          </w:tbl>
          <w:p w14:paraId="511D642F">
            <w:pPr>
              <w:keepNext w:val="0"/>
              <w:keepLines w:val="0"/>
              <w:widowControl w:val="0"/>
              <w:suppressLineNumbers w:val="0"/>
              <w:kinsoku/>
              <w:autoSpaceDE/>
              <w:autoSpaceDN/>
              <w:adjustRightInd w:val="0"/>
              <w:snapToGrid/>
              <w:spacing w:before="0" w:beforeAutospacing="0" w:after="0" w:afterAutospacing="0" w:line="360" w:lineRule="atLeast"/>
              <w:ind w:left="0" w:right="0" w:firstLine="420" w:firstLineChars="200"/>
              <w:jc w:val="left"/>
              <w:textAlignment w:val="baseline"/>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t>（2）评标基准价D＝</w:t>
            </w:r>
            <w:r>
              <w:rPr>
                <w:rFonts w:hint="eastAsia" w:ascii="宋体" w:hAnsi="宋体" w:eastAsia="宋体" w:cs="宋体"/>
                <w:b/>
                <w:bCs/>
                <w:snapToGrid/>
                <w:color w:val="000000" w:themeColor="text1"/>
                <w:kern w:val="0"/>
                <w:sz w:val="21"/>
                <w:szCs w:val="21"/>
                <w:highlight w:val="none"/>
                <w:lang w:val="en-US" w:eastAsia="zh-CN" w:bidi="ar-SA"/>
                <w14:textFill>
                  <w14:solidFill>
                    <w14:schemeClr w14:val="tx1"/>
                  </w14:solidFill>
                </w14:textFill>
              </w:rPr>
              <w:t>最高投标限价</w:t>
            </w:r>
            <w:r>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t>×（1－n）</w:t>
            </w:r>
          </w:p>
        </w:tc>
      </w:tr>
      <w:tr w14:paraId="4519D099">
        <w:tblPrEx>
          <w:tblCellMar>
            <w:top w:w="0" w:type="dxa"/>
            <w:left w:w="108" w:type="dxa"/>
            <w:bottom w:w="0" w:type="dxa"/>
            <w:right w:w="108" w:type="dxa"/>
          </w:tblCellMar>
        </w:tblPrEx>
        <w:trPr>
          <w:trHeight w:val="2646" w:hRule="atLeast"/>
          <w:jc w:val="center"/>
        </w:trPr>
        <w:tc>
          <w:tcPr>
            <w:tcW w:w="1295" w:type="dxa"/>
            <w:tcBorders>
              <w:top w:val="single" w:color="auto" w:sz="4" w:space="0"/>
              <w:left w:val="single" w:color="auto" w:sz="4" w:space="0"/>
              <w:bottom w:val="single" w:color="auto" w:sz="4" w:space="0"/>
              <w:right w:val="single" w:color="auto" w:sz="4" w:space="0"/>
            </w:tcBorders>
            <w:noWrap w:val="0"/>
            <w:vAlign w:val="center"/>
          </w:tcPr>
          <w:p w14:paraId="48C0D7DB">
            <w:pPr>
              <w:keepNext w:val="0"/>
              <w:keepLines w:val="0"/>
              <w:widowControl w:val="0"/>
              <w:suppressLineNumbers w:val="0"/>
              <w:kinsoku/>
              <w:autoSpaceDE/>
              <w:autoSpaceDN/>
              <w:adjustRightInd w:val="0"/>
              <w:snapToGrid/>
              <w:spacing w:before="0" w:beforeAutospacing="0" w:after="0" w:afterAutospacing="0" w:line="360" w:lineRule="atLeast"/>
              <w:ind w:left="0" w:right="0"/>
              <w:jc w:val="center"/>
              <w:textAlignment w:val="baseline"/>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t>投标报价</w:t>
            </w:r>
          </w:p>
          <w:p w14:paraId="022B1CB7">
            <w:pPr>
              <w:keepNext w:val="0"/>
              <w:keepLines w:val="0"/>
              <w:widowControl w:val="0"/>
              <w:suppressLineNumbers w:val="0"/>
              <w:kinsoku/>
              <w:autoSpaceDE/>
              <w:autoSpaceDN/>
              <w:adjustRightInd w:val="0"/>
              <w:snapToGrid/>
              <w:spacing w:before="0" w:beforeAutospacing="0" w:after="0" w:afterAutospacing="0" w:line="360" w:lineRule="atLeast"/>
              <w:ind w:left="0" w:right="0"/>
              <w:jc w:val="center"/>
              <w:textAlignment w:val="baseline"/>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t>得分N</w:t>
            </w:r>
          </w:p>
        </w:tc>
        <w:tc>
          <w:tcPr>
            <w:tcW w:w="9519" w:type="dxa"/>
            <w:gridSpan w:val="3"/>
            <w:tcBorders>
              <w:top w:val="single" w:color="auto" w:sz="4" w:space="0"/>
              <w:left w:val="single" w:color="auto" w:sz="4" w:space="0"/>
              <w:bottom w:val="single" w:color="auto" w:sz="4" w:space="0"/>
              <w:right w:val="single" w:color="auto" w:sz="4" w:space="0"/>
            </w:tcBorders>
            <w:noWrap w:val="0"/>
            <w:vAlign w:val="center"/>
          </w:tcPr>
          <w:p w14:paraId="6AA0C063">
            <w:pPr>
              <w:keepNext w:val="0"/>
              <w:keepLines w:val="0"/>
              <w:widowControl w:val="0"/>
              <w:suppressLineNumbers w:val="0"/>
              <w:kinsoku/>
              <w:autoSpaceDE/>
              <w:autoSpaceDN/>
              <w:adjustRightInd w:val="0"/>
              <w:snapToGrid/>
              <w:spacing w:before="0" w:beforeAutospacing="0" w:after="0" w:afterAutospacing="0" w:line="360" w:lineRule="auto"/>
              <w:ind w:left="0" w:right="0" w:firstLine="420" w:firstLineChars="200"/>
              <w:jc w:val="left"/>
              <w:textAlignment w:val="baseline"/>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t>采用内插法计算某投标人的投标报价得分N，即当投标人的投标总价等于评标基准价时得100分，每高于评标基准价一个百分点扣1分, 每低于评标基准价一个百分点扣0.5分，扣完为止。公式如下：</w:t>
            </w:r>
          </w:p>
          <w:p w14:paraId="1A2BE0A0">
            <w:pPr>
              <w:keepNext w:val="0"/>
              <w:keepLines w:val="0"/>
              <w:widowControl w:val="0"/>
              <w:suppressLineNumbers w:val="0"/>
              <w:kinsoku/>
              <w:autoSpaceDE/>
              <w:autoSpaceDN/>
              <w:adjustRightInd w:val="0"/>
              <w:snapToGrid/>
              <w:spacing w:before="0" w:beforeAutospacing="0" w:after="0" w:afterAutospacing="0" w:line="360" w:lineRule="auto"/>
              <w:ind w:left="0" w:right="0" w:firstLine="420" w:firstLineChars="200"/>
              <w:jc w:val="left"/>
              <w:textAlignment w:val="baseline"/>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t>N＝100－（| Di－D | ÷D）×100×E</w:t>
            </w:r>
          </w:p>
          <w:p w14:paraId="4D5EA5E1">
            <w:pPr>
              <w:keepNext w:val="0"/>
              <w:keepLines w:val="0"/>
              <w:widowControl w:val="0"/>
              <w:suppressLineNumbers w:val="0"/>
              <w:kinsoku/>
              <w:autoSpaceDE/>
              <w:autoSpaceDN/>
              <w:adjustRightInd w:val="0"/>
              <w:snapToGrid/>
              <w:spacing w:before="0" w:beforeAutospacing="0" w:after="0" w:afterAutospacing="0" w:line="360" w:lineRule="auto"/>
              <w:ind w:left="0" w:right="0" w:firstLine="420" w:firstLineChars="200"/>
              <w:jc w:val="left"/>
              <w:textAlignment w:val="baseline"/>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snapToGrid/>
                <w:color w:val="000000" w:themeColor="text1"/>
                <w:kern w:val="0"/>
                <w:sz w:val="21"/>
                <w:szCs w:val="21"/>
                <w:highlight w:val="none"/>
                <w:lang w:val="en-US" w:eastAsia="zh-CN" w:bidi="ar-SA"/>
                <w14:textFill>
                  <w14:solidFill>
                    <w14:schemeClr w14:val="tx1"/>
                  </w14:solidFill>
                </w14:textFill>
              </w:rPr>
              <w:t>式中：D为评标基准价；Di为某投标人的投标总价；E为扣分因子，当Di＞D时，E＝1 ；当Di＜D时，E＝0.5。</w:t>
            </w:r>
          </w:p>
        </w:tc>
      </w:tr>
    </w:tbl>
    <w:p w14:paraId="4A7BEF82">
      <w:pPr>
        <w:keepNext w:val="0"/>
        <w:keepLines w:val="0"/>
        <w:pageBreakBefore w:val="0"/>
        <w:wordWrap w:val="0"/>
        <w:overflowPunct/>
        <w:topLinePunct w:val="0"/>
        <w:bidi w:val="0"/>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134" w:name="_Toc5769"/>
      <w:bookmarkStart w:id="135" w:name="_Toc17436"/>
      <w:bookmarkStart w:id="136" w:name="_Toc9725"/>
      <w:bookmarkStart w:id="137" w:name="_Toc31744"/>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3E3DF6AC">
      <w:pPr>
        <w:keepNext w:val="0"/>
        <w:keepLines w:val="0"/>
        <w:pageBreakBefore w:val="0"/>
        <w:wordWrap w:val="0"/>
        <w:overflowPunct/>
        <w:topLinePunct w:val="0"/>
        <w:bidi w:val="0"/>
        <w:spacing w:before="155" w:line="211" w:lineRule="auto"/>
        <w:ind w:firstLine="482" w:firstLineChars="200"/>
        <w:outlineLvl w:val="9"/>
        <w:rPr>
          <w:rFonts w:hint="eastAsia" w:ascii="宋体" w:hAnsi="宋体" w:eastAsia="宋体" w:cs="宋体"/>
          <w:color w:val="000000" w:themeColor="text1"/>
          <w:spacing w:val="0"/>
          <w:sz w:val="25"/>
          <w:szCs w:val="25"/>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15.5.2  </w:t>
      </w:r>
      <w:r>
        <w:rPr>
          <w:rFonts w:hint="eastAsia" w:ascii="宋体" w:hAnsi="宋体" w:eastAsia="宋体" w:cs="宋体"/>
          <w:color w:val="000000" w:themeColor="text1"/>
          <w:spacing w:val="0"/>
          <w:sz w:val="24"/>
          <w:szCs w:val="24"/>
          <w:highlight w:val="none"/>
          <w14:textFill>
            <w14:solidFill>
              <w14:schemeClr w14:val="tx1"/>
            </w14:solidFill>
          </w14:textFill>
        </w:rPr>
        <w:t>否决投标说明</w:t>
      </w:r>
      <w:bookmarkEnd w:id="134"/>
      <w:bookmarkEnd w:id="135"/>
      <w:bookmarkEnd w:id="136"/>
      <w:bookmarkEnd w:id="137"/>
    </w:p>
    <w:p w14:paraId="7A2EE53E">
      <w:pPr>
        <w:keepNext w:val="0"/>
        <w:keepLines w:val="0"/>
        <w:pageBreakBefore w:val="0"/>
        <w:wordWrap w:val="0"/>
        <w:overflowPunct/>
        <w:topLinePunct w:val="0"/>
        <w:bidi w:val="0"/>
        <w:spacing w:before="150" w:line="332" w:lineRule="auto"/>
        <w:ind w:left="10" w:right="195" w:firstLine="56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详细评审阶段否决投标的全部条件，在本章第四节“否决投标条件”第 4 条中集中列示。投标人有其中所列任何一种情形的，由评标委员会否决其投标。评标委员会经评审，认为所有投标都不符合招标文件要求的，可否决所有投标，项目的所有投标被否决的，招标人应依法重新组织招标。</w:t>
      </w:r>
    </w:p>
    <w:p w14:paraId="3E787E43">
      <w:pPr>
        <w:keepNext w:val="0"/>
        <w:keepLines w:val="0"/>
        <w:pageBreakBefore w:val="0"/>
        <w:wordWrap w:val="0"/>
        <w:overflowPunct/>
        <w:topLinePunct w:val="0"/>
        <w:bidi w:val="0"/>
        <w:spacing w:before="59" w:line="330" w:lineRule="auto"/>
        <w:ind w:left="10" w:right="195" w:firstLine="48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温馨提示</w:t>
      </w:r>
      <w:r>
        <w:rPr>
          <w:rFonts w:hint="eastAsia" w:ascii="宋体" w:hAnsi="宋体" w:eastAsia="宋体" w:cs="宋体"/>
          <w:b/>
          <w:bCs/>
          <w:color w:val="000000" w:themeColor="text1"/>
          <w:spacing w:val="0"/>
          <w:sz w:val="24"/>
          <w:szCs w:val="24"/>
          <w:highlight w:val="none"/>
          <w14:textFill>
            <w14:solidFill>
              <w14:schemeClr w14:val="tx1"/>
            </w14:solidFill>
          </w14:textFill>
        </w:rPr>
        <w:t>：投标人在详细评审阶段根据评分方法提供的佐证材料，其合法性、有效性和准确性不符合要求的，有关量化因素（或评分因素）的折算、调整（或评分）按相应量化标准（或评分标准）处理，但不否决投标。</w:t>
      </w:r>
    </w:p>
    <w:p w14:paraId="236714FC">
      <w:pPr>
        <w:keepNext w:val="0"/>
        <w:keepLines w:val="0"/>
        <w:pageBreakBefore w:val="0"/>
        <w:wordWrap w:val="0"/>
        <w:overflowPunct/>
        <w:topLinePunct w:val="0"/>
        <w:bidi w:val="0"/>
        <w:spacing w:before="78" w:line="220" w:lineRule="auto"/>
        <w:ind w:left="496"/>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38" w:name="bookmark137"/>
      <w:bookmarkEnd w:id="138"/>
      <w:bookmarkStart w:id="139" w:name="_Toc16384"/>
      <w:bookmarkStart w:id="140" w:name="_Toc18108"/>
      <w:bookmarkStart w:id="141" w:name="_Toc18006"/>
      <w:r>
        <w:rPr>
          <w:rFonts w:hint="eastAsia" w:ascii="宋体" w:hAnsi="宋体" w:eastAsia="宋体" w:cs="宋体"/>
          <w:b/>
          <w:bCs/>
          <w:color w:val="000000" w:themeColor="text1"/>
          <w:spacing w:val="0"/>
          <w:sz w:val="24"/>
          <w:szCs w:val="24"/>
          <w:highlight w:val="none"/>
          <w14:textFill>
            <w14:solidFill>
              <w14:schemeClr w14:val="tx1"/>
            </w14:solidFill>
          </w14:textFill>
        </w:rPr>
        <w:t>16 ．</w:t>
      </w:r>
      <w:bookmarkEnd w:id="139"/>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评标结果公示</w:t>
      </w:r>
      <w:bookmarkEnd w:id="140"/>
      <w:bookmarkEnd w:id="141"/>
    </w:p>
    <w:p w14:paraId="36E0651D">
      <w:pPr>
        <w:keepNext w:val="0"/>
        <w:keepLines w:val="0"/>
        <w:pageBreakBefore w:val="0"/>
        <w:wordWrap w:val="0"/>
        <w:overflowPunct/>
        <w:topLinePunct w:val="0"/>
        <w:bidi w:val="0"/>
        <w:spacing w:before="135" w:line="360" w:lineRule="auto"/>
        <w:ind w:left="2" w:right="105" w:firstLine="494"/>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16.1  </w:t>
      </w:r>
      <w:r>
        <w:rPr>
          <w:rFonts w:hint="eastAsia" w:ascii="宋体" w:hAnsi="宋体" w:eastAsia="宋体" w:cs="宋体"/>
          <w:color w:val="000000" w:themeColor="text1"/>
          <w:spacing w:val="0"/>
          <w:sz w:val="24"/>
          <w:szCs w:val="24"/>
          <w:highlight w:val="none"/>
          <w14:textFill>
            <w14:solidFill>
              <w14:schemeClr w14:val="tx1"/>
            </w14:solidFill>
          </w14:textFill>
        </w:rPr>
        <w:t>评标委员会按照投标人评审综合总得分由高到低的原则,向招标人推荐已明确的定标候选人数量（不标明排序）。评标委员会推荐定标候选人后，招标人应于评标会结束后3个</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日历天</w:t>
      </w:r>
      <w:r>
        <w:rPr>
          <w:rFonts w:hint="eastAsia" w:ascii="宋体" w:hAnsi="宋体" w:eastAsia="宋体" w:cs="宋体"/>
          <w:color w:val="000000" w:themeColor="text1"/>
          <w:spacing w:val="0"/>
          <w:sz w:val="24"/>
          <w:szCs w:val="24"/>
          <w:highlight w:val="none"/>
          <w14:textFill>
            <w14:solidFill>
              <w14:schemeClr w14:val="tx1"/>
            </w14:solidFill>
          </w14:textFill>
        </w:rPr>
        <w:t>内将定标候选人和评标情况在广东省招标投标监管网和全国公共资源交易平台（广东省·韶关市）上公示，公示时间不少于3个</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日历天</w:t>
      </w:r>
      <w:r>
        <w:rPr>
          <w:rFonts w:hint="eastAsia" w:ascii="宋体" w:hAnsi="宋体" w:eastAsia="宋体" w:cs="宋体"/>
          <w:color w:val="000000" w:themeColor="text1"/>
          <w:spacing w:val="0"/>
          <w:sz w:val="24"/>
          <w:szCs w:val="24"/>
          <w:highlight w:val="none"/>
          <w14:textFill>
            <w14:solidFill>
              <w14:schemeClr w14:val="tx1"/>
            </w14:solidFill>
          </w14:textFill>
        </w:rPr>
        <w:t>。公示主要内容包括：</w:t>
      </w:r>
    </w:p>
    <w:p w14:paraId="4A1D4141">
      <w:pPr>
        <w:keepNext w:val="0"/>
        <w:keepLines w:val="0"/>
        <w:pageBreakBefore w:val="0"/>
        <w:wordWrap w:val="0"/>
        <w:overflowPunct/>
        <w:topLinePunct w:val="0"/>
        <w:bidi w:val="0"/>
        <w:spacing w:before="135" w:line="360" w:lineRule="auto"/>
        <w:ind w:left="2" w:right="105" w:firstLine="494"/>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（1）定标候选人名称、投标报价、业绩奖项、质量、工期、拟派驻招标项目管理机构人员信息等；</w:t>
      </w:r>
    </w:p>
    <w:p w14:paraId="44CAB5F6">
      <w:pPr>
        <w:keepNext w:val="0"/>
        <w:keepLines w:val="0"/>
        <w:pageBreakBefore w:val="0"/>
        <w:wordWrap w:val="0"/>
        <w:overflowPunct/>
        <w:topLinePunct w:val="0"/>
        <w:bidi w:val="0"/>
        <w:spacing w:before="135" w:line="360" w:lineRule="auto"/>
        <w:ind w:left="479" w:leftChars="228" w:right="105" w:firstLine="0" w:firstLineChars="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（2）定标候选人按照招标文件要求承诺的项目负责人姓名及相关证书名称和编号；（3）响应招标文件要求的资格能力条件；</w:t>
      </w:r>
    </w:p>
    <w:p w14:paraId="0308086C">
      <w:pPr>
        <w:keepNext w:val="0"/>
        <w:keepLines w:val="0"/>
        <w:pageBreakBefore w:val="0"/>
        <w:wordWrap w:val="0"/>
        <w:overflowPunct/>
        <w:topLinePunct w:val="0"/>
        <w:bidi w:val="0"/>
        <w:spacing w:before="135" w:line="360" w:lineRule="auto"/>
        <w:ind w:left="479" w:leftChars="228" w:right="105" w:firstLine="0" w:firstLineChars="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（4）提出异议的渠道和方式；</w:t>
      </w:r>
    </w:p>
    <w:p w14:paraId="0F8E2045">
      <w:pPr>
        <w:keepNext w:val="0"/>
        <w:keepLines w:val="0"/>
        <w:pageBreakBefore w:val="0"/>
        <w:wordWrap w:val="0"/>
        <w:overflowPunct/>
        <w:topLinePunct w:val="0"/>
        <w:bidi w:val="0"/>
        <w:spacing w:before="135" w:line="360" w:lineRule="auto"/>
        <w:ind w:left="0" w:leftChars="0" w:right="105" w:firstLine="480" w:firstLineChars="20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（5）评标专家代码（评标专家姓名可用代码进行标示，如专家一、专家二等）及其对应的具体评标意见（含对否决投标人相关意见等）以及评标报告；</w:t>
      </w:r>
    </w:p>
    <w:p w14:paraId="6DCA342C">
      <w:pPr>
        <w:keepNext w:val="0"/>
        <w:keepLines w:val="0"/>
        <w:pageBreakBefore w:val="0"/>
        <w:wordWrap w:val="0"/>
        <w:overflowPunct/>
        <w:topLinePunct w:val="0"/>
        <w:bidi w:val="0"/>
        <w:spacing w:before="135" w:line="360" w:lineRule="auto"/>
        <w:ind w:left="479" w:leftChars="228" w:right="105" w:firstLine="0" w:firstLineChars="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（6）投标文件；</w:t>
      </w:r>
    </w:p>
    <w:p w14:paraId="7A14EF34">
      <w:pPr>
        <w:keepNext w:val="0"/>
        <w:keepLines w:val="0"/>
        <w:pageBreakBefore w:val="0"/>
        <w:wordWrap w:val="0"/>
        <w:overflowPunct/>
        <w:topLinePunct w:val="0"/>
        <w:bidi w:val="0"/>
        <w:spacing w:before="135" w:line="360" w:lineRule="auto"/>
        <w:ind w:left="479" w:leftChars="228" w:right="105" w:firstLine="0" w:firstLineChars="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（7）招标文件确认公示的其他内容。</w:t>
      </w:r>
    </w:p>
    <w:p w14:paraId="266A4FA3">
      <w:pPr>
        <w:keepNext w:val="0"/>
        <w:keepLines w:val="0"/>
        <w:pageBreakBefore w:val="0"/>
        <w:wordWrap w:val="0"/>
        <w:overflowPunct/>
        <w:topLinePunct w:val="0"/>
        <w:bidi w:val="0"/>
        <w:spacing w:before="135" w:line="316" w:lineRule="auto"/>
        <w:ind w:left="2" w:right="105" w:firstLine="494"/>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sz w:val="24"/>
          <w:szCs w:val="24"/>
          <w:highlight w:val="none"/>
          <w:lang w:val="en-US" w:eastAsia="zh-CN" w:bidi="ar-SA"/>
          <w14:textFill>
            <w14:solidFill>
              <w14:schemeClr w14:val="tx1"/>
            </w14:solidFill>
          </w14:textFill>
        </w:rPr>
        <w:t>16.2</w:t>
      </w:r>
      <w:r>
        <w:rPr>
          <w:rFonts w:hint="eastAsia" w:ascii="宋体" w:hAnsi="宋体" w:eastAsia="宋体" w:cs="宋体"/>
          <w:snapToGrid w:val="0"/>
          <w:color w:val="000000" w:themeColor="text1"/>
          <w:spacing w:val="0"/>
          <w:sz w:val="24"/>
          <w:szCs w:val="24"/>
          <w:highlight w:val="none"/>
          <w:lang w:val="en-US" w:eastAsia="zh-CN" w:bidi="ar-SA"/>
          <w14:textFill>
            <w14:solidFill>
              <w14:schemeClr w14:val="tx1"/>
            </w14:solidFill>
          </w14:textFill>
        </w:rPr>
        <w:t xml:space="preserve"> 投标人或其他利害关系人对定标候选人有异议的，应当在公示期内提出。异议及投诉处理，严格按照招标投标有关法律法规及《韶关市工程建设项目招标投标活动异议和投诉处理办法》的规定执行。招标人及其评标委员会发现招标投标活动存在违反法律法规规定的，由招标人向有关监管部门投诉。</w:t>
      </w:r>
    </w:p>
    <w:p w14:paraId="0F1389C7">
      <w:pPr>
        <w:keepNext w:val="0"/>
        <w:keepLines w:val="0"/>
        <w:pageBreakBefore w:val="0"/>
        <w:wordWrap w:val="0"/>
        <w:overflowPunct/>
        <w:topLinePunct w:val="0"/>
        <w:bidi w:val="0"/>
        <w:spacing w:line="309"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41EC22B">
      <w:pPr>
        <w:pStyle w:val="25"/>
        <w:rPr>
          <w:rFonts w:hint="eastAsia"/>
          <w:color w:val="000000" w:themeColor="text1"/>
          <w:highlight w:val="none"/>
          <w14:textFill>
            <w14:solidFill>
              <w14:schemeClr w14:val="tx1"/>
            </w14:solidFill>
          </w14:textFill>
        </w:rPr>
        <w:sectPr>
          <w:headerReference r:id="rId9" w:type="default"/>
          <w:footerReference r:id="rId10" w:type="default"/>
          <w:pgSz w:w="11906" w:h="16839"/>
          <w:pgMar w:top="1440" w:right="1253" w:bottom="1440" w:left="1253" w:header="0" w:footer="1020" w:gutter="0"/>
          <w:pgBorders>
            <w:top w:val="none" w:sz="0" w:space="0"/>
            <w:left w:val="none" w:sz="0" w:space="0"/>
            <w:bottom w:val="none" w:sz="0" w:space="0"/>
            <w:right w:val="none" w:sz="0" w:space="0"/>
          </w:pgBorders>
          <w:pgNumType w:fmt="decimal"/>
          <w:cols w:space="720" w:num="1"/>
          <w:rtlGutter w:val="0"/>
          <w:docGrid w:linePitch="0" w:charSpace="0"/>
        </w:sectPr>
      </w:pPr>
    </w:p>
    <w:p w14:paraId="4598D3DD">
      <w:pPr>
        <w:keepNext w:val="0"/>
        <w:keepLines w:val="0"/>
        <w:pageBreakBefore w:val="0"/>
        <w:wordWrap w:val="0"/>
        <w:overflowPunct/>
        <w:topLinePunct w:val="0"/>
        <w:bidi w:val="0"/>
        <w:spacing w:before="78" w:line="220" w:lineRule="auto"/>
        <w:ind w:left="9"/>
        <w:jc w:val="center"/>
        <w:outlineLvl w:val="1"/>
        <w:rPr>
          <w:rFonts w:hint="eastAsia" w:ascii="宋体" w:hAnsi="宋体" w:eastAsia="宋体" w:cs="宋体"/>
          <w:color w:val="000000" w:themeColor="text1"/>
          <w:spacing w:val="0"/>
          <w:sz w:val="24"/>
          <w:szCs w:val="24"/>
          <w:highlight w:val="none"/>
          <w14:textFill>
            <w14:solidFill>
              <w14:schemeClr w14:val="tx1"/>
            </w14:solidFill>
          </w14:textFill>
        </w:rPr>
      </w:pPr>
      <w:bookmarkStart w:id="142" w:name="bookmark138"/>
      <w:bookmarkEnd w:id="142"/>
      <w:bookmarkStart w:id="143" w:name="_Toc29076"/>
      <w:r>
        <w:rPr>
          <w:rFonts w:hint="eastAsia" w:ascii="宋体" w:hAnsi="宋体" w:eastAsia="宋体" w:cs="宋体"/>
          <w:b/>
          <w:bCs/>
          <w:color w:val="000000" w:themeColor="text1"/>
          <w:spacing w:val="0"/>
          <w:sz w:val="24"/>
          <w:szCs w:val="24"/>
          <w:highlight w:val="none"/>
          <w14:textFill>
            <w14:solidFill>
              <w14:schemeClr w14:val="tx1"/>
            </w14:solidFill>
          </w14:textFill>
        </w:rPr>
        <w:t>第四节</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否决投标条件</w:t>
      </w:r>
      <w:bookmarkEnd w:id="143"/>
    </w:p>
    <w:p w14:paraId="46F7EEA7">
      <w:pPr>
        <w:pStyle w:val="6"/>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highlight w:val="none"/>
          <w14:textFill>
            <w14:solidFill>
              <w14:schemeClr w14:val="tx1"/>
            </w14:solidFill>
          </w14:textFill>
        </w:rPr>
      </w:pPr>
    </w:p>
    <w:p w14:paraId="602D2B7C">
      <w:pPr>
        <w:keepNext w:val="0"/>
        <w:keepLines w:val="0"/>
        <w:pageBreakBefore w:val="0"/>
        <w:wordWrap w:val="0"/>
        <w:overflowPunct/>
        <w:topLinePunct w:val="0"/>
        <w:bidi w:val="0"/>
        <w:spacing w:before="78" w:line="330" w:lineRule="auto"/>
        <w:ind w:left="10" w:right="65" w:firstLine="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本节所集中列示的否决投标条件，是本章第三节“投标人须知正文 ”的组成部分，是对本章第三节所规定的否决投标条件的总结和补充。</w:t>
      </w:r>
      <w:r>
        <w:rPr>
          <w:rFonts w:hint="eastAsia" w:ascii="宋体" w:hAnsi="宋体" w:eastAsia="宋体" w:cs="宋体"/>
          <w:b/>
          <w:bCs/>
          <w:color w:val="000000" w:themeColor="text1"/>
          <w:spacing w:val="0"/>
          <w:sz w:val="24"/>
          <w:szCs w:val="24"/>
          <w:highlight w:val="none"/>
          <w14:textFill>
            <w14:solidFill>
              <w14:schemeClr w14:val="tx1"/>
            </w14:solidFill>
          </w14:textFill>
        </w:rPr>
        <w:t>投标人未有列入本节情形的，评标时一律不得否决其投标。</w:t>
      </w:r>
      <w:r>
        <w:rPr>
          <w:rFonts w:hint="eastAsia" w:ascii="宋体" w:hAnsi="宋体" w:eastAsia="宋体" w:cs="宋体"/>
          <w:color w:val="000000" w:themeColor="text1"/>
          <w:spacing w:val="0"/>
          <w:sz w:val="24"/>
          <w:szCs w:val="24"/>
          <w:highlight w:val="none"/>
          <w14:textFill>
            <w14:solidFill>
              <w14:schemeClr w14:val="tx1"/>
            </w14:solidFill>
          </w14:textFill>
        </w:rPr>
        <w:t>本节所称“规定 ”均指招标文件的规定。</w:t>
      </w:r>
    </w:p>
    <w:p w14:paraId="112C2E94">
      <w:pPr>
        <w:keepNext w:val="0"/>
        <w:keepLines w:val="0"/>
        <w:pageBreakBefore w:val="0"/>
        <w:wordWrap w:val="0"/>
        <w:overflowPunct/>
        <w:topLinePunct w:val="0"/>
        <w:bidi w:val="0"/>
        <w:spacing w:before="34" w:line="220" w:lineRule="auto"/>
        <w:ind w:left="49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44" w:name="_Toc30343"/>
      <w:r>
        <w:rPr>
          <w:rFonts w:hint="eastAsia" w:ascii="宋体" w:hAnsi="宋体" w:eastAsia="宋体" w:cs="宋体"/>
          <w:b/>
          <w:bCs/>
          <w:color w:val="000000" w:themeColor="text1"/>
          <w:spacing w:val="0"/>
          <w:sz w:val="24"/>
          <w:szCs w:val="24"/>
          <w:highlight w:val="none"/>
          <w14:textFill>
            <w14:solidFill>
              <w14:schemeClr w14:val="tx1"/>
            </w14:solidFill>
          </w14:textFill>
        </w:rPr>
        <w:t>1 ．资格评审环节</w:t>
      </w:r>
      <w:bookmarkEnd w:id="144"/>
    </w:p>
    <w:p w14:paraId="74FEF03C">
      <w:pPr>
        <w:keepNext w:val="0"/>
        <w:keepLines w:val="0"/>
        <w:pageBreakBefore w:val="0"/>
        <w:wordWrap w:val="0"/>
        <w:overflowPunct/>
        <w:topLinePunct w:val="0"/>
        <w:bidi w:val="0"/>
        <w:spacing w:before="152" w:line="327" w:lineRule="auto"/>
        <w:ind w:left="13" w:right="65" w:firstLine="47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投标人有下列情形之一的，评标委员会应否决其投标。被否决的投标人，不进入形式评审环节。</w:t>
      </w:r>
    </w:p>
    <w:p w14:paraId="45FE5554">
      <w:pPr>
        <w:keepNext w:val="0"/>
        <w:keepLines w:val="0"/>
        <w:pageBreakBefore w:val="0"/>
        <w:wordWrap w:val="0"/>
        <w:overflowPunct/>
        <w:topLinePunct w:val="0"/>
        <w:bidi w:val="0"/>
        <w:spacing w:before="32" w:line="219" w:lineRule="auto"/>
        <w:ind w:left="5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（1）有本章第三节第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 </w:t>
      </w:r>
      <w:r>
        <w:rPr>
          <w:rFonts w:hint="eastAsia" w:ascii="宋体" w:hAnsi="宋体" w:eastAsia="宋体" w:cs="宋体"/>
          <w:color w:val="000000" w:themeColor="text1"/>
          <w:spacing w:val="0"/>
          <w:sz w:val="24"/>
          <w:szCs w:val="24"/>
          <w:highlight w:val="none"/>
          <w14:textFill>
            <w14:solidFill>
              <w14:schemeClr w14:val="tx1"/>
            </w14:solidFill>
          </w14:textFill>
        </w:rPr>
        <w:t>条“禁止投标条款 ”规定的任何一种情形；</w:t>
      </w:r>
    </w:p>
    <w:p w14:paraId="03414978">
      <w:pPr>
        <w:keepNext w:val="0"/>
        <w:keepLines w:val="0"/>
        <w:pageBreakBefore w:val="0"/>
        <w:wordWrap w:val="0"/>
        <w:overflowPunct/>
        <w:topLinePunct w:val="0"/>
        <w:bidi w:val="0"/>
        <w:spacing w:before="154" w:line="220" w:lineRule="auto"/>
        <w:ind w:left="5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（2）投标人资质不符合规定的；</w:t>
      </w:r>
    </w:p>
    <w:p w14:paraId="32EED32B">
      <w:pPr>
        <w:keepNext w:val="0"/>
        <w:keepLines w:val="0"/>
        <w:pageBreakBefore w:val="0"/>
        <w:wordWrap w:val="0"/>
        <w:overflowPunct/>
        <w:topLinePunct w:val="0"/>
        <w:bidi w:val="0"/>
        <w:spacing w:before="153" w:line="315" w:lineRule="auto"/>
        <w:ind w:right="57" w:firstLine="5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人名称与营业执照、资质证书、安全生产许可证上的企业名称相互不一致的；其资质证书、安全生产许可证不是由住房城乡建设主管部门颁发的；营业执照、资质证书、安全生产许可证（含实时网页查询页，可参考网址 https://zlaq.mohurd.gov.cn/fwmh/bjxcjgl/fwmh/pages/construction_safety/qyaqscxkz/qyaqscxkz）被吊销、暂扣或不在有效期内的；</w:t>
      </w:r>
    </w:p>
    <w:p w14:paraId="0F2A74BC">
      <w:pPr>
        <w:keepNext w:val="0"/>
        <w:keepLines w:val="0"/>
        <w:pageBreakBefore w:val="0"/>
        <w:wordWrap w:val="0"/>
        <w:overflowPunct/>
        <w:topLinePunct w:val="0"/>
        <w:bidi w:val="0"/>
        <w:spacing w:before="153" w:line="330" w:lineRule="auto"/>
        <w:ind w:left="9" w:right="66" w:firstLine="48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43462506">
      <w:pPr>
        <w:keepNext w:val="0"/>
        <w:keepLines w:val="0"/>
        <w:pageBreakBefore w:val="0"/>
        <w:wordWrap w:val="0"/>
        <w:overflowPunct/>
        <w:topLinePunct w:val="0"/>
        <w:bidi w:val="0"/>
        <w:spacing w:before="32" w:line="325" w:lineRule="auto"/>
        <w:ind w:left="10" w:right="65" w:firstLine="490"/>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（4）拟派项目经理、项目技术负责人、专职安全员的条件不符合规定的；拟派专职安全员数量不符合规定的；项目技术负责人未在投标文件《项目技术负责人简历表》中签</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字确认。</w:t>
      </w:r>
    </w:p>
    <w:p w14:paraId="1444556B">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温馨提示：建造师打印电子证书后，应在个人签名处手写本人签名，未手写签名或与签名图像笔迹不一致的，该电子证书无效。</w:t>
      </w:r>
    </w:p>
    <w:p w14:paraId="4C6FF416">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项目经理简历表》中拟派项目经理与《开标一览表》不一致的；拟派的项目经理未在投标文件《项目经理简历表》中签字确认；一级建造师的注册证书不是国家住建部颁发的；二级建造师的电子注册证书不是省级住建厅颁发的；建造师的注册单位与投标人不一致的；项目管理班子组成人员的各类证书、证件、证明不在有效期内的（</w:t>
      </w:r>
      <w:r>
        <w:rPr>
          <w:rFonts w:hint="eastAsia" w:ascii="宋体" w:hAnsi="宋体" w:eastAsia="宋体" w:cs="宋体"/>
          <w:b/>
          <w:bCs/>
          <w:color w:val="000000" w:themeColor="text1"/>
          <w:spacing w:val="0"/>
          <w:sz w:val="24"/>
          <w:szCs w:val="24"/>
          <w:highlight w:val="none"/>
          <w14:textFill>
            <w14:solidFill>
              <w14:schemeClr w14:val="tx1"/>
            </w14:solidFill>
          </w14:textFill>
        </w:rPr>
        <w:t>建造师注册证书不在使用有效期内的</w:t>
      </w:r>
      <w:r>
        <w:rPr>
          <w:rFonts w:hint="eastAsia" w:ascii="宋体" w:hAnsi="宋体" w:eastAsia="宋体" w:cs="宋体"/>
          <w:color w:val="000000" w:themeColor="text1"/>
          <w:spacing w:val="0"/>
          <w:sz w:val="24"/>
          <w:szCs w:val="24"/>
          <w:highlight w:val="none"/>
          <w14:textFill>
            <w14:solidFill>
              <w14:schemeClr w14:val="tx1"/>
            </w14:solidFill>
          </w14:textFill>
        </w:rPr>
        <w:t>）；擅自修改、遗漏《项目经理任职声明》实质性内容的；</w:t>
      </w:r>
    </w:p>
    <w:p w14:paraId="798C8207">
      <w:pPr>
        <w:keepNext w:val="0"/>
        <w:keepLines w:val="0"/>
        <w:pageBreakBefore w:val="0"/>
        <w:wordWrap w:val="0"/>
        <w:overflowPunct/>
        <w:topLinePunct w:val="0"/>
        <w:bidi w:val="0"/>
        <w:spacing w:before="1" w:line="293" w:lineRule="auto"/>
        <w:ind w:left="28" w:right="66" w:firstLine="46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注：投标人已经工商变更，但其员工执业资格注册证书的注册单位名称未完成变更的，不得否决其投标。</w:t>
      </w:r>
    </w:p>
    <w:p w14:paraId="4F7B3592">
      <w:pPr>
        <w:keepNext w:val="0"/>
        <w:keepLines w:val="0"/>
        <w:pageBreakBefore w:val="0"/>
        <w:wordWrap w:val="0"/>
        <w:overflowPunct/>
        <w:topLinePunct w:val="0"/>
        <w:bidi w:val="0"/>
        <w:spacing w:before="153" w:line="330" w:lineRule="auto"/>
        <w:ind w:left="9" w:right="66" w:firstLine="480"/>
        <w:jc w:val="both"/>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145" w:name="OLE_LINK27"/>
      <w:r>
        <w:rPr>
          <w:rFonts w:hint="eastAsia" w:ascii="宋体" w:hAnsi="宋体" w:eastAsia="宋体" w:cs="宋体"/>
          <w:b/>
          <w:bCs/>
          <w:color w:val="000000" w:themeColor="text1"/>
          <w:spacing w:val="0"/>
          <w:sz w:val="24"/>
          <w:szCs w:val="24"/>
          <w:highlight w:val="none"/>
          <w14:textFill>
            <w14:solidFill>
              <w14:schemeClr w14:val="tx1"/>
            </w14:solidFill>
          </w14:textFill>
        </w:rPr>
        <w:t>鉴于目前继续教育开展的实际情况，建筑和市政工程施工现场专业人员（例如：施</w:t>
      </w:r>
      <w:bookmarkStart w:id="146" w:name="bookmark139"/>
      <w:bookmarkEnd w:id="146"/>
      <w:r>
        <w:rPr>
          <w:rFonts w:hint="eastAsia" w:ascii="宋体" w:hAnsi="宋体" w:eastAsia="宋体" w:cs="宋体"/>
          <w:b/>
          <w:bCs/>
          <w:color w:val="000000" w:themeColor="text1"/>
          <w:spacing w:val="0"/>
          <w:sz w:val="24"/>
          <w:szCs w:val="24"/>
          <w:highlight w:val="none"/>
          <w14:textFill>
            <w14:solidFill>
              <w14:schemeClr w14:val="tx1"/>
            </w14:solidFill>
          </w14:textFill>
        </w:rPr>
        <w:t>工员、质量员、材料员、资料员）的岗位证书或培训证书不审查其证书的有效期。</w:t>
      </w:r>
      <w:bookmarkEnd w:id="145"/>
    </w:p>
    <w:p w14:paraId="0F791476">
      <w:pPr>
        <w:keepNext w:val="0"/>
        <w:keepLines w:val="0"/>
        <w:pageBreakBefore w:val="0"/>
        <w:wordWrap w:val="0"/>
        <w:overflowPunct/>
        <w:topLinePunct w:val="0"/>
        <w:bidi w:val="0"/>
        <w:spacing w:before="146" w:line="220" w:lineRule="auto"/>
        <w:ind w:left="4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（6）招标文件规定不接受联合体投标，但以联合体投标的；</w:t>
      </w:r>
    </w:p>
    <w:p w14:paraId="2C69257C">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（7）联合体投标，未提交《联合体协议书》的；擅自修改、遗漏《联合体协议书》实质性内容的；联合体成员的数量、资质不符合规定的；联合体成员同时以自己名义单独投标或者参加其他联合体投标的；</w:t>
      </w:r>
    </w:p>
    <w:p w14:paraId="50011199">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pacing w:val="0"/>
          <w:sz w:val="24"/>
          <w:szCs w:val="24"/>
          <w:highlight w:val="none"/>
          <w14:textFill>
            <w14:solidFill>
              <w14:schemeClr w14:val="tx1"/>
            </w14:solidFill>
          </w14:textFill>
        </w:rPr>
        <w:t>）投标人为外省建筑企业，但未提供“进粤企业和人员诚信信息登记平台”企业和拟派人员信息情况打印页或网页截图的。</w:t>
      </w:r>
    </w:p>
    <w:p w14:paraId="4A7BFED6">
      <w:pPr>
        <w:keepNext w:val="0"/>
        <w:keepLines w:val="0"/>
        <w:pageBreakBefore w:val="0"/>
        <w:wordWrap w:val="0"/>
        <w:overflowPunct/>
        <w:topLinePunct w:val="0"/>
        <w:bidi w:val="0"/>
        <w:spacing w:before="154" w:line="221" w:lineRule="auto"/>
        <w:ind w:left="477"/>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47" w:name="_Toc2857"/>
      <w:r>
        <w:rPr>
          <w:rFonts w:hint="eastAsia" w:ascii="宋体" w:hAnsi="宋体" w:eastAsia="宋体" w:cs="宋体"/>
          <w:b/>
          <w:bCs/>
          <w:color w:val="000000" w:themeColor="text1"/>
          <w:spacing w:val="0"/>
          <w:sz w:val="24"/>
          <w:szCs w:val="24"/>
          <w:highlight w:val="none"/>
          <w14:textFill>
            <w14:solidFill>
              <w14:schemeClr w14:val="tx1"/>
            </w14:solidFill>
          </w14:textFill>
        </w:rPr>
        <w:t>2 ．形式评审环节</w:t>
      </w:r>
      <w:bookmarkEnd w:id="147"/>
    </w:p>
    <w:p w14:paraId="33654F10">
      <w:pPr>
        <w:keepNext w:val="0"/>
        <w:keepLines w:val="0"/>
        <w:pageBreakBefore w:val="0"/>
        <w:wordWrap w:val="0"/>
        <w:overflowPunct/>
        <w:topLinePunct w:val="0"/>
        <w:bidi w:val="0"/>
        <w:spacing w:before="151" w:line="327" w:lineRule="auto"/>
        <w:ind w:right="200" w:firstLine="48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投标人有下列情形之一的，评标委员会应否决其投标。被否决的投标人，不进入响应性评审环节。</w:t>
      </w:r>
    </w:p>
    <w:p w14:paraId="4BAC9BEA">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（1）各分册没按招标文件规定加盖电子印章；</w:t>
      </w:r>
    </w:p>
    <w:p w14:paraId="6E2B21D1">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（2）本章第三节第 </w:t>
      </w:r>
      <w:r>
        <w:rPr>
          <w:rFonts w:hint="eastAsia" w:ascii="宋体" w:hAnsi="宋体" w:eastAsia="宋体" w:cs="宋体"/>
          <w:b/>
          <w:bCs/>
          <w:color w:val="000000" w:themeColor="text1"/>
          <w:spacing w:val="0"/>
          <w:sz w:val="24"/>
          <w:szCs w:val="24"/>
          <w:highlight w:val="none"/>
          <w14:textFill>
            <w14:solidFill>
              <w14:schemeClr w14:val="tx1"/>
            </w14:solidFill>
          </w14:textFill>
        </w:rPr>
        <w:t>10.2.2</w:t>
      </w:r>
      <w:r>
        <w:rPr>
          <w:rFonts w:hint="eastAsia" w:ascii="宋体" w:hAnsi="宋体" w:eastAsia="宋体" w:cs="宋体"/>
          <w:color w:val="000000" w:themeColor="text1"/>
          <w:spacing w:val="0"/>
          <w:sz w:val="24"/>
          <w:szCs w:val="24"/>
          <w:highlight w:val="none"/>
          <w14:textFill>
            <w14:solidFill>
              <w14:schemeClr w14:val="tx1"/>
            </w14:solidFill>
          </w14:textFill>
        </w:rPr>
        <w:t xml:space="preserve">目、第 </w:t>
      </w:r>
      <w:r>
        <w:rPr>
          <w:rFonts w:hint="eastAsia" w:ascii="宋体" w:hAnsi="宋体" w:eastAsia="宋体" w:cs="宋体"/>
          <w:b/>
          <w:bCs/>
          <w:color w:val="000000" w:themeColor="text1"/>
          <w:spacing w:val="0"/>
          <w:sz w:val="24"/>
          <w:szCs w:val="24"/>
          <w:highlight w:val="none"/>
          <w14:textFill>
            <w14:solidFill>
              <w14:schemeClr w14:val="tx1"/>
            </w14:solidFill>
          </w14:textFill>
        </w:rPr>
        <w:t>10.3.2</w:t>
      </w:r>
      <w:r>
        <w:rPr>
          <w:rFonts w:hint="eastAsia" w:ascii="宋体" w:hAnsi="宋体" w:eastAsia="宋体" w:cs="宋体"/>
          <w:color w:val="000000" w:themeColor="text1"/>
          <w:spacing w:val="0"/>
          <w:sz w:val="24"/>
          <w:szCs w:val="24"/>
          <w:highlight w:val="none"/>
          <w14:textFill>
            <w14:solidFill>
              <w14:schemeClr w14:val="tx1"/>
            </w14:solidFill>
          </w14:textFill>
        </w:rPr>
        <w:t xml:space="preserve">目、第 </w:t>
      </w:r>
      <w:r>
        <w:rPr>
          <w:rFonts w:hint="eastAsia" w:ascii="宋体" w:hAnsi="宋体" w:eastAsia="宋体" w:cs="宋体"/>
          <w:b/>
          <w:bCs/>
          <w:color w:val="000000" w:themeColor="text1"/>
          <w:spacing w:val="0"/>
          <w:sz w:val="24"/>
          <w:szCs w:val="24"/>
          <w:highlight w:val="none"/>
          <w14:textFill>
            <w14:solidFill>
              <w14:schemeClr w14:val="tx1"/>
            </w14:solidFill>
          </w14:textFill>
        </w:rPr>
        <w:t>10.4.3</w:t>
      </w:r>
      <w:r>
        <w:rPr>
          <w:rFonts w:hint="eastAsia" w:ascii="宋体" w:hAnsi="宋体" w:eastAsia="宋体" w:cs="宋体"/>
          <w:color w:val="000000" w:themeColor="text1"/>
          <w:spacing w:val="0"/>
          <w:sz w:val="24"/>
          <w:szCs w:val="24"/>
          <w:highlight w:val="none"/>
          <w14:textFill>
            <w14:solidFill>
              <w14:schemeClr w14:val="tx1"/>
            </w14:solidFill>
          </w14:textFill>
        </w:rPr>
        <w:t>目中规定的“所有投标人均应提供 ”的组成内容（包括该组成内容的所附资料）中，任何一项有缺漏的；</w:t>
      </w:r>
    </w:p>
    <w:p w14:paraId="36D3CEC6">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关键字迹模糊、无法辨认，且该种过错将导致评标委员会无法判断投标文件是否响应招标文件实质性要求的；有涂改、行间插字或删除，但未加盖单位章或由投标人的法定代表人或其委托代理人签字确认的；</w:t>
      </w:r>
    </w:p>
    <w:p w14:paraId="5FFF89B9">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（4）投标文件未按规定签字、盖章的。</w:t>
      </w:r>
    </w:p>
    <w:p w14:paraId="707E04F7">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（5）招标文件规定施工组织设计采用“暗标 ”方式进行评审，但施工组织设计的规格颜色、文字排版、正文篇幅（若有）不符合规定的；其任何部位出现手写以及涂改、行间插字或删除痕迹的；其任何部位出现投标人的名称和其它可识别投标人身份的字符、徽标、人员名称以及其他特殊标记的。</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本次招标项目不适用</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w:t>
      </w:r>
    </w:p>
    <w:p w14:paraId="1C64F3A3">
      <w:pPr>
        <w:keepNext w:val="0"/>
        <w:keepLines w:val="0"/>
        <w:pageBreakBefore w:val="0"/>
        <w:wordWrap w:val="0"/>
        <w:overflowPunct/>
        <w:topLinePunct w:val="0"/>
        <w:bidi w:val="0"/>
        <w:spacing w:before="227" w:line="221" w:lineRule="auto"/>
        <w:ind w:left="47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48" w:name="_Toc1794"/>
      <w:r>
        <w:rPr>
          <w:rFonts w:hint="eastAsia" w:ascii="宋体" w:hAnsi="宋体" w:eastAsia="宋体" w:cs="宋体"/>
          <w:b/>
          <w:bCs/>
          <w:color w:val="000000" w:themeColor="text1"/>
          <w:spacing w:val="0"/>
          <w:sz w:val="24"/>
          <w:szCs w:val="24"/>
          <w:highlight w:val="none"/>
          <w14:textFill>
            <w14:solidFill>
              <w14:schemeClr w14:val="tx1"/>
            </w14:solidFill>
          </w14:textFill>
        </w:rPr>
        <w:t>3 ．响应性评审环节</w:t>
      </w:r>
      <w:bookmarkEnd w:id="148"/>
    </w:p>
    <w:p w14:paraId="023371C4">
      <w:pPr>
        <w:keepNext w:val="0"/>
        <w:keepLines w:val="0"/>
        <w:pageBreakBefore w:val="0"/>
        <w:wordWrap w:val="0"/>
        <w:overflowPunct/>
        <w:topLinePunct w:val="0"/>
        <w:bidi w:val="0"/>
        <w:spacing w:before="151" w:line="327" w:lineRule="auto"/>
        <w:ind w:left="1" w:right="200" w:firstLine="48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投标人有下列情形之一的，评标委员会应否决其投标。被否决的投标人，不进入详细评审阶段。</w:t>
      </w:r>
    </w:p>
    <w:p w14:paraId="039432FC">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（1）承诺的投标有效期短于规定的；质量标准低于规定的；工期超出规定的；擅自修改、遗漏《投标函》《各项承诺一览表》实质性内容的；</w:t>
      </w:r>
    </w:p>
    <w:p w14:paraId="3A9ED79E">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（2）编制《投标总价》的造价工程师，其注册证书不是</w:t>
      </w:r>
      <w:r>
        <w:rPr>
          <w:rFonts w:hint="eastAsia" w:ascii="宋体" w:hAnsi="宋体" w:eastAsia="宋体" w:cs="宋体"/>
          <w:b/>
          <w:bCs/>
          <w:color w:val="000000" w:themeColor="text1"/>
          <w:spacing w:val="0"/>
          <w:sz w:val="24"/>
          <w:szCs w:val="24"/>
          <w:highlight w:val="none"/>
          <w14:textFill>
            <w14:solidFill>
              <w14:schemeClr w14:val="tx1"/>
            </w14:solidFill>
          </w14:textFill>
        </w:rPr>
        <w:t>住建部门</w:t>
      </w:r>
      <w:r>
        <w:rPr>
          <w:rFonts w:hint="eastAsia" w:ascii="宋体" w:hAnsi="宋体" w:eastAsia="宋体" w:cs="宋体"/>
          <w:color w:val="000000" w:themeColor="text1"/>
          <w:spacing w:val="0"/>
          <w:sz w:val="24"/>
          <w:szCs w:val="24"/>
          <w:highlight w:val="none"/>
          <w14:textFill>
            <w14:solidFill>
              <w14:schemeClr w14:val="tx1"/>
            </w14:solidFill>
          </w14:textFill>
        </w:rPr>
        <w:t>颁发的；其注册单位与投标人（或造价咨询人）不一致的；其注册证书不在有效期内的。</w:t>
      </w:r>
    </w:p>
    <w:p w14:paraId="7EBE7469">
      <w:pPr>
        <w:keepNext w:val="0"/>
        <w:keepLines w:val="0"/>
        <w:pageBreakBefore w:val="0"/>
        <w:wordWrap w:val="0"/>
        <w:overflowPunct/>
        <w:topLinePunct w:val="0"/>
        <w:bidi w:val="0"/>
        <w:spacing w:before="156" w:line="329" w:lineRule="auto"/>
        <w:ind w:right="200" w:firstLine="480"/>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注：投标人（或造价咨询人）已经工商变更，但其员工的执业资格注册证书的注册单位名称未完成变更的，不得否决其投标。</w:t>
      </w:r>
    </w:p>
    <w:p w14:paraId="70E2ADFC">
      <w:pPr>
        <w:keepNext w:val="0"/>
        <w:keepLines w:val="0"/>
        <w:pageBreakBefore w:val="0"/>
        <w:wordWrap w:val="0"/>
        <w:overflowPunct/>
        <w:topLinePunct w:val="0"/>
        <w:bidi w:val="0"/>
        <w:spacing w:before="78" w:line="299" w:lineRule="auto"/>
        <w:ind w:left="2" w:right="81" w:firstLine="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（3）投标人委托造价咨询单位编制《投标总价》，但未在《投标总价扉页》“投标人”栏目加盖造价咨询人公章的；未提供造价咨询人的营业执照副本彩色扫描件；</w:t>
      </w:r>
    </w:p>
    <w:p w14:paraId="05BC2C53">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（4）出现两个或两个以上投标总价的（同一个投标总价大、小写不一致的除外）；投标总价超出</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的；</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少于规定的；暂列金额、暂估价未按照招标工程量清单统一报价的；投标总价下浮率超过 15%，又未提供相应书面说明和佐证材料或提供的书面说明和佐证材料不能令人信服，被评标委员会认定以低于成本报价竞标的；擅自修改、增减招标工程量清单项目（包括措施项目）的；</w:t>
      </w:r>
    </w:p>
    <w:p w14:paraId="62906720">
      <w:pPr>
        <w:keepNext w:val="0"/>
        <w:keepLines w:val="0"/>
        <w:pageBreakBefore w:val="0"/>
        <w:wordWrap w:val="0"/>
        <w:overflowPunct/>
        <w:topLinePunct w:val="0"/>
        <w:bidi w:val="0"/>
        <w:spacing w:before="156" w:line="299" w:lineRule="auto"/>
        <w:ind w:right="8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（5）在施工组织设计评审中，评标委员会认定质量、进度保障措施与国家和省市现行有关规范、规定、标准有重大偏差，</w:t>
      </w:r>
      <w:r>
        <w:rPr>
          <w:rFonts w:hint="eastAsia" w:ascii="宋体" w:hAnsi="宋体" w:eastAsia="宋体" w:cs="宋体"/>
          <w:b/>
          <w:bCs/>
          <w:color w:val="000000" w:themeColor="text1"/>
          <w:spacing w:val="0"/>
          <w:sz w:val="24"/>
          <w:szCs w:val="24"/>
          <w:highlight w:val="none"/>
          <w14:textFill>
            <w14:solidFill>
              <w14:schemeClr w14:val="tx1"/>
            </w14:solidFill>
          </w14:textFill>
        </w:rPr>
        <w:t>且该种过错将导致工程质量、进度管理目标无法实现的</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0DBFDD7A">
      <w:pPr>
        <w:keepNext w:val="0"/>
        <w:keepLines w:val="0"/>
        <w:pageBreakBefore w:val="0"/>
        <w:wordWrap w:val="0"/>
        <w:overflowPunct/>
        <w:topLinePunct w:val="0"/>
        <w:bidi w:val="0"/>
        <w:spacing w:before="151" w:line="221" w:lineRule="auto"/>
        <w:ind w:left="476"/>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49" w:name="_Toc14765"/>
      <w:r>
        <w:rPr>
          <w:rFonts w:hint="eastAsia" w:ascii="宋体" w:hAnsi="宋体" w:eastAsia="宋体" w:cs="宋体"/>
          <w:b/>
          <w:bCs/>
          <w:color w:val="000000" w:themeColor="text1"/>
          <w:spacing w:val="0"/>
          <w:sz w:val="24"/>
          <w:szCs w:val="24"/>
          <w:highlight w:val="none"/>
          <w14:textFill>
            <w14:solidFill>
              <w14:schemeClr w14:val="tx1"/>
            </w14:solidFill>
          </w14:textFill>
        </w:rPr>
        <w:t>4 ．其他</w:t>
      </w:r>
      <w:bookmarkEnd w:id="149"/>
    </w:p>
    <w:p w14:paraId="1DB8C9BB">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在任何评标环节（或阶段），投标人有下列情形之一的，评标委员会应否决其投标。 被否决的投标人，不进入下一环节（或阶段）。</w:t>
      </w:r>
    </w:p>
    <w:p w14:paraId="0CA58726">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（1）不按评标委员会要求澄清、说明或补正的；</w:t>
      </w:r>
    </w:p>
    <w:p w14:paraId="0D1C3C0F">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（2）有下列情形之一，被评标委员会认定属于串通投标的：</w:t>
      </w:r>
    </w:p>
    <w:p w14:paraId="66C929C2">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①不同投标人的投标文件两处以上（含两处）错、漏一致；</w:t>
      </w:r>
    </w:p>
    <w:p w14:paraId="6D5FB77A">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②不同投标人的投标总价相近且各分项报价、综合单价分析表内容混乱不能相互对应、乱调乱压或乱抬的，而在询标时没有合理的解释或者不能提供计算依据和报价依据；</w:t>
      </w:r>
    </w:p>
    <w:p w14:paraId="22325080">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③不同投标人的投标各项报价存在异常一致或者呈规律性变化；</w:t>
      </w:r>
    </w:p>
    <w:p w14:paraId="36C4CB17">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④不同投标人的投标文件由同一单位或者同一个人编制；</w:t>
      </w:r>
    </w:p>
    <w:p w14:paraId="1A519F59">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⑤不同投标人的投标文件中投标资料（包括电子资料）相互混装或项目班子成员出现同一人；</w:t>
      </w:r>
    </w:p>
    <w:p w14:paraId="2D971149">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⑥不同投标人的投标文件由同一电脑编制或同一台附属设备打印，或投标报价用同一个预算编制软件密码锁制作或出自同一电子文档；</w:t>
      </w:r>
    </w:p>
    <w:p w14:paraId="3D4E49BC">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⑦不同投标人的投标保证由同一企业或同一账户资金缴纳；</w:t>
      </w:r>
    </w:p>
    <w:p w14:paraId="16BEF131">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⑧不同投标人委托同一个人或注册在同一家企业的注册人员或同一家企业为其投标提供投标咨询、商务报价、技术咨询（招标项目本身要求采用专有技术的除外）等服务。</w:t>
      </w:r>
    </w:p>
    <w:p w14:paraId="72728FDA">
      <w:pPr>
        <w:pStyle w:val="25"/>
        <w:keepNext w:val="0"/>
        <w:keepLines w:val="0"/>
        <w:pageBreakBefore w:val="0"/>
        <w:wordWrap w:val="0"/>
        <w:overflowPunct/>
        <w:topLinePunct w:val="0"/>
        <w:bidi w:val="0"/>
        <w:rPr>
          <w:rFonts w:hint="eastAsia"/>
          <w:color w:val="000000" w:themeColor="text1"/>
          <w:spacing w:val="0"/>
          <w:highlight w:val="none"/>
          <w14:textFill>
            <w14:solidFill>
              <w14:schemeClr w14:val="tx1"/>
            </w14:solidFill>
          </w14:textFill>
        </w:rPr>
      </w:pPr>
    </w:p>
    <w:p w14:paraId="451E5D4B">
      <w:pPr>
        <w:keepNext w:val="0"/>
        <w:keepLines w:val="0"/>
        <w:pageBreakBefore w:val="0"/>
        <w:wordWrap w:val="0"/>
        <w:overflowPunct/>
        <w:topLinePunct w:val="0"/>
        <w:bidi w:val="0"/>
        <w:spacing w:line="299" w:lineRule="auto"/>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11"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51CBB9E2">
      <w:pPr>
        <w:tabs>
          <w:tab w:val="left" w:pos="885"/>
        </w:tabs>
        <w:kinsoku/>
        <w:autoSpaceDE/>
        <w:autoSpaceDN/>
        <w:adjustRightInd/>
        <w:snapToGrid w:val="0"/>
        <w:spacing w:line="360" w:lineRule="auto"/>
        <w:jc w:val="both"/>
        <w:outlineLvl w:val="1"/>
        <w:rPr>
          <w:rStyle w:val="27"/>
          <w:rFonts w:hint="eastAsia" w:ascii="宋体" w:hAnsi="宋体" w:eastAsia="宋体" w:cs="宋体"/>
          <w:b/>
          <w:bCs/>
          <w:snapToGrid/>
          <w:color w:val="000000" w:themeColor="text1"/>
          <w:kern w:val="2"/>
          <w:sz w:val="24"/>
          <w:szCs w:val="24"/>
          <w:highlight w:val="none"/>
          <w:lang w:val="en-US" w:eastAsia="zh-CN"/>
          <w14:textFill>
            <w14:solidFill>
              <w14:schemeClr w14:val="tx1"/>
            </w14:solidFill>
          </w14:textFill>
        </w:rPr>
      </w:pPr>
      <w:bookmarkStart w:id="150" w:name="bookmark57"/>
      <w:bookmarkEnd w:id="150"/>
      <w:bookmarkStart w:id="151" w:name="_Toc29882"/>
      <w:bookmarkStart w:id="152" w:name="_Toc28716"/>
      <w:r>
        <w:rPr>
          <w:rStyle w:val="27"/>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第</w:t>
      </w:r>
      <w:r>
        <w:rPr>
          <w:rStyle w:val="27"/>
          <w:rFonts w:hint="eastAsia" w:ascii="宋体" w:hAnsi="宋体" w:eastAsia="宋体" w:cs="宋体"/>
          <w:b/>
          <w:bCs/>
          <w:snapToGrid/>
          <w:color w:val="000000" w:themeColor="text1"/>
          <w:kern w:val="2"/>
          <w:sz w:val="24"/>
          <w:szCs w:val="24"/>
          <w:highlight w:val="none"/>
          <w:lang w:val="en-US" w:eastAsia="zh-CN"/>
          <w14:textFill>
            <w14:solidFill>
              <w14:schemeClr w14:val="tx1"/>
            </w14:solidFill>
          </w14:textFill>
        </w:rPr>
        <w:t>五</w:t>
      </w:r>
      <w:r>
        <w:rPr>
          <w:rStyle w:val="27"/>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节 定标规定</w:t>
      </w:r>
      <w:r>
        <w:rPr>
          <w:rStyle w:val="27"/>
          <w:rFonts w:hint="eastAsia" w:ascii="宋体" w:hAnsi="宋体" w:eastAsia="宋体" w:cs="宋体"/>
          <w:b/>
          <w:bCs/>
          <w:snapToGrid/>
          <w:color w:val="000000" w:themeColor="text1"/>
          <w:kern w:val="2"/>
          <w:sz w:val="24"/>
          <w:szCs w:val="24"/>
          <w:highlight w:val="none"/>
          <w:lang w:val="en-US" w:eastAsia="zh-CN"/>
          <w14:textFill>
            <w14:solidFill>
              <w14:schemeClr w14:val="tx1"/>
            </w14:solidFill>
          </w14:textFill>
        </w:rPr>
        <w:t>及细则（本项目采用票决数量法定标）</w:t>
      </w:r>
      <w:bookmarkEnd w:id="151"/>
      <w:bookmarkEnd w:id="152"/>
    </w:p>
    <w:p w14:paraId="5B875869">
      <w:pPr>
        <w:kinsoku/>
        <w:autoSpaceDE/>
        <w:autoSpaceDN/>
        <w:adjustRightInd/>
        <w:snapToGrid/>
        <w:spacing w:line="360" w:lineRule="auto"/>
        <w:ind w:firstLine="482" w:firstLineChars="200"/>
        <w:jc w:val="both"/>
        <w:rPr>
          <w:rStyle w:val="27"/>
          <w:rFonts w:hint="eastAsia" w:ascii="宋体" w:hAnsi="宋体" w:eastAsia="宋体" w:cs="宋体"/>
          <w:b/>
          <w:bCs/>
          <w:snapToGrid/>
          <w:color w:val="000000" w:themeColor="text1"/>
          <w:kern w:val="0"/>
          <w:sz w:val="24"/>
          <w:szCs w:val="24"/>
          <w:highlight w:val="none"/>
          <w:lang w:eastAsia="zh-CN"/>
          <w14:textFill>
            <w14:solidFill>
              <w14:schemeClr w14:val="tx1"/>
            </w14:solidFill>
          </w14:textFill>
        </w:rPr>
      </w:pPr>
      <w:r>
        <w:rPr>
          <w:rStyle w:val="27"/>
          <w:rFonts w:hint="eastAsia" w:ascii="宋体" w:hAnsi="宋体" w:eastAsia="宋体" w:cs="宋体"/>
          <w:b/>
          <w:bCs/>
          <w:snapToGrid/>
          <w:color w:val="000000" w:themeColor="text1"/>
          <w:kern w:val="0"/>
          <w:sz w:val="24"/>
          <w:szCs w:val="24"/>
          <w:highlight w:val="none"/>
          <w:lang w:val="en-US" w:eastAsia="zh-CN"/>
          <w14:textFill>
            <w14:solidFill>
              <w14:schemeClr w14:val="tx1"/>
            </w14:solidFill>
          </w14:textFill>
        </w:rPr>
        <w:t>1.</w:t>
      </w:r>
      <w:r>
        <w:rPr>
          <w:rStyle w:val="27"/>
          <w:rFonts w:hint="eastAsia" w:ascii="宋体" w:hAnsi="宋体" w:eastAsia="宋体" w:cs="宋体"/>
          <w:b/>
          <w:bCs/>
          <w:snapToGrid/>
          <w:color w:val="000000" w:themeColor="text1"/>
          <w:kern w:val="0"/>
          <w:sz w:val="24"/>
          <w:szCs w:val="24"/>
          <w:highlight w:val="none"/>
          <w:lang w:eastAsia="zh-CN"/>
          <w14:textFill>
            <w14:solidFill>
              <w14:schemeClr w14:val="tx1"/>
            </w14:solidFill>
          </w14:textFill>
        </w:rPr>
        <w:t>确定定标时间</w:t>
      </w:r>
    </w:p>
    <w:p w14:paraId="49CC2337">
      <w:pPr>
        <w:kinsoku/>
        <w:autoSpaceDE/>
        <w:autoSpaceDN/>
        <w:adjustRightInd/>
        <w:snapToGrid/>
        <w:spacing w:line="360" w:lineRule="auto"/>
        <w:ind w:firstLine="480" w:firstLineChars="200"/>
        <w:jc w:val="both"/>
        <w:rPr>
          <w:rStyle w:val="27"/>
          <w:rFonts w:hint="eastAsia" w:ascii="宋体" w:hAnsi="宋体" w:eastAsia="宋体" w:cs="宋体"/>
          <w:snapToGrid/>
          <w:color w:val="000000" w:themeColor="text1"/>
          <w:kern w:val="0"/>
          <w:sz w:val="24"/>
          <w:szCs w:val="24"/>
          <w:highlight w:val="none"/>
          <w:lang w:eastAsia="zh-CN"/>
          <w14:textFill>
            <w14:solidFill>
              <w14:schemeClr w14:val="tx1"/>
            </w14:solidFill>
          </w14:textFill>
        </w:rPr>
      </w:pPr>
      <w:r>
        <w:rPr>
          <w:rStyle w:val="27"/>
          <w:rFonts w:hint="eastAsia" w:ascii="宋体" w:hAnsi="宋体" w:eastAsia="宋体" w:cs="宋体"/>
          <w:snapToGrid/>
          <w:color w:val="000000" w:themeColor="text1"/>
          <w:kern w:val="0"/>
          <w:sz w:val="24"/>
          <w:szCs w:val="24"/>
          <w:highlight w:val="none"/>
          <w:lang w:eastAsia="zh-CN"/>
          <w14:textFill>
            <w14:solidFill>
              <w14:schemeClr w14:val="tx1"/>
            </w14:solidFill>
          </w14:textFill>
        </w:rPr>
        <w:t>招标人应自</w:t>
      </w:r>
      <w:r>
        <w:rPr>
          <w:rStyle w:val="27"/>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t>定标候选人</w:t>
      </w:r>
      <w:r>
        <w:rPr>
          <w:rStyle w:val="27"/>
          <w:rFonts w:hint="eastAsia" w:ascii="宋体" w:hAnsi="宋体" w:eastAsia="宋体" w:cs="宋体"/>
          <w:snapToGrid/>
          <w:color w:val="000000" w:themeColor="text1"/>
          <w:kern w:val="0"/>
          <w:sz w:val="24"/>
          <w:szCs w:val="24"/>
          <w:highlight w:val="none"/>
          <w:lang w:eastAsia="zh-CN"/>
          <w14:textFill>
            <w14:solidFill>
              <w14:schemeClr w14:val="tx1"/>
            </w14:solidFill>
          </w14:textFill>
        </w:rPr>
        <w:t>公示期满后</w:t>
      </w:r>
      <w:r>
        <w:rPr>
          <w:rStyle w:val="27"/>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t>5</w:t>
      </w:r>
      <w:r>
        <w:rPr>
          <w:rStyle w:val="27"/>
          <w:rFonts w:hint="eastAsia" w:ascii="宋体" w:hAnsi="宋体" w:eastAsia="宋体" w:cs="宋体"/>
          <w:snapToGrid/>
          <w:color w:val="000000" w:themeColor="text1"/>
          <w:kern w:val="0"/>
          <w:sz w:val="24"/>
          <w:szCs w:val="24"/>
          <w:highlight w:val="none"/>
          <w:lang w:eastAsia="zh-CN"/>
          <w14:textFill>
            <w14:solidFill>
              <w14:schemeClr w14:val="tx1"/>
            </w14:solidFill>
          </w14:textFill>
        </w:rPr>
        <w:t>个工作日内进入</w:t>
      </w:r>
      <w:r>
        <w:rPr>
          <w:rStyle w:val="27"/>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t>韶关市</w:t>
      </w:r>
      <w:r>
        <w:rPr>
          <w:rStyle w:val="27"/>
          <w:rFonts w:hint="eastAsia" w:ascii="宋体" w:hAnsi="宋体" w:eastAsia="宋体" w:cs="宋体"/>
          <w:snapToGrid/>
          <w:color w:val="000000" w:themeColor="text1"/>
          <w:kern w:val="0"/>
          <w:sz w:val="24"/>
          <w:szCs w:val="24"/>
          <w:highlight w:val="none"/>
          <w:lang w:eastAsia="zh-CN"/>
          <w14:textFill>
            <w14:solidFill>
              <w14:schemeClr w14:val="tx1"/>
            </w14:solidFill>
          </w14:textFill>
        </w:rPr>
        <w:t>公共资源交易</w:t>
      </w:r>
      <w:r>
        <w:rPr>
          <w:rStyle w:val="27"/>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t>中心</w:t>
      </w:r>
      <w:r>
        <w:rPr>
          <w:rStyle w:val="27"/>
          <w:rFonts w:hint="eastAsia" w:ascii="宋体" w:hAnsi="宋体" w:eastAsia="宋体" w:cs="宋体"/>
          <w:snapToGrid/>
          <w:color w:val="000000" w:themeColor="text1"/>
          <w:kern w:val="0"/>
          <w:sz w:val="24"/>
          <w:szCs w:val="24"/>
          <w:highlight w:val="none"/>
          <w:lang w:eastAsia="zh-CN"/>
          <w14:textFill>
            <w14:solidFill>
              <w14:schemeClr w14:val="tx1"/>
            </w14:solidFill>
          </w14:textFill>
        </w:rPr>
        <w:t>进行定标。定标会议全过程录音录像。招标人需要延期定标的，应通过</w:t>
      </w:r>
      <w:r>
        <w:rPr>
          <w:rStyle w:val="27"/>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t>广东省招标投标监管网和全国公共资源交易平台（广东省·韶关市）</w:t>
      </w:r>
      <w:r>
        <w:rPr>
          <w:rStyle w:val="27"/>
          <w:rFonts w:hint="eastAsia" w:ascii="宋体" w:hAnsi="宋体" w:eastAsia="宋体" w:cs="宋体"/>
          <w:snapToGrid/>
          <w:color w:val="000000" w:themeColor="text1"/>
          <w:kern w:val="0"/>
          <w:sz w:val="24"/>
          <w:szCs w:val="24"/>
          <w:highlight w:val="none"/>
          <w:lang w:eastAsia="zh-CN"/>
          <w14:textFill>
            <w14:solidFill>
              <w14:schemeClr w14:val="tx1"/>
            </w14:solidFill>
          </w14:textFill>
        </w:rPr>
        <w:t>公布延期原因和定标时间。</w:t>
      </w:r>
    </w:p>
    <w:p w14:paraId="6CEED4FC">
      <w:pPr>
        <w:kinsoku/>
        <w:autoSpaceDE/>
        <w:autoSpaceDN/>
        <w:adjustRightInd/>
        <w:snapToGrid/>
        <w:spacing w:line="360" w:lineRule="auto"/>
        <w:ind w:firstLine="482" w:firstLineChars="200"/>
        <w:jc w:val="both"/>
        <w:rPr>
          <w:rStyle w:val="27"/>
          <w:rFonts w:hint="eastAsia" w:ascii="宋体" w:hAnsi="宋体" w:eastAsia="宋体" w:cs="宋体"/>
          <w:b/>
          <w:bCs/>
          <w:snapToGrid/>
          <w:color w:val="000000" w:themeColor="text1"/>
          <w:kern w:val="0"/>
          <w:sz w:val="24"/>
          <w:szCs w:val="24"/>
          <w:highlight w:val="none"/>
          <w:lang w:eastAsia="zh-CN"/>
          <w14:textFill>
            <w14:solidFill>
              <w14:schemeClr w14:val="tx1"/>
            </w14:solidFill>
          </w14:textFill>
        </w:rPr>
      </w:pPr>
      <w:r>
        <w:rPr>
          <w:rStyle w:val="27"/>
          <w:rFonts w:hint="eastAsia" w:ascii="宋体" w:hAnsi="宋体" w:eastAsia="宋体" w:cs="宋体"/>
          <w:b/>
          <w:bCs/>
          <w:snapToGrid/>
          <w:color w:val="000000" w:themeColor="text1"/>
          <w:kern w:val="0"/>
          <w:sz w:val="24"/>
          <w:szCs w:val="24"/>
          <w:highlight w:val="none"/>
          <w:lang w:val="en-US" w:eastAsia="zh-CN"/>
          <w14:textFill>
            <w14:solidFill>
              <w14:schemeClr w14:val="tx1"/>
            </w14:solidFill>
          </w14:textFill>
        </w:rPr>
        <w:t>2</w:t>
      </w:r>
      <w:r>
        <w:rPr>
          <w:rStyle w:val="27"/>
          <w:rFonts w:hint="eastAsia" w:ascii="宋体" w:hAnsi="宋体" w:eastAsia="宋体" w:cs="宋体"/>
          <w:b/>
          <w:bCs/>
          <w:snapToGrid/>
          <w:color w:val="000000" w:themeColor="text1"/>
          <w:kern w:val="0"/>
          <w:sz w:val="24"/>
          <w:szCs w:val="24"/>
          <w:highlight w:val="none"/>
          <w:lang w:eastAsia="zh-CN"/>
          <w14:textFill>
            <w14:solidFill>
              <w14:schemeClr w14:val="tx1"/>
            </w14:solidFill>
          </w14:textFill>
        </w:rPr>
        <w:t>.定标委员会</w:t>
      </w:r>
    </w:p>
    <w:p w14:paraId="1EE09482">
      <w:pPr>
        <w:kinsoku/>
        <w:autoSpaceDE/>
        <w:autoSpaceDN/>
        <w:adjustRightInd/>
        <w:snapToGrid/>
        <w:spacing w:line="360" w:lineRule="auto"/>
        <w:ind w:firstLine="480" w:firstLineChars="200"/>
        <w:jc w:val="both"/>
        <w:rPr>
          <w:rStyle w:val="27"/>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pPr>
      <w:r>
        <w:rPr>
          <w:rStyle w:val="27"/>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t>2.1定标委员会实行招标人负责制，由招标人的法定代表人或者主要负责人负责组建和管理。定标委员会的组成方式和人员由招标人自行确定，成员原则上从招标人、项目业主、代建管理机构或者使用单位的领导班子成员、经营管理人员，或具备中级及以上职称、具有注册职业资格证的工程技术（经济）人员中产生，以上人员难以满足时也可从广东省综合评标评审专家库抽取补足，成员数量为 7 人以上单数，成员数量应在招标文件中明确。专家人数原则上不超过2人。定标委员会应当推荐定标组长，招标人（不含代理机构）的法定代表人或者主要负责人参加定标委员会的，由其直接担任定标委员会组长。定标委员会名单在中标结果公告前应当保密。定标委员会成员数量在本投标人须知前附表中约定。</w:t>
      </w:r>
    </w:p>
    <w:p w14:paraId="406A2FF4">
      <w:pPr>
        <w:kinsoku/>
        <w:autoSpaceDE/>
        <w:autoSpaceDN/>
        <w:adjustRightInd/>
        <w:snapToGrid/>
        <w:spacing w:line="360" w:lineRule="auto"/>
        <w:ind w:firstLine="480" w:firstLineChars="200"/>
        <w:jc w:val="both"/>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2.2定标委员会应当根据招标文件规定的定标方法和细则，对定标候选人进行系统地评审和比较。招标文件中没有规定的定标方法和细则不得作为定标的依据。定标委员会成员应依照招标文件规定的定标方法和细则，独立完成对定标候选人的评审，并对定标结果签字确认。定标委员会应依照招标文件规定的定标方法和细则，对各定标委员会成员的定标结果进行汇总。</w:t>
      </w:r>
    </w:p>
    <w:p w14:paraId="09FC277C">
      <w:pPr>
        <w:kinsoku/>
        <w:autoSpaceDE/>
        <w:autoSpaceDN/>
        <w:adjustRightInd/>
        <w:snapToGrid/>
        <w:spacing w:line="360" w:lineRule="auto"/>
        <w:ind w:firstLine="480" w:firstLineChars="200"/>
        <w:jc w:val="both"/>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pPr>
      <w:r>
        <w:rPr>
          <w:rStyle w:val="27"/>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t>2</w:t>
      </w:r>
      <w:r>
        <w:rPr>
          <w:rStyle w:val="27"/>
          <w:rFonts w:hint="eastAsia" w:ascii="宋体" w:hAnsi="宋体" w:eastAsia="宋体" w:cs="宋体"/>
          <w:snapToGrid/>
          <w:color w:val="000000" w:themeColor="text1"/>
          <w:kern w:val="0"/>
          <w:sz w:val="24"/>
          <w:szCs w:val="24"/>
          <w:highlight w:val="none"/>
          <w:lang w:eastAsia="zh-CN"/>
          <w14:textFill>
            <w14:solidFill>
              <w14:schemeClr w14:val="tx1"/>
            </w14:solidFill>
          </w14:textFill>
        </w:rPr>
        <w:t>.</w:t>
      </w:r>
      <w:r>
        <w:rPr>
          <w:rStyle w:val="27"/>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t>3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0C86C24B">
      <w:pPr>
        <w:kinsoku/>
        <w:autoSpaceDE/>
        <w:autoSpaceDN/>
        <w:adjustRightInd/>
        <w:snapToGrid/>
        <w:spacing w:line="360" w:lineRule="auto"/>
        <w:ind w:firstLine="482" w:firstLineChars="200"/>
        <w:jc w:val="both"/>
        <w:rPr>
          <w:rStyle w:val="27"/>
          <w:rFonts w:hint="eastAsia" w:ascii="宋体" w:hAnsi="宋体" w:eastAsia="宋体" w:cs="宋体"/>
          <w:b/>
          <w:bCs/>
          <w:snapToGrid/>
          <w:color w:val="000000" w:themeColor="text1"/>
          <w:kern w:val="0"/>
          <w:sz w:val="24"/>
          <w:szCs w:val="24"/>
          <w:highlight w:val="none"/>
          <w:lang w:val="en-US" w:eastAsia="zh-CN"/>
          <w14:textFill>
            <w14:solidFill>
              <w14:schemeClr w14:val="tx1"/>
            </w14:solidFill>
          </w14:textFill>
        </w:rPr>
      </w:pPr>
      <w:r>
        <w:rPr>
          <w:rStyle w:val="27"/>
          <w:rFonts w:hint="eastAsia" w:ascii="宋体" w:hAnsi="宋体" w:eastAsia="宋体" w:cs="宋体"/>
          <w:b/>
          <w:bCs/>
          <w:snapToGrid/>
          <w:color w:val="000000" w:themeColor="text1"/>
          <w:kern w:val="0"/>
          <w:sz w:val="24"/>
          <w:szCs w:val="24"/>
          <w:highlight w:val="none"/>
          <w:lang w:val="en-US" w:eastAsia="zh-CN"/>
          <w14:textFill>
            <w14:solidFill>
              <w14:schemeClr w14:val="tx1"/>
            </w14:solidFill>
          </w14:textFill>
        </w:rPr>
        <w:t>3</w:t>
      </w:r>
      <w:r>
        <w:rPr>
          <w:rStyle w:val="27"/>
          <w:rFonts w:hint="eastAsia" w:ascii="宋体" w:hAnsi="宋体" w:eastAsia="宋体" w:cs="宋体"/>
          <w:b/>
          <w:bCs/>
          <w:snapToGrid/>
          <w:color w:val="000000" w:themeColor="text1"/>
          <w:kern w:val="0"/>
          <w:sz w:val="24"/>
          <w:szCs w:val="24"/>
          <w:highlight w:val="none"/>
          <w:lang w:eastAsia="zh-CN"/>
          <w14:textFill>
            <w14:solidFill>
              <w14:schemeClr w14:val="tx1"/>
            </w14:solidFill>
          </w14:textFill>
        </w:rPr>
        <w:t>.</w:t>
      </w:r>
      <w:r>
        <w:rPr>
          <w:rStyle w:val="27"/>
          <w:rFonts w:hint="eastAsia" w:ascii="宋体" w:hAnsi="宋体" w:eastAsia="宋体" w:cs="宋体"/>
          <w:b/>
          <w:bCs/>
          <w:snapToGrid/>
          <w:color w:val="000000" w:themeColor="text1"/>
          <w:kern w:val="0"/>
          <w:sz w:val="24"/>
          <w:szCs w:val="24"/>
          <w:highlight w:val="none"/>
          <w:lang w:val="en-US" w:eastAsia="zh-CN"/>
          <w14:textFill>
            <w14:solidFill>
              <w14:schemeClr w14:val="tx1"/>
            </w14:solidFill>
          </w14:textFill>
        </w:rPr>
        <w:t>组建招标监督小组</w:t>
      </w:r>
    </w:p>
    <w:p w14:paraId="23CCA432">
      <w:pPr>
        <w:kinsoku/>
        <w:autoSpaceDE/>
        <w:autoSpaceDN/>
        <w:adjustRightInd/>
        <w:snapToGrid/>
        <w:spacing w:line="360" w:lineRule="auto"/>
        <w:ind w:firstLine="480" w:firstLineChars="200"/>
        <w:jc w:val="both"/>
        <w:rPr>
          <w:rStyle w:val="27"/>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pPr>
      <w:r>
        <w:rPr>
          <w:rStyle w:val="27"/>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t>招标人应及时组建招标监督小组，招标监督小组原则上由不少于 3 人组成，人员可由招标人直接委派，也可以从招标人的上级主管单位、项目业主单位、使用单位等补充委派，并确定一名组长负责统筹监督工作。同一人不得同时担任定标委员会成员和招标监督小组成员中的两个角色。招标监督小组的职责是对定标委员会的组建、定标过程及招标人在定标前的清标环节和对定标候选人的考察等进行全程监督，确保定标过程公正、公平。发现异常情况及时提醒、进行纠正，但不得就定标涉及的实质内容发表意见或者参与定标讨论。</w:t>
      </w:r>
    </w:p>
    <w:p w14:paraId="7165900B">
      <w:pPr>
        <w:kinsoku/>
        <w:autoSpaceDE/>
        <w:autoSpaceDN/>
        <w:adjustRightInd/>
        <w:snapToGrid/>
        <w:spacing w:line="360" w:lineRule="auto"/>
        <w:ind w:firstLine="482" w:firstLineChars="200"/>
        <w:jc w:val="left"/>
        <w:rPr>
          <w:rStyle w:val="27"/>
          <w:rFonts w:hint="eastAsia" w:ascii="宋体" w:hAnsi="宋体" w:eastAsia="宋体" w:cs="宋体"/>
          <w:b/>
          <w:bCs/>
          <w:snapToGrid/>
          <w:color w:val="000000" w:themeColor="text1"/>
          <w:kern w:val="0"/>
          <w:sz w:val="24"/>
          <w:szCs w:val="24"/>
          <w:highlight w:val="none"/>
          <w:lang w:eastAsia="zh-CN"/>
          <w14:textFill>
            <w14:solidFill>
              <w14:schemeClr w14:val="tx1"/>
            </w14:solidFill>
          </w14:textFill>
        </w:rPr>
      </w:pPr>
      <w:r>
        <w:rPr>
          <w:rStyle w:val="27"/>
          <w:rFonts w:hint="eastAsia" w:ascii="宋体" w:hAnsi="宋体" w:eastAsia="宋体" w:cs="宋体"/>
          <w:b/>
          <w:bCs/>
          <w:snapToGrid/>
          <w:color w:val="000000" w:themeColor="text1"/>
          <w:kern w:val="0"/>
          <w:sz w:val="24"/>
          <w:szCs w:val="24"/>
          <w:highlight w:val="none"/>
          <w:lang w:val="en-US" w:eastAsia="zh-CN"/>
          <w14:textFill>
            <w14:solidFill>
              <w14:schemeClr w14:val="tx1"/>
            </w14:solidFill>
          </w14:textFill>
        </w:rPr>
        <w:t>4</w:t>
      </w:r>
      <w:r>
        <w:rPr>
          <w:rStyle w:val="27"/>
          <w:rFonts w:hint="eastAsia" w:ascii="宋体" w:hAnsi="宋体" w:eastAsia="宋体" w:cs="宋体"/>
          <w:b/>
          <w:bCs/>
          <w:snapToGrid/>
          <w:color w:val="000000" w:themeColor="text1"/>
          <w:kern w:val="0"/>
          <w:sz w:val="24"/>
          <w:szCs w:val="24"/>
          <w:highlight w:val="none"/>
          <w:lang w:eastAsia="zh-CN"/>
          <w14:textFill>
            <w14:solidFill>
              <w14:schemeClr w14:val="tx1"/>
            </w14:solidFill>
          </w14:textFill>
        </w:rPr>
        <w:t>.定标办法</w:t>
      </w:r>
    </w:p>
    <w:p w14:paraId="375D6E12">
      <w:pPr>
        <w:kinsoku/>
        <w:autoSpaceDE/>
        <w:autoSpaceDN/>
        <w:adjustRightInd/>
        <w:snapToGrid/>
        <w:spacing w:line="360" w:lineRule="auto"/>
        <w:ind w:firstLine="480" w:firstLineChars="200"/>
        <w:jc w:val="both"/>
        <w:rPr>
          <w:rStyle w:val="27"/>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pPr>
      <w:r>
        <w:rPr>
          <w:rStyle w:val="27"/>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t>定标办法由招标人按本投标人须知前附表的规定确定（只能选定其中一种定标办法）。</w:t>
      </w:r>
    </w:p>
    <w:p w14:paraId="2AF86B54">
      <w:pPr>
        <w:kinsoku/>
        <w:autoSpaceDE/>
        <w:autoSpaceDN/>
        <w:adjustRightInd/>
        <w:snapToGrid/>
        <w:spacing w:line="360" w:lineRule="auto"/>
        <w:ind w:firstLine="482" w:firstLineChars="200"/>
        <w:jc w:val="both"/>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bookmarkStart w:id="153" w:name="OLE_LINK3"/>
      <w:r>
        <w:rPr>
          <w:rFonts w:hint="eastAsia" w:ascii="宋体" w:hAnsi="宋体" w:eastAsia="宋体" w:cs="宋体"/>
          <w:b/>
          <w:bCs/>
          <w:snapToGrid/>
          <w:color w:val="000000" w:themeColor="text1"/>
          <w:kern w:val="2"/>
          <w:sz w:val="24"/>
          <w:szCs w:val="24"/>
          <w:highlight w:val="none"/>
          <w:lang w:val="en-US" w:eastAsia="zh-CN"/>
          <w14:textFill>
            <w14:solidFill>
              <w14:schemeClr w14:val="tx1"/>
            </w14:solidFill>
          </w14:textFill>
        </w:rPr>
        <w:t>本项目</w:t>
      </w:r>
      <w:bookmarkEnd w:id="153"/>
      <w:r>
        <w:rPr>
          <w:rFonts w:hint="eastAsia" w:ascii="宋体" w:hAnsi="宋体" w:eastAsia="宋体" w:cs="宋体"/>
          <w:b/>
          <w:bCs/>
          <w:snapToGrid/>
          <w:color w:val="000000" w:themeColor="text1"/>
          <w:kern w:val="2"/>
          <w:sz w:val="24"/>
          <w:szCs w:val="24"/>
          <w:highlight w:val="none"/>
          <w:lang w:val="en-US" w:eastAsia="zh-CN"/>
          <w14:textFill>
            <w14:solidFill>
              <w14:schemeClr w14:val="tx1"/>
            </w14:solidFill>
          </w14:textFill>
        </w:rPr>
        <w:t>采用票决数量法定标。</w:t>
      </w:r>
    </w:p>
    <w:p w14:paraId="65386231">
      <w:pPr>
        <w:kinsoku/>
        <w:autoSpaceDE/>
        <w:autoSpaceDN/>
        <w:adjustRightInd/>
        <w:snapToGrid/>
        <w:spacing w:line="360" w:lineRule="auto"/>
        <w:ind w:firstLine="482" w:firstLineChars="200"/>
        <w:jc w:val="both"/>
        <w:rPr>
          <w:rStyle w:val="27"/>
          <w:rFonts w:hint="eastAsia" w:ascii="宋体" w:hAnsi="宋体" w:eastAsia="宋体" w:cs="宋体"/>
          <w:b/>
          <w:bCs/>
          <w:snapToGrid/>
          <w:color w:val="000000" w:themeColor="text1"/>
          <w:kern w:val="0"/>
          <w:sz w:val="24"/>
          <w:szCs w:val="24"/>
          <w:highlight w:val="none"/>
          <w:lang w:val="en-US" w:eastAsia="zh-CN"/>
          <w14:textFill>
            <w14:solidFill>
              <w14:schemeClr w14:val="tx1"/>
            </w14:solidFill>
          </w14:textFill>
        </w:rPr>
      </w:pPr>
      <w:r>
        <w:rPr>
          <w:rStyle w:val="27"/>
          <w:rFonts w:hint="eastAsia" w:ascii="宋体" w:hAnsi="宋体" w:eastAsia="宋体" w:cs="宋体"/>
          <w:b/>
          <w:bCs/>
          <w:snapToGrid/>
          <w:color w:val="000000" w:themeColor="text1"/>
          <w:kern w:val="0"/>
          <w:sz w:val="24"/>
          <w:szCs w:val="24"/>
          <w:highlight w:val="none"/>
          <w:lang w:val="en-US" w:eastAsia="zh-CN"/>
          <w14:textFill>
            <w14:solidFill>
              <w14:schemeClr w14:val="tx1"/>
            </w14:solidFill>
          </w14:textFill>
        </w:rPr>
        <w:t>5.定标细则</w:t>
      </w:r>
    </w:p>
    <w:p w14:paraId="7CE9102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snapToGrid/>
          <w:color w:val="000000" w:themeColor="text1"/>
          <w:spacing w:val="0"/>
          <w:kern w:val="2"/>
          <w:position w:val="0"/>
          <w:sz w:val="24"/>
          <w:szCs w:val="24"/>
          <w:highlight w:val="none"/>
          <w:u w:val="none" w:color="auto"/>
          <w:lang w:eastAsia="zh-CN"/>
          <w14:textFill>
            <w14:solidFill>
              <w14:schemeClr w14:val="tx1"/>
            </w14:solidFill>
          </w14:textFill>
        </w:rPr>
      </w:pPr>
      <w:r>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5.1票决数量法程序</w:t>
      </w:r>
    </w:p>
    <w:p w14:paraId="2DCC38A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snapToGrid/>
          <w:color w:val="000000" w:themeColor="text1"/>
          <w:kern w:val="2"/>
          <w:sz w:val="24"/>
          <w:szCs w:val="24"/>
          <w:highlight w:val="none"/>
          <w:u w:val="none"/>
          <w:lang w:val="en-US" w:eastAsia="zh-CN"/>
          <w14:textFill>
            <w14:solidFill>
              <w14:schemeClr w14:val="tx1"/>
            </w14:solidFill>
          </w14:textFill>
        </w:rPr>
      </w:pPr>
      <w:r>
        <w:rPr>
          <w:rFonts w:hint="eastAsia" w:ascii="宋体" w:hAnsi="宋体" w:eastAsia="宋体" w:cs="宋体"/>
          <w:b w:val="0"/>
          <w:i w:val="0"/>
          <w:snapToGrid/>
          <w:color w:val="000000" w:themeColor="text1"/>
          <w:kern w:val="2"/>
          <w:sz w:val="24"/>
          <w:szCs w:val="24"/>
          <w:highlight w:val="none"/>
          <w:u w:val="none"/>
          <w:shd w:val="clear" w:color="auto" w:fill="FFFFFF"/>
          <w:lang w:eastAsia="zh-CN"/>
          <w14:textFill>
            <w14:solidFill>
              <w14:schemeClr w14:val="tx1"/>
            </w14:solidFill>
          </w14:textFill>
        </w:rPr>
        <w:t>定标委员会根据定标因素对定标候选人进行评审比较后，每名定标委员会成员</w:t>
      </w:r>
      <w:r>
        <w:rPr>
          <w:rFonts w:hint="eastAsia" w:ascii="宋体" w:hAnsi="宋体" w:eastAsia="宋体" w:cs="宋体"/>
          <w:snapToGrid/>
          <w:color w:val="000000" w:themeColor="text1"/>
          <w:kern w:val="2"/>
          <w:sz w:val="24"/>
          <w:szCs w:val="24"/>
          <w:highlight w:val="none"/>
          <w:u w:val="none"/>
          <w:lang w:val="en-US" w:eastAsia="zh-CN"/>
          <w14:textFill>
            <w14:solidFill>
              <w14:schemeClr w14:val="tx1"/>
            </w14:solidFill>
          </w14:textFill>
        </w:rPr>
        <w:t>有且仅有投出1票的权利，1票只能投1名定标候选人，</w:t>
      </w:r>
      <w:r>
        <w:rPr>
          <w:rFonts w:hint="eastAsia" w:ascii="宋体" w:hAnsi="宋体" w:eastAsia="宋体" w:cs="宋体"/>
          <w:b w:val="0"/>
          <w:i w:val="0"/>
          <w:snapToGrid/>
          <w:color w:val="000000" w:themeColor="text1"/>
          <w:kern w:val="2"/>
          <w:sz w:val="24"/>
          <w:szCs w:val="24"/>
          <w:highlight w:val="none"/>
          <w:u w:val="none"/>
          <w:shd w:val="clear" w:color="auto" w:fill="FFFFFF"/>
          <w:lang w:val="en-US" w:eastAsia="zh-CN"/>
          <w14:textFill>
            <w14:solidFill>
              <w14:schemeClr w14:val="tx1"/>
            </w14:solidFill>
          </w14:textFill>
        </w:rPr>
        <w:t>根据</w:t>
      </w:r>
      <w:r>
        <w:rPr>
          <w:rFonts w:hint="eastAsia" w:ascii="宋体" w:hAnsi="宋体" w:eastAsia="宋体" w:cs="宋体"/>
          <w:b w:val="0"/>
          <w:i w:val="0"/>
          <w:snapToGrid/>
          <w:color w:val="000000" w:themeColor="text1"/>
          <w:kern w:val="2"/>
          <w:sz w:val="24"/>
          <w:szCs w:val="24"/>
          <w:highlight w:val="none"/>
          <w:u w:val="none"/>
          <w:shd w:val="clear" w:color="auto" w:fill="FFFFFF"/>
          <w:lang w:eastAsia="zh-CN"/>
          <w14:textFill>
            <w14:solidFill>
              <w14:schemeClr w14:val="tx1"/>
            </w14:solidFill>
          </w14:textFill>
        </w:rPr>
        <w:t>票决</w:t>
      </w:r>
      <w:r>
        <w:rPr>
          <w:rFonts w:hint="eastAsia" w:ascii="宋体" w:hAnsi="宋体" w:eastAsia="宋体" w:cs="宋体"/>
          <w:b w:val="0"/>
          <w:i w:val="0"/>
          <w:snapToGrid/>
          <w:color w:val="000000" w:themeColor="text1"/>
          <w:kern w:val="2"/>
          <w:sz w:val="24"/>
          <w:szCs w:val="24"/>
          <w:highlight w:val="none"/>
          <w:u w:val="none"/>
          <w:shd w:val="clear" w:color="auto" w:fill="FFFFFF"/>
          <w:lang w:val="en-US" w:eastAsia="zh-CN"/>
          <w14:textFill>
            <w14:solidFill>
              <w14:schemeClr w14:val="tx1"/>
            </w14:solidFill>
          </w14:textFill>
        </w:rPr>
        <w:t>数量</w:t>
      </w:r>
      <w:r>
        <w:rPr>
          <w:rFonts w:hint="eastAsia" w:ascii="宋体" w:hAnsi="宋体" w:eastAsia="宋体" w:cs="宋体"/>
          <w:b w:val="0"/>
          <w:i w:val="0"/>
          <w:snapToGrid/>
          <w:color w:val="000000" w:themeColor="text1"/>
          <w:kern w:val="2"/>
          <w:sz w:val="24"/>
          <w:szCs w:val="24"/>
          <w:highlight w:val="none"/>
          <w:u w:val="none"/>
          <w:shd w:val="clear" w:color="auto" w:fill="FFFFFF"/>
          <w:lang w:eastAsia="zh-CN"/>
          <w14:textFill>
            <w14:solidFill>
              <w14:schemeClr w14:val="tx1"/>
            </w14:solidFill>
          </w14:textFill>
        </w:rPr>
        <w:t>排名确定中标候选人</w:t>
      </w:r>
      <w:r>
        <w:rPr>
          <w:rFonts w:hint="eastAsia" w:ascii="宋体" w:hAnsi="宋体" w:eastAsia="宋体" w:cs="宋体"/>
          <w:b w:val="0"/>
          <w:i w:val="0"/>
          <w:snapToGrid/>
          <w:color w:val="000000" w:themeColor="text1"/>
          <w:kern w:val="2"/>
          <w:sz w:val="24"/>
          <w:szCs w:val="24"/>
          <w:highlight w:val="none"/>
          <w:u w:val="none"/>
          <w:shd w:val="clear" w:color="auto" w:fill="FFFFFF"/>
          <w:lang w:val="en-US" w:eastAsia="zh-CN"/>
          <w14:textFill>
            <w14:solidFill>
              <w14:schemeClr w14:val="tx1"/>
            </w14:solidFill>
          </w14:textFill>
        </w:rPr>
        <w:t>的</w:t>
      </w:r>
      <w:r>
        <w:rPr>
          <w:rFonts w:hint="eastAsia" w:ascii="宋体" w:hAnsi="宋体" w:eastAsia="宋体" w:cs="宋体"/>
          <w:b w:val="0"/>
          <w:i w:val="0"/>
          <w:snapToGrid/>
          <w:color w:val="000000" w:themeColor="text1"/>
          <w:kern w:val="2"/>
          <w:sz w:val="24"/>
          <w:szCs w:val="24"/>
          <w:highlight w:val="none"/>
          <w:u w:val="none"/>
          <w:shd w:val="clear" w:color="auto" w:fill="FFFFFF"/>
          <w:lang w:eastAsia="zh-CN"/>
          <w14:textFill>
            <w14:solidFill>
              <w14:schemeClr w14:val="tx1"/>
            </w14:solidFill>
          </w14:textFill>
        </w:rPr>
        <w:t>排序。即各定标委员会成员对定标候选人进行投票，按得票高低推荐排序的前三名中标候选人。</w:t>
      </w:r>
      <w:r>
        <w:rPr>
          <w:rFonts w:hint="eastAsia" w:ascii="宋体" w:hAnsi="宋体" w:eastAsia="宋体" w:cs="宋体"/>
          <w:snapToGrid/>
          <w:color w:val="000000" w:themeColor="text1"/>
          <w:kern w:val="2"/>
          <w:sz w:val="24"/>
          <w:szCs w:val="24"/>
          <w:highlight w:val="none"/>
          <w:u w:val="none"/>
          <w:lang w:val="en-US" w:eastAsia="zh-CN"/>
          <w14:textFill>
            <w14:solidFill>
              <w14:schemeClr w14:val="tx1"/>
            </w14:solidFill>
          </w14:textFill>
        </w:rPr>
        <w:t>若第一轮投票中前三名中标候选人有</w:t>
      </w:r>
      <w:r>
        <w:rPr>
          <w:rFonts w:hint="eastAsia" w:ascii="宋体" w:hAnsi="宋体" w:eastAsia="宋体" w:cs="宋体"/>
          <w:snapToGrid/>
          <w:color w:val="000000" w:themeColor="text1"/>
          <w:kern w:val="2"/>
          <w:sz w:val="24"/>
          <w:szCs w:val="24"/>
          <w:highlight w:val="none"/>
          <w:u w:val="none"/>
          <w:shd w:val="clear" w:color="auto" w:fill="FFFFFF"/>
          <w:lang w:val="en-US" w:eastAsia="zh-CN"/>
          <w14:textFill>
            <w14:solidFill>
              <w14:schemeClr w14:val="tx1"/>
            </w14:solidFill>
          </w14:textFill>
        </w:rPr>
        <w:t>得票相同且影响中标候选人排序确定的，由定标委员会对总票数相同的单位进行再次票决确定排序,</w:t>
      </w:r>
      <w:r>
        <w:rPr>
          <w:rFonts w:hint="eastAsia" w:ascii="宋体" w:hAnsi="宋体" w:eastAsia="宋体" w:cs="宋体"/>
          <w:snapToGrid/>
          <w:color w:val="000000" w:themeColor="text1"/>
          <w:kern w:val="2"/>
          <w:sz w:val="24"/>
          <w:szCs w:val="24"/>
          <w:highlight w:val="none"/>
          <w:u w:val="none"/>
          <w:lang w:val="en-US" w:eastAsia="zh-CN"/>
          <w14:textFill>
            <w14:solidFill>
              <w14:schemeClr w14:val="tx1"/>
            </w14:solidFill>
          </w14:textFill>
        </w:rPr>
        <w:t>直至决出排序的前三名中标候选人。若定标候选人中没有符合评审要求的三名中标候选人，则宣告本次招标失败。</w:t>
      </w:r>
    </w:p>
    <w:p w14:paraId="7313CBF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i w:val="0"/>
          <w:snapToGrid/>
          <w:color w:val="000000" w:themeColor="text1"/>
          <w:kern w:val="2"/>
          <w:sz w:val="24"/>
          <w:szCs w:val="24"/>
          <w:highlight w:val="none"/>
          <w:u w:val="none"/>
          <w:shd w:val="clear" w:color="auto" w:fill="FFFFFF"/>
          <w:lang w:eastAsia="zh-CN"/>
          <w14:textFill>
            <w14:solidFill>
              <w14:schemeClr w14:val="tx1"/>
            </w14:solidFill>
          </w14:textFill>
        </w:rPr>
        <w:t>票决采用</w:t>
      </w:r>
      <w:r>
        <w:rPr>
          <w:rFonts w:hint="eastAsia" w:ascii="宋体" w:hAnsi="宋体" w:eastAsia="宋体" w:cs="宋体"/>
          <w:b/>
          <w:bCs/>
          <w:i w:val="0"/>
          <w:snapToGrid/>
          <w:color w:val="000000" w:themeColor="text1"/>
          <w:kern w:val="2"/>
          <w:sz w:val="24"/>
          <w:szCs w:val="24"/>
          <w:highlight w:val="none"/>
          <w:u w:val="none"/>
          <w:shd w:val="clear" w:color="auto" w:fill="FFFFFF"/>
          <w:lang w:eastAsia="zh-CN"/>
          <w14:textFill>
            <w14:solidFill>
              <w14:schemeClr w14:val="tx1"/>
            </w14:solidFill>
          </w14:textFill>
        </w:rPr>
        <w:t>记名方式</w:t>
      </w:r>
      <w:r>
        <w:rPr>
          <w:rFonts w:hint="eastAsia" w:ascii="宋体" w:hAnsi="宋体" w:eastAsia="宋体" w:cs="宋体"/>
          <w:b w:val="0"/>
          <w:i w:val="0"/>
          <w:snapToGrid/>
          <w:color w:val="000000" w:themeColor="text1"/>
          <w:kern w:val="2"/>
          <w:sz w:val="24"/>
          <w:szCs w:val="24"/>
          <w:highlight w:val="none"/>
          <w:u w:val="none"/>
          <w:shd w:val="clear" w:color="auto" w:fill="FFFFFF"/>
          <w:lang w:eastAsia="zh-CN"/>
          <w14:textFill>
            <w14:solidFill>
              <w14:schemeClr w14:val="tx1"/>
            </w14:solidFill>
          </w14:textFill>
        </w:rPr>
        <w:t>并注明</w:t>
      </w:r>
      <w:r>
        <w:rPr>
          <w:rFonts w:hint="eastAsia" w:ascii="宋体" w:hAnsi="宋体" w:eastAsia="宋体" w:cs="宋体"/>
          <w:b/>
          <w:bCs/>
          <w:i w:val="0"/>
          <w:snapToGrid/>
          <w:color w:val="000000" w:themeColor="text1"/>
          <w:kern w:val="2"/>
          <w:sz w:val="24"/>
          <w:szCs w:val="24"/>
          <w:highlight w:val="none"/>
          <w:u w:val="none"/>
          <w:shd w:val="clear" w:color="auto" w:fill="FFFFFF"/>
          <w:lang w:eastAsia="zh-CN"/>
          <w14:textFill>
            <w14:solidFill>
              <w14:schemeClr w14:val="tx1"/>
            </w14:solidFill>
          </w14:textFill>
        </w:rPr>
        <w:t>投票理由</w:t>
      </w:r>
      <w:r>
        <w:rPr>
          <w:rFonts w:hint="eastAsia" w:ascii="宋体" w:hAnsi="宋体" w:eastAsia="宋体" w:cs="宋体"/>
          <w:b w:val="0"/>
          <w:i w:val="0"/>
          <w:snapToGrid/>
          <w:color w:val="000000" w:themeColor="text1"/>
          <w:kern w:val="2"/>
          <w:sz w:val="24"/>
          <w:szCs w:val="24"/>
          <w:highlight w:val="none"/>
          <w:u w:val="none"/>
          <w:shd w:val="clear" w:color="auto" w:fill="FFFFFF"/>
          <w:lang w:eastAsia="zh-CN"/>
          <w14:textFill>
            <w14:solidFill>
              <w14:schemeClr w14:val="tx1"/>
            </w14:solidFill>
          </w14:textFill>
        </w:rPr>
        <w:t>。</w:t>
      </w:r>
    </w:p>
    <w:p w14:paraId="325447A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snapToGrid/>
          <w:color w:val="000000" w:themeColor="text1"/>
          <w:kern w:val="2"/>
          <w:sz w:val="24"/>
          <w:szCs w:val="24"/>
          <w:highlight w:val="none"/>
          <w:u w:val="none"/>
          <w:shd w:val="clear" w:color="auto" w:fill="FFFFFF"/>
          <w:lang w:eastAsia="zh-CN"/>
          <w14:textFill>
            <w14:solidFill>
              <w14:schemeClr w14:val="tx1"/>
            </w14:solidFill>
          </w14:textFill>
        </w:rPr>
      </w:pPr>
      <w:r>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5.1.1.</w:t>
      </w:r>
      <w:r>
        <w:rPr>
          <w:rFonts w:hint="eastAsia" w:ascii="宋体" w:hAnsi="宋体" w:eastAsia="宋体" w:cs="宋体"/>
          <w:b/>
          <w:bCs/>
          <w:snapToGrid/>
          <w:color w:val="000000" w:themeColor="text1"/>
          <w:kern w:val="2"/>
          <w:sz w:val="24"/>
          <w:szCs w:val="24"/>
          <w:highlight w:val="none"/>
          <w:u w:val="none"/>
          <w:shd w:val="clear" w:color="auto" w:fill="FFFFFF"/>
          <w:lang w:eastAsia="zh-CN"/>
          <w14:textFill>
            <w14:solidFill>
              <w14:schemeClr w14:val="tx1"/>
            </w14:solidFill>
          </w14:textFill>
        </w:rPr>
        <w:t>项目情况介绍</w:t>
      </w:r>
    </w:p>
    <w:p w14:paraId="669C01C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eastAsia="zh-CN"/>
          <w14:textFill>
            <w14:solidFill>
              <w14:schemeClr w14:val="tx1"/>
            </w14:solidFill>
          </w14:textFill>
        </w:rPr>
      </w:pPr>
      <w:r>
        <w:rPr>
          <w:rFonts w:hint="eastAsia" w:ascii="宋体" w:hAnsi="宋体" w:eastAsia="宋体" w:cs="宋体"/>
          <w:b w:val="0"/>
          <w:bCs w:val="0"/>
          <w:snapToGrid/>
          <w:color w:val="000000" w:themeColor="text1"/>
          <w:spacing w:val="0"/>
          <w:kern w:val="2"/>
          <w:position w:val="0"/>
          <w:sz w:val="24"/>
          <w:szCs w:val="24"/>
          <w:highlight w:val="none"/>
          <w:u w:val="none" w:color="auto"/>
          <w:lang w:eastAsia="zh-CN"/>
          <w14:textFill>
            <w14:solidFill>
              <w14:schemeClr w14:val="tx1"/>
            </w14:solidFill>
          </w14:textFill>
        </w:rPr>
        <w:t>招标人代表介绍项目的概况及招标要求，以及定标方法与定标工作规则，不得发表具有倾向性的言论。</w:t>
      </w:r>
    </w:p>
    <w:p w14:paraId="466A7AC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5.1.2.</w:t>
      </w:r>
      <w:r>
        <w:rPr>
          <w:rFonts w:hint="eastAsia" w:ascii="宋体" w:hAnsi="宋体" w:eastAsia="宋体" w:cs="宋体"/>
          <w:b/>
          <w:bCs/>
          <w:snapToGrid/>
          <w:color w:val="000000" w:themeColor="text1"/>
          <w:kern w:val="2"/>
          <w:sz w:val="24"/>
          <w:szCs w:val="24"/>
          <w:highlight w:val="none"/>
          <w:u w:val="none"/>
          <w:shd w:val="clear" w:color="auto" w:fill="FFFFFF"/>
          <w:lang w:eastAsia="zh-CN"/>
          <w14:textFill>
            <w14:solidFill>
              <w14:schemeClr w14:val="tx1"/>
            </w14:solidFill>
          </w14:textFill>
        </w:rPr>
        <w:t>审阅定标资料</w:t>
      </w:r>
    </w:p>
    <w:p w14:paraId="786F17D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eastAsia="zh-CN"/>
          <w14:textFill>
            <w14:solidFill>
              <w14:schemeClr w14:val="tx1"/>
            </w14:solidFill>
          </w14:textFill>
        </w:rPr>
      </w:pPr>
      <w:r>
        <w:rPr>
          <w:rFonts w:hint="eastAsia" w:ascii="宋体" w:hAnsi="宋体" w:eastAsia="宋体" w:cs="宋体"/>
          <w:b w:val="0"/>
          <w:bCs w:val="0"/>
          <w:snapToGrid/>
          <w:color w:val="000000" w:themeColor="text1"/>
          <w:spacing w:val="0"/>
          <w:kern w:val="2"/>
          <w:position w:val="0"/>
          <w:sz w:val="24"/>
          <w:szCs w:val="24"/>
          <w:highlight w:val="none"/>
          <w:u w:val="none" w:color="auto"/>
          <w:lang w:eastAsia="zh-CN"/>
          <w14:textFill>
            <w14:solidFill>
              <w14:schemeClr w14:val="tx1"/>
            </w14:solidFill>
          </w14:textFill>
        </w:rPr>
        <w:t>定标委员会成员对各定标候选人的投标文件进行审阅，审阅内容主要是定标工作规则所规定的定标因素，</w:t>
      </w: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聚焦于项目需求与候选人能力的匹配度</w:t>
      </w:r>
      <w:r>
        <w:rPr>
          <w:rFonts w:hint="eastAsia" w:ascii="宋体" w:hAnsi="宋体" w:eastAsia="宋体" w:cs="宋体"/>
          <w:snapToGrid/>
          <w:color w:val="000000" w:themeColor="text1"/>
          <w:kern w:val="2"/>
          <w:sz w:val="24"/>
          <w:szCs w:val="24"/>
          <w:highlight w:val="none"/>
          <w:u w:val="none"/>
          <w:shd w:val="clear" w:color="auto" w:fill="FFFFFF"/>
          <w:lang w:eastAsia="zh-CN"/>
          <w14:textFill>
            <w14:solidFill>
              <w14:schemeClr w14:val="tx1"/>
            </w14:solidFill>
          </w14:textFill>
        </w:rPr>
        <w:t>。</w:t>
      </w:r>
    </w:p>
    <w:p w14:paraId="4638C29A">
      <w:pPr>
        <w:keepNext w:val="0"/>
        <w:keepLines w:val="0"/>
        <w:pageBreakBefore w:val="0"/>
        <w:numPr>
          <w:ilvl w:val="0"/>
          <w:numId w:val="0"/>
        </w:numPr>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left="0" w:right="0" w:firstLine="482" w:firstLineChars="200"/>
        <w:jc w:val="both"/>
        <w:textAlignment w:val="auto"/>
        <w:outlineLvl w:val="9"/>
        <w:rPr>
          <w:rFonts w:hint="eastAsia" w:ascii="宋体" w:hAnsi="宋体" w:eastAsia="宋体" w:cs="宋体"/>
          <w:b/>
          <w:bCs/>
          <w:color w:val="000000" w:themeColor="text1"/>
          <w:kern w:val="0"/>
          <w:sz w:val="24"/>
          <w:szCs w:val="24"/>
          <w:highlight w:val="none"/>
          <w:u w:val="none"/>
          <w:shd w:val="clear" w:color="auto" w:fill="FFFFFF"/>
          <w:lang w:val="en-US" w:eastAsia="zh-CN" w:bidi="ar"/>
          <w14:textFill>
            <w14:solidFill>
              <w14:schemeClr w14:val="tx1"/>
            </w14:solidFill>
          </w14:textFill>
        </w:rPr>
      </w:pPr>
      <w:r>
        <w:rPr>
          <w:rFonts w:hint="eastAsia" w:ascii="宋体" w:hAnsi="宋体" w:eastAsia="宋体" w:cs="宋体"/>
          <w:b/>
          <w:bCs/>
          <w:color w:val="000000" w:themeColor="text1"/>
          <w:spacing w:val="0"/>
          <w:kern w:val="0"/>
          <w:position w:val="0"/>
          <w:sz w:val="24"/>
          <w:szCs w:val="24"/>
          <w:highlight w:val="none"/>
          <w:u w:val="none" w:color="auto"/>
          <w:lang w:val="en-US" w:eastAsia="zh-CN" w:bidi="ar"/>
          <w14:textFill>
            <w14:solidFill>
              <w14:schemeClr w14:val="tx1"/>
            </w14:solidFill>
          </w14:textFill>
        </w:rPr>
        <w:t>5.1.3.</w:t>
      </w:r>
      <w:r>
        <w:rPr>
          <w:rFonts w:hint="eastAsia" w:ascii="宋体" w:hAnsi="宋体" w:eastAsia="宋体" w:cs="宋体"/>
          <w:b/>
          <w:bCs/>
          <w:color w:val="000000" w:themeColor="text1"/>
          <w:kern w:val="0"/>
          <w:sz w:val="24"/>
          <w:szCs w:val="24"/>
          <w:highlight w:val="none"/>
          <w:u w:val="none"/>
          <w:shd w:val="clear" w:color="auto" w:fill="FFFFFF"/>
          <w:lang w:val="en-US" w:eastAsia="zh-CN" w:bidi="ar"/>
          <w14:textFill>
            <w14:solidFill>
              <w14:schemeClr w14:val="tx1"/>
            </w14:solidFill>
          </w14:textFill>
        </w:rPr>
        <w:t>疑问澄清</w:t>
      </w:r>
    </w:p>
    <w:p w14:paraId="0E5CD66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u w:val="none"/>
          <w:shd w:val="clear" w:color="auto" w:fill="FFFFFF"/>
          <w:lang w:eastAsia="zh-CN"/>
          <w14:textFill>
            <w14:solidFill>
              <w14:schemeClr w14:val="tx1"/>
            </w14:solidFill>
          </w14:textFill>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7DD58DD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bCs/>
          <w:snapToGrid/>
          <w:color w:val="000000" w:themeColor="text1"/>
          <w:kern w:val="0"/>
          <w:sz w:val="24"/>
          <w:szCs w:val="24"/>
          <w:highlight w:val="none"/>
          <w:u w:val="none"/>
          <w:shd w:val="clear" w:color="auto" w:fill="FFFFFF"/>
          <w:lang w:val="en-US" w:eastAsia="zh-CN" w:bidi="ar-SA"/>
          <w14:textFill>
            <w14:solidFill>
              <w14:schemeClr w14:val="tx1"/>
            </w14:solidFill>
          </w14:textFill>
        </w:rPr>
        <w:t>5.1.4.投票，收票，点票和汇总</w:t>
      </w:r>
    </w:p>
    <w:p w14:paraId="7F54900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bCs w:val="0"/>
          <w:snapToGrid/>
          <w:color w:val="000000" w:themeColor="text1"/>
          <w:spacing w:val="0"/>
          <w:kern w:val="2"/>
          <w:position w:val="0"/>
          <w:sz w:val="24"/>
          <w:szCs w:val="24"/>
          <w:highlight w:val="none"/>
          <w:u w:val="none" w:color="auto"/>
          <w:lang w:eastAsia="zh-CN"/>
          <w14:textFill>
            <w14:solidFill>
              <w14:schemeClr w14:val="tx1"/>
            </w14:solidFill>
          </w14:textFill>
        </w:rPr>
        <w:t>定标委员会成员按照</w:t>
      </w: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票决数量法</w:t>
      </w:r>
      <w:r>
        <w:rPr>
          <w:rFonts w:hint="eastAsia" w:ascii="宋体" w:hAnsi="宋体" w:eastAsia="宋体" w:cs="宋体"/>
          <w:b w:val="0"/>
          <w:bCs w:val="0"/>
          <w:snapToGrid/>
          <w:color w:val="000000" w:themeColor="text1"/>
          <w:spacing w:val="0"/>
          <w:kern w:val="2"/>
          <w:position w:val="0"/>
          <w:sz w:val="24"/>
          <w:szCs w:val="24"/>
          <w:highlight w:val="none"/>
          <w:u w:val="none" w:color="auto"/>
          <w:lang w:eastAsia="zh-CN"/>
          <w14:textFill>
            <w14:solidFill>
              <w14:schemeClr w14:val="tx1"/>
            </w14:solidFill>
          </w14:textFill>
        </w:rPr>
        <w:t>定标</w:t>
      </w: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办</w:t>
      </w:r>
      <w:r>
        <w:rPr>
          <w:rFonts w:hint="eastAsia" w:ascii="宋体" w:hAnsi="宋体" w:eastAsia="宋体" w:cs="宋体"/>
          <w:b w:val="0"/>
          <w:bCs w:val="0"/>
          <w:snapToGrid/>
          <w:color w:val="000000" w:themeColor="text1"/>
          <w:spacing w:val="0"/>
          <w:kern w:val="2"/>
          <w:position w:val="0"/>
          <w:sz w:val="24"/>
          <w:szCs w:val="24"/>
          <w:highlight w:val="none"/>
          <w:u w:val="none" w:color="auto"/>
          <w:lang w:eastAsia="zh-CN"/>
          <w14:textFill>
            <w14:solidFill>
              <w14:schemeClr w14:val="tx1"/>
            </w14:solidFill>
          </w14:textFill>
        </w:rPr>
        <w:t>法程序，根据公平、公正、择优原则，独立完成票决后，统一由定标工作人员收集、清点，并对票数进行汇总排名。得票相同且影响中标候选人排序确定的，可由定标委员会对总票数相同的单位进行再次票决确定排序。</w:t>
      </w:r>
    </w:p>
    <w:p w14:paraId="0869BC2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0"/>
          <w:sz w:val="24"/>
          <w:szCs w:val="24"/>
          <w:highlight w:val="none"/>
          <w:u w:val="none"/>
          <w:shd w:val="clear" w:color="auto" w:fill="FFFFFF"/>
          <w:lang w:val="en-US" w:eastAsia="zh-CN" w:bidi="ar-SA"/>
          <w14:textFill>
            <w14:solidFill>
              <w14:schemeClr w14:val="tx1"/>
            </w14:solidFill>
          </w14:textFill>
        </w:rPr>
        <w:t>5.1.5.公布结果和出具定标报告</w:t>
      </w:r>
    </w:p>
    <w:p w14:paraId="1D8B8BD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bCs/>
          <w:snapToGrid/>
          <w:color w:val="000000" w:themeColor="text1"/>
          <w:kern w:val="2"/>
          <w:sz w:val="24"/>
          <w:szCs w:val="24"/>
          <w:highlight w:val="none"/>
          <w:lang w:eastAsia="zh-CN"/>
          <w14:textFill>
            <w14:solidFill>
              <w14:schemeClr w14:val="tx1"/>
            </w14:solidFill>
          </w14:textFill>
        </w:rPr>
        <w:t>点票工作完成后，定标委员会组长汇总定标结果，编制定标报告，确定中标候选人，全体成员签名。</w:t>
      </w:r>
    </w:p>
    <w:p w14:paraId="54D4983D">
      <w:pPr>
        <w:keepNext w:val="0"/>
        <w:keepLines w:val="0"/>
        <w:pageBreakBefore w:val="0"/>
        <w:numPr>
          <w:ilvl w:val="0"/>
          <w:numId w:val="0"/>
        </w:numPr>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left="420" w:leftChars="200" w:right="0"/>
        <w:jc w:val="both"/>
        <w:textAlignment w:val="auto"/>
        <w:outlineLvl w:val="9"/>
        <w:rPr>
          <w:rFonts w:hint="eastAsia" w:ascii="宋体" w:hAnsi="宋体" w:eastAsia="宋体" w:cs="宋体"/>
          <w:b/>
          <w:bCs/>
          <w:color w:val="000000" w:themeColor="text1"/>
          <w:kern w:val="0"/>
          <w:sz w:val="24"/>
          <w:szCs w:val="24"/>
          <w:highlight w:val="none"/>
          <w:u w:val="none"/>
          <w:shd w:val="clear" w:color="auto" w:fill="FFFFFF"/>
          <w:lang w:val="en-US" w:eastAsia="zh-CN" w:bidi="ar"/>
          <w14:textFill>
            <w14:solidFill>
              <w14:schemeClr w14:val="tx1"/>
            </w14:solidFill>
          </w14:textFill>
        </w:rPr>
      </w:pPr>
      <w:r>
        <w:rPr>
          <w:rFonts w:hint="eastAsia" w:ascii="宋体" w:hAnsi="宋体" w:eastAsia="宋体" w:cs="宋体"/>
          <w:b/>
          <w:bCs/>
          <w:color w:val="000000" w:themeColor="text1"/>
          <w:spacing w:val="0"/>
          <w:kern w:val="0"/>
          <w:position w:val="0"/>
          <w:sz w:val="24"/>
          <w:szCs w:val="24"/>
          <w:highlight w:val="none"/>
          <w:u w:val="none" w:color="auto"/>
          <w:lang w:val="en-US" w:eastAsia="zh-CN" w:bidi="ar"/>
          <w14:textFill>
            <w14:solidFill>
              <w14:schemeClr w14:val="tx1"/>
            </w14:solidFill>
          </w14:textFill>
        </w:rPr>
        <w:t>5.1.6.</w:t>
      </w:r>
      <w:r>
        <w:rPr>
          <w:rFonts w:hint="eastAsia" w:ascii="宋体" w:hAnsi="宋体" w:eastAsia="宋体" w:cs="宋体"/>
          <w:b/>
          <w:bCs/>
          <w:color w:val="000000" w:themeColor="text1"/>
          <w:kern w:val="0"/>
          <w:sz w:val="24"/>
          <w:szCs w:val="24"/>
          <w:highlight w:val="none"/>
          <w:u w:val="none"/>
          <w:shd w:val="clear" w:color="auto" w:fill="FFFFFF"/>
          <w:lang w:val="en-US" w:eastAsia="zh-CN" w:bidi="ar"/>
          <w14:textFill>
            <w14:solidFill>
              <w14:schemeClr w14:val="tx1"/>
            </w14:solidFill>
          </w14:textFill>
        </w:rPr>
        <w:t>全程监督</w:t>
      </w:r>
    </w:p>
    <w:p w14:paraId="14B5573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val="0"/>
          <w:bCs/>
          <w:snapToGrid/>
          <w:color w:val="000000" w:themeColor="text1"/>
          <w:kern w:val="2"/>
          <w:sz w:val="24"/>
          <w:szCs w:val="24"/>
          <w:highlight w:val="none"/>
          <w:lang w:eastAsia="zh-CN"/>
          <w14:textFill>
            <w14:solidFill>
              <w14:schemeClr w14:val="tx1"/>
            </w14:solidFill>
          </w14:textFill>
        </w:rPr>
        <w:t>招标监督小组对</w:t>
      </w:r>
      <w:r>
        <w:rPr>
          <w:rFonts w:hint="eastAsia" w:ascii="宋体" w:hAnsi="宋体" w:eastAsia="宋体" w:cs="宋体"/>
          <w:b w:val="0"/>
          <w:bCs/>
          <w:snapToGrid/>
          <w:color w:val="000000" w:themeColor="text1"/>
          <w:kern w:val="2"/>
          <w:sz w:val="24"/>
          <w:szCs w:val="24"/>
          <w:highlight w:val="none"/>
          <w:lang w:val="en-US" w:eastAsia="zh-CN"/>
          <w14:textFill>
            <w14:solidFill>
              <w14:schemeClr w14:val="tx1"/>
            </w14:solidFill>
          </w14:textFill>
        </w:rPr>
        <w:t>定标会议</w:t>
      </w:r>
      <w:r>
        <w:rPr>
          <w:rFonts w:hint="eastAsia" w:ascii="宋体" w:hAnsi="宋体" w:eastAsia="宋体" w:cs="宋体"/>
          <w:b w:val="0"/>
          <w:bCs/>
          <w:snapToGrid/>
          <w:color w:val="000000" w:themeColor="text1"/>
          <w:kern w:val="2"/>
          <w:sz w:val="24"/>
          <w:szCs w:val="24"/>
          <w:highlight w:val="none"/>
          <w:lang w:eastAsia="zh-CN"/>
          <w14:textFill>
            <w14:solidFill>
              <w14:schemeClr w14:val="tx1"/>
            </w14:solidFill>
          </w14:textFill>
        </w:rPr>
        <w:t>的全过程进行监督，确保程序合规、记录完整，结论形成过程公正、透明。</w:t>
      </w:r>
    </w:p>
    <w:p w14:paraId="57D6AEF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5.2定标因素</w:t>
      </w:r>
    </w:p>
    <w:p w14:paraId="7700FF7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i/>
          <w:iCs/>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在同等条件下，择优的定标因素和相对标准有以下几个方面：</w:t>
      </w:r>
    </w:p>
    <w:p w14:paraId="23CFDF6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（1）拟派团队管理能力与水平（履约能力）</w:t>
      </w:r>
    </w:p>
    <w:p w14:paraId="1204373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相对标准：拟派团队管理能力与水平（履约能力）强的定标候选人优于拟派团队管理能力与水平（履约能力）一般的定标候选人。</w:t>
      </w:r>
    </w:p>
    <w:p w14:paraId="3559E50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（2）企业信誉</w:t>
      </w:r>
    </w:p>
    <w:p w14:paraId="4CDFF98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相对标准：企业信誉评价好的定标候选人优于企业信誉评价一般的定标候选人。</w:t>
      </w:r>
    </w:p>
    <w:p w14:paraId="7FE89EB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（3）企业实力</w:t>
      </w:r>
    </w:p>
    <w:p w14:paraId="700FFD9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相对标准：企业实力强的定标候选人优于企业实力弱的定标候选人（结合定标候选人提交的证明材料进行评审）。</w:t>
      </w:r>
    </w:p>
    <w:p w14:paraId="4EF399C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（4）评标报告</w:t>
      </w:r>
    </w:p>
    <w:p w14:paraId="24D2756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相对标准：评标委员会评审意见为具有优势、</w:t>
      </w: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风险</w:t>
      </w: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低</w:t>
      </w: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的定标候选人优于评标委员会评审意见为没有优势、</w:t>
      </w: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风险</w:t>
      </w: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高</w:t>
      </w: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的</w:t>
      </w: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定标候选人（</w:t>
      </w: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综合考虑评标委员会的评审意见，对各定标候选人</w:t>
      </w: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的优势、风险等评审情况</w:t>
      </w: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进行评审比较</w:t>
      </w: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w:t>
      </w:r>
    </w:p>
    <w:p w14:paraId="4E8003A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bCs/>
          <w:snapToGrid/>
          <w:color w:val="000000" w:themeColor="text1"/>
          <w:spacing w:val="0"/>
          <w:kern w:val="2"/>
          <w:position w:val="0"/>
          <w:sz w:val="24"/>
          <w:szCs w:val="24"/>
          <w:highlight w:val="none"/>
          <w:u w:val="none" w:color="auto"/>
          <w:lang w:val="en-US" w:eastAsia="zh-CN"/>
          <w14:textFill>
            <w14:solidFill>
              <w14:schemeClr w14:val="tx1"/>
            </w14:solidFill>
          </w14:textFill>
        </w:rPr>
        <w:t>（5）农民工工资保障情况</w:t>
      </w:r>
    </w:p>
    <w:p w14:paraId="5885E7D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bCs/>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spacing w:val="0"/>
          <w:kern w:val="2"/>
          <w:position w:val="0"/>
          <w:sz w:val="24"/>
          <w:szCs w:val="24"/>
          <w:highlight w:val="none"/>
          <w:u w:val="none" w:color="auto"/>
          <w:lang w:val="en-US" w:eastAsia="zh-CN"/>
          <w14:textFill>
            <w14:solidFill>
              <w14:schemeClr w14:val="tx1"/>
            </w14:solidFill>
          </w14:textFill>
        </w:rPr>
        <w:t>相对标准：农民工工资保障情况好的定标候选人优于农民工工资保障情况差的定标候选人（结合</w:t>
      </w: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定标候选人提交的证明材料和招标人查询的材料进行评审）。</w:t>
      </w:r>
    </w:p>
    <w:p w14:paraId="377D3A7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bCs/>
          <w:snapToGrid/>
          <w:color w:val="000000" w:themeColor="text1"/>
          <w:kern w:val="0"/>
          <w:sz w:val="24"/>
          <w:szCs w:val="24"/>
          <w:highlight w:val="none"/>
          <w:u w:val="none"/>
          <w:shd w:val="clear" w:color="auto" w:fill="FFFFFF"/>
          <w:lang w:val="en-US" w:eastAsia="zh-CN" w:bidi="ar-SA"/>
          <w14:textFill>
            <w14:solidFill>
              <w14:schemeClr w14:val="tx1"/>
            </w14:solidFill>
          </w14:textFill>
        </w:rPr>
        <w:t>6.定标结果公示</w:t>
      </w:r>
    </w:p>
    <w:p w14:paraId="1908F2A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Style w:val="27"/>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定标委员会完成定标</w:t>
      </w:r>
      <w:r>
        <w:rPr>
          <w:rStyle w:val="27"/>
          <w:rFonts w:hint="eastAsia" w:ascii="宋体" w:hAnsi="宋体" w:eastAsia="宋体" w:cs="宋体"/>
          <w:b w:val="0"/>
          <w:bCs w:val="0"/>
          <w:snapToGrid/>
          <w:color w:val="000000" w:themeColor="text1"/>
          <w:kern w:val="0"/>
          <w:sz w:val="24"/>
          <w:szCs w:val="24"/>
          <w:highlight w:val="none"/>
          <w:lang w:val="en-US" w:eastAsia="zh-CN"/>
          <w14:textFill>
            <w14:solidFill>
              <w14:schemeClr w14:val="tx1"/>
            </w14:solidFill>
          </w14:textFill>
        </w:rPr>
        <w:t>后</w:t>
      </w:r>
      <w:r>
        <w:rPr>
          <w:rStyle w:val="27"/>
          <w:rFonts w:hint="eastAsia" w:ascii="宋体" w:hAnsi="宋体" w:eastAsia="宋体" w:cs="宋体"/>
          <w:snapToGrid/>
          <w:color w:val="000000" w:themeColor="text1"/>
          <w:kern w:val="0"/>
          <w:sz w:val="24"/>
          <w:szCs w:val="24"/>
          <w:highlight w:val="none"/>
          <w:lang w:val="en-US" w:eastAsia="zh-CN"/>
          <w14:textFill>
            <w14:solidFill>
              <w14:schemeClr w14:val="tx1"/>
            </w14:solidFill>
          </w14:textFill>
        </w:rPr>
        <w:t>，招标人应当自收到定标报告之日起3个日历天内将中标候选人和定标情况在广东省招标投标监管网和全国公共资源交易平台（广东省·韶关市）上公示，公示时间不少于3个日历天。公示主要内容包括：定标报告（定标成员信息除外）、中标候选人名单、投标报价和拟投入本项目的项目负责人、技术负责人及各专业负责人（如有）等内容。</w:t>
      </w:r>
    </w:p>
    <w:p w14:paraId="56C01E05">
      <w:pPr>
        <w:tabs>
          <w:tab w:val="left" w:pos="885"/>
        </w:tabs>
        <w:kinsoku/>
        <w:autoSpaceDE/>
        <w:autoSpaceDN/>
        <w:adjustRightInd/>
        <w:snapToGrid w:val="0"/>
        <w:spacing w:line="360" w:lineRule="auto"/>
        <w:jc w:val="both"/>
        <w:outlineLvl w:val="9"/>
        <w:rPr>
          <w:rStyle w:val="27"/>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bookmarkStart w:id="154" w:name="_Toc209"/>
      <w:bookmarkStart w:id="155" w:name="_Toc13023"/>
    </w:p>
    <w:p w14:paraId="09A07B38">
      <w:pPr>
        <w:tabs>
          <w:tab w:val="left" w:pos="885"/>
        </w:tabs>
        <w:kinsoku/>
        <w:autoSpaceDE/>
        <w:autoSpaceDN/>
        <w:adjustRightInd/>
        <w:snapToGrid w:val="0"/>
        <w:spacing w:line="360" w:lineRule="auto"/>
        <w:jc w:val="both"/>
        <w:outlineLvl w:val="1"/>
        <w:rPr>
          <w:rStyle w:val="27"/>
          <w:rFonts w:hint="eastAsia" w:ascii="宋体" w:hAnsi="宋体" w:eastAsia="宋体" w:cs="宋体"/>
          <w:b/>
          <w:bCs/>
          <w:snapToGrid/>
          <w:color w:val="000000" w:themeColor="text1"/>
          <w:kern w:val="2"/>
          <w:sz w:val="24"/>
          <w:szCs w:val="24"/>
          <w:highlight w:val="none"/>
          <w:lang w:val="en-US" w:eastAsia="zh-CN"/>
          <w14:textFill>
            <w14:solidFill>
              <w14:schemeClr w14:val="tx1"/>
            </w14:solidFill>
          </w14:textFill>
        </w:rPr>
      </w:pPr>
      <w:bookmarkStart w:id="156" w:name="_Toc14677"/>
      <w:r>
        <w:rPr>
          <w:rStyle w:val="27"/>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第</w:t>
      </w:r>
      <w:r>
        <w:rPr>
          <w:rStyle w:val="27"/>
          <w:rFonts w:hint="eastAsia" w:ascii="宋体" w:hAnsi="宋体" w:eastAsia="宋体" w:cs="宋体"/>
          <w:b/>
          <w:bCs/>
          <w:snapToGrid/>
          <w:color w:val="000000" w:themeColor="text1"/>
          <w:kern w:val="2"/>
          <w:sz w:val="24"/>
          <w:szCs w:val="24"/>
          <w:highlight w:val="none"/>
          <w:lang w:val="en-US" w:eastAsia="zh-CN"/>
          <w14:textFill>
            <w14:solidFill>
              <w14:schemeClr w14:val="tx1"/>
            </w14:solidFill>
          </w14:textFill>
        </w:rPr>
        <w:t>六</w:t>
      </w:r>
      <w:r>
        <w:rPr>
          <w:rStyle w:val="27"/>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节 中标确认</w:t>
      </w:r>
      <w:bookmarkEnd w:id="154"/>
      <w:bookmarkEnd w:id="155"/>
      <w:bookmarkEnd w:id="156"/>
    </w:p>
    <w:p w14:paraId="4CEA487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bCs/>
          <w:snapToGrid/>
          <w:color w:val="000000" w:themeColor="text1"/>
          <w:kern w:val="0"/>
          <w:sz w:val="24"/>
          <w:szCs w:val="24"/>
          <w:highlight w:val="none"/>
          <w:u w:val="none"/>
          <w:shd w:val="clear" w:color="auto" w:fill="FFFFFF"/>
          <w:lang w:val="en-US" w:eastAsia="zh-CN" w:bidi="ar-SA"/>
          <w14:textFill>
            <w14:solidFill>
              <w14:schemeClr w14:val="tx1"/>
            </w14:solidFill>
          </w14:textFill>
        </w:rPr>
        <w:t>1.中标人确定</w:t>
      </w:r>
    </w:p>
    <w:p w14:paraId="52C9AF2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1.1 中标人确定。定标结果公示期满无异议的，招标人确认排名第一的中标候选人为中标人，中标人的投标报价即为中标价。</w:t>
      </w:r>
    </w:p>
    <w:p w14:paraId="1AEC508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1.2 中标人确定后，招标人应当在中标人确定之日起七日内向中标人发出中标通知书并将中标结果通知其他投标人。</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在中标通知书发出后</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五日</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内，将投标保证金及银行同期存款利息退回中标候选人以外的投标人，在书面合同订立之日起五日内将投标保证金及银行同期存款利息退回中标人和其他中标候选人。</w:t>
      </w:r>
      <w:r>
        <w:rPr>
          <w:rFonts w:hint="eastAsia" w:ascii="宋体" w:hAnsi="宋体" w:eastAsia="宋体" w:cs="宋体"/>
          <w:b/>
          <w:bCs/>
          <w:snapToGrid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4"/>
          <w:szCs w:val="24"/>
          <w:highlight w:val="none"/>
          <w:lang w:val="en-US" w:eastAsia="zh-CN"/>
          <w14:textFill>
            <w14:solidFill>
              <w14:schemeClr w14:val="tx1"/>
            </w14:solidFill>
          </w14:textFill>
        </w:rPr>
        <w:t>具体投标保证金退回按韶关市公共资源交易中心相应规定操作</w:t>
      </w:r>
      <w:r>
        <w:rPr>
          <w:rFonts w:hint="eastAsia" w:ascii="宋体" w:hAnsi="宋体" w:eastAsia="宋体" w:cs="宋体"/>
          <w:b/>
          <w:bCs/>
          <w:snapToGrid w:val="0"/>
          <w:color w:val="000000" w:themeColor="text1"/>
          <w:kern w:val="0"/>
          <w:sz w:val="24"/>
          <w:szCs w:val="24"/>
          <w:highlight w:val="none"/>
          <w:lang w:eastAsia="zh-CN"/>
          <w14:textFill>
            <w14:solidFill>
              <w14:schemeClr w14:val="tx1"/>
            </w14:solidFill>
          </w14:textFill>
        </w:rPr>
        <w:t>）</w:t>
      </w:r>
    </w:p>
    <w:p w14:paraId="2996DA3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1.3 中标通知书发出后15日内，招标人应将中标结果在广东省招标投标监管网、全国公共资源交易平台（广东省·韶关市）进行公示。招标人应当自确定中标人之日起15日内，向有关招标管理部门提交招标投标情况的书面报告。</w:t>
      </w:r>
    </w:p>
    <w:p w14:paraId="42754806">
      <w:pPr>
        <w:keepNext w:val="0"/>
        <w:keepLines w:val="0"/>
        <w:pageBreakBefore w:val="0"/>
        <w:widowControl w:val="0"/>
        <w:shd w:val="clear" w:color="auto" w:fill="auto"/>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.异议和投诉</w:t>
      </w:r>
    </w:p>
    <w:p w14:paraId="18457C2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2.1 投标人或者其他利害关系人对招标项目的评标和定标结果有异议的，应当在定标候选人和中标候选人公示期间按规定向招标人提出，逾期提出的不予受理。招标人自收到异议之日起3日内作出答复；作出答复前，应当暂停招标投标活动。经招标人书面答复，异议人仍不满意的，可在法律规定的时限内向行政监督部门提出书面投诉。异议（投诉）提出、处理的具体办法和要求，按照《韶关市工程建设项目招标投标活动异议和投诉处理办法》（韶发改〔2021〕44号）执行。</w:t>
      </w:r>
    </w:p>
    <w:p w14:paraId="4638B37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2.2在定标候选人和中标候选人公示期间有关评审结果的异议成立的，招标人原则上应当组织原评标委员会和原定标委员会对有关的问题予以纠正，问题纠正后再公示定标候选人和中标候选人。</w:t>
      </w:r>
    </w:p>
    <w:p w14:paraId="5AEF184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2.3投标人或其他利害关系人认为招标投标活动不符合法律、行政法规规定的，可以自知道或者应当知道之日起10日内按规定向有关招标管理部门投诉。投诉应当有明确的请求和必要的证明材料。招标管理部门应当自收到投诉之日起30个工作日内作出书面处理决定。</w:t>
      </w:r>
    </w:p>
    <w:p w14:paraId="46E487BC">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auto"/>
        <w:kinsoku/>
        <w:wordWrap/>
        <w:overflowPunct/>
        <w:topLinePunct w:val="0"/>
        <w:bidi w:val="0"/>
        <w:adjustRightInd/>
        <w:snapToGrid/>
        <w:spacing w:before="0" w:beforeLines="0" w:beforeAutospacing="0" w:after="0" w:afterLines="0" w:afterAutospacing="0" w:line="340" w:lineRule="exact"/>
        <w:ind w:left="0" w:leftChars="0" w:right="0" w:firstLine="482" w:firstLineChars="200"/>
        <w:jc w:val="both"/>
        <w:textAlignment w:val="auto"/>
        <w:outlineLvl w:val="9"/>
        <w:rPr>
          <w:rFonts w:hint="eastAsia" w:ascii="宋体" w:hAnsi="宋体" w:eastAsia="宋体" w:cs="宋体"/>
          <w:b/>
          <w:bCs/>
          <w:i/>
          <w:color w:val="000000" w:themeColor="text1"/>
          <w:kern w:val="0"/>
          <w:sz w:val="24"/>
          <w:szCs w:val="24"/>
          <w:highlight w:val="none"/>
          <w:lang w:val="en-US" w:eastAsia="zh-CN" w:bidi="ar"/>
          <w14:textFill>
            <w14:solidFill>
              <w14:schemeClr w14:val="tx1"/>
            </w14:solidFill>
          </w14:textFill>
        </w:rPr>
      </w:pPr>
      <w:bookmarkStart w:id="157" w:name="_Toc236550039"/>
      <w:r>
        <w:rPr>
          <w:rStyle w:val="20"/>
          <w:rFonts w:hint="eastAsia" w:ascii="宋体" w:hAnsi="宋体" w:eastAsia="宋体" w:cs="宋体"/>
          <w:b/>
          <w:bCs/>
          <w:i w:val="0"/>
          <w:color w:val="000000" w:themeColor="text1"/>
          <w:kern w:val="2"/>
          <w:sz w:val="24"/>
          <w:szCs w:val="24"/>
          <w:highlight w:val="none"/>
          <w:lang w:val="en-US" w:eastAsia="zh-CN" w:bidi="ar-SA"/>
          <w14:textFill>
            <w14:solidFill>
              <w14:schemeClr w14:val="tx1"/>
            </w14:solidFill>
          </w14:textFill>
        </w:rPr>
        <w:t>3．废除授标</w:t>
      </w:r>
      <w:bookmarkEnd w:id="157"/>
      <w:r>
        <w:rPr>
          <w:rStyle w:val="20"/>
          <w:rFonts w:hint="eastAsia" w:ascii="宋体" w:hAnsi="宋体" w:eastAsia="宋体" w:cs="宋体"/>
          <w:b/>
          <w:bCs/>
          <w:i w:val="0"/>
          <w:color w:val="000000" w:themeColor="text1"/>
          <w:kern w:val="2"/>
          <w:sz w:val="24"/>
          <w:szCs w:val="24"/>
          <w:highlight w:val="none"/>
          <w:lang w:val="en-US" w:eastAsia="zh-CN" w:bidi="ar-SA"/>
          <w14:textFill>
            <w14:solidFill>
              <w14:schemeClr w14:val="tx1"/>
            </w14:solidFill>
          </w14:textFill>
        </w:rPr>
        <w:t>及授标</w:t>
      </w:r>
    </w:p>
    <w:p w14:paraId="052289D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3.1评定标完成后，中标候选人有下列情形之一的，招标人应按规定取消中标候选人资格或废除授标：</w:t>
      </w:r>
    </w:p>
    <w:p w14:paraId="4B7A9CD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（1）以他人名义投标或者以其他方式弄虚作假骗取中标的；</w:t>
      </w:r>
    </w:p>
    <w:p w14:paraId="1388340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（2）与其他投标人串通投标或以行贿的手段谋取中标的；</w:t>
      </w:r>
    </w:p>
    <w:p w14:paraId="518C90A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（3）不是从本投标企业基本账户提交投标担保或以虚假方式提交投标保证金保函（保单）的；</w:t>
      </w:r>
    </w:p>
    <w:p w14:paraId="5D02D9C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（4）中标人于投标有效期终止之前撤回投标文件，或者排名第一的中标候选人放弃中标资格的；</w:t>
      </w:r>
    </w:p>
    <w:p w14:paraId="5735680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（5）因中标人过错而未能按照规定与招标人签订工程承包合同或中标人因不可抗力提出不能履行合同的；</w:t>
      </w:r>
    </w:p>
    <w:p w14:paraId="034597F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（6）因中标人过错而未能按照招标文件要求向招标人提交履约担保的；</w:t>
      </w:r>
    </w:p>
    <w:p w14:paraId="39E3E24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（7）中标单位拟派的项目负责人从投标截止时间起在其他建设工程担任项目负责人；</w:t>
      </w:r>
    </w:p>
    <w:p w14:paraId="1B1F375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（8）中标人被有关部门查实存在影响中标结果的违法行为，不符合中标条件的；</w:t>
      </w:r>
    </w:p>
    <w:p w14:paraId="496E3E5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（9）中标人在参加本项目投标时有本企业投标承诺书所列被依法限制或暂停承揽业务或停业的处罚的；</w:t>
      </w:r>
    </w:p>
    <w:p w14:paraId="6E84AF0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（10）招标文件明确规定可以废除授标的其他情形。</w:t>
      </w:r>
    </w:p>
    <w:p w14:paraId="718AB06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3.2 排名第一的中标候选人被取消中标候选人资格或废除授标，招标人可以按照定标委员会提出的中标候选人名单排序按规定依次确定其他中标候选人为中标人，并按规定实行中标结果公示；也可以按规定重新组织招标或报原项目审批、核准部门重新审批、核准招标方式。</w:t>
      </w:r>
    </w:p>
    <w:p w14:paraId="757EF37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3.3 招标人有下列情形之一的，应依法承担相应的责任：</w:t>
      </w:r>
    </w:p>
    <w:p w14:paraId="3238B11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（1）无正当理由不发出中标通知书的；</w:t>
      </w:r>
    </w:p>
    <w:p w14:paraId="66685B4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（2）招标人不按照规定确定中标人的；</w:t>
      </w:r>
    </w:p>
    <w:p w14:paraId="5893B80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（3）中标通知书发出后无正当理由改变中标结果的；</w:t>
      </w:r>
    </w:p>
    <w:p w14:paraId="2480657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（4）无正当理由不与中标人签订工程承包合同的；</w:t>
      </w:r>
    </w:p>
    <w:p w14:paraId="0D2085F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val="0"/>
          <w:bCs w:val="0"/>
          <w:snapToGrid/>
          <w:color w:val="000000" w:themeColor="text1"/>
          <w:kern w:val="0"/>
          <w:sz w:val="24"/>
          <w:szCs w:val="24"/>
          <w:highlight w:val="none"/>
          <w:u w:val="none"/>
          <w:shd w:val="clear" w:color="auto" w:fill="FFFFFF"/>
          <w:lang w:val="en-US" w:eastAsia="zh-CN" w:bidi="ar-SA"/>
          <w14:textFill>
            <w14:solidFill>
              <w14:schemeClr w14:val="tx1"/>
            </w14:solidFill>
          </w14:textFill>
        </w:rPr>
        <w:t>（5）在签订工程承包合同时向中标人提出附加条件或者更改合同实质性内容的。</w:t>
      </w:r>
    </w:p>
    <w:p w14:paraId="27460F48">
      <w:pPr>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5FFFBA50">
      <w:pPr>
        <w:keepNext w:val="0"/>
        <w:keepLines w:val="0"/>
        <w:pageBreakBefore w:val="0"/>
        <w:wordWrap w:val="0"/>
        <w:overflowPunct/>
        <w:topLinePunct w:val="0"/>
        <w:bidi w:val="0"/>
        <w:spacing w:before="78" w:line="219" w:lineRule="auto"/>
        <w:ind w:left="3525"/>
        <w:outlineLvl w:val="0"/>
        <w:rPr>
          <w:rFonts w:hint="eastAsia" w:ascii="宋体" w:hAnsi="宋体" w:eastAsia="宋体" w:cs="宋体"/>
          <w:color w:val="000000" w:themeColor="text1"/>
          <w:spacing w:val="0"/>
          <w:sz w:val="24"/>
          <w:szCs w:val="24"/>
          <w:highlight w:val="none"/>
          <w14:textFill>
            <w14:solidFill>
              <w14:schemeClr w14:val="tx1"/>
            </w14:solidFill>
          </w14:textFill>
        </w:rPr>
      </w:pPr>
      <w:bookmarkStart w:id="158" w:name="_Toc32109"/>
      <w:r>
        <w:rPr>
          <w:rFonts w:hint="eastAsia" w:ascii="宋体" w:hAnsi="宋体" w:eastAsia="宋体" w:cs="宋体"/>
          <w:b/>
          <w:bCs/>
          <w:color w:val="000000" w:themeColor="text1"/>
          <w:spacing w:val="0"/>
          <w:sz w:val="24"/>
          <w:szCs w:val="24"/>
          <w:highlight w:val="none"/>
          <w14:textFill>
            <w14:solidFill>
              <w14:schemeClr w14:val="tx1"/>
            </w14:solidFill>
          </w14:textFill>
        </w:rPr>
        <w:t>第二章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中标人须知</w:t>
      </w:r>
      <w:bookmarkEnd w:id="158"/>
    </w:p>
    <w:p w14:paraId="3C63E460">
      <w:pPr>
        <w:keepNext w:val="0"/>
        <w:keepLines w:val="0"/>
        <w:pageBreakBefore w:val="0"/>
        <w:wordWrap w:val="0"/>
        <w:overflowPunct/>
        <w:topLinePunct w:val="0"/>
        <w:bidi w:val="0"/>
        <w:spacing w:before="78" w:line="219" w:lineRule="auto"/>
        <w:ind w:left="582"/>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59" w:name="_Toc25056"/>
      <w:r>
        <w:rPr>
          <w:rFonts w:hint="eastAsia" w:ascii="宋体" w:hAnsi="宋体" w:eastAsia="宋体" w:cs="宋体"/>
          <w:b/>
          <w:bCs/>
          <w:color w:val="000000" w:themeColor="text1"/>
          <w:spacing w:val="0"/>
          <w:sz w:val="24"/>
          <w:szCs w:val="24"/>
          <w:highlight w:val="none"/>
          <w14:textFill>
            <w14:solidFill>
              <w14:schemeClr w14:val="tx1"/>
            </w14:solidFill>
          </w14:textFill>
        </w:rPr>
        <w:t>1 ．中标通知书</w:t>
      </w:r>
      <w:bookmarkEnd w:id="159"/>
    </w:p>
    <w:p w14:paraId="33680385">
      <w:pPr>
        <w:keepNext w:val="0"/>
        <w:keepLines w:val="0"/>
        <w:pageBreakBefore w:val="0"/>
        <w:wordWrap w:val="0"/>
        <w:overflowPunct/>
        <w:topLinePunct w:val="0"/>
        <w:bidi w:val="0"/>
        <w:spacing w:before="152" w:line="332" w:lineRule="auto"/>
        <w:ind w:left="17" w:firstLine="559"/>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招标人确定第一中标候选人为中标人，并在中标人确定之日起 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0E2EC4A2">
      <w:pPr>
        <w:keepNext w:val="0"/>
        <w:keepLines w:val="0"/>
        <w:pageBreakBefore w:val="0"/>
        <w:wordWrap w:val="0"/>
        <w:overflowPunct/>
        <w:topLinePunct w:val="0"/>
        <w:bidi w:val="0"/>
        <w:spacing w:before="78" w:line="221" w:lineRule="auto"/>
        <w:ind w:left="572"/>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60" w:name="_Toc12037"/>
      <w:r>
        <w:rPr>
          <w:rFonts w:hint="eastAsia" w:ascii="宋体" w:hAnsi="宋体" w:eastAsia="宋体" w:cs="宋体"/>
          <w:b/>
          <w:bCs/>
          <w:color w:val="000000" w:themeColor="text1"/>
          <w:spacing w:val="0"/>
          <w:sz w:val="24"/>
          <w:szCs w:val="24"/>
          <w:highlight w:val="none"/>
          <w14:textFill>
            <w14:solidFill>
              <w14:schemeClr w14:val="tx1"/>
            </w14:solidFill>
          </w14:textFill>
        </w:rPr>
        <w:t>2 ．中标结果公示</w:t>
      </w:r>
      <w:bookmarkEnd w:id="160"/>
    </w:p>
    <w:p w14:paraId="6D402282">
      <w:pPr>
        <w:keepNext w:val="0"/>
        <w:keepLines w:val="0"/>
        <w:pageBreakBefore w:val="0"/>
        <w:wordWrap w:val="0"/>
        <w:overflowPunct/>
        <w:topLinePunct w:val="0"/>
        <w:bidi w:val="0"/>
        <w:spacing w:before="115" w:line="316" w:lineRule="auto"/>
        <w:ind w:left="2" w:right="203" w:firstLine="595"/>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中标通知书发出后 15</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日内，招标人应将中标结果在广东省招标投标监管网（http://zbtb.gd.gov.cn）、全国公共资源交易平台（广东省·韶关市）（https://ygp.gdzwfw.gov.cn/ggzy-portal/#/440200/index）进行公示。</w:t>
      </w:r>
    </w:p>
    <w:p w14:paraId="2C95E54C">
      <w:pPr>
        <w:keepNext w:val="0"/>
        <w:keepLines w:val="0"/>
        <w:pageBreakBefore w:val="0"/>
        <w:wordWrap w:val="0"/>
        <w:overflowPunct/>
        <w:topLinePunct w:val="0"/>
        <w:bidi w:val="0"/>
        <w:spacing w:before="79" w:line="221" w:lineRule="auto"/>
        <w:ind w:left="570"/>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61" w:name="_Toc29195"/>
      <w:r>
        <w:rPr>
          <w:rFonts w:hint="eastAsia" w:ascii="宋体" w:hAnsi="宋体" w:eastAsia="宋体" w:cs="宋体"/>
          <w:b/>
          <w:bCs/>
          <w:color w:val="000000" w:themeColor="text1"/>
          <w:spacing w:val="0"/>
          <w:sz w:val="24"/>
          <w:szCs w:val="24"/>
          <w:highlight w:val="none"/>
          <w14:textFill>
            <w14:solidFill>
              <w14:schemeClr w14:val="tx1"/>
            </w14:solidFill>
          </w14:textFill>
        </w:rPr>
        <w:t>3 ．履约保证</w:t>
      </w:r>
      <w:bookmarkEnd w:id="161"/>
    </w:p>
    <w:p w14:paraId="677C4C26">
      <w:pPr>
        <w:keepNext w:val="0"/>
        <w:keepLines w:val="0"/>
        <w:pageBreakBefore w:val="0"/>
        <w:widowControl/>
        <w:kinsoku w:val="0"/>
        <w:wordWrap w:val="0"/>
        <w:overflowPunct/>
        <w:topLinePunct w:val="0"/>
        <w:autoSpaceDE w:val="0"/>
        <w:autoSpaceDN w:val="0"/>
        <w:bidi w:val="0"/>
        <w:adjustRightInd w:val="0"/>
        <w:snapToGrid w:val="0"/>
        <w:spacing w:before="153" w:line="312" w:lineRule="auto"/>
        <w:ind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3.1  </w:t>
      </w:r>
      <w:r>
        <w:rPr>
          <w:rFonts w:hint="eastAsia" w:ascii="宋体" w:hAnsi="宋体" w:eastAsia="宋体" w:cs="宋体"/>
          <w:color w:val="000000" w:themeColor="text1"/>
          <w:spacing w:val="0"/>
          <w:sz w:val="24"/>
          <w:szCs w:val="24"/>
          <w:highlight w:val="none"/>
          <w14:textFill>
            <w14:solidFill>
              <w14:schemeClr w14:val="tx1"/>
            </w14:solidFill>
          </w14:textFill>
        </w:rPr>
        <w:t>中标人须在领取中标通知书之日起</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10 </w:t>
      </w:r>
      <w:r>
        <w:rPr>
          <w:rFonts w:hint="eastAsia" w:ascii="宋体" w:hAnsi="宋体" w:eastAsia="宋体" w:cs="宋体"/>
          <w:color w:val="000000" w:themeColor="text1"/>
          <w:spacing w:val="0"/>
          <w:sz w:val="24"/>
          <w:szCs w:val="24"/>
          <w:highlight w:val="none"/>
          <w14:textFill>
            <w14:solidFill>
              <w14:schemeClr w14:val="tx1"/>
            </w14:solidFill>
          </w14:textFill>
        </w:rPr>
        <w:t>个工作日内、签订合同前向招标人提交金额</w:t>
      </w:r>
      <w:r>
        <w:rPr>
          <w:rFonts w:hint="eastAsia" w:ascii="宋体" w:hAnsi="宋体" w:eastAsia="宋体" w:cs="宋体"/>
          <w:color w:val="000000" w:themeColor="text1"/>
          <w:spacing w:val="0"/>
          <w:position w:val="2"/>
          <w:sz w:val="24"/>
          <w:szCs w:val="24"/>
          <w:highlight w:val="none"/>
          <w14:textFill>
            <w14:solidFill>
              <w14:schemeClr w14:val="tx1"/>
            </w14:solidFill>
          </w14:textFill>
        </w:rPr>
        <w:t>为中标价</w:t>
      </w:r>
      <w:r>
        <w:rPr>
          <w:rFonts w:hint="eastAsia" w:ascii="宋体" w:hAnsi="宋体" w:eastAsia="宋体" w:cs="宋体"/>
          <w:color w:val="000000" w:themeColor="text1"/>
          <w:spacing w:val="0"/>
          <w:position w:val="2"/>
          <w:sz w:val="24"/>
          <w:szCs w:val="24"/>
          <w:highlight w:val="none"/>
          <w:u w:val="single"/>
          <w:lang w:val="en-US" w:eastAsia="zh-CN"/>
          <w14:textFill>
            <w14:solidFill>
              <w14:schemeClr w14:val="tx1"/>
            </w14:solidFill>
          </w14:textFill>
        </w:rPr>
        <w:t xml:space="preserve"> 5</w:t>
      </w:r>
      <w:r>
        <w:rPr>
          <w:rFonts w:hint="eastAsia" w:ascii="宋体" w:hAnsi="宋体" w:eastAsia="宋体" w:cs="宋体"/>
          <w:color w:val="000000" w:themeColor="text1"/>
          <w:spacing w:val="0"/>
          <w:position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position w:val="2"/>
          <w:sz w:val="24"/>
          <w:szCs w:val="24"/>
          <w:highlight w:val="none"/>
          <w14:textFill>
            <w14:solidFill>
              <w14:schemeClr w14:val="tx1"/>
            </w14:solidFill>
          </w14:textFill>
        </w:rPr>
        <w:t>的履约保证。联合体中标的，由联合体牵头人提交。</w:t>
      </w:r>
    </w:p>
    <w:p w14:paraId="49B5F994">
      <w:pPr>
        <w:keepNext w:val="0"/>
        <w:keepLines w:val="0"/>
        <w:pageBreakBefore w:val="0"/>
        <w:wordWrap w:val="0"/>
        <w:overflowPunct/>
        <w:topLinePunct w:val="0"/>
        <w:bidi w:val="0"/>
        <w:spacing w:before="89" w:line="286" w:lineRule="auto"/>
        <w:ind w:left="12" w:right="108" w:firstLine="47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3.2</w:t>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position w:val="2"/>
          <w:sz w:val="24"/>
          <w:szCs w:val="24"/>
          <w:highlight w:val="none"/>
          <w14:textFill>
            <w14:solidFill>
              <w14:schemeClr w14:val="tx1"/>
            </w14:solidFill>
          </w14:textFill>
        </w:rPr>
        <w:t>中标人根据《关于统一在市公共资源交易一体化服务平台缴退工程建设项目履约保证金的通知》办理相关手续，履约保证的形式包括履约保证金、履约保证担保、履约保证保险三种，由中标人自主选择</w:t>
      </w:r>
      <w:r>
        <w:rPr>
          <w:rFonts w:hint="eastAsia" w:ascii="宋体" w:hAnsi="宋体" w:eastAsia="宋体" w:cs="宋体"/>
          <w:color w:val="000000" w:themeColor="text1"/>
          <w:spacing w:val="0"/>
          <w:sz w:val="24"/>
          <w:szCs w:val="24"/>
          <w:highlight w:val="none"/>
          <w14:textFill>
            <w14:solidFill>
              <w14:schemeClr w14:val="tx1"/>
            </w14:solidFill>
          </w14:textFill>
        </w:rPr>
        <w:t>。商业保函、银行保函或保险合同（或保险单）的有效期应当自合同生效之日起至项目通过竣工验收之日后 28 天止。</w:t>
      </w:r>
    </w:p>
    <w:p w14:paraId="0431B761">
      <w:pPr>
        <w:keepNext w:val="0"/>
        <w:keepLines w:val="0"/>
        <w:pageBreakBefore w:val="0"/>
        <w:wordWrap w:val="0"/>
        <w:overflowPunct/>
        <w:topLinePunct w:val="0"/>
        <w:bidi w:val="0"/>
        <w:spacing w:line="440" w:lineRule="exact"/>
        <w:ind w:firstLine="562"/>
        <w:rPr>
          <w:rFonts w:hint="eastAsia" w:ascii="宋体" w:hAnsi="宋体" w:eastAsia="宋体" w:cs="宋体"/>
          <w:color w:val="000000" w:themeColor="text1"/>
          <w:spacing w:val="0"/>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position w:val="2"/>
          <w:sz w:val="24"/>
          <w:szCs w:val="24"/>
          <w:highlight w:val="none"/>
          <w:lang w:eastAsia="zh-CN"/>
          <w14:textFill>
            <w14:solidFill>
              <w14:schemeClr w14:val="tx1"/>
            </w14:solidFill>
          </w14:textFill>
        </w:rPr>
        <w:t>注：中标通知书发出时，招标人发起收缴履约保证金并填写保证金金额、缴交时限和项目工期；由中标人在建设工程交易系统中自主选择一种进行缴交。项目竣工后，由招标人发起退保。）</w:t>
      </w:r>
    </w:p>
    <w:p w14:paraId="1AD60AEA">
      <w:pPr>
        <w:keepNext w:val="0"/>
        <w:keepLines w:val="0"/>
        <w:pageBreakBefore w:val="0"/>
        <w:wordWrap w:val="0"/>
        <w:overflowPunct/>
        <w:topLinePunct w:val="0"/>
        <w:bidi w:val="0"/>
        <w:spacing w:before="145" w:line="319" w:lineRule="auto"/>
        <w:ind w:left="12" w:right="108" w:firstLine="47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3.3  </w:t>
      </w:r>
      <w:r>
        <w:rPr>
          <w:rFonts w:hint="eastAsia" w:ascii="宋体" w:hAnsi="宋体" w:eastAsia="宋体" w:cs="宋体"/>
          <w:color w:val="000000" w:themeColor="text1"/>
          <w:spacing w:val="0"/>
          <w:sz w:val="24"/>
          <w:szCs w:val="24"/>
          <w:highlight w:val="none"/>
          <w14:textFill>
            <w14:solidFill>
              <w14:schemeClr w14:val="tx1"/>
            </w14:solidFill>
          </w14:textFill>
        </w:rPr>
        <w:t>中标人在领取中标通知书之日起 10 个工作日内仍未提交履约保证的，招标人发出第一次提醒函；在领取中标通知书之日起 15 个工作日内仍未提交的，招标人发出第二次提醒函；在领取中标通知书之日起 20个工作日内仍未提交的，视其放弃中标。并由招标人通报建设行政管理部门。如采用商业保函、银行保函或保险合同方式缴纳履约保证金，在保函或保险合同到期前一个月，中标人须主动办理续期手续或提交新的商业保函、银行保函或保险合同。</w:t>
      </w:r>
    </w:p>
    <w:p w14:paraId="439D8102">
      <w:pPr>
        <w:keepNext w:val="0"/>
        <w:keepLines w:val="0"/>
        <w:pageBreakBefore w:val="0"/>
        <w:wordWrap w:val="0"/>
        <w:overflowPunct/>
        <w:topLinePunct w:val="0"/>
        <w:bidi w:val="0"/>
        <w:spacing w:before="152" w:line="299" w:lineRule="auto"/>
        <w:ind w:left="12" w:right="108" w:firstLine="47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3.4  </w:t>
      </w:r>
      <w:r>
        <w:rPr>
          <w:rFonts w:hint="eastAsia" w:ascii="宋体" w:hAnsi="宋体" w:eastAsia="宋体" w:cs="宋体"/>
          <w:color w:val="000000" w:themeColor="text1"/>
          <w:spacing w:val="0"/>
          <w:sz w:val="24"/>
          <w:szCs w:val="24"/>
          <w:highlight w:val="none"/>
          <w14:textFill>
            <w14:solidFill>
              <w14:schemeClr w14:val="tx1"/>
            </w14:solidFill>
          </w14:textFill>
        </w:rPr>
        <w:t>在工程实施过程中，如果承包人（即招标阶段的中标人，下同）由于自身的资金、技术、质量、非不可抗力等原因给发包人（即招标阶段的招标人，下同）造成经济损失，发包人有权扣划相应金额的履约保证。</w:t>
      </w:r>
    </w:p>
    <w:p w14:paraId="05A3F90E">
      <w:pPr>
        <w:keepNext w:val="0"/>
        <w:keepLines w:val="0"/>
        <w:pageBreakBefore w:val="0"/>
        <w:wordWrap w:val="0"/>
        <w:overflowPunct/>
        <w:topLinePunct w:val="0"/>
        <w:bidi w:val="0"/>
        <w:spacing w:before="154" w:line="220" w:lineRule="auto"/>
        <w:ind w:left="486"/>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3.5  </w:t>
      </w:r>
      <w:r>
        <w:rPr>
          <w:rFonts w:hint="eastAsia" w:ascii="宋体" w:hAnsi="宋体" w:eastAsia="宋体" w:cs="宋体"/>
          <w:color w:val="000000" w:themeColor="text1"/>
          <w:spacing w:val="0"/>
          <w:sz w:val="24"/>
          <w:szCs w:val="24"/>
          <w:highlight w:val="none"/>
          <w14:textFill>
            <w14:solidFill>
              <w14:schemeClr w14:val="tx1"/>
            </w14:solidFill>
          </w14:textFill>
        </w:rPr>
        <w:t>项目通过竣工验收之日后 28 天内，发包人将履约保证退还给承包人。</w:t>
      </w:r>
    </w:p>
    <w:p w14:paraId="13852EBE">
      <w:pPr>
        <w:pStyle w:val="6"/>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52841E06">
      <w:pPr>
        <w:keepNext w:val="0"/>
        <w:keepLines w:val="0"/>
        <w:pageBreakBefore w:val="0"/>
        <w:wordWrap w:val="0"/>
        <w:overflowPunct/>
        <w:topLinePunct w:val="0"/>
        <w:bidi w:val="0"/>
        <w:spacing w:before="78" w:line="222" w:lineRule="auto"/>
        <w:ind w:left="48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62" w:name="_Toc7110"/>
      <w:r>
        <w:rPr>
          <w:rFonts w:hint="eastAsia" w:ascii="宋体" w:hAnsi="宋体" w:eastAsia="宋体" w:cs="宋体"/>
          <w:b/>
          <w:bCs/>
          <w:color w:val="000000" w:themeColor="text1"/>
          <w:spacing w:val="0"/>
          <w:sz w:val="24"/>
          <w:szCs w:val="24"/>
          <w:highlight w:val="none"/>
          <w14:textFill>
            <w14:solidFill>
              <w14:schemeClr w14:val="tx1"/>
            </w14:solidFill>
          </w14:textFill>
        </w:rPr>
        <w:t>4 ．合同订立</w:t>
      </w:r>
      <w:bookmarkEnd w:id="162"/>
    </w:p>
    <w:p w14:paraId="60A8639F">
      <w:pPr>
        <w:keepNext w:val="0"/>
        <w:keepLines w:val="0"/>
        <w:pageBreakBefore w:val="0"/>
        <w:widowControl/>
        <w:kinsoku w:val="0"/>
        <w:wordWrap w:val="0"/>
        <w:overflowPunct/>
        <w:topLinePunct w:val="0"/>
        <w:autoSpaceDE w:val="0"/>
        <w:autoSpaceDN w:val="0"/>
        <w:bidi w:val="0"/>
        <w:adjustRightInd w:val="0"/>
        <w:snapToGrid w:val="0"/>
        <w:spacing w:before="150" w:line="300" w:lineRule="auto"/>
        <w:ind w:left="11" w:right="108" w:firstLine="476"/>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4.1  </w:t>
      </w:r>
      <w:r>
        <w:rPr>
          <w:rFonts w:hint="eastAsia" w:ascii="宋体" w:hAnsi="宋体" w:eastAsia="宋体" w:cs="宋体"/>
          <w:color w:val="000000" w:themeColor="text1"/>
          <w:spacing w:val="0"/>
          <w:sz w:val="24"/>
          <w:szCs w:val="24"/>
          <w:highlight w:val="none"/>
          <w14:textFill>
            <w14:solidFill>
              <w14:schemeClr w14:val="tx1"/>
            </w14:solidFill>
          </w14:textFill>
        </w:rPr>
        <w:t>招标人应当自中标通知书发出之日起</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三十 </w:t>
      </w:r>
      <w:r>
        <w:rPr>
          <w:rFonts w:hint="eastAsia" w:ascii="宋体" w:hAnsi="宋体" w:eastAsia="宋体" w:cs="宋体"/>
          <w:color w:val="000000" w:themeColor="text1"/>
          <w:spacing w:val="0"/>
          <w:sz w:val="24"/>
          <w:szCs w:val="24"/>
          <w:highlight w:val="none"/>
          <w14:textFill>
            <w14:solidFill>
              <w14:schemeClr w14:val="tx1"/>
            </w14:solidFill>
          </w14:textFill>
        </w:rPr>
        <w:t>日内，按照招标文件、中标人的投标文件与中标人订立书面合同。</w:t>
      </w:r>
    </w:p>
    <w:p w14:paraId="44F9543E">
      <w:pPr>
        <w:keepNext w:val="0"/>
        <w:keepLines w:val="0"/>
        <w:pageBreakBefore w:val="0"/>
        <w:wordWrap w:val="0"/>
        <w:overflowPunct/>
        <w:topLinePunct w:val="0"/>
        <w:bidi w:val="0"/>
        <w:spacing w:before="156" w:line="219" w:lineRule="auto"/>
        <w:ind w:left="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4.2  </w:t>
      </w:r>
      <w:r>
        <w:rPr>
          <w:rFonts w:hint="eastAsia" w:ascii="宋体" w:hAnsi="宋体" w:eastAsia="宋体" w:cs="宋体"/>
          <w:color w:val="000000" w:themeColor="text1"/>
          <w:spacing w:val="0"/>
          <w:sz w:val="24"/>
          <w:szCs w:val="24"/>
          <w:highlight w:val="none"/>
          <w14:textFill>
            <w14:solidFill>
              <w14:schemeClr w14:val="tx1"/>
            </w14:solidFill>
          </w14:textFill>
        </w:rPr>
        <w:t>不正常报价的梳理和确认</w:t>
      </w:r>
    </w:p>
    <w:p w14:paraId="416E0180">
      <w:pPr>
        <w:keepNext w:val="0"/>
        <w:keepLines w:val="0"/>
        <w:pageBreakBefore w:val="0"/>
        <w:wordWrap w:val="0"/>
        <w:overflowPunct/>
        <w:topLinePunct w:val="0"/>
        <w:bidi w:val="0"/>
        <w:spacing w:before="154" w:line="299" w:lineRule="auto"/>
        <w:ind w:left="14" w:right="64" w:firstLine="47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4.2.1 合同订立期间，在不改变中标人的投标总价的前提下，招标人应对中标人的投标报价进行全面分析和整理，从而发现并提取其中可能存在的算术性错误、错漏项、不平衡报价等不正常报价，并修正其中的算术性错误。</w:t>
      </w:r>
      <w:r>
        <w:rPr>
          <w:rFonts w:hint="eastAsia" w:ascii="宋体" w:hAnsi="宋体" w:eastAsia="宋体" w:cs="宋体"/>
          <w:color w:val="000000" w:themeColor="text1"/>
          <w:spacing w:val="0"/>
          <w:sz w:val="24"/>
          <w:szCs w:val="24"/>
          <w:highlight w:val="none"/>
          <w14:textFill>
            <w14:solidFill>
              <w14:schemeClr w14:val="tx1"/>
            </w14:solidFill>
          </w14:textFill>
        </w:rPr>
        <w:t>招标人不具备以上能力的，可授权编制本项目</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的造价咨询单位实施。</w:t>
      </w:r>
    </w:p>
    <w:p w14:paraId="0BF121F6">
      <w:pPr>
        <w:keepNext w:val="0"/>
        <w:keepLines w:val="0"/>
        <w:pageBreakBefore w:val="0"/>
        <w:wordWrap w:val="0"/>
        <w:overflowPunct/>
        <w:topLinePunct w:val="0"/>
        <w:bidi w:val="0"/>
        <w:spacing w:before="121" w:line="309" w:lineRule="auto"/>
        <w:ind w:left="14" w:right="65" w:firstLine="47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4.2.2  </w:t>
      </w:r>
      <w:r>
        <w:rPr>
          <w:rFonts w:hint="eastAsia" w:ascii="宋体" w:hAnsi="宋体" w:eastAsia="宋体" w:cs="宋体"/>
          <w:color w:val="000000" w:themeColor="text1"/>
          <w:spacing w:val="0"/>
          <w:sz w:val="24"/>
          <w:szCs w:val="24"/>
          <w:highlight w:val="none"/>
          <w14:textFill>
            <w14:solidFill>
              <w14:schemeClr w14:val="tx1"/>
            </w14:solidFill>
          </w14:textFill>
        </w:rPr>
        <w:t>算术性错误的分析和修正。投标报价汇总表中，投标总价与各分项费用之和不一致的，以投标总价为准修正分项费用；投标报价汇总表的各分项费用与对应分项表中的费用不一致的，以投标报价汇总表中的分项费用为准修正对应分项表中的费用；各分项表中总价金额与依据单价计算出的结果不一致的，以总价为准修正单价。</w:t>
      </w:r>
    </w:p>
    <w:p w14:paraId="0D1041E0">
      <w:pPr>
        <w:keepNext w:val="0"/>
        <w:keepLines w:val="0"/>
        <w:pageBreakBefore w:val="0"/>
        <w:wordWrap w:val="0"/>
        <w:overflowPunct/>
        <w:topLinePunct w:val="0"/>
        <w:bidi w:val="0"/>
        <w:spacing w:before="157" w:line="279" w:lineRule="auto"/>
        <w:ind w:left="12" w:right="66"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4.2.3  </w:t>
      </w:r>
      <w:r>
        <w:rPr>
          <w:rFonts w:hint="eastAsia" w:ascii="宋体" w:hAnsi="宋体" w:eastAsia="宋体" w:cs="宋体"/>
          <w:color w:val="000000" w:themeColor="text1"/>
          <w:spacing w:val="0"/>
          <w:sz w:val="24"/>
          <w:szCs w:val="24"/>
          <w:highlight w:val="none"/>
          <w14:textFill>
            <w14:solidFill>
              <w14:schemeClr w14:val="tx1"/>
            </w14:solidFill>
          </w14:textFill>
        </w:rPr>
        <w:t>错漏项的认定。中标人已标价工程量清单中，任一清单项目未填报价格或价格为零的，视为错漏项。</w:t>
      </w:r>
    </w:p>
    <w:p w14:paraId="3A357F91">
      <w:pPr>
        <w:keepNext w:val="0"/>
        <w:keepLines w:val="0"/>
        <w:pageBreakBefore w:val="0"/>
        <w:wordWrap w:val="0"/>
        <w:overflowPunct/>
        <w:topLinePunct w:val="0"/>
        <w:bidi w:val="0"/>
        <w:spacing w:before="121" w:line="360" w:lineRule="auto"/>
        <w:ind w:firstLine="482"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4.2.4  </w:t>
      </w:r>
      <w:r>
        <w:rPr>
          <w:rFonts w:hint="eastAsia" w:ascii="宋体" w:hAnsi="宋体" w:eastAsia="宋体" w:cs="宋体"/>
          <w:color w:val="000000" w:themeColor="text1"/>
          <w:spacing w:val="0"/>
          <w:sz w:val="24"/>
          <w:szCs w:val="24"/>
          <w:highlight w:val="none"/>
          <w14:textFill>
            <w14:solidFill>
              <w14:schemeClr w14:val="tx1"/>
            </w14:solidFill>
          </w14:textFill>
        </w:rPr>
        <w:t>不平衡报价的认定。经修正算术性错误后的中标人已标价工程量清单中，</w:t>
      </w:r>
      <w:r>
        <w:rPr>
          <w:rFonts w:hint="eastAsia" w:ascii="宋体" w:hAnsi="宋体" w:eastAsia="宋体" w:cs="宋体"/>
          <w:color w:val="000000" w:themeColor="text1"/>
          <w:spacing w:val="0"/>
          <w:sz w:val="24"/>
          <w:szCs w:val="24"/>
          <w:highlight w:val="none"/>
          <w:u w:val="single"/>
          <w14:textFill>
            <w14:solidFill>
              <w14:schemeClr w14:val="tx1"/>
            </w14:solidFill>
          </w14:textFill>
        </w:rPr>
        <w:t>对于投标报价中综合单价相对</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《分部分项工程和单价措施项目清单与计价表》中对应综合单价的偏差大于±15% </w:t>
      </w:r>
      <w:r>
        <w:rPr>
          <w:rFonts w:hint="eastAsia" w:ascii="宋体" w:hAnsi="宋体" w:eastAsia="宋体" w:cs="宋体"/>
          <w:color w:val="000000" w:themeColor="text1"/>
          <w:spacing w:val="0"/>
          <w:sz w:val="24"/>
          <w:szCs w:val="24"/>
          <w:highlight w:val="none"/>
          <w:u w:val="none"/>
          <w14:textFill>
            <w14:solidFill>
              <w14:schemeClr w14:val="tx1"/>
            </w14:solidFill>
          </w14:textFill>
        </w:rPr>
        <w:t>的清单项目</w:t>
      </w:r>
      <w:r>
        <w:rPr>
          <w:rFonts w:hint="eastAsia" w:ascii="宋体" w:hAnsi="宋体" w:eastAsia="宋体" w:cs="宋体"/>
          <w:color w:val="000000" w:themeColor="text1"/>
          <w:spacing w:val="0"/>
          <w:sz w:val="24"/>
          <w:szCs w:val="24"/>
          <w:highlight w:val="none"/>
          <w14:textFill>
            <w14:solidFill>
              <w14:schemeClr w14:val="tx1"/>
            </w14:solidFill>
          </w14:textFill>
        </w:rPr>
        <w:t>，视为不平衡报价项目。</w:t>
      </w:r>
    </w:p>
    <w:p w14:paraId="59BB732F">
      <w:pPr>
        <w:keepNext w:val="0"/>
        <w:keepLines w:val="0"/>
        <w:pageBreakBefore w:val="0"/>
        <w:wordWrap w:val="0"/>
        <w:overflowPunct/>
        <w:topLinePunct w:val="0"/>
        <w:bidi w:val="0"/>
        <w:spacing w:before="146" w:line="330" w:lineRule="auto"/>
        <w:ind w:left="10" w:right="65" w:firstLine="478"/>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4.2.5 </w:t>
      </w:r>
      <w:r>
        <w:rPr>
          <w:rFonts w:hint="eastAsia" w:ascii="宋体" w:hAnsi="宋体" w:eastAsia="宋体" w:cs="宋体"/>
          <w:color w:val="000000" w:themeColor="text1"/>
          <w:spacing w:val="0"/>
          <w:sz w:val="24"/>
          <w:szCs w:val="24"/>
          <w:highlight w:val="none"/>
          <w14:textFill>
            <w14:solidFill>
              <w14:schemeClr w14:val="tx1"/>
            </w14:solidFill>
          </w14:textFill>
        </w:rPr>
        <w:t>施工合同签订前，招标人或其授权的造价咨询单位应就发现的以上所有不平衡报价进行修正，形成《不平衡报价修正报告》，并由招标人和中标人共同签章确认，构成施工合同的组成部分。</w:t>
      </w:r>
    </w:p>
    <w:p w14:paraId="1B35F881">
      <w:pPr>
        <w:keepNext w:val="0"/>
        <w:keepLines w:val="0"/>
        <w:pageBreakBefore w:val="0"/>
        <w:wordWrap w:val="0"/>
        <w:overflowPunct/>
        <w:topLinePunct w:val="0"/>
        <w:bidi w:val="0"/>
        <w:spacing w:before="34" w:line="326" w:lineRule="auto"/>
        <w:ind w:left="12" w:right="65" w:firstLine="47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4.2.6 合同履行过程中，被认定为错漏项的清单项目，结算时按照第三章“拟签订合同的主要条款</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”规定处理。</w:t>
      </w:r>
    </w:p>
    <w:p w14:paraId="0A0FE849">
      <w:pPr>
        <w:keepNext w:val="0"/>
        <w:keepLines w:val="0"/>
        <w:pageBreakBefore w:val="0"/>
        <w:wordWrap w:val="0"/>
        <w:overflowPunct/>
        <w:topLinePunct w:val="0"/>
        <w:bidi w:val="0"/>
        <w:spacing w:before="33" w:line="317" w:lineRule="auto"/>
        <w:ind w:left="12" w:right="38" w:firstLine="476"/>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4.2.7  合同履行过程中，合同约定的调整因素（如工程量偏差、工程变更、项目特征不符、招标工程量清单缺项等）出现时，被认定为不平衡报价的清单项目以及采用被认定为不平衡报价的清单项目的价格作为取价（或参照取价）依据的变更、新增项目，按照第三章“拟签订合同的主要条款</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”有关规定调整合同价款。</w:t>
      </w:r>
    </w:p>
    <w:p w14:paraId="4C2BA967">
      <w:pPr>
        <w:keepNext w:val="0"/>
        <w:keepLines w:val="0"/>
        <w:pageBreakBefore w:val="0"/>
        <w:wordWrap w:val="0"/>
        <w:overflowPunct/>
        <w:topLinePunct w:val="0"/>
        <w:bidi w:val="0"/>
        <w:spacing w:before="87" w:line="276" w:lineRule="auto"/>
        <w:ind w:left="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4.3  </w:t>
      </w:r>
      <w:r>
        <w:rPr>
          <w:rFonts w:hint="eastAsia" w:ascii="宋体" w:hAnsi="宋体" w:eastAsia="宋体" w:cs="宋体"/>
          <w:color w:val="000000" w:themeColor="text1"/>
          <w:spacing w:val="0"/>
          <w:sz w:val="24"/>
          <w:szCs w:val="24"/>
          <w:highlight w:val="none"/>
          <w14:textFill>
            <w14:solidFill>
              <w14:schemeClr w14:val="tx1"/>
            </w14:solidFill>
          </w14:textFill>
        </w:rPr>
        <w:t>本招标项目合同计价方式为：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单价 </w:t>
      </w:r>
      <w:r>
        <w:rPr>
          <w:rFonts w:hint="eastAsia" w:ascii="宋体" w:hAnsi="宋体" w:eastAsia="宋体" w:cs="宋体"/>
          <w:color w:val="000000" w:themeColor="text1"/>
          <w:spacing w:val="0"/>
          <w:sz w:val="24"/>
          <w:szCs w:val="24"/>
          <w:highlight w:val="none"/>
          <w14:textFill>
            <w14:solidFill>
              <w14:schemeClr w14:val="tx1"/>
            </w14:solidFill>
          </w14:textFill>
        </w:rPr>
        <w:t>合同。</w:t>
      </w:r>
    </w:p>
    <w:p w14:paraId="7AD8D0F4">
      <w:pPr>
        <w:keepNext w:val="0"/>
        <w:keepLines w:val="0"/>
        <w:pageBreakBefore w:val="0"/>
        <w:wordWrap w:val="0"/>
        <w:overflowPunct/>
        <w:topLinePunct w:val="0"/>
        <w:bidi w:val="0"/>
        <w:spacing w:before="120" w:line="298" w:lineRule="auto"/>
        <w:ind w:left="11" w:right="28"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4.4  </w:t>
      </w:r>
      <w:r>
        <w:rPr>
          <w:rFonts w:hint="eastAsia" w:ascii="宋体" w:hAnsi="宋体" w:eastAsia="宋体" w:cs="宋体"/>
          <w:color w:val="000000" w:themeColor="text1"/>
          <w:spacing w:val="0"/>
          <w:sz w:val="24"/>
          <w:szCs w:val="24"/>
          <w:highlight w:val="none"/>
          <w14:textFill>
            <w14:solidFill>
              <w14:schemeClr w14:val="tx1"/>
            </w14:solidFill>
          </w14:textFill>
        </w:rPr>
        <w:t>合同的标的、质量、履行期限条款和合同的价款、单价、比例条款等主要条款，应当与招标文件、中标人的投标文件的内容一致。中标人在签订合同时不得向招标人提出附加条件。</w:t>
      </w:r>
    </w:p>
    <w:p w14:paraId="77C16957">
      <w:pPr>
        <w:keepNext w:val="0"/>
        <w:keepLines w:val="0"/>
        <w:pageBreakBefore w:val="0"/>
        <w:wordWrap w:val="0"/>
        <w:overflowPunct/>
        <w:topLinePunct w:val="0"/>
        <w:bidi w:val="0"/>
        <w:spacing w:before="150" w:line="319" w:lineRule="auto"/>
        <w:ind w:left="12" w:right="91"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4.5  若中标人在领取中标通知书之日起 30 天内仍未签订合同，招标人发出第一次提醒函；在领取中标通知书之日起 40 天内仍未签订，招标人发出第二次提醒函；在领取中标通知书之日起 45 天内仍未签订，视其放弃中标。</w:t>
      </w:r>
    </w:p>
    <w:p w14:paraId="3235BDE2">
      <w:pPr>
        <w:keepNext w:val="0"/>
        <w:keepLines w:val="0"/>
        <w:pageBreakBefore w:val="0"/>
        <w:wordWrap w:val="0"/>
        <w:overflowPunct/>
        <w:topLinePunct w:val="0"/>
        <w:bidi w:val="0"/>
        <w:spacing w:before="150" w:line="319" w:lineRule="auto"/>
        <w:ind w:left="12" w:right="91"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4.6  在书面合同订立之日起 2 个工作日内，由中标人或招标代理机构将合同上传至建设工程交易系统，并发起退还投标保证的申请。韶关市公共资源交易中心在收到申请之日起 3 个工作日内，将投标保证金（或银行保函）退还给中标人和其他中标候选人。</w:t>
      </w:r>
    </w:p>
    <w:p w14:paraId="1D51752E">
      <w:pPr>
        <w:keepNext w:val="0"/>
        <w:keepLines w:val="0"/>
        <w:pageBreakBefore w:val="0"/>
        <w:wordWrap w:val="0"/>
        <w:overflowPunct/>
        <w:topLinePunct w:val="0"/>
        <w:bidi w:val="0"/>
        <w:spacing w:before="78" w:line="220" w:lineRule="auto"/>
        <w:ind w:left="489"/>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63" w:name="_Toc12195"/>
      <w:r>
        <w:rPr>
          <w:rFonts w:hint="eastAsia" w:ascii="宋体" w:hAnsi="宋体" w:eastAsia="宋体" w:cs="宋体"/>
          <w:b/>
          <w:bCs/>
          <w:color w:val="000000" w:themeColor="text1"/>
          <w:spacing w:val="0"/>
          <w:sz w:val="24"/>
          <w:szCs w:val="24"/>
          <w:highlight w:val="none"/>
          <w14:textFill>
            <w14:solidFill>
              <w14:schemeClr w14:val="tx1"/>
            </w14:solidFill>
          </w14:textFill>
        </w:rPr>
        <w:t>5 ．放弃中标的处理</w:t>
      </w:r>
      <w:bookmarkEnd w:id="163"/>
    </w:p>
    <w:p w14:paraId="18C72D34">
      <w:pPr>
        <w:keepNext w:val="0"/>
        <w:keepLines w:val="0"/>
        <w:pageBreakBefore w:val="0"/>
        <w:wordWrap w:val="0"/>
        <w:overflowPunct/>
        <w:topLinePunct w:val="0"/>
        <w:bidi w:val="0"/>
        <w:spacing w:before="150" w:line="319" w:lineRule="auto"/>
        <w:ind w:left="12" w:right="91" w:firstLine="477"/>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5.1</w:t>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中标人无正当理由放弃中标的，取消其中标资格，其投标保证不予退还，给招标人造成的损失超过投标保证金额的，弃标人还应当对超过部分予以赔偿。招标人可按照</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定</w:t>
      </w:r>
      <w:r>
        <w:rPr>
          <w:rFonts w:hint="eastAsia" w:ascii="宋体" w:hAnsi="宋体" w:eastAsia="宋体" w:cs="宋体"/>
          <w:color w:val="000000" w:themeColor="text1"/>
          <w:spacing w:val="0"/>
          <w:sz w:val="24"/>
          <w:szCs w:val="24"/>
          <w:highlight w:val="none"/>
          <w14:textFill>
            <w14:solidFill>
              <w14:schemeClr w14:val="tx1"/>
            </w14:solidFill>
          </w14:textFill>
        </w:rPr>
        <w:t>标委员会提交的中标候选人名单排序依次确定其他中标候选人为中标人，如果招标人认为其他中标候选人的条件明显不利于招标人的，也可以重新招标。因此种情况造成 招标人重新招标的，招标人可不接受该弃标人再次投标。同时，</w:t>
      </w:r>
      <w:r>
        <w:rPr>
          <w:rFonts w:hint="eastAsia" w:ascii="宋体" w:hAnsi="宋体" w:eastAsia="宋体" w:cs="宋体"/>
          <w:b/>
          <w:bCs/>
          <w:color w:val="000000" w:themeColor="text1"/>
          <w:spacing w:val="0"/>
          <w:sz w:val="24"/>
          <w:szCs w:val="24"/>
          <w:highlight w:val="none"/>
          <w14:textFill>
            <w14:solidFill>
              <w14:schemeClr w14:val="tx1"/>
            </w14:solidFill>
          </w14:textFill>
        </w:rPr>
        <w:t>招标人应将该弃标人的失信行为向行政监督部门报告。</w:t>
      </w:r>
    </w:p>
    <w:p w14:paraId="0C97F14D">
      <w:pPr>
        <w:keepNext w:val="0"/>
        <w:keepLines w:val="0"/>
        <w:pageBreakBefore w:val="0"/>
        <w:wordWrap w:val="0"/>
        <w:overflowPunct/>
        <w:topLinePunct w:val="0"/>
        <w:bidi w:val="0"/>
        <w:spacing w:before="79" w:line="298" w:lineRule="auto"/>
        <w:ind w:left="10" w:right="91" w:firstLine="47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5.2  </w:t>
      </w:r>
      <w:r>
        <w:rPr>
          <w:rFonts w:hint="eastAsia" w:ascii="宋体" w:hAnsi="宋体" w:eastAsia="宋体" w:cs="宋体"/>
          <w:color w:val="000000" w:themeColor="text1"/>
          <w:spacing w:val="0"/>
          <w:sz w:val="24"/>
          <w:szCs w:val="24"/>
          <w:highlight w:val="none"/>
          <w14:textFill>
            <w14:solidFill>
              <w14:schemeClr w14:val="tx1"/>
            </w14:solidFill>
          </w14:textFill>
        </w:rPr>
        <w:t>中标人因不可抗力提出不能履行合同的，须在领取中标通知书之日起 10 天内提供有关证明文件或资料，其投标保证予以退还，招标人可按照</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定</w:t>
      </w:r>
      <w:r>
        <w:rPr>
          <w:rFonts w:hint="eastAsia" w:ascii="宋体" w:hAnsi="宋体" w:eastAsia="宋体" w:cs="宋体"/>
          <w:color w:val="000000" w:themeColor="text1"/>
          <w:spacing w:val="0"/>
          <w:sz w:val="24"/>
          <w:szCs w:val="24"/>
          <w:highlight w:val="none"/>
          <w14:textFill>
            <w14:solidFill>
              <w14:schemeClr w14:val="tx1"/>
            </w14:solidFill>
          </w14:textFill>
        </w:rPr>
        <w:t>标委员会提出的中标候选人名单排序依次确定其他中标候选人为中标人。如果招标人认为其他中标候选人的条</w:t>
      </w:r>
      <w:bookmarkStart w:id="164" w:name="bookmark84"/>
      <w:bookmarkEnd w:id="164"/>
      <w:r>
        <w:rPr>
          <w:rFonts w:hint="eastAsia" w:ascii="宋体" w:hAnsi="宋体" w:eastAsia="宋体" w:cs="宋体"/>
          <w:color w:val="000000" w:themeColor="text1"/>
          <w:spacing w:val="0"/>
          <w:sz w:val="24"/>
          <w:szCs w:val="24"/>
          <w:highlight w:val="none"/>
          <w14:textFill>
            <w14:solidFill>
              <w14:schemeClr w14:val="tx1"/>
            </w14:solidFill>
          </w14:textFill>
        </w:rPr>
        <w:t>件明显不利于招标人的，也可以重新招标。</w:t>
      </w:r>
    </w:p>
    <w:p w14:paraId="5D2715B3">
      <w:pPr>
        <w:pStyle w:val="14"/>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1D167E59">
      <w:pPr>
        <w:pStyle w:val="14"/>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sectPr>
          <w:footerReference r:id="rId12"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3622B001">
      <w:pPr>
        <w:keepNext w:val="0"/>
        <w:keepLines w:val="0"/>
        <w:pageBreakBefore w:val="0"/>
        <w:wordWrap w:val="0"/>
        <w:overflowPunct/>
        <w:topLinePunct w:val="0"/>
        <w:bidi w:val="0"/>
        <w:spacing w:before="78" w:line="219" w:lineRule="auto"/>
        <w:ind w:left="2923"/>
        <w:outlineLvl w:val="0"/>
        <w:rPr>
          <w:rFonts w:hint="eastAsia" w:ascii="宋体" w:hAnsi="宋体" w:eastAsia="宋体" w:cs="宋体"/>
          <w:color w:val="000000" w:themeColor="text1"/>
          <w:spacing w:val="0"/>
          <w:sz w:val="24"/>
          <w:szCs w:val="24"/>
          <w:highlight w:val="none"/>
          <w14:textFill>
            <w14:solidFill>
              <w14:schemeClr w14:val="tx1"/>
            </w14:solidFill>
          </w14:textFill>
        </w:rPr>
      </w:pPr>
      <w:bookmarkStart w:id="165" w:name="bookmark86"/>
      <w:bookmarkEnd w:id="165"/>
      <w:bookmarkStart w:id="166" w:name="_Toc17556"/>
      <w:r>
        <w:rPr>
          <w:rFonts w:hint="eastAsia" w:ascii="宋体" w:hAnsi="宋体" w:eastAsia="宋体" w:cs="宋体"/>
          <w:b/>
          <w:bCs/>
          <w:color w:val="000000" w:themeColor="text1"/>
          <w:spacing w:val="0"/>
          <w:sz w:val="24"/>
          <w:szCs w:val="24"/>
          <w:highlight w:val="none"/>
          <w14:textFill>
            <w14:solidFill>
              <w14:schemeClr w14:val="tx1"/>
            </w14:solidFill>
          </w14:textFill>
        </w:rPr>
        <w:t>第三章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拟签订合同的主要条款</w:t>
      </w:r>
      <w:bookmarkEnd w:id="166"/>
    </w:p>
    <w:p w14:paraId="0B04D162">
      <w:pPr>
        <w:pStyle w:val="6"/>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0B370127">
      <w:pPr>
        <w:pStyle w:val="6"/>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6F61A5A1">
      <w:pPr>
        <w:keepNext w:val="0"/>
        <w:keepLines w:val="0"/>
        <w:pageBreakBefore w:val="0"/>
        <w:wordWrap w:val="0"/>
        <w:overflowPunct/>
        <w:topLinePunct w:val="0"/>
        <w:bidi w:val="0"/>
        <w:spacing w:before="78" w:line="220" w:lineRule="auto"/>
        <w:ind w:left="49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67" w:name="_Toc18712"/>
      <w:r>
        <w:rPr>
          <w:rFonts w:hint="eastAsia" w:ascii="宋体" w:hAnsi="宋体" w:eastAsia="宋体" w:cs="宋体"/>
          <w:b/>
          <w:bCs/>
          <w:color w:val="000000" w:themeColor="text1"/>
          <w:spacing w:val="0"/>
          <w:sz w:val="24"/>
          <w:szCs w:val="24"/>
          <w:highlight w:val="none"/>
          <w14:textFill>
            <w14:solidFill>
              <w14:schemeClr w14:val="tx1"/>
            </w14:solidFill>
          </w14:textFill>
        </w:rPr>
        <w:t>1 ．工程承包方式</w:t>
      </w:r>
      <w:bookmarkEnd w:id="167"/>
    </w:p>
    <w:p w14:paraId="68DBE4BA">
      <w:pPr>
        <w:keepNext w:val="0"/>
        <w:keepLines w:val="0"/>
        <w:pageBreakBefore w:val="0"/>
        <w:wordWrap w:val="0"/>
        <w:overflowPunct/>
        <w:topLinePunct w:val="0"/>
        <w:bidi w:val="0"/>
        <w:spacing w:before="153" w:line="299" w:lineRule="auto"/>
        <w:ind w:left="11" w:right="295" w:firstLine="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  </w:t>
      </w:r>
      <w:r>
        <w:rPr>
          <w:rFonts w:hint="eastAsia" w:ascii="宋体" w:hAnsi="宋体" w:eastAsia="宋体" w:cs="宋体"/>
          <w:color w:val="000000" w:themeColor="text1"/>
          <w:spacing w:val="0"/>
          <w:sz w:val="24"/>
          <w:szCs w:val="24"/>
          <w:highlight w:val="none"/>
          <w14:textFill>
            <w14:solidFill>
              <w14:schemeClr w14:val="tx1"/>
            </w14:solidFill>
          </w14:textFill>
        </w:rPr>
        <w:t>承包人以中标价按包工包料、包质量、包安全包文明施工、包工期方式总承包施工，不允许转包和违法分包，如果确需分包须与发包人协商，在得到发包人和监理单位同意后报建设行政主管部门备案。</w:t>
      </w:r>
    </w:p>
    <w:p w14:paraId="1A7AD95C">
      <w:pPr>
        <w:keepNext w:val="0"/>
        <w:keepLines w:val="0"/>
        <w:pageBreakBefore w:val="0"/>
        <w:wordWrap w:val="0"/>
        <w:overflowPunct/>
        <w:topLinePunct w:val="0"/>
        <w:bidi w:val="0"/>
        <w:spacing w:before="153" w:line="219"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1.1.1  </w:t>
      </w:r>
      <w:r>
        <w:rPr>
          <w:rFonts w:hint="eastAsia" w:ascii="宋体" w:hAnsi="宋体" w:eastAsia="宋体" w:cs="宋体"/>
          <w:color w:val="000000" w:themeColor="text1"/>
          <w:spacing w:val="0"/>
          <w:sz w:val="24"/>
          <w:szCs w:val="24"/>
          <w:highlight w:val="none"/>
          <w14:textFill>
            <w14:solidFill>
              <w14:schemeClr w14:val="tx1"/>
            </w14:solidFill>
          </w14:textFill>
        </w:rPr>
        <w:t>包工包料：材料符合招标文件要求并报验使用；办理用工保险。</w:t>
      </w:r>
    </w:p>
    <w:p w14:paraId="6D255FC4">
      <w:pPr>
        <w:keepNext w:val="0"/>
        <w:keepLines w:val="0"/>
        <w:pageBreakBefore w:val="0"/>
        <w:wordWrap w:val="0"/>
        <w:overflowPunct/>
        <w:topLinePunct w:val="0"/>
        <w:bidi w:val="0"/>
        <w:spacing w:before="156" w:line="220"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1.1.2  </w:t>
      </w:r>
      <w:r>
        <w:rPr>
          <w:rFonts w:hint="eastAsia" w:ascii="宋体" w:hAnsi="宋体" w:eastAsia="宋体" w:cs="宋体"/>
          <w:color w:val="000000" w:themeColor="text1"/>
          <w:spacing w:val="0"/>
          <w:sz w:val="24"/>
          <w:szCs w:val="24"/>
          <w:highlight w:val="none"/>
          <w14:textFill>
            <w14:solidFill>
              <w14:schemeClr w14:val="tx1"/>
            </w14:solidFill>
          </w14:textFill>
        </w:rPr>
        <w:t>包质量：符合招标文件要求。</w:t>
      </w:r>
    </w:p>
    <w:p w14:paraId="7B161543">
      <w:pPr>
        <w:keepNext w:val="0"/>
        <w:keepLines w:val="0"/>
        <w:pageBreakBefore w:val="0"/>
        <w:wordWrap w:val="0"/>
        <w:overflowPunct/>
        <w:topLinePunct w:val="0"/>
        <w:bidi w:val="0"/>
        <w:spacing w:before="153" w:line="220"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1.1.3  </w:t>
      </w:r>
      <w:r>
        <w:rPr>
          <w:rFonts w:hint="eastAsia" w:ascii="宋体" w:hAnsi="宋体" w:eastAsia="宋体" w:cs="宋体"/>
          <w:color w:val="000000" w:themeColor="text1"/>
          <w:spacing w:val="0"/>
          <w:sz w:val="24"/>
          <w:szCs w:val="24"/>
          <w:highlight w:val="none"/>
          <w14:textFill>
            <w14:solidFill>
              <w14:schemeClr w14:val="tx1"/>
            </w14:solidFill>
          </w14:textFill>
        </w:rPr>
        <w:t>包安全包文明施工：符合招标文件要求。</w:t>
      </w:r>
    </w:p>
    <w:p w14:paraId="41E26BE4">
      <w:pPr>
        <w:keepNext w:val="0"/>
        <w:keepLines w:val="0"/>
        <w:pageBreakBefore w:val="0"/>
        <w:wordWrap w:val="0"/>
        <w:overflowPunct/>
        <w:topLinePunct w:val="0"/>
        <w:bidi w:val="0"/>
        <w:spacing w:before="154" w:line="219" w:lineRule="auto"/>
        <w:ind w:left="580"/>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1.1.4  </w:t>
      </w:r>
      <w:r>
        <w:rPr>
          <w:rFonts w:hint="eastAsia" w:ascii="宋体" w:hAnsi="宋体" w:eastAsia="宋体" w:cs="宋体"/>
          <w:color w:val="000000" w:themeColor="text1"/>
          <w:spacing w:val="0"/>
          <w:sz w:val="24"/>
          <w:szCs w:val="24"/>
          <w:highlight w:val="none"/>
          <w14:textFill>
            <w14:solidFill>
              <w14:schemeClr w14:val="tx1"/>
            </w14:solidFill>
          </w14:textFill>
        </w:rPr>
        <w:t>包工期：本招标项目施工必须在招标工期内完成。</w:t>
      </w:r>
    </w:p>
    <w:p w14:paraId="5E683A9A">
      <w:pPr>
        <w:keepNext w:val="0"/>
        <w:keepLines w:val="0"/>
        <w:pageBreakBefore w:val="0"/>
        <w:wordWrap w:val="0"/>
        <w:overflowPunct/>
        <w:topLinePunct w:val="0"/>
        <w:bidi w:val="0"/>
        <w:spacing w:before="78" w:line="220" w:lineRule="auto"/>
        <w:ind w:left="48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68" w:name="bookmark88"/>
      <w:bookmarkEnd w:id="168"/>
      <w:bookmarkStart w:id="169" w:name="_Toc4793"/>
      <w:r>
        <w:rPr>
          <w:rFonts w:hint="eastAsia" w:ascii="宋体" w:hAnsi="宋体" w:eastAsia="宋体" w:cs="宋体"/>
          <w:b/>
          <w:bCs/>
          <w:color w:val="000000" w:themeColor="text1"/>
          <w:spacing w:val="0"/>
          <w:sz w:val="24"/>
          <w:szCs w:val="24"/>
          <w:highlight w:val="none"/>
          <w14:textFill>
            <w14:solidFill>
              <w14:schemeClr w14:val="tx1"/>
            </w14:solidFill>
          </w14:textFill>
        </w:rPr>
        <w:t>2 ．工程结算原则</w:t>
      </w:r>
      <w:bookmarkEnd w:id="169"/>
    </w:p>
    <w:p w14:paraId="047D1E9F">
      <w:pPr>
        <w:keepNext w:val="0"/>
        <w:keepLines w:val="0"/>
        <w:pageBreakBefore w:val="0"/>
        <w:wordWrap w:val="0"/>
        <w:overflowPunct/>
        <w:topLinePunct w:val="0"/>
        <w:bidi w:val="0"/>
        <w:spacing w:before="153" w:line="219" w:lineRule="auto"/>
        <w:ind w:left="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2.1 </w:t>
      </w:r>
      <w:r>
        <w:rPr>
          <w:rFonts w:hint="eastAsia" w:ascii="宋体" w:hAnsi="宋体" w:eastAsia="宋体" w:cs="宋体"/>
          <w:color w:val="000000" w:themeColor="text1"/>
          <w:spacing w:val="0"/>
          <w:sz w:val="24"/>
          <w:szCs w:val="24"/>
          <w:highlight w:val="none"/>
          <w14:textFill>
            <w14:solidFill>
              <w14:schemeClr w14:val="tx1"/>
            </w14:solidFill>
          </w14:textFill>
        </w:rPr>
        <w:t>承包人的投标总价为中标价，即为签约合同价。</w:t>
      </w:r>
    </w:p>
    <w:p w14:paraId="7FAD113F">
      <w:pPr>
        <w:keepNext w:val="0"/>
        <w:keepLines w:val="0"/>
        <w:pageBreakBefore w:val="0"/>
        <w:wordWrap w:val="0"/>
        <w:overflowPunct/>
        <w:topLinePunct w:val="0"/>
        <w:bidi w:val="0"/>
        <w:spacing w:before="155" w:line="319" w:lineRule="auto"/>
        <w:ind w:left="12" w:right="231"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2.2 </w:t>
      </w:r>
      <w:r>
        <w:rPr>
          <w:rFonts w:hint="eastAsia" w:ascii="宋体" w:hAnsi="宋体" w:eastAsia="宋体" w:cs="宋体"/>
          <w:color w:val="000000" w:themeColor="text1"/>
          <w:spacing w:val="0"/>
          <w:sz w:val="24"/>
          <w:szCs w:val="24"/>
          <w:highlight w:val="none"/>
          <w14:textFill>
            <w14:solidFill>
              <w14:schemeClr w14:val="tx1"/>
            </w14:solidFill>
          </w14:textFill>
        </w:rPr>
        <w:t>招标工程量清单标明的工程量是投标人投标报价的共同基础，竣工结算的工程量按</w:t>
      </w:r>
      <w:bookmarkStart w:id="170" w:name="OLE_LINK28"/>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）对工程计量的规定进行计量，必须以承包人完成合同工程应予计量的工程量确定。施</w:t>
      </w:r>
      <w:bookmarkEnd w:id="170"/>
      <w:r>
        <w:rPr>
          <w:rFonts w:hint="eastAsia" w:ascii="宋体" w:hAnsi="宋体" w:eastAsia="宋体" w:cs="宋体"/>
          <w:color w:val="000000" w:themeColor="text1"/>
          <w:spacing w:val="0"/>
          <w:sz w:val="24"/>
          <w:szCs w:val="24"/>
          <w:highlight w:val="none"/>
          <w14:textFill>
            <w14:solidFill>
              <w14:schemeClr w14:val="tx1"/>
            </w14:solidFill>
          </w14:textFill>
        </w:rPr>
        <w:t>工中进行工程计量，当发现招标工程量清单中出现缺项、工程量偏差、或因工程变更引起工程量增减时，应按承包人在履行合同义务中完成的工程量计算。因承包人原因造成的超出合同工程范围施工或返工的工程量，发包人不予计量。</w:t>
      </w:r>
    </w:p>
    <w:p w14:paraId="0EBA0169">
      <w:pPr>
        <w:keepNext w:val="0"/>
        <w:keepLines w:val="0"/>
        <w:pageBreakBefore w:val="0"/>
        <w:wordWrap w:val="0"/>
        <w:overflowPunct/>
        <w:topLinePunct w:val="0"/>
        <w:bidi w:val="0"/>
        <w:spacing w:before="38" w:line="299" w:lineRule="auto"/>
        <w:ind w:left="12" w:right="183" w:firstLine="47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  </w:t>
      </w:r>
      <w:r>
        <w:rPr>
          <w:rFonts w:hint="eastAsia" w:ascii="宋体" w:hAnsi="宋体" w:eastAsia="宋体" w:cs="宋体"/>
          <w:color w:val="000000" w:themeColor="text1"/>
          <w:spacing w:val="0"/>
          <w:sz w:val="24"/>
          <w:szCs w:val="24"/>
          <w:highlight w:val="none"/>
          <w14:textFill>
            <w14:solidFill>
              <w14:schemeClr w14:val="tx1"/>
            </w14:solidFill>
          </w14:textFill>
        </w:rPr>
        <w:t>施工合同履行期间，若出现下列情形的，发、承包双方应当按照以下规定调整合同价款：</w:t>
      </w:r>
    </w:p>
    <w:p w14:paraId="28C07B92">
      <w:pPr>
        <w:keepNext w:val="0"/>
        <w:keepLines w:val="0"/>
        <w:pageBreakBefore w:val="0"/>
        <w:wordWrap w:val="0"/>
        <w:overflowPunct/>
        <w:topLinePunct w:val="0"/>
        <w:bidi w:val="0"/>
        <w:spacing w:before="227" w:line="220" w:lineRule="auto"/>
        <w:ind w:left="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2.3.1  </w:t>
      </w:r>
      <w:r>
        <w:rPr>
          <w:rFonts w:hint="eastAsia" w:ascii="宋体" w:hAnsi="宋体" w:eastAsia="宋体" w:cs="宋体"/>
          <w:color w:val="000000" w:themeColor="text1"/>
          <w:spacing w:val="0"/>
          <w:sz w:val="24"/>
          <w:szCs w:val="24"/>
          <w:highlight w:val="none"/>
          <w14:textFill>
            <w14:solidFill>
              <w14:schemeClr w14:val="tx1"/>
            </w14:solidFill>
          </w14:textFill>
        </w:rPr>
        <w:t>法律法规变化</w:t>
      </w:r>
    </w:p>
    <w:p w14:paraId="6BF5F2D0">
      <w:pPr>
        <w:keepNext w:val="0"/>
        <w:keepLines w:val="0"/>
        <w:pageBreakBefore w:val="0"/>
        <w:wordWrap w:val="0"/>
        <w:overflowPunct/>
        <w:topLinePunct w:val="0"/>
        <w:bidi w:val="0"/>
        <w:spacing w:before="156" w:line="298" w:lineRule="auto"/>
        <w:ind w:left="10" w:right="183"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pacing w:val="0"/>
          <w:sz w:val="24"/>
          <w:szCs w:val="24"/>
          <w:highlight w:val="none"/>
          <w14:textFill>
            <w14:solidFill>
              <w14:schemeClr w14:val="tx1"/>
            </w14:solidFill>
          </w14:textFill>
        </w:rPr>
        <w:instrText xml:space="preserve"> HYPERLINK "2.3.1.1" </w:instrTex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2.3.1.1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color w:val="000000" w:themeColor="text1"/>
          <w:spacing w:val="0"/>
          <w:sz w:val="24"/>
          <w:szCs w:val="24"/>
          <w:highlight w:val="none"/>
          <w14:textFill>
            <w14:solidFill>
              <w14:schemeClr w14:val="tx1"/>
            </w14:solidFill>
          </w14:textFill>
        </w:rPr>
        <w:t xml:space="preserve">  基准日之后，因国家法律、法规、规章和政策发生变化引起工程造价增减变化时，发、承包双方应按照省级建设主管部门（或省级行业主管部门）或其授权的工程造价管理机构据此发布的最新规定调整合同价款。</w:t>
      </w:r>
    </w:p>
    <w:p w14:paraId="3215BC69">
      <w:pPr>
        <w:keepNext w:val="0"/>
        <w:keepLines w:val="0"/>
        <w:pageBreakBefore w:val="0"/>
        <w:wordWrap w:val="0"/>
        <w:overflowPunct/>
        <w:topLinePunct w:val="0"/>
        <w:bidi w:val="0"/>
        <w:spacing w:before="157" w:line="325" w:lineRule="auto"/>
        <w:ind w:left="12" w:right="183" w:firstLine="47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注：本招标文件所称“基准日</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”，均指投标文件递交截止时间（见第一章第二节“重要事项时间地点一览表</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”）前</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28 天。</w:t>
      </w:r>
    </w:p>
    <w:p w14:paraId="5B8E95D2">
      <w:pPr>
        <w:keepNext w:val="0"/>
        <w:keepLines w:val="0"/>
        <w:pageBreakBefore w:val="0"/>
        <w:wordWrap w:val="0"/>
        <w:overflowPunct/>
        <w:topLinePunct w:val="0"/>
        <w:bidi w:val="0"/>
        <w:spacing w:before="33" w:line="299" w:lineRule="auto"/>
        <w:ind w:left="11"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"2.3.1.2"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2.3.1.2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因承包人原因导致工程延误，本章第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2.3.1.1 </w:t>
      </w:r>
      <w:r>
        <w:rPr>
          <w:rFonts w:hint="eastAsia" w:ascii="宋体" w:hAnsi="宋体" w:eastAsia="宋体" w:cs="宋体"/>
          <w:color w:val="000000" w:themeColor="text1"/>
          <w:spacing w:val="0"/>
          <w:sz w:val="24"/>
          <w:szCs w:val="24"/>
          <w:highlight w:val="none"/>
          <w14:textFill>
            <w14:solidFill>
              <w14:schemeClr w14:val="tx1"/>
            </w14:solidFill>
          </w14:textFill>
        </w:rPr>
        <w:t>子目中的法定机构根据国家法律法规变化发布新规的时间在合同工程原定竣工时间之后的，合同价款调增的不予调整，合同价款调减的予以调整。</w:t>
      </w:r>
    </w:p>
    <w:p w14:paraId="231CEC4D">
      <w:pPr>
        <w:keepNext w:val="0"/>
        <w:keepLines w:val="0"/>
        <w:pageBreakBefore w:val="0"/>
        <w:wordWrap w:val="0"/>
        <w:overflowPunct/>
        <w:topLinePunct w:val="0"/>
        <w:bidi w:val="0"/>
        <w:spacing w:before="155" w:line="220" w:lineRule="auto"/>
        <w:ind w:left="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2.3.2  </w:t>
      </w:r>
      <w:r>
        <w:rPr>
          <w:rFonts w:hint="eastAsia" w:ascii="宋体" w:hAnsi="宋体" w:eastAsia="宋体" w:cs="宋体"/>
          <w:color w:val="000000" w:themeColor="text1"/>
          <w:spacing w:val="0"/>
          <w:sz w:val="24"/>
          <w:szCs w:val="24"/>
          <w:highlight w:val="none"/>
          <w14:textFill>
            <w14:solidFill>
              <w14:schemeClr w14:val="tx1"/>
            </w14:solidFill>
          </w14:textFill>
        </w:rPr>
        <w:t>工程量偏差或变化</w:t>
      </w:r>
    </w:p>
    <w:p w14:paraId="655704F0">
      <w:pPr>
        <w:keepNext w:val="0"/>
        <w:keepLines w:val="0"/>
        <w:pageBreakBefore w:val="0"/>
        <w:wordWrap w:val="0"/>
        <w:overflowPunct/>
        <w:topLinePunct w:val="0"/>
        <w:bidi w:val="0"/>
        <w:spacing w:before="158" w:line="309" w:lineRule="auto"/>
        <w:ind w:left="10" w:right="183"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"2.3.2.1"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2.3.2.1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合同履行期间，当应予计算的实际工程量与招标工程量清单出现偏差或因工程变更引起已标价工程量清单项目的工程数量发生变化时，工程量偏差或变化在 15%以内（含 15%）的，其综合单价不予调整；工程量偏差或变化超过 15%的，按照以下规定调整：</w:t>
      </w:r>
    </w:p>
    <w:p w14:paraId="6F1EA887">
      <w:pPr>
        <w:keepNext w:val="0"/>
        <w:keepLines w:val="0"/>
        <w:pageBreakBefore w:val="0"/>
        <w:wordWrap w:val="0"/>
        <w:overflowPunct/>
        <w:topLinePunct w:val="0"/>
        <w:bidi w:val="0"/>
        <w:spacing w:before="78" w:line="327" w:lineRule="auto"/>
        <w:ind w:left="12" w:firstLine="478"/>
        <w:jc w:val="both"/>
        <w:rPr>
          <w:rFonts w:hint="eastAsia" w:ascii="宋体" w:hAnsi="宋体" w:eastAsia="宋体" w:cs="宋体"/>
          <w:color w:val="000000" w:themeColor="text1"/>
          <w:spacing w:val="0"/>
          <w:sz w:val="24"/>
          <w:szCs w:val="24"/>
          <w:highlight w:val="none"/>
          <w14:textFill>
            <w14:solidFill>
              <w14:schemeClr w14:val="tx1"/>
            </w14:solidFill>
          </w14:textFill>
        </w:rPr>
      </w:pPr>
      <w:bookmarkStart w:id="171" w:name="bookmark142"/>
      <w:bookmarkEnd w:id="171"/>
      <w:r>
        <w:rPr>
          <w:rFonts w:hint="eastAsia" w:ascii="宋体" w:hAnsi="宋体" w:eastAsia="宋体" w:cs="宋体"/>
          <w:color w:val="000000" w:themeColor="text1"/>
          <w:spacing w:val="0"/>
          <w:sz w:val="24"/>
          <w:szCs w:val="24"/>
          <w:highlight w:val="none"/>
          <w14:textFill>
            <w14:solidFill>
              <w14:schemeClr w14:val="tx1"/>
            </w14:solidFill>
          </w14:textFill>
        </w:rPr>
        <w:t>对于合理报价的清单项目，当工程量增加超过 15%时，增加部分的工程量的综合单价以投标报价《分部分项工程和单价措施项目清单与计价表》中综合单价为基价调低 3%；当工程量减少超过 15%时，减少后剩余部分的工程量的综合单价以投标报价《分部分项工程和单价措施项目清单与计价表》中综合单价为基价调高 3%。</w:t>
      </w:r>
    </w:p>
    <w:p w14:paraId="19CF62EE">
      <w:pPr>
        <w:keepNext w:val="0"/>
        <w:keepLines w:val="0"/>
        <w:pageBreakBefore w:val="0"/>
        <w:wordWrap w:val="0"/>
        <w:overflowPunct/>
        <w:topLinePunct w:val="0"/>
        <w:bidi w:val="0"/>
        <w:spacing w:before="97" w:line="324" w:lineRule="auto"/>
        <w:ind w:left="13" w:right="179"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对于按照第二章“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中标人须知</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”第</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4.2 条被认定为不平衡报价的清单项目，其综合单价按照以下方法调整：</w:t>
      </w:r>
    </w:p>
    <w:p w14:paraId="25F45A58">
      <w:pPr>
        <w:keepNext w:val="0"/>
        <w:keepLines w:val="0"/>
        <w:pageBreakBefore w:val="0"/>
        <w:wordWrap w:val="0"/>
        <w:overflowPunct/>
        <w:topLinePunct w:val="0"/>
        <w:bidi w:val="0"/>
        <w:spacing w:before="97" w:line="324" w:lineRule="auto"/>
        <w:ind w:left="13" w:right="179" w:firstLine="477"/>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以</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14:textFill>
            <w14:solidFill>
              <w14:schemeClr w14:val="tx1"/>
            </w14:solidFill>
          </w14:textFill>
        </w:rPr>
        <w:t>中《分部分项工程和单价措施项目清单与计价表》子目相对应综合单价×（1-中标下浮率）。</w:t>
      </w:r>
    </w:p>
    <w:p w14:paraId="3E1FC9C8">
      <w:pPr>
        <w:keepNext w:val="0"/>
        <w:keepLines w:val="0"/>
        <w:pageBreakBefore w:val="0"/>
        <w:wordWrap w:val="0"/>
        <w:overflowPunct/>
        <w:topLinePunct w:val="0"/>
        <w:bidi w:val="0"/>
        <w:spacing w:before="97" w:line="324" w:lineRule="auto"/>
        <w:ind w:left="13" w:right="179" w:firstLine="477"/>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172" w:name="_Toc18478"/>
      <w:bookmarkStart w:id="173" w:name="_Toc12035"/>
      <w:bookmarkStart w:id="174" w:name="_Toc30068"/>
      <w:r>
        <w:rPr>
          <w:rFonts w:hint="eastAsia" w:ascii="宋体" w:hAnsi="宋体" w:eastAsia="宋体" w:cs="宋体"/>
          <w:b/>
          <w:bCs/>
          <w:color w:val="000000" w:themeColor="text1"/>
          <w:spacing w:val="0"/>
          <w:sz w:val="24"/>
          <w:szCs w:val="24"/>
          <w:highlight w:val="none"/>
          <w14:textFill>
            <w14:solidFill>
              <w14:schemeClr w14:val="tx1"/>
            </w14:solidFill>
          </w14:textFill>
        </w:rPr>
        <w:t>中标下浮率=[1-（中标价-中标</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b/>
          <w:bCs/>
          <w:color w:val="000000" w:themeColor="text1"/>
          <w:spacing w:val="0"/>
          <w:sz w:val="24"/>
          <w:szCs w:val="24"/>
          <w:highlight w:val="none"/>
          <w14:textFill>
            <w14:solidFill>
              <w14:schemeClr w14:val="tx1"/>
            </w14:solidFill>
          </w14:textFill>
        </w:rPr>
        <w:t>-暂列金额-暂估价）/（</w:t>
      </w:r>
      <w:bookmarkEnd w:id="172"/>
      <w:bookmarkEnd w:id="173"/>
      <w:bookmarkStart w:id="175" w:name="_Toc15512"/>
      <w:bookmarkStart w:id="176" w:name="_Toc13602"/>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14:textFill>
            <w14:solidFill>
              <w14:schemeClr w14:val="tx1"/>
            </w14:solidFill>
          </w14:textFill>
        </w:rPr>
        <w:t>-</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最高投标限价安全生产措施费</w:t>
      </w:r>
      <w:r>
        <w:rPr>
          <w:rFonts w:hint="eastAsia" w:ascii="宋体" w:hAnsi="宋体" w:eastAsia="宋体" w:cs="宋体"/>
          <w:b/>
          <w:bCs/>
          <w:color w:val="000000" w:themeColor="text1"/>
          <w:spacing w:val="0"/>
          <w:sz w:val="24"/>
          <w:szCs w:val="24"/>
          <w:highlight w:val="none"/>
          <w14:textFill>
            <w14:solidFill>
              <w14:schemeClr w14:val="tx1"/>
            </w14:solidFill>
          </w14:textFill>
        </w:rPr>
        <w:t>-暂列金额-暂估价）] ×100%</w:t>
      </w:r>
      <w:bookmarkEnd w:id="174"/>
      <w:bookmarkEnd w:id="175"/>
      <w:bookmarkEnd w:id="176"/>
    </w:p>
    <w:p w14:paraId="5F716669">
      <w:pPr>
        <w:keepNext w:val="0"/>
        <w:keepLines w:val="0"/>
        <w:pageBreakBefore w:val="0"/>
        <w:wordWrap w:val="0"/>
        <w:overflowPunct/>
        <w:topLinePunct w:val="0"/>
        <w:bidi w:val="0"/>
        <w:spacing w:before="123" w:line="301" w:lineRule="auto"/>
        <w:ind w:left="10" w:right="116" w:firstLine="48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若修正后的该部分《分部分项工程和单价措施项目清单与计价表》总金额大于原投标报价中的该部分总金额，则从投标报价需调高的综合单价中选择偏离最大的清单开始调整，调整幅度逐步减少，直至修正后的该部分《分部分项工程和单价措施项目清单与计价表》总金额与原投标报价中的该部分总金额一致；若修正后的该部分《分部分项工程和单价措施项目清单与计价表》总金额小于原投标报价中的该部分总金额，则从投标报价需调低的综合单价中选择偏离最大的清单开始调整，调整幅度逐步减少，直至修正后的该部分《分部分项工程和单价措施项目清单与计价表》总金额与原投标报价中的该部分总金额一致。修正后的总造价应与总中标价保持一致，形成《不平衡报价修正报告》，并由招标人和中标人共同签章确认。</w:t>
      </w:r>
    </w:p>
    <w:p w14:paraId="2C74F04F">
      <w:pPr>
        <w:keepNext w:val="0"/>
        <w:keepLines w:val="0"/>
        <w:pageBreakBefore w:val="0"/>
        <w:wordWrap w:val="0"/>
        <w:overflowPunct/>
        <w:topLinePunct w:val="0"/>
        <w:bidi w:val="0"/>
        <w:spacing w:before="129" w:line="299" w:lineRule="auto"/>
        <w:ind w:left="12" w:right="179"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"2.3.2.2"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2.3.2.2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如果工程量出现本章第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2.3.2.1 </w:t>
      </w:r>
      <w:r>
        <w:rPr>
          <w:rFonts w:hint="eastAsia" w:ascii="宋体" w:hAnsi="宋体" w:eastAsia="宋体" w:cs="宋体"/>
          <w:color w:val="000000" w:themeColor="text1"/>
          <w:spacing w:val="0"/>
          <w:sz w:val="24"/>
          <w:szCs w:val="24"/>
          <w:highlight w:val="none"/>
          <w14:textFill>
            <w14:solidFill>
              <w14:schemeClr w14:val="tx1"/>
            </w14:solidFill>
          </w14:textFill>
        </w:rPr>
        <w:t>子目的变化，且该变化引起相关措施项目相应发生变化时，按系数或单一总价方式计价的，工程量增加的措施项目费调增，工程量减少的措施项目费调减。</w:t>
      </w:r>
    </w:p>
    <w:p w14:paraId="3DB00805">
      <w:pPr>
        <w:keepNext w:val="0"/>
        <w:keepLines w:val="0"/>
        <w:pageBreakBefore w:val="0"/>
        <w:wordWrap w:val="0"/>
        <w:overflowPunct/>
        <w:topLinePunct w:val="0"/>
        <w:bidi w:val="0"/>
        <w:spacing w:before="154" w:line="221" w:lineRule="auto"/>
        <w:ind w:left="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  </w:t>
      </w:r>
      <w:r>
        <w:rPr>
          <w:rFonts w:hint="eastAsia" w:ascii="宋体" w:hAnsi="宋体" w:eastAsia="宋体" w:cs="宋体"/>
          <w:color w:val="000000" w:themeColor="text1"/>
          <w:spacing w:val="0"/>
          <w:sz w:val="24"/>
          <w:szCs w:val="24"/>
          <w:highlight w:val="none"/>
          <w14:textFill>
            <w14:solidFill>
              <w14:schemeClr w14:val="tx1"/>
            </w14:solidFill>
          </w14:textFill>
        </w:rPr>
        <w:t>工程变更</w:t>
      </w:r>
    </w:p>
    <w:p w14:paraId="23DCAF42">
      <w:pPr>
        <w:keepNext w:val="0"/>
        <w:keepLines w:val="0"/>
        <w:pageBreakBefore w:val="0"/>
        <w:wordWrap w:val="0"/>
        <w:overflowPunct/>
        <w:topLinePunct w:val="0"/>
        <w:bidi w:val="0"/>
        <w:spacing w:before="153" w:line="279" w:lineRule="auto"/>
        <w:ind w:left="19" w:right="179" w:firstLine="4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"2.3.3.1"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2.3.3.1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合同履行期间，因工程变更引起已标价工程量清单项目发生变化时，按照以下规定调整：</w:t>
      </w:r>
    </w:p>
    <w:p w14:paraId="187CDAE7">
      <w:pPr>
        <w:keepNext w:val="0"/>
        <w:keepLines w:val="0"/>
        <w:pageBreakBefore w:val="0"/>
        <w:numPr>
          <w:ilvl w:val="0"/>
          <w:numId w:val="1"/>
        </w:numPr>
        <w:wordWrap w:val="0"/>
        <w:overflowPunct/>
        <w:topLinePunct w:val="0"/>
        <w:bidi w:val="0"/>
        <w:spacing w:before="78" w:line="360" w:lineRule="auto"/>
        <w:ind w:firstLine="240" w:firstLineChars="100"/>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已标价工程量清单中有适用于变更工程项目的，采用该项目的单价。</w:t>
      </w:r>
      <w:r>
        <w:rPr>
          <w:rFonts w:hint="eastAsia" w:ascii="宋体" w:hAnsi="宋体" w:eastAsia="宋体" w:cs="宋体"/>
          <w:b/>
          <w:bCs/>
          <w:color w:val="000000" w:themeColor="text1"/>
          <w:spacing w:val="0"/>
          <w:sz w:val="24"/>
          <w:szCs w:val="24"/>
          <w:highlight w:val="none"/>
          <w14:textFill>
            <w14:solidFill>
              <w14:schemeClr w14:val="tx1"/>
            </w14:solidFill>
          </w14:textFill>
        </w:rPr>
        <w:t>但如果</w:t>
      </w:r>
      <w:bookmarkStart w:id="177" w:name="bookmark143"/>
      <w:bookmarkEnd w:id="177"/>
      <w:r>
        <w:rPr>
          <w:rFonts w:hint="eastAsia" w:ascii="宋体" w:hAnsi="宋体" w:eastAsia="宋体" w:cs="宋体"/>
          <w:b/>
          <w:bCs/>
          <w:color w:val="000000" w:themeColor="text1"/>
          <w:spacing w:val="0"/>
          <w:sz w:val="24"/>
          <w:szCs w:val="24"/>
          <w:highlight w:val="none"/>
          <w14:textFill>
            <w14:solidFill>
              <w14:schemeClr w14:val="tx1"/>
            </w14:solidFill>
          </w14:textFill>
        </w:rPr>
        <w:t>被采用的项目属于按照第二章“中标人须知</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”第</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4.2 条被认定为不平衡报价的清单项目，变更工程项目的单价按照本章 2.3.2.1 的方法调整。】</w:t>
      </w:r>
    </w:p>
    <w:p w14:paraId="7205A22D">
      <w:pPr>
        <w:keepNext w:val="0"/>
        <w:keepLines w:val="0"/>
        <w:pageBreakBefore w:val="0"/>
        <w:numPr>
          <w:ilvl w:val="0"/>
          <w:numId w:val="0"/>
        </w:numPr>
        <w:wordWrap w:val="0"/>
        <w:overflowPunct/>
        <w:topLinePunct w:val="0"/>
        <w:bidi w:val="0"/>
        <w:spacing w:before="78" w:line="360" w:lineRule="auto"/>
        <w:ind w:firstLine="241" w:firstLineChars="1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已标价工程量清单中没有适用但有类似于变更工程项目的，可在合理范围内参照类似项目的单价。</w:t>
      </w:r>
      <w:r>
        <w:rPr>
          <w:rFonts w:hint="eastAsia" w:ascii="宋体" w:hAnsi="宋体" w:eastAsia="宋体" w:cs="宋体"/>
          <w:b/>
          <w:bCs/>
          <w:color w:val="000000" w:themeColor="text1"/>
          <w:spacing w:val="0"/>
          <w:sz w:val="24"/>
          <w:szCs w:val="24"/>
          <w:highlight w:val="none"/>
          <w14:textFill>
            <w14:solidFill>
              <w14:schemeClr w14:val="tx1"/>
            </w14:solidFill>
          </w14:textFill>
        </w:rPr>
        <w:t>但如果被参考的类似项目属于按照第二章“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中标人须知</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”第</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4.2条被认定为不平衡报价的清单项目，变更工程项目的单价按照本章2.3.2.1 的方法调整。</w:t>
      </w:r>
    </w:p>
    <w:p w14:paraId="314A12AB">
      <w:pPr>
        <w:keepNext w:val="0"/>
        <w:keepLines w:val="0"/>
        <w:pageBreakBefore w:val="0"/>
        <w:numPr>
          <w:ilvl w:val="0"/>
          <w:numId w:val="0"/>
        </w:numPr>
        <w:wordWrap w:val="0"/>
        <w:overflowPunct/>
        <w:topLinePunct w:val="0"/>
        <w:bidi w:val="0"/>
        <w:spacing w:before="38" w:line="310" w:lineRule="auto"/>
        <w:ind w:right="81" w:rightChars="0" w:firstLine="240" w:firstLineChars="10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已标价工程量清单中没有适用也没有类似于变更工程项目的，由承包人根据变更工程资料、计量规则、计价办法、施工当月项目所在地工程造价管理机构发布的价格信息和中标下浮率提出变更工程项目的单价，报发包人确认后调整。中标下浮率的计算公式如下：</w:t>
      </w:r>
    </w:p>
    <w:p w14:paraId="3BB23C34">
      <w:pPr>
        <w:keepNext w:val="0"/>
        <w:keepLines w:val="0"/>
        <w:pageBreakBefore w:val="0"/>
        <w:wordWrap w:val="0"/>
        <w:overflowPunct/>
        <w:topLinePunct w:val="0"/>
        <w:bidi w:val="0"/>
        <w:spacing w:before="126" w:line="314" w:lineRule="auto"/>
        <w:ind w:left="29" w:right="21" w:firstLine="50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中标下浮率=[1-（中标价-中标</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b/>
          <w:bCs/>
          <w:color w:val="000000" w:themeColor="text1"/>
          <w:spacing w:val="0"/>
          <w:sz w:val="24"/>
          <w:szCs w:val="24"/>
          <w:highlight w:val="none"/>
          <w14:textFill>
            <w14:solidFill>
              <w14:schemeClr w14:val="tx1"/>
            </w14:solidFill>
          </w14:textFill>
        </w:rPr>
        <w:t>-暂列金额-暂估价）/（</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14:textFill>
            <w14:solidFill>
              <w14:schemeClr w14:val="tx1"/>
            </w14:solidFill>
          </w14:textFill>
        </w:rPr>
        <w:t>-</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最高投标限价安全生产措施费</w:t>
      </w:r>
      <w:r>
        <w:rPr>
          <w:rFonts w:hint="eastAsia" w:ascii="宋体" w:hAnsi="宋体" w:eastAsia="宋体" w:cs="宋体"/>
          <w:b/>
          <w:bCs/>
          <w:color w:val="000000" w:themeColor="text1"/>
          <w:spacing w:val="0"/>
          <w:sz w:val="24"/>
          <w:szCs w:val="24"/>
          <w:highlight w:val="none"/>
          <w14:textFill>
            <w14:solidFill>
              <w14:schemeClr w14:val="tx1"/>
            </w14:solidFill>
          </w14:textFill>
        </w:rPr>
        <w:t>-暂列金额-暂估价）]</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×100%</w:t>
      </w:r>
    </w:p>
    <w:p w14:paraId="132C32ED">
      <w:pPr>
        <w:keepNext w:val="0"/>
        <w:keepLines w:val="0"/>
        <w:pageBreakBefore w:val="0"/>
        <w:wordWrap w:val="0"/>
        <w:overflowPunct/>
        <w:topLinePunct w:val="0"/>
        <w:bidi w:val="0"/>
        <w:spacing w:before="145" w:line="309" w:lineRule="auto"/>
        <w:ind w:right="81" w:firstLine="240" w:firstLineChars="100"/>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t>已标价工程量清单中没有适用也没有类似于变更工程项目，且施工当月项目所在地工程造价管理机构发布的价格信息缺项的，由承包人根据变更工程资料、计量规则、计价办法和通过市场调查等取得有合法依据的市场价格提出变更工程项目的单价，报发包人确认后调整。</w:t>
      </w:r>
    </w:p>
    <w:p w14:paraId="7485EB42">
      <w:pPr>
        <w:keepNext w:val="0"/>
        <w:keepLines w:val="0"/>
        <w:pageBreakBefore w:val="0"/>
        <w:wordWrap w:val="0"/>
        <w:overflowPunct/>
        <w:topLinePunct w:val="0"/>
        <w:bidi w:val="0"/>
        <w:spacing w:before="156" w:line="309" w:lineRule="auto"/>
        <w:ind w:left="7" w:right="81"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"2.3.3.2"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2.3.3.2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工程变更引起施工方案改变并使措施项目发生变化时，承包人提出调整措施项目费的，应事先将拟实施的方案提交发包人确认，并应详细说明与原方案措施项目相比的变化情况。拟实施的方案经发、承包双方确认后执行，并按照本章下列规定调整措施项目费：</w:t>
      </w:r>
    </w:p>
    <w:p w14:paraId="48DB76F2">
      <w:pPr>
        <w:keepNext w:val="0"/>
        <w:keepLines w:val="0"/>
        <w:pageBreakBefore w:val="0"/>
        <w:wordWrap w:val="0"/>
        <w:overflowPunct/>
        <w:topLinePunct w:val="0"/>
        <w:bidi w:val="0"/>
        <w:spacing w:before="152" w:line="220" w:lineRule="auto"/>
        <w:ind w:left="49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应按照实际发生变化的措施项目计算。</w:t>
      </w:r>
    </w:p>
    <w:p w14:paraId="3430AEEE">
      <w:pPr>
        <w:keepNext w:val="0"/>
        <w:keepLines w:val="0"/>
        <w:pageBreakBefore w:val="0"/>
        <w:wordWrap w:val="0"/>
        <w:overflowPunct/>
        <w:topLinePunct w:val="0"/>
        <w:bidi w:val="0"/>
        <w:spacing w:before="156" w:line="309" w:lineRule="auto"/>
        <w:ind w:left="7" w:right="81"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（2）采用单价计算的措施项目费，应按照实际发生变化的措施项目，按本章第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2.3.3.1 </w:t>
      </w:r>
      <w:r>
        <w:rPr>
          <w:rFonts w:hint="eastAsia" w:ascii="宋体" w:hAnsi="宋体" w:eastAsia="宋体" w:cs="宋体"/>
          <w:color w:val="000000" w:themeColor="text1"/>
          <w:spacing w:val="0"/>
          <w:sz w:val="24"/>
          <w:szCs w:val="24"/>
          <w:highlight w:val="none"/>
          <w14:textFill>
            <w14:solidFill>
              <w14:schemeClr w14:val="tx1"/>
            </w14:solidFill>
          </w14:textFill>
        </w:rPr>
        <w:t>子目的规定确定单价。</w:t>
      </w:r>
    </w:p>
    <w:p w14:paraId="49A98A6F">
      <w:pPr>
        <w:keepNext w:val="0"/>
        <w:keepLines w:val="0"/>
        <w:pageBreakBefore w:val="0"/>
        <w:wordWrap w:val="0"/>
        <w:overflowPunct/>
        <w:topLinePunct w:val="0"/>
        <w:bidi w:val="0"/>
        <w:spacing w:before="154" w:line="360" w:lineRule="auto"/>
        <w:ind w:left="8" w:right="81"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（3）按总价或系数计算的措施项目费，应按照实际发生变化的措施项目费调整并考虑中标下浮率因素，即调整金额＝按照实际变化调整后的金额×（1-中标下浮率）。</w:t>
      </w:r>
    </w:p>
    <w:p w14:paraId="78BE891C">
      <w:pPr>
        <w:keepNext w:val="0"/>
        <w:keepLines w:val="0"/>
        <w:pageBreakBefore w:val="0"/>
        <w:wordWrap w:val="0"/>
        <w:overflowPunct/>
        <w:topLinePunct w:val="0"/>
        <w:bidi w:val="0"/>
        <w:spacing w:before="157" w:line="324" w:lineRule="auto"/>
        <w:ind w:left="21" w:right="81" w:firstLine="47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如果承包人未事先将拟实施的方案提交发包人确认，视为工程变更不引起措施项目费的调整或承包人放弃调整措施项目费的权利。</w:t>
      </w:r>
    </w:p>
    <w:p w14:paraId="2ECDD016">
      <w:pPr>
        <w:keepNext w:val="0"/>
        <w:keepLines w:val="0"/>
        <w:pageBreakBefore w:val="0"/>
        <w:wordWrap w:val="0"/>
        <w:overflowPunct/>
        <w:topLinePunct w:val="0"/>
        <w:bidi w:val="0"/>
        <w:spacing w:before="35" w:line="309" w:lineRule="auto"/>
        <w:ind w:right="81" w:firstLine="42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"2.3.3.3"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2.3.3.3</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当因非承包人原因，发包人提出的工程变更删减了合同中的某项原定工作或工程，致使承包人发生的费用或（和）得到的收益不能被包括在其他已支付或应支付的项目中，也未被包含在任何替代的工作或工程中时，承包人有权提出并应得到合理的费用及利润补偿。</w:t>
      </w:r>
    </w:p>
    <w:p w14:paraId="4E492982">
      <w:pPr>
        <w:keepNext w:val="0"/>
        <w:keepLines w:val="0"/>
        <w:pageBreakBefore w:val="0"/>
        <w:wordWrap w:val="0"/>
        <w:overflowPunct/>
        <w:topLinePunct w:val="0"/>
        <w:bidi w:val="0"/>
        <w:spacing w:before="155" w:line="220" w:lineRule="auto"/>
        <w:ind w:left="48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2.3.4  </w:t>
      </w:r>
      <w:r>
        <w:rPr>
          <w:rFonts w:hint="eastAsia" w:ascii="宋体" w:hAnsi="宋体" w:eastAsia="宋体" w:cs="宋体"/>
          <w:color w:val="000000" w:themeColor="text1"/>
          <w:spacing w:val="0"/>
          <w:sz w:val="24"/>
          <w:szCs w:val="24"/>
          <w:highlight w:val="none"/>
          <w14:textFill>
            <w14:solidFill>
              <w14:schemeClr w14:val="tx1"/>
            </w14:solidFill>
          </w14:textFill>
        </w:rPr>
        <w:t>项目特征不符</w:t>
      </w:r>
    </w:p>
    <w:p w14:paraId="7DBF02D2">
      <w:pPr>
        <w:keepNext w:val="0"/>
        <w:keepLines w:val="0"/>
        <w:pageBreakBefore w:val="0"/>
        <w:wordWrap w:val="0"/>
        <w:overflowPunct/>
        <w:topLinePunct w:val="0"/>
        <w:bidi w:val="0"/>
        <w:spacing w:before="78" w:line="331" w:lineRule="auto"/>
        <w:ind w:left="8" w:right="108" w:firstLine="480"/>
        <w:jc w:val="both"/>
        <w:rPr>
          <w:rFonts w:hint="eastAsia" w:ascii="宋体" w:hAnsi="宋体" w:eastAsia="宋体" w:cs="宋体"/>
          <w:color w:val="000000" w:themeColor="text1"/>
          <w:spacing w:val="0"/>
          <w:sz w:val="24"/>
          <w:szCs w:val="24"/>
          <w:highlight w:val="none"/>
          <w14:textFill>
            <w14:solidFill>
              <w14:schemeClr w14:val="tx1"/>
            </w14:solidFill>
          </w14:textFill>
        </w:rPr>
      </w:pPr>
      <w:bookmarkStart w:id="178" w:name="bookmark144"/>
      <w:bookmarkEnd w:id="178"/>
      <w:r>
        <w:rPr>
          <w:rFonts w:hint="eastAsia" w:ascii="宋体" w:hAnsi="宋体" w:eastAsia="宋体" w:cs="宋体"/>
          <w:color w:val="000000" w:themeColor="text1"/>
          <w:spacing w:val="0"/>
          <w:sz w:val="24"/>
          <w:szCs w:val="24"/>
          <w:highlight w:val="none"/>
          <w14:textFill>
            <w14:solidFill>
              <w14:schemeClr w14:val="tx1"/>
            </w14:solidFill>
          </w14:textFill>
        </w:rPr>
        <w:t xml:space="preserve">承包人应按照发包人提供的设计图纸实施合同工程，若在合同履行期间出现设计图纸（含设计变更）与招标工程量清单任一项目的特征描述不符，且该变化引起该项目工程造价增减变化的，应按照实际施工的项目特征，并按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 </w:t>
      </w:r>
      <w:r>
        <w:rPr>
          <w:rFonts w:hint="eastAsia" w:ascii="宋体" w:hAnsi="宋体" w:eastAsia="宋体" w:cs="宋体"/>
          <w:color w:val="000000" w:themeColor="text1"/>
          <w:spacing w:val="0"/>
          <w:sz w:val="24"/>
          <w:szCs w:val="24"/>
          <w:highlight w:val="none"/>
          <w14:textFill>
            <w14:solidFill>
              <w14:schemeClr w14:val="tx1"/>
            </w14:solidFill>
          </w14:textFill>
        </w:rPr>
        <w:t>目相关条款的规定重新确定相应工程量清单项目的综合单价，并调整合同价款。</w:t>
      </w:r>
    </w:p>
    <w:p w14:paraId="197538B0">
      <w:pPr>
        <w:keepNext w:val="0"/>
        <w:keepLines w:val="0"/>
        <w:pageBreakBefore w:val="0"/>
        <w:wordWrap w:val="0"/>
        <w:overflowPunct/>
        <w:topLinePunct w:val="0"/>
        <w:bidi w:val="0"/>
        <w:spacing w:before="38" w:line="221" w:lineRule="auto"/>
        <w:ind w:left="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2.3.5  </w:t>
      </w:r>
      <w:r>
        <w:rPr>
          <w:rFonts w:hint="eastAsia" w:ascii="宋体" w:hAnsi="宋体" w:eastAsia="宋体" w:cs="宋体"/>
          <w:color w:val="000000" w:themeColor="text1"/>
          <w:spacing w:val="0"/>
          <w:sz w:val="24"/>
          <w:szCs w:val="24"/>
          <w:highlight w:val="none"/>
          <w14:textFill>
            <w14:solidFill>
              <w14:schemeClr w14:val="tx1"/>
            </w14:solidFill>
          </w14:textFill>
        </w:rPr>
        <w:t>招标工程量清单缺项</w:t>
      </w:r>
    </w:p>
    <w:p w14:paraId="5867B021">
      <w:pPr>
        <w:keepNext w:val="0"/>
        <w:keepLines w:val="0"/>
        <w:pageBreakBefore w:val="0"/>
        <w:widowControl/>
        <w:kinsoku w:val="0"/>
        <w:wordWrap w:val="0"/>
        <w:overflowPunct/>
        <w:topLinePunct w:val="0"/>
        <w:autoSpaceDE w:val="0"/>
        <w:autoSpaceDN w:val="0"/>
        <w:bidi w:val="0"/>
        <w:adjustRightInd w:val="0"/>
        <w:snapToGrid w:val="0"/>
        <w:spacing w:before="152" w:line="25" w:lineRule="atLeast"/>
        <w:ind w:left="9" w:right="56" w:firstLine="476"/>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"2.3.5.1"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2.3.5.1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合同履行期间，由于招标工程量清单中缺项，新增分部分项工程清单项目，应按照本章第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2.3.3.1 </w:t>
      </w:r>
      <w:r>
        <w:rPr>
          <w:rFonts w:hint="eastAsia" w:ascii="宋体" w:hAnsi="宋体" w:eastAsia="宋体" w:cs="宋体"/>
          <w:color w:val="000000" w:themeColor="text1"/>
          <w:spacing w:val="0"/>
          <w:sz w:val="24"/>
          <w:szCs w:val="24"/>
          <w:highlight w:val="none"/>
          <w14:textFill>
            <w14:solidFill>
              <w14:schemeClr w14:val="tx1"/>
            </w14:solidFill>
          </w14:textFill>
        </w:rPr>
        <w:t>子目的规定确定单价，并调整合同价款。</w:t>
      </w:r>
    </w:p>
    <w:p w14:paraId="789762A4">
      <w:pPr>
        <w:keepNext w:val="0"/>
        <w:keepLines w:val="0"/>
        <w:pageBreakBefore w:val="0"/>
        <w:widowControl/>
        <w:kinsoku w:val="0"/>
        <w:wordWrap w:val="0"/>
        <w:overflowPunct/>
        <w:topLinePunct w:val="0"/>
        <w:autoSpaceDE w:val="0"/>
        <w:autoSpaceDN w:val="0"/>
        <w:bidi w:val="0"/>
        <w:adjustRightInd w:val="0"/>
        <w:snapToGrid w:val="0"/>
        <w:spacing w:before="157" w:line="25" w:lineRule="atLeast"/>
        <w:ind w:firstLine="42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"2.3.5.2"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2.3.5.2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新增分部分项工程清单项目后，引起措施项目发生变化的，应按照本章第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2.3.3.2 </w:t>
      </w:r>
      <w:r>
        <w:rPr>
          <w:rFonts w:hint="eastAsia" w:ascii="宋体" w:hAnsi="宋体" w:eastAsia="宋体" w:cs="宋体"/>
          <w:color w:val="000000" w:themeColor="text1"/>
          <w:spacing w:val="0"/>
          <w:sz w:val="24"/>
          <w:szCs w:val="24"/>
          <w:highlight w:val="none"/>
          <w14:textFill>
            <w14:solidFill>
              <w14:schemeClr w14:val="tx1"/>
            </w14:solidFill>
          </w14:textFill>
        </w:rPr>
        <w:t>子目的规定，在承包人提交的实施方案被发包人批准后调整合同价款。</w:t>
      </w:r>
    </w:p>
    <w:p w14:paraId="64483C48">
      <w:pPr>
        <w:keepNext w:val="0"/>
        <w:keepLines w:val="0"/>
        <w:pageBreakBefore w:val="0"/>
        <w:widowControl/>
        <w:kinsoku w:val="0"/>
        <w:wordWrap w:val="0"/>
        <w:overflowPunct/>
        <w:topLinePunct w:val="0"/>
        <w:autoSpaceDE w:val="0"/>
        <w:autoSpaceDN w:val="0"/>
        <w:bidi w:val="0"/>
        <w:adjustRightInd w:val="0"/>
        <w:snapToGrid w:val="0"/>
        <w:spacing w:before="156" w:line="300" w:lineRule="auto"/>
        <w:ind w:left="11" w:right="108" w:firstLine="471"/>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"2.3.5.3"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2.3.5.3</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由于招标工程量清单中措施项目缺项，承包人应将新增措施项目实施方案提交发包人批准后，按照本章第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2.3.3.1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子目、第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2.3.3.2 </w:t>
      </w:r>
      <w:r>
        <w:rPr>
          <w:rFonts w:hint="eastAsia" w:ascii="宋体" w:hAnsi="宋体" w:eastAsia="宋体" w:cs="宋体"/>
          <w:color w:val="000000" w:themeColor="text1"/>
          <w:spacing w:val="0"/>
          <w:sz w:val="24"/>
          <w:szCs w:val="24"/>
          <w:highlight w:val="none"/>
          <w14:textFill>
            <w14:solidFill>
              <w14:schemeClr w14:val="tx1"/>
            </w14:solidFill>
          </w14:textFill>
        </w:rPr>
        <w:t>子目的规定调整合同价款。</w:t>
      </w:r>
    </w:p>
    <w:p w14:paraId="08FB5658">
      <w:pPr>
        <w:keepNext w:val="0"/>
        <w:keepLines w:val="0"/>
        <w:pageBreakBefore w:val="0"/>
        <w:wordWrap w:val="0"/>
        <w:overflowPunct/>
        <w:topLinePunct w:val="0"/>
        <w:bidi w:val="0"/>
        <w:spacing w:before="154" w:line="219" w:lineRule="auto"/>
        <w:ind w:left="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2.3.6  </w:t>
      </w:r>
      <w:r>
        <w:rPr>
          <w:rFonts w:hint="eastAsia" w:ascii="宋体" w:hAnsi="宋体" w:eastAsia="宋体" w:cs="宋体"/>
          <w:color w:val="000000" w:themeColor="text1"/>
          <w:spacing w:val="0"/>
          <w:sz w:val="24"/>
          <w:szCs w:val="24"/>
          <w:highlight w:val="none"/>
          <w14:textFill>
            <w14:solidFill>
              <w14:schemeClr w14:val="tx1"/>
            </w14:solidFill>
          </w14:textFill>
        </w:rPr>
        <w:t>物价变化</w:t>
      </w:r>
    </w:p>
    <w:p w14:paraId="7D525C3E">
      <w:pPr>
        <w:keepNext w:val="0"/>
        <w:keepLines w:val="0"/>
        <w:pageBreakBefore w:val="0"/>
        <w:wordWrap w:val="0"/>
        <w:overflowPunct/>
        <w:topLinePunct w:val="0"/>
        <w:bidi w:val="0"/>
        <w:spacing w:before="156" w:line="315" w:lineRule="auto"/>
        <w:ind w:left="8" w:right="108"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"2.3.6.1"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2.3.6.1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合同履行期间，项目所在地工程造价管理机构发布的动态人工调整系数发生变化时，如果承包人投标报价中人工费（以下简称“ 中标人工费 ”）等于或超过施工当月经动态调整后的定额人工费，该清单项目中标人工费不予调整；如果中标人工费低于施工当月经动态调整后的定额人工费，该清单项目中标人工费可以调整，相关费用按有关规定进行相应调整。结算人工费调整公式为：</w:t>
      </w:r>
    </w:p>
    <w:p w14:paraId="6A69C7F8">
      <w:pPr>
        <w:keepNext w:val="0"/>
        <w:keepLines w:val="0"/>
        <w:pageBreakBefore w:val="0"/>
        <w:wordWrap w:val="0"/>
        <w:overflowPunct/>
        <w:topLinePunct w:val="0"/>
        <w:bidi w:val="0"/>
        <w:spacing w:before="153" w:line="220" w:lineRule="auto"/>
        <w:ind w:left="494"/>
        <w:rPr>
          <w:rFonts w:hint="eastAsia" w:ascii="宋体" w:hAnsi="宋体" w:eastAsia="宋体" w:cs="宋体"/>
          <w:color w:val="000000" w:themeColor="text1"/>
          <w:spacing w:val="0"/>
          <w:sz w:val="15"/>
          <w:szCs w:val="15"/>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结算人工费＝中标人工费×F</w:t>
      </w:r>
      <w:r>
        <w:rPr>
          <w:rFonts w:hint="eastAsia" w:ascii="宋体" w:hAnsi="宋体" w:eastAsia="宋体" w:cs="宋体"/>
          <w:color w:val="000000" w:themeColor="text1"/>
          <w:spacing w:val="0"/>
          <w:position w:val="-1"/>
          <w:sz w:val="15"/>
          <w:szCs w:val="15"/>
          <w:highlight w:val="none"/>
          <w14:textFill>
            <w14:solidFill>
              <w14:schemeClr w14:val="tx1"/>
            </w14:solidFill>
          </w14:textFill>
        </w:rPr>
        <w:t>1</w:t>
      </w:r>
    </w:p>
    <w:p w14:paraId="381BBD03">
      <w:pPr>
        <w:keepNext w:val="0"/>
        <w:keepLines w:val="0"/>
        <w:pageBreakBefore w:val="0"/>
        <w:wordWrap w:val="0"/>
        <w:overflowPunct/>
        <w:topLinePunct w:val="0"/>
        <w:bidi w:val="0"/>
        <w:spacing w:before="152" w:line="219"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式中，F</w:t>
      </w:r>
      <w:r>
        <w:rPr>
          <w:rFonts w:hint="eastAsia" w:ascii="宋体" w:hAnsi="宋体" w:eastAsia="宋体" w:cs="宋体"/>
          <w:color w:val="000000" w:themeColor="text1"/>
          <w:spacing w:val="0"/>
          <w:position w:val="-1"/>
          <w:sz w:val="15"/>
          <w:szCs w:val="15"/>
          <w:highlight w:val="none"/>
          <w14:textFill>
            <w14:solidFill>
              <w14:schemeClr w14:val="tx1"/>
            </w14:solidFill>
          </w14:textFill>
        </w:rPr>
        <w:t>1</w:t>
      </w:r>
      <w:r>
        <w:rPr>
          <w:rFonts w:hint="eastAsia" w:ascii="宋体" w:hAnsi="宋体" w:eastAsia="宋体" w:cs="宋体"/>
          <w:color w:val="000000" w:themeColor="text1"/>
          <w:spacing w:val="0"/>
          <w:w w:val="101"/>
          <w:position w:val="-1"/>
          <w:sz w:val="15"/>
          <w:szCs w:val="15"/>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为施工当月项目所在地工程造价管理机构发布的动态人工调整系数。</w:t>
      </w:r>
    </w:p>
    <w:p w14:paraId="4F9CF534">
      <w:pPr>
        <w:keepNext w:val="0"/>
        <w:keepLines w:val="0"/>
        <w:pageBreakBefore w:val="0"/>
        <w:wordWrap w:val="0"/>
        <w:overflowPunct/>
        <w:topLinePunct w:val="0"/>
        <w:bidi w:val="0"/>
        <w:spacing w:before="119" w:line="324" w:lineRule="auto"/>
        <w:ind w:left="1" w:right="108" w:firstLine="48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pacing w:val="0"/>
          <w:sz w:val="24"/>
          <w:szCs w:val="24"/>
          <w:highlight w:val="none"/>
          <w14:textFill>
            <w14:solidFill>
              <w14:schemeClr w14:val="tx1"/>
            </w14:solidFill>
          </w14:textFill>
        </w:rPr>
        <w:instrText xml:space="preserve"> HYPERLINK "2.3.6.2" </w:instrTex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2.3.6.2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本招标项目约定，材料、工程设备单价涨跌风险幅度值 A 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5%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。合同履行期间，当《承包人提供主要材料和工程设备一览表》（详见招标工程量清单）中的材料、工程设备单价涨跌幅度等于或低于 A 值时，该材料、工程设备单价不予调整；超过A 值时，其超过部分可以调整。相关费用按有关规定进行相应调整。</w:t>
      </w:r>
    </w:p>
    <w:p w14:paraId="62EE16C1">
      <w:pPr>
        <w:keepNext w:val="0"/>
        <w:keepLines w:val="0"/>
        <w:pageBreakBefore w:val="0"/>
        <w:wordWrap w:val="0"/>
        <w:overflowPunct/>
        <w:topLinePunct w:val="0"/>
        <w:bidi w:val="0"/>
        <w:spacing w:before="126" w:line="295" w:lineRule="auto"/>
        <w:ind w:left="11" w:right="108" w:firstLine="477"/>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t>a ．如果承包人投标报价中材料、工程设备单价（以下简称“ 中标单价”）低于基准日当月项目所在地工程造价管理机构发布的对应材料、工程设备单价（以下简称“基准单价 ”），该材料、工程设备的结算单价调整公式为：</w:t>
      </w:r>
    </w:p>
    <w:p w14:paraId="15C1572F">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a．涨价时，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25" o:spt="75" type="#_x0000_t75" style="height:33.95pt;width:200.95pt;" o:ole="t" filled="f" o:preferrelative="t" stroked="f" coordsize="21600,21600">
            <v:path/>
            <v:fill on="f" focussize="0,0"/>
            <v:stroke on="f"/>
            <v:imagedata r:id="rId33" embosscolor="#FFFFFF" o:title=""/>
            <o:lock v:ext="edit" grouping="f" rotation="f" text="f" aspectratio="t"/>
            <w10:wrap type="none"/>
            <w10:anchorlock/>
          </v:shape>
          <o:OLEObject Type="Embed" ProgID="Equation.KSEE3" ShapeID="_x0000_i1025" DrawAspect="Content" ObjectID="_1468075725" r:id="rId32">
            <o:LockedField>false</o:LockedField>
          </o:OLEObject>
        </w:object>
      </w:r>
    </w:p>
    <w:p w14:paraId="5FEA2B94">
      <w:pPr>
        <w:keepNext w:val="0"/>
        <w:keepLines w:val="0"/>
        <w:pageBreakBefore w:val="0"/>
        <w:wordWrap w:val="0"/>
        <w:overflowPunct/>
        <w:topLinePunct w:val="0"/>
        <w:bidi w:val="0"/>
        <w:adjustRightIn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26" o:spt="75" type="#_x0000_t75" style="height:33.95pt;width:198.95pt;" o:ole="t" filled="f" o:preferrelative="t" stroked="f" coordsize="21600,21600">
            <v:path/>
            <v:fill on="f" focussize="0,0"/>
            <v:stroke on="f"/>
            <v:imagedata r:id="rId35" embosscolor="#FFFFFF" o:title=""/>
            <o:lock v:ext="edit" grouping="f" rotation="f" text="f" aspectratio="t"/>
            <w10:wrap type="none"/>
            <w10:anchorlock/>
          </v:shape>
          <o:OLEObject Type="Embed" ProgID="Equation.KSEE3" ShapeID="_x0000_i1026" DrawAspect="Content" ObjectID="_1468075726" r:id="rId34">
            <o:LockedField>false</o:LockedField>
          </o:OLEObject>
        </w:object>
      </w:r>
    </w:p>
    <w:p w14:paraId="47954818">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b．</w:t>
      </w:r>
      <w:r>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t>如果中标单价高于基准单价，该材料、工程设备的结算单价调整公式为：</w:t>
      </w:r>
    </w:p>
    <w:p w14:paraId="75BCCAF3">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27" o:spt="75" type="#_x0000_t75" style="height:33.95pt;width:198.95pt;" o:ole="t" filled="f" o:preferrelative="t" stroked="f" coordsize="21600,21600">
            <v:path/>
            <v:fill on="f" focussize="0,0"/>
            <v:stroke on="f"/>
            <v:imagedata r:id="rId37" embosscolor="#FFFFFF" o:title=""/>
            <o:lock v:ext="edit" grouping="f" rotation="f" text="f" aspectratio="t"/>
            <w10:wrap type="none"/>
            <w10:anchorlock/>
          </v:shape>
          <o:OLEObject Type="Embed" ProgID="Equation.KSEE3" ShapeID="_x0000_i1027" DrawAspect="Content" ObjectID="_1468075727" r:id="rId36">
            <o:LockedField>false</o:LockedField>
          </o:OLEObject>
        </w:object>
      </w:r>
    </w:p>
    <w:p w14:paraId="416D8DFC">
      <w:pPr>
        <w:keepNext w:val="0"/>
        <w:keepLines w:val="0"/>
        <w:pageBreakBefore w:val="0"/>
        <w:wordWrap w:val="0"/>
        <w:overflowPunct/>
        <w:topLinePunct w:val="0"/>
        <w:bidi w:val="0"/>
        <w:adjustRightIn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28" o:spt="75" type="#_x0000_t75" style="height:33.95pt;width:200.95pt;" o:ole="t" filled="f" o:preferrelative="t" stroked="f" coordsize="21600,21600">
            <v:path/>
            <v:fill on="f" focussize="0,0"/>
            <v:stroke on="f"/>
            <v:imagedata r:id="rId39" embosscolor="#FFFFFF" o:title=""/>
            <o:lock v:ext="edit" grouping="f" rotation="f" text="f" aspectratio="t"/>
            <w10:wrap type="none"/>
            <w10:anchorlock/>
          </v:shape>
          <o:OLEObject Type="Embed" ProgID="Equation.KSEE3" ShapeID="_x0000_i1028" DrawAspect="Content" ObjectID="_1468075728" r:id="rId38">
            <o:LockedField>false</o:LockedField>
          </o:OLEObject>
        </w:object>
      </w:r>
    </w:p>
    <w:p w14:paraId="77565896">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c．</w:t>
      </w:r>
      <w:r>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t>如果中标单价等于基准单价，该材料、工程设备的结算单价调整公式为：</w:t>
      </w:r>
    </w:p>
    <w:p w14:paraId="4FFC8AE1">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29" o:spt="75" type="#_x0000_t75" style="height:33.95pt;width:200.95pt;" o:ole="t" filled="f" o:preferrelative="t" stroked="f" coordsize="21600,21600">
            <v:path/>
            <v:fill on="f" focussize="0,0"/>
            <v:stroke on="f"/>
            <v:imagedata r:id="rId41" embosscolor="#FFFFFF" o:title=""/>
            <o:lock v:ext="edit" grouping="f" rotation="f" text="f" aspectratio="t"/>
            <w10:wrap type="none"/>
            <w10:anchorlock/>
          </v:shape>
          <o:OLEObject Type="Embed" ProgID="Equation.KSEE3" ShapeID="_x0000_i1029" DrawAspect="Content" ObjectID="_1468075729" r:id="rId40">
            <o:LockedField>false</o:LockedField>
          </o:OLEObject>
        </w:object>
      </w:r>
    </w:p>
    <w:p w14:paraId="4903428A">
      <w:pPr>
        <w:keepNext w:val="0"/>
        <w:keepLines w:val="0"/>
        <w:pageBreakBefore w:val="0"/>
        <w:wordWrap w:val="0"/>
        <w:overflowPunct/>
        <w:topLinePunct w:val="0"/>
        <w:bidi w:val="0"/>
        <w:adjustRightIn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0" o:spt="75" type="#_x0000_t75" style="height:33.95pt;width:200.95pt;" o:ole="t" filled="f" o:preferrelative="t" stroked="f" coordsize="21600,21600">
            <v:path/>
            <v:fill on="f" focussize="0,0"/>
            <v:stroke on="f"/>
            <v:imagedata r:id="rId43" embosscolor="#FFFFFF" o:title=""/>
            <o:lock v:ext="edit" grouping="f" rotation="f" text="f" aspectratio="t"/>
            <w10:wrap type="none"/>
            <w10:anchorlock/>
          </v:shape>
          <o:OLEObject Type="Embed" ProgID="Equation.KSEE3" ShapeID="_x0000_i1030" DrawAspect="Content" ObjectID="_1468075730" r:id="rId42">
            <o:LockedField>false</o:LockedField>
          </o:OLEObject>
        </w:object>
      </w:r>
    </w:p>
    <w:p w14:paraId="40B2A737">
      <w:pPr>
        <w:keepNext w:val="0"/>
        <w:keepLines w:val="0"/>
        <w:pageBreakBefore w:val="0"/>
        <w:wordWrap w:val="0"/>
        <w:overflowPunct/>
        <w:topLinePunct w:val="0"/>
        <w:bidi w:val="0"/>
        <w:spacing w:before="78"/>
        <w:ind w:left="330"/>
        <w:rPr>
          <w:rFonts w:hint="eastAsia" w:ascii="宋体" w:hAnsi="宋体" w:eastAsia="宋体" w:cs="宋体"/>
          <w:color w:val="000000" w:themeColor="text1"/>
          <w:spacing w:val="0"/>
          <w:sz w:val="24"/>
          <w:szCs w:val="24"/>
          <w:highlight w:val="none"/>
          <w14:textFill>
            <w14:solidFill>
              <w14:schemeClr w14:val="tx1"/>
            </w14:solidFill>
          </w14:textFill>
        </w:rPr>
      </w:pPr>
    </w:p>
    <w:p w14:paraId="0EFBDC2C">
      <w:pPr>
        <w:keepNext w:val="0"/>
        <w:keepLines w:val="0"/>
        <w:pageBreakBefore w:val="0"/>
        <w:wordWrap w:val="0"/>
        <w:overflowPunct/>
        <w:topLinePunct w:val="0"/>
        <w:bidi w:val="0"/>
        <w:spacing w:before="78" w:line="330" w:lineRule="auto"/>
        <w:ind w:right="59" w:firstLine="507"/>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以上公式中，F</w:t>
      </w:r>
      <w:r>
        <w:rPr>
          <w:rFonts w:hint="eastAsia" w:ascii="宋体" w:hAnsi="宋体" w:eastAsia="宋体" w:cs="宋体"/>
          <w:color w:val="000000" w:themeColor="text1"/>
          <w:spacing w:val="0"/>
          <w:position w:val="-1"/>
          <w:sz w:val="15"/>
          <w:szCs w:val="15"/>
          <w:highlight w:val="none"/>
          <w14:textFill>
            <w14:solidFill>
              <w14:schemeClr w14:val="tx1"/>
            </w14:solidFill>
          </w14:textFill>
        </w:rPr>
        <w:t xml:space="preserve">1 </w:t>
      </w:r>
      <w:r>
        <w:rPr>
          <w:rFonts w:hint="eastAsia" w:ascii="宋体" w:hAnsi="宋体" w:eastAsia="宋体" w:cs="宋体"/>
          <w:color w:val="000000" w:themeColor="text1"/>
          <w:spacing w:val="0"/>
          <w:sz w:val="24"/>
          <w:szCs w:val="24"/>
          <w:highlight w:val="none"/>
          <w14:textFill>
            <w14:solidFill>
              <w14:schemeClr w14:val="tx1"/>
            </w14:solidFill>
          </w14:textFill>
        </w:rPr>
        <w:t>为中标单价；F</w:t>
      </w:r>
      <w:r>
        <w:rPr>
          <w:rFonts w:hint="eastAsia" w:ascii="宋体" w:hAnsi="宋体" w:eastAsia="宋体" w:cs="宋体"/>
          <w:color w:val="000000" w:themeColor="text1"/>
          <w:spacing w:val="0"/>
          <w:position w:val="-1"/>
          <w:sz w:val="15"/>
          <w:szCs w:val="15"/>
          <w:highlight w:val="none"/>
          <w14:textFill>
            <w14:solidFill>
              <w14:schemeClr w14:val="tx1"/>
            </w14:solidFill>
          </w14:textFill>
        </w:rPr>
        <w:t>0</w:t>
      </w:r>
      <w:r>
        <w:rPr>
          <w:rFonts w:hint="eastAsia" w:ascii="宋体" w:hAnsi="宋体" w:eastAsia="宋体" w:cs="宋体"/>
          <w:color w:val="000000" w:themeColor="text1"/>
          <w:spacing w:val="0"/>
          <w:w w:val="101"/>
          <w:position w:val="-1"/>
          <w:sz w:val="15"/>
          <w:szCs w:val="15"/>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为基准单价；F</w:t>
      </w:r>
      <w:r>
        <w:rPr>
          <w:rFonts w:hint="eastAsia" w:ascii="宋体" w:hAnsi="宋体" w:eastAsia="宋体" w:cs="宋体"/>
          <w:color w:val="000000" w:themeColor="text1"/>
          <w:spacing w:val="0"/>
          <w:position w:val="-1"/>
          <w:sz w:val="15"/>
          <w:szCs w:val="15"/>
          <w:highlight w:val="none"/>
          <w14:textFill>
            <w14:solidFill>
              <w14:schemeClr w14:val="tx1"/>
            </w14:solidFill>
          </w14:textFill>
        </w:rPr>
        <w:t xml:space="preserve">2 </w:t>
      </w:r>
      <w:r>
        <w:rPr>
          <w:rFonts w:hint="eastAsia" w:ascii="宋体" w:hAnsi="宋体" w:eastAsia="宋体" w:cs="宋体"/>
          <w:color w:val="000000" w:themeColor="text1"/>
          <w:spacing w:val="0"/>
          <w:sz w:val="24"/>
          <w:szCs w:val="24"/>
          <w:highlight w:val="none"/>
          <w14:textFill>
            <w14:solidFill>
              <w14:schemeClr w14:val="tx1"/>
            </w14:solidFill>
          </w14:textFill>
        </w:rPr>
        <w:t>为施工当月项目所在地工程造价管理机构发布的材料、工程设备单价；A 为合同约定的材料、工程设备单价涨跌风险幅度值。</w:t>
      </w:r>
    </w:p>
    <w:p w14:paraId="6F9801F9">
      <w:pPr>
        <w:keepNext w:val="0"/>
        <w:keepLines w:val="0"/>
        <w:pageBreakBefore w:val="0"/>
        <w:wordWrap w:val="0"/>
        <w:overflowPunct/>
        <w:topLinePunct w:val="0"/>
        <w:bidi w:val="0"/>
        <w:spacing w:before="33" w:line="299" w:lineRule="auto"/>
        <w:ind w:right="59"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"2.3.6.3"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2.3.6.3</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合同履行期间，当《发包人提供材料和工程设备一览表》（详见招标工程量清单）中的材料、工程设备单价发生变化时，由发包人按照实际变化调整，并列入合同价款。</w:t>
      </w:r>
    </w:p>
    <w:p w14:paraId="6F47D427">
      <w:pPr>
        <w:keepNext w:val="0"/>
        <w:keepLines w:val="0"/>
        <w:pageBreakBefore w:val="0"/>
        <w:wordWrap w:val="0"/>
        <w:overflowPunct/>
        <w:topLinePunct w:val="0"/>
        <w:bidi w:val="0"/>
        <w:spacing w:before="121" w:line="308" w:lineRule="auto"/>
        <w:ind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"2.3.6.4"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2.3.6.4</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本招标项目约定，施工机具台班单价涨跌风险幅度值 B 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10%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。合同履行期间，当施工机具台班单价涨跌幅度等于或低于 B 值时，该施工机具台班单价不予调整；超过 B 值时，其超过部分可以调整。相关费用按有关规定进行相应调整。</w:t>
      </w:r>
    </w:p>
    <w:p w14:paraId="120353C6">
      <w:pPr>
        <w:keepNext w:val="0"/>
        <w:keepLines w:val="0"/>
        <w:pageBreakBefore w:val="0"/>
        <w:wordWrap w:val="0"/>
        <w:overflowPunct/>
        <w:topLinePunct w:val="0"/>
        <w:bidi w:val="0"/>
        <w:spacing w:before="153" w:line="278" w:lineRule="auto"/>
        <w:ind w:left="42" w:right="59" w:firstLine="44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a </w:t>
      </w:r>
      <w:r>
        <w:rPr>
          <w:rFonts w:hint="eastAsia" w:ascii="宋体" w:hAnsi="宋体" w:eastAsia="宋体" w:cs="宋体"/>
          <w:color w:val="000000" w:themeColor="text1"/>
          <w:spacing w:val="0"/>
          <w:sz w:val="24"/>
          <w:szCs w:val="24"/>
          <w:highlight w:val="none"/>
          <w14:textFill>
            <w14:solidFill>
              <w14:schemeClr w14:val="tx1"/>
            </w14:solidFill>
          </w14:textFill>
        </w:rPr>
        <w:t>．如果承包人投标报价中施工机具台班单价（以下简称“中标单价”）低于基准日当月项目所在地工程造价管理机构发布的对应施工机具台班单价（以下简称“基准单价”），该施工机具台班的结算单价调整公式为：</w:t>
      </w:r>
    </w:p>
    <w:p w14:paraId="0DF11097">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1" o:spt="75" type="#_x0000_t75" style="height:33.95pt;width:200.95pt;" o:ole="t" filled="f" o:preferrelative="t" stroked="f" coordsize="21600,21600">
            <v:path/>
            <v:fill on="f" focussize="0,0"/>
            <v:stroke on="f"/>
            <v:imagedata r:id="rId45" embosscolor="#FFFFFF" o:title=""/>
            <o:lock v:ext="edit" grouping="f" rotation="f" text="f" aspectratio="t"/>
            <w10:wrap type="none"/>
            <w10:anchorlock/>
          </v:shape>
          <o:OLEObject Type="Embed" ProgID="Equation.KSEE3" ShapeID="_x0000_i1031" DrawAspect="Content" ObjectID="_1468075731" r:id="rId44">
            <o:LockedField>false</o:LockedField>
          </o:OLEObject>
        </w:object>
      </w:r>
    </w:p>
    <w:p w14:paraId="183065CE">
      <w:pPr>
        <w:keepNext w:val="0"/>
        <w:keepLines w:val="0"/>
        <w:pageBreakBefore w:val="0"/>
        <w:wordWrap w:val="0"/>
        <w:overflowPunct/>
        <w:topLinePunct w:val="0"/>
        <w:bidi w:val="0"/>
        <w:adjustRightIn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2" o:spt="75" type="#_x0000_t75" style="height:33.95pt;width:198pt;" o:ole="t" filled="f" o:preferrelative="t" stroked="f" coordsize="21600,21600">
            <v:path/>
            <v:fill on="f" focussize="0,0"/>
            <v:stroke on="f"/>
            <v:imagedata r:id="rId47" embosscolor="#FFFFFF" o:title=""/>
            <o:lock v:ext="edit" grouping="f" rotation="f" text="f" aspectratio="t"/>
            <w10:wrap type="none"/>
            <w10:anchorlock/>
          </v:shape>
          <o:OLEObject Type="Embed" ProgID="Equation.KSEE3" ShapeID="_x0000_i1032" DrawAspect="Content" ObjectID="_1468075732" r:id="rId46">
            <o:LockedField>false</o:LockedField>
          </o:OLEObject>
        </w:object>
      </w:r>
    </w:p>
    <w:p w14:paraId="2B2919C1">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sz w:val="24"/>
          <w:szCs w:val="24"/>
          <w:highlight w:val="none"/>
          <w14:textFill>
            <w14:solidFill>
              <w14:schemeClr w14:val="tx1"/>
            </w14:solidFill>
          </w14:textFill>
        </w:rPr>
        <w:t>b</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．如果中标单价高于基准单价，该施工机具台班的结算单价调整公式为：</w:t>
      </w:r>
    </w:p>
    <w:p w14:paraId="0B4D8697">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3" o:spt="75" type="#_x0000_t75" style="height:33.95pt;width:198pt;" o:ole="t" filled="f" o:preferrelative="t" stroked="f" coordsize="21600,21600">
            <v:path/>
            <v:fill on="f" focussize="0,0"/>
            <v:stroke on="f"/>
            <v:imagedata r:id="rId49" embosscolor="#FFFFFF" o:title=""/>
            <o:lock v:ext="edit" grouping="f" rotation="f" text="f" aspectratio="t"/>
            <w10:wrap type="none"/>
            <w10:anchorlock/>
          </v:shape>
          <o:OLEObject Type="Embed" ProgID="Equation.KSEE3" ShapeID="_x0000_i1033" DrawAspect="Content" ObjectID="_1468075733" r:id="rId48">
            <o:LockedField>false</o:LockedField>
          </o:OLEObject>
        </w:object>
      </w:r>
    </w:p>
    <w:p w14:paraId="3F7BD139">
      <w:pPr>
        <w:keepNext w:val="0"/>
        <w:keepLines w:val="0"/>
        <w:pageBreakBefore w:val="0"/>
        <w:wordWrap w:val="0"/>
        <w:overflowPunct/>
        <w:topLinePunct w:val="0"/>
        <w:bidi w:val="0"/>
        <w:adjustRightIn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4" o:spt="75" type="#_x0000_t75" style="height:33.95pt;width:200.95pt;" o:ole="t" filled="f" o:preferrelative="t" stroked="f" coordsize="21600,21600">
            <v:path/>
            <v:fill on="f" focussize="0,0"/>
            <v:stroke on="f"/>
            <v:imagedata r:id="rId51" embosscolor="#FFFFFF" o:title=""/>
            <o:lock v:ext="edit" grouping="f" rotation="f" text="f" aspectratio="t"/>
            <w10:wrap type="none"/>
            <w10:anchorlock/>
          </v:shape>
          <o:OLEObject Type="Embed" ProgID="Equation.KSEE3" ShapeID="_x0000_i1034" DrawAspect="Content" ObjectID="_1468075734" r:id="rId50">
            <o:LockedField>false</o:LockedField>
          </o:OLEObject>
        </w:object>
      </w:r>
    </w:p>
    <w:p w14:paraId="62112DBA">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sz w:val="24"/>
          <w:szCs w:val="24"/>
          <w:highlight w:val="none"/>
          <w14:textFill>
            <w14:solidFill>
              <w14:schemeClr w14:val="tx1"/>
            </w14:solidFill>
          </w14:textFill>
        </w:rPr>
        <w:t>c</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．如果中标单价等于基准单价，该施工机具台班的结算单价调整公式为：</w:t>
      </w:r>
    </w:p>
    <w:p w14:paraId="68970ACC">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5" o:spt="75" type="#_x0000_t75" style="height:33.95pt;width:200.95pt;" o:ole="t" filled="f" o:preferrelative="t" stroked="f" coordsize="21600,21600">
            <v:path/>
            <v:fill on="f" focussize="0,0"/>
            <v:stroke on="f"/>
            <v:imagedata r:id="rId53" embosscolor="#FFFFFF" o:title=""/>
            <o:lock v:ext="edit" grouping="f" rotation="f" text="f" aspectratio="t"/>
            <w10:wrap type="none"/>
            <w10:anchorlock/>
          </v:shape>
          <o:OLEObject Type="Embed" ProgID="Equation.KSEE3" ShapeID="_x0000_i1035" DrawAspect="Content" ObjectID="_1468075735" r:id="rId52">
            <o:LockedField>false</o:LockedField>
          </o:OLEObject>
        </w:object>
      </w:r>
    </w:p>
    <w:p w14:paraId="121158F2">
      <w:pPr>
        <w:keepNext w:val="0"/>
        <w:keepLines w:val="0"/>
        <w:pageBreakBefore w:val="0"/>
        <w:wordWrap w:val="0"/>
        <w:overflowPunct/>
        <w:topLinePunct w:val="0"/>
        <w:bidi w:val="0"/>
        <w:spacing w:before="79" w:line="324" w:lineRule="auto"/>
        <w:ind w:left="11" w:right="65" w:firstLine="504"/>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6" o:spt="75" type="#_x0000_t75" style="height:33.95pt;width:200.95pt;" o:ole="t" filled="f" o:preferrelative="t" stroked="f" coordsize="21600,21600">
            <v:path/>
            <v:fill on="f" focussize="0,0"/>
            <v:stroke on="f"/>
            <v:imagedata r:id="rId55" embosscolor="#FFFFFF" o:title=""/>
            <o:lock v:ext="edit" grouping="f" rotation="f" text="f" aspectratio="t"/>
            <w10:wrap type="none"/>
            <w10:anchorlock/>
          </v:shape>
          <o:OLEObject Type="Embed" ProgID="Equation.KSEE3" ShapeID="_x0000_i1036" DrawAspect="Content" ObjectID="_1468075736" r:id="rId54">
            <o:LockedField>false</o:LockedField>
          </o:OLEObject>
        </w:object>
      </w:r>
    </w:p>
    <w:p w14:paraId="1258EA6F">
      <w:pPr>
        <w:keepNext w:val="0"/>
        <w:keepLines w:val="0"/>
        <w:pageBreakBefore w:val="0"/>
        <w:wordWrap w:val="0"/>
        <w:overflowPunct/>
        <w:topLinePunct w:val="0"/>
        <w:bidi w:val="0"/>
        <w:spacing w:before="79" w:line="324" w:lineRule="auto"/>
        <w:ind w:left="11" w:right="65" w:firstLine="50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以上公式中，F</w:t>
      </w:r>
      <w:r>
        <w:rPr>
          <w:rFonts w:hint="eastAsia" w:ascii="宋体" w:hAnsi="宋体" w:eastAsia="宋体" w:cs="宋体"/>
          <w:color w:val="000000" w:themeColor="text1"/>
          <w:spacing w:val="0"/>
          <w:position w:val="-1"/>
          <w:sz w:val="15"/>
          <w:szCs w:val="15"/>
          <w:highlight w:val="none"/>
          <w14:textFill>
            <w14:solidFill>
              <w14:schemeClr w14:val="tx1"/>
            </w14:solidFill>
          </w14:textFill>
        </w:rPr>
        <w:t xml:space="preserve">1 </w:t>
      </w:r>
      <w:r>
        <w:rPr>
          <w:rFonts w:hint="eastAsia" w:ascii="宋体" w:hAnsi="宋体" w:eastAsia="宋体" w:cs="宋体"/>
          <w:color w:val="000000" w:themeColor="text1"/>
          <w:spacing w:val="0"/>
          <w:sz w:val="24"/>
          <w:szCs w:val="24"/>
          <w:highlight w:val="none"/>
          <w14:textFill>
            <w14:solidFill>
              <w14:schemeClr w14:val="tx1"/>
            </w14:solidFill>
          </w14:textFill>
        </w:rPr>
        <w:t>为中标单价；F</w:t>
      </w:r>
      <w:r>
        <w:rPr>
          <w:rFonts w:hint="eastAsia" w:ascii="宋体" w:hAnsi="宋体" w:eastAsia="宋体" w:cs="宋体"/>
          <w:color w:val="000000" w:themeColor="text1"/>
          <w:spacing w:val="0"/>
          <w:position w:val="-1"/>
          <w:sz w:val="15"/>
          <w:szCs w:val="15"/>
          <w:highlight w:val="none"/>
          <w14:textFill>
            <w14:solidFill>
              <w14:schemeClr w14:val="tx1"/>
            </w14:solidFill>
          </w14:textFill>
        </w:rPr>
        <w:t>0</w:t>
      </w:r>
      <w:r>
        <w:rPr>
          <w:rFonts w:hint="eastAsia" w:ascii="宋体" w:hAnsi="宋体" w:eastAsia="宋体" w:cs="宋体"/>
          <w:color w:val="000000" w:themeColor="text1"/>
          <w:spacing w:val="0"/>
          <w:w w:val="101"/>
          <w:position w:val="-1"/>
          <w:sz w:val="15"/>
          <w:szCs w:val="15"/>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为基准单价；F</w:t>
      </w:r>
      <w:r>
        <w:rPr>
          <w:rFonts w:hint="eastAsia" w:ascii="宋体" w:hAnsi="宋体" w:eastAsia="宋体" w:cs="宋体"/>
          <w:color w:val="000000" w:themeColor="text1"/>
          <w:spacing w:val="0"/>
          <w:position w:val="-1"/>
          <w:sz w:val="15"/>
          <w:szCs w:val="15"/>
          <w:highlight w:val="none"/>
          <w14:textFill>
            <w14:solidFill>
              <w14:schemeClr w14:val="tx1"/>
            </w14:solidFill>
          </w14:textFill>
        </w:rPr>
        <w:t xml:space="preserve">2 </w:t>
      </w:r>
      <w:r>
        <w:rPr>
          <w:rFonts w:hint="eastAsia" w:ascii="宋体" w:hAnsi="宋体" w:eastAsia="宋体" w:cs="宋体"/>
          <w:color w:val="000000" w:themeColor="text1"/>
          <w:spacing w:val="0"/>
          <w:sz w:val="24"/>
          <w:szCs w:val="24"/>
          <w:highlight w:val="none"/>
          <w14:textFill>
            <w14:solidFill>
              <w14:schemeClr w14:val="tx1"/>
            </w14:solidFill>
          </w14:textFill>
        </w:rPr>
        <w:t>为施工当月项目所在地工程造价管理机构发布的施工机具台班单价；B 为合同约定的施工机具台班单价涨跌风险幅度值。</w:t>
      </w:r>
    </w:p>
    <w:p w14:paraId="08F7A996">
      <w:pPr>
        <w:keepNext w:val="0"/>
        <w:keepLines w:val="0"/>
        <w:pageBreakBefore w:val="0"/>
        <w:wordWrap w:val="0"/>
        <w:overflowPunct/>
        <w:topLinePunct w:val="0"/>
        <w:bidi w:val="0"/>
        <w:spacing w:before="39" w:line="219" w:lineRule="auto"/>
        <w:ind w:left="48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2.3.7  </w:t>
      </w:r>
      <w:r>
        <w:rPr>
          <w:rFonts w:hint="eastAsia" w:ascii="宋体" w:hAnsi="宋体" w:eastAsia="宋体" w:cs="宋体"/>
          <w:color w:val="000000" w:themeColor="text1"/>
          <w:spacing w:val="0"/>
          <w:sz w:val="24"/>
          <w:szCs w:val="24"/>
          <w:highlight w:val="none"/>
          <w14:textFill>
            <w14:solidFill>
              <w14:schemeClr w14:val="tx1"/>
            </w14:solidFill>
          </w14:textFill>
        </w:rPr>
        <w:t>暂估价和暂列金额</w:t>
      </w:r>
    </w:p>
    <w:p w14:paraId="55F5A879">
      <w:pPr>
        <w:keepNext w:val="0"/>
        <w:keepLines w:val="0"/>
        <w:pageBreakBefore w:val="0"/>
        <w:wordWrap w:val="0"/>
        <w:overflowPunct/>
        <w:topLinePunct w:val="0"/>
        <w:bidi w:val="0"/>
        <w:spacing w:before="154" w:line="299" w:lineRule="auto"/>
        <w:ind w:left="7" w:right="57" w:firstLine="477"/>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"2.3.7.1"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2.3.7.1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t xml:space="preserve">暂估价项目按第一章第三节“投标人须知正文 ”第 </w:t>
      </w:r>
      <w:r>
        <w:rPr>
          <w:rFonts w:hint="eastAsia" w:ascii="宋体" w:hAnsi="宋体" w:eastAsia="宋体" w:cs="宋体"/>
          <w:b/>
          <w:bCs/>
          <w:snapToGrid w:val="0"/>
          <w:color w:val="000000" w:themeColor="text1"/>
          <w:spacing w:val="0"/>
          <w:kern w:val="0"/>
          <w:sz w:val="24"/>
          <w:szCs w:val="24"/>
          <w:highlight w:val="none"/>
          <w:lang w:eastAsia="zh-CN"/>
          <w14:textFill>
            <w14:solidFill>
              <w14:schemeClr w14:val="tx1"/>
            </w14:solidFill>
          </w14:textFill>
        </w:rPr>
        <w:t>8.5</w:t>
      </w:r>
      <w:r>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t xml:space="preserve"> 条的规定确定专业工程承包人（或材料供应商、工程设备供应商）后，将专业工程合同价款（或材料单价、工程设备单价）取代相应暂估价，并调整合同价款。</w:t>
      </w:r>
    </w:p>
    <w:p w14:paraId="75732179">
      <w:pPr>
        <w:keepNext w:val="0"/>
        <w:keepLines w:val="0"/>
        <w:pageBreakBefore w:val="0"/>
        <w:wordWrap w:val="0"/>
        <w:overflowPunct/>
        <w:topLinePunct w:val="0"/>
        <w:bidi w:val="0"/>
        <w:spacing w:before="153" w:line="315" w:lineRule="auto"/>
        <w:ind w:left="8" w:right="2"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"2.3.7.2"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2.3.7.2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暂列金额由发包人掌握和使用。暂列金额项目若有发生，按第一章第三节“投标人须知正文 ”第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8.6 </w:t>
      </w:r>
      <w:r>
        <w:rPr>
          <w:rFonts w:hint="eastAsia" w:ascii="宋体" w:hAnsi="宋体" w:eastAsia="宋体" w:cs="宋体"/>
          <w:color w:val="000000" w:themeColor="text1"/>
          <w:spacing w:val="0"/>
          <w:sz w:val="24"/>
          <w:szCs w:val="24"/>
          <w:highlight w:val="none"/>
          <w14:textFill>
            <w14:solidFill>
              <w14:schemeClr w14:val="tx1"/>
            </w14:solidFill>
          </w14:textFill>
        </w:rPr>
        <w:t>条的规定确定材料供应商（或工程设备供应商、服务供应商）后，材料（或工程设备、服务）的合同价款从暂列金额中支付。暂列金额扣除已发生的暂列 金额项目合同价款、已发生的合同约定调整因素出现时的调整价款、已发生的索赔以及现场签证确认等的费用后，余额（若有）归发包人所有。</w:t>
      </w:r>
    </w:p>
    <w:p w14:paraId="1FFEB093">
      <w:pPr>
        <w:keepNext w:val="0"/>
        <w:keepLines w:val="0"/>
        <w:pageBreakBefore w:val="0"/>
        <w:wordWrap w:val="0"/>
        <w:overflowPunct/>
        <w:topLinePunct w:val="0"/>
        <w:bidi w:val="0"/>
        <w:spacing w:before="153" w:line="315" w:lineRule="auto"/>
        <w:ind w:left="8" w:right="2"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2.3.8</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预算包干费按照分部分项的人工费与施工机具费之和及投标费率计取。本招标项目的预算包干内容包括：施工雨水、污水的排除；因地形影响造成的场内料具二次运输；20 米高以下的工程用水加压措施；施工材料堆放场地的整理；机电安装后的补洞(槽)工料费；工程成品保护费；施工中的临时停水停电；基础埋深 2 米以内挖土方的塌方；日间照明施工增加费(不包括地下室和特殊工程)；完工清场后的垃圾外运；地上(地下)设施，建筑物的临时保护设施费和二次加工基地设施费；雨季施工增加费；己完工程及设备保护等。</w:t>
      </w:r>
    </w:p>
    <w:p w14:paraId="00D8F120">
      <w:pPr>
        <w:keepNext w:val="0"/>
        <w:keepLines w:val="0"/>
        <w:pageBreakBefore w:val="0"/>
        <w:wordWrap w:val="0"/>
        <w:overflowPunct/>
        <w:topLinePunct w:val="0"/>
        <w:bidi w:val="0"/>
        <w:spacing w:before="153" w:line="315" w:lineRule="auto"/>
        <w:ind w:left="8" w:right="2"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2.3.</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9</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其余事项（如不可抗力、索赔、现场签证等）的调整原则按照《</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）有关规定执行。</w:t>
      </w:r>
    </w:p>
    <w:p w14:paraId="0C5E03A8">
      <w:pPr>
        <w:keepNext w:val="0"/>
        <w:keepLines w:val="0"/>
        <w:pageBreakBefore w:val="0"/>
        <w:wordWrap w:val="0"/>
        <w:overflowPunct/>
        <w:topLinePunct w:val="0"/>
        <w:bidi w:val="0"/>
        <w:spacing w:before="156" w:line="299" w:lineRule="auto"/>
        <w:ind w:left="12" w:right="65" w:firstLine="5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  </w:t>
      </w:r>
      <w:r>
        <w:rPr>
          <w:rFonts w:hint="eastAsia" w:ascii="宋体" w:hAnsi="宋体" w:eastAsia="宋体" w:cs="宋体"/>
          <w:color w:val="000000" w:themeColor="text1"/>
          <w:spacing w:val="0"/>
          <w:sz w:val="24"/>
          <w:szCs w:val="24"/>
          <w:highlight w:val="none"/>
          <w14:textFill>
            <w14:solidFill>
              <w14:schemeClr w14:val="tx1"/>
            </w14:solidFill>
          </w14:textFill>
        </w:rPr>
        <w:t>凡将引起合同价款调增的事项，承包人必须于拟实施 14 天前，将详细的报价书（含拟实施项目名称、变更部位、理由、预计造价等）报监理单位审核和发包人批准后方可实施。</w:t>
      </w:r>
    </w:p>
    <w:p w14:paraId="7E55A3E2">
      <w:pPr>
        <w:keepNext w:val="0"/>
        <w:keepLines w:val="0"/>
        <w:pageBreakBefore w:val="0"/>
        <w:wordWrap w:val="0"/>
        <w:overflowPunct/>
        <w:topLinePunct w:val="0"/>
        <w:bidi w:val="0"/>
        <w:spacing w:before="153" w:line="279" w:lineRule="auto"/>
        <w:ind w:left="9" w:right="102"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2.5 </w:t>
      </w:r>
      <w:r>
        <w:rPr>
          <w:rFonts w:hint="eastAsia" w:ascii="宋体" w:hAnsi="宋体" w:eastAsia="宋体" w:cs="宋体"/>
          <w:color w:val="000000" w:themeColor="text1"/>
          <w:spacing w:val="0"/>
          <w:sz w:val="24"/>
          <w:szCs w:val="24"/>
          <w:highlight w:val="none"/>
          <w14:textFill>
            <w14:solidFill>
              <w14:schemeClr w14:val="tx1"/>
            </w14:solidFill>
          </w14:textFill>
        </w:rPr>
        <w:t>承包人不得以不完全了解现场情况为理由，提出额外付款或延长工期等要求。 对此类要求，发包人不作任何考虑及答复。</w:t>
      </w:r>
    </w:p>
    <w:p w14:paraId="50E281B0">
      <w:pPr>
        <w:keepNext w:val="0"/>
        <w:keepLines w:val="0"/>
        <w:pageBreakBefore w:val="0"/>
        <w:wordWrap w:val="0"/>
        <w:overflowPunct/>
        <w:topLinePunct w:val="0"/>
        <w:bidi w:val="0"/>
        <w:spacing w:before="154" w:line="279" w:lineRule="auto"/>
        <w:ind w:left="10" w:right="63"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2.6 </w:t>
      </w:r>
      <w:r>
        <w:rPr>
          <w:rFonts w:hint="eastAsia" w:ascii="宋体" w:hAnsi="宋体" w:eastAsia="宋体" w:cs="宋体"/>
          <w:color w:val="000000" w:themeColor="text1"/>
          <w:spacing w:val="0"/>
          <w:sz w:val="24"/>
          <w:szCs w:val="24"/>
          <w:highlight w:val="none"/>
          <w14:textFill>
            <w14:solidFill>
              <w14:schemeClr w14:val="tx1"/>
            </w14:solidFill>
          </w14:textFill>
        </w:rPr>
        <w:t>承包人已标价工程量清单中漏报、错报或少报的清单项目，其价格均视为已经包含在其它清单项目中，竣工结算时不得重新组价和调整。</w:t>
      </w:r>
    </w:p>
    <w:p w14:paraId="75BC7B06">
      <w:pPr>
        <w:keepNext w:val="0"/>
        <w:keepLines w:val="0"/>
        <w:pageBreakBefore w:val="0"/>
        <w:wordWrap w:val="0"/>
        <w:overflowPunct/>
        <w:topLinePunct w:val="0"/>
        <w:bidi w:val="0"/>
        <w:spacing w:before="155" w:line="299" w:lineRule="auto"/>
        <w:ind w:left="12" w:right="65" w:firstLine="47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2.7  </w:t>
      </w:r>
      <w:r>
        <w:rPr>
          <w:rFonts w:hint="eastAsia" w:ascii="宋体" w:hAnsi="宋体" w:eastAsia="宋体" w:cs="宋体"/>
          <w:color w:val="000000" w:themeColor="text1"/>
          <w:spacing w:val="0"/>
          <w:sz w:val="24"/>
          <w:szCs w:val="24"/>
          <w:highlight w:val="none"/>
          <w14:textFill>
            <w14:solidFill>
              <w14:schemeClr w14:val="tx1"/>
            </w14:solidFill>
          </w14:textFill>
        </w:rPr>
        <w:t>项目完工后，发、承包双方和受其委托具备相应资质的工程造价咨询单位必须按照《</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）和国家、省、市的有关规定办理竣工结算。</w:t>
      </w:r>
    </w:p>
    <w:p w14:paraId="18501ACB">
      <w:pPr>
        <w:keepNext w:val="0"/>
        <w:keepLines w:val="0"/>
        <w:pageBreakBefore w:val="0"/>
        <w:wordWrap w:val="0"/>
        <w:overflowPunct/>
        <w:topLinePunct w:val="0"/>
        <w:bidi w:val="0"/>
        <w:spacing w:before="152" w:line="319" w:lineRule="auto"/>
        <w:ind w:left="8" w:right="38" w:firstLine="55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2.8  </w:t>
      </w:r>
      <w:r>
        <w:rPr>
          <w:rFonts w:hint="eastAsia" w:ascii="宋体" w:hAnsi="宋体" w:eastAsia="宋体" w:cs="宋体"/>
          <w:color w:val="000000" w:themeColor="text1"/>
          <w:spacing w:val="0"/>
          <w:sz w:val="24"/>
          <w:szCs w:val="24"/>
          <w:highlight w:val="none"/>
          <w14:textFill>
            <w14:solidFill>
              <w14:schemeClr w14:val="tx1"/>
            </w14:solidFill>
          </w14:textFill>
        </w:rPr>
        <w:t>承包人已标价工程量清单中没有的材料（或工程设备），承包人在使用前必须将材料（或工程设备）样板、材料合格证明（或产品合格证书）、材料（或工程设备）检验报告提交给监理单位和发包人审核。发包人审定并确定价格后，承包人方可采购和使用。如果在交货验收和使用过程中发现货不对板，监理单位和发包人有权拒用，并要求承包人立即进行更换。更换后的材料（或工程设备）应再次进行检查和检验。由此增 加的费用和（或）工期延误由承包人承担。</w:t>
      </w:r>
    </w:p>
    <w:p w14:paraId="32105AE6">
      <w:pPr>
        <w:keepNext w:val="0"/>
        <w:keepLines w:val="0"/>
        <w:pageBreakBefore w:val="0"/>
        <w:wordWrap w:val="0"/>
        <w:overflowPunct/>
        <w:topLinePunct w:val="0"/>
        <w:bidi w:val="0"/>
        <w:spacing w:before="152" w:line="319" w:lineRule="auto"/>
        <w:ind w:left="8" w:right="38" w:firstLine="55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2.9 </w:t>
      </w:r>
      <w:r>
        <w:rPr>
          <w:rFonts w:hint="eastAsia" w:ascii="宋体" w:hAnsi="宋体" w:eastAsia="宋体" w:cs="宋体"/>
          <w:color w:val="000000" w:themeColor="text1"/>
          <w:spacing w:val="0"/>
          <w:sz w:val="24"/>
          <w:szCs w:val="24"/>
          <w:highlight w:val="none"/>
          <w14:textFill>
            <w14:solidFill>
              <w14:schemeClr w14:val="tx1"/>
            </w14:solidFill>
          </w14:textFill>
        </w:rPr>
        <w:t>承包人已标价工程量清单中没有的材料（或工程设备）结算价格确定原则：按施工当月项目所在地工程造价管理机构发布的信息价格；若当地信息价格缺项的，由承包人根据变更工程资料依次参考韶关、清远、佛山、东莞、肇庆、惠州、广州等广东省内地区信息价执行；若以上城市均没有信息价则按厂商信息价、电商平台价格（优先从京东、国美、苏宁等大型电商平台查询取其平均价）；若以上方式均无法确定材料价格 的，则采用厂商报价或市场询价等方式取得有合法依据的市场价格，报发包人确认。</w:t>
      </w:r>
    </w:p>
    <w:p w14:paraId="1C684DEC">
      <w:pPr>
        <w:pStyle w:val="36"/>
        <w:keepNext w:val="0"/>
        <w:keepLines w:val="0"/>
        <w:pageBreakBefore w:val="0"/>
        <w:wordWrap w:val="0"/>
        <w:overflowPunct/>
        <w:topLinePunct w:val="0"/>
        <w:bidi w:val="0"/>
        <w:snapToGrid w:val="0"/>
        <w:spacing w:line="440" w:lineRule="exact"/>
        <w:ind w:firstLine="480"/>
        <w:jc w:val="both"/>
        <w:outlineLvl w:val="2"/>
        <w:rPr>
          <w:rStyle w:val="27"/>
          <w:rFonts w:hint="eastAsia" w:ascii="宋体" w:hAnsi="宋体" w:eastAsia="宋体" w:cs="宋体"/>
          <w:b/>
          <w:bCs/>
          <w:color w:val="000000" w:themeColor="text1"/>
          <w:spacing w:val="0"/>
          <w:sz w:val="24"/>
          <w:szCs w:val="24"/>
          <w:highlight w:val="none"/>
          <w14:textFill>
            <w14:solidFill>
              <w14:schemeClr w14:val="tx1"/>
            </w14:solidFill>
          </w14:textFill>
        </w:rPr>
      </w:pPr>
      <w:bookmarkStart w:id="179" w:name="_Toc3264"/>
      <w:bookmarkStart w:id="180" w:name="_Toc1816"/>
      <w:r>
        <w:rPr>
          <w:rStyle w:val="27"/>
          <w:rFonts w:hint="eastAsia" w:ascii="宋体" w:hAnsi="宋体" w:eastAsia="宋体" w:cs="宋体"/>
          <w:b/>
          <w:bCs/>
          <w:color w:val="000000" w:themeColor="text1"/>
          <w:spacing w:val="0"/>
          <w:sz w:val="24"/>
          <w:szCs w:val="24"/>
          <w:highlight w:val="none"/>
          <w14:textFill>
            <w14:solidFill>
              <w14:schemeClr w14:val="tx1"/>
            </w14:solidFill>
          </w14:textFill>
        </w:rPr>
        <w:t>3. 工程付款办法</w:t>
      </w:r>
      <w:bookmarkEnd w:id="179"/>
      <w:bookmarkEnd w:id="180"/>
    </w:p>
    <w:p w14:paraId="6E914D75">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3.1</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本工程 </w:t>
      </w:r>
      <w:r>
        <w:rPr>
          <w:rFonts w:hint="eastAsia" w:ascii="宋体" w:hAnsi="宋体" w:eastAsia="宋体" w:cs="宋体"/>
          <w:b/>
          <w:bCs/>
          <w:snapToGrid w:val="0"/>
          <w:color w:val="000000" w:themeColor="text1"/>
          <w:spacing w:val="0"/>
          <w:kern w:val="0"/>
          <w:sz w:val="24"/>
          <w:szCs w:val="20"/>
          <w:highlight w:val="none"/>
          <w:u w:val="single"/>
          <w:lang w:eastAsia="zh-CN"/>
          <w14:textFill>
            <w14:solidFill>
              <w14:schemeClr w14:val="tx1"/>
            </w14:solidFill>
          </w14:textFill>
        </w:rPr>
        <w:t>支付</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施工预付款。</w:t>
      </w:r>
    </w:p>
    <w:p w14:paraId="41FC3736">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3.2</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施工预付款必须专用于合同工程，并按以下原则支付和抵扣：</w:t>
      </w:r>
    </w:p>
    <w:p w14:paraId="6B1217F2">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3.2.1</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施工预付款支付比例为：按施工合同价（</w:t>
      </w:r>
      <w:r>
        <w:rPr>
          <w:rFonts w:hint="eastAsia" w:ascii="宋体" w:hAnsi="宋体" w:eastAsia="宋体" w:cs="宋体"/>
          <w:snapToGrid w:val="0"/>
          <w:color w:val="000000" w:themeColor="text1"/>
          <w:spacing w:val="0"/>
          <w:kern w:val="0"/>
          <w:sz w:val="24"/>
          <w:szCs w:val="20"/>
          <w:highlight w:val="none"/>
          <w:lang w:val="en-US" w:eastAsia="zh-CN"/>
          <w14:textFill>
            <w14:solidFill>
              <w14:schemeClr w14:val="tx1"/>
            </w14:solidFill>
          </w14:textFill>
        </w:rPr>
        <w:t>暂列金额、计日工价款及专业工程暂估价</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除外）的</w:t>
      </w:r>
      <w:r>
        <w:rPr>
          <w:rFonts w:hint="eastAsia" w:ascii="宋体" w:hAnsi="宋体" w:eastAsia="宋体" w:cs="宋体"/>
          <w:snapToGrid w:val="0"/>
          <w:color w:val="000000" w:themeColor="text1"/>
          <w:spacing w:val="0"/>
          <w:kern w:val="0"/>
          <w:sz w:val="24"/>
          <w:szCs w:val="20"/>
          <w:highlight w:val="none"/>
          <w:u w:val="single"/>
          <w:lang w:eastAsia="zh-CN"/>
          <w14:textFill>
            <w14:solidFill>
              <w14:schemeClr w14:val="tx1"/>
            </w14:solidFill>
          </w14:textFill>
        </w:rPr>
        <w:t xml:space="preserve"> 30%</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支付。</w:t>
      </w:r>
    </w:p>
    <w:p w14:paraId="7C9E1FA5">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3.2.2</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本招标项目 </w:t>
      </w:r>
      <w:r>
        <w:rPr>
          <w:rFonts w:hint="eastAsia" w:ascii="宋体" w:hAnsi="宋体" w:eastAsia="宋体" w:cs="宋体"/>
          <w:b/>
          <w:bCs/>
          <w:snapToGrid w:val="0"/>
          <w:color w:val="000000" w:themeColor="text1"/>
          <w:spacing w:val="0"/>
          <w:kern w:val="0"/>
          <w:sz w:val="24"/>
          <w:szCs w:val="20"/>
          <w:highlight w:val="none"/>
          <w:u w:val="single"/>
          <w:lang w:eastAsia="zh-CN"/>
          <w14:textFill>
            <w14:solidFill>
              <w14:schemeClr w14:val="tx1"/>
            </w14:solidFill>
          </w14:textFill>
        </w:rPr>
        <w:t>要求</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承包人提供与预付款等额的预付款保函。</w:t>
      </w:r>
    </w:p>
    <w:p w14:paraId="68943F4F">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3.2.3</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承包人应在签订合同后，</w:t>
      </w: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在提供符合要求的预付款保函或预付款保险</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及具备施工条件的前提下，向发包人提交预付款支付申请。发包人应对在收到支付申请的</w:t>
      </w:r>
      <w:r>
        <w:rPr>
          <w:rFonts w:hint="eastAsia" w:ascii="宋体" w:hAnsi="宋体" w:eastAsia="宋体" w:cs="宋体"/>
          <w:snapToGrid w:val="0"/>
          <w:color w:val="000000" w:themeColor="text1"/>
          <w:spacing w:val="0"/>
          <w:kern w:val="0"/>
          <w:sz w:val="24"/>
          <w:szCs w:val="20"/>
          <w:highlight w:val="none"/>
          <w:lang w:val="en-US" w:eastAsia="zh-CN"/>
          <w14:textFill>
            <w14:solidFill>
              <w14:schemeClr w14:val="tx1"/>
            </w14:solidFill>
          </w14:textFill>
        </w:rPr>
        <w:t>7</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天内进行核实后向承包人发出预付款支付证书，并在签发支付证书后的</w:t>
      </w:r>
      <w:r>
        <w:rPr>
          <w:rFonts w:hint="eastAsia" w:ascii="宋体" w:hAnsi="宋体" w:eastAsia="宋体" w:cs="宋体"/>
          <w:snapToGrid w:val="0"/>
          <w:color w:val="000000" w:themeColor="text1"/>
          <w:spacing w:val="0"/>
          <w:kern w:val="0"/>
          <w:sz w:val="24"/>
          <w:szCs w:val="20"/>
          <w:highlight w:val="none"/>
          <w:lang w:val="en-US" w:eastAsia="zh-CN"/>
          <w14:textFill>
            <w14:solidFill>
              <w14:schemeClr w14:val="tx1"/>
            </w14:solidFill>
          </w14:textFill>
        </w:rPr>
        <w:t>7</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天内向承包人支付预付款。凡未签订合同或不具备施工条件的工程，发包人不得预付工程款。</w:t>
      </w:r>
    </w:p>
    <w:p w14:paraId="3236D676">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3.2.</w:t>
      </w:r>
      <w:r>
        <w:rPr>
          <w:rFonts w:hint="eastAsia" w:ascii="宋体" w:hAnsi="宋体" w:eastAsia="宋体" w:cs="宋体"/>
          <w:b/>
          <w:bCs/>
          <w:snapToGrid w:val="0"/>
          <w:color w:val="000000" w:themeColor="text1"/>
          <w:spacing w:val="0"/>
          <w:kern w:val="0"/>
          <w:sz w:val="24"/>
          <w:szCs w:val="20"/>
          <w:highlight w:val="none"/>
          <w:lang w:val="en-US" w:eastAsia="zh-CN"/>
          <w14:textFill>
            <w14:solidFill>
              <w14:schemeClr w14:val="tx1"/>
            </w14:solidFill>
          </w14:textFill>
        </w:rPr>
        <w:t>4</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0"/>
          <w:highlight w:val="none"/>
          <w:lang w:val="en-US" w:eastAsia="zh-CN"/>
          <w14:textFill>
            <w14:solidFill>
              <w14:schemeClr w14:val="tx1"/>
            </w14:solidFill>
          </w14:textFill>
        </w:rPr>
        <w:t>因发包人使用的是财政资金，发包人的付款时间为向政府财政部门提出办理支付申请手续的时间（不含政府财政部门审核的时间），在规定时间内提出支付申请手续后，因政府财政支付部门审核等原因导致的逾期不视为发包人逾期付款，发包人无需承担逾期付款违约责任</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，具体支付情况以财政资金到位情况为准。</w:t>
      </w:r>
    </w:p>
    <w:p w14:paraId="4ED67E5A">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val="en-US" w:eastAsia="zh-CN"/>
          <w14:textFill>
            <w14:solidFill>
              <w14:schemeClr w14:val="tx1"/>
            </w14:solidFill>
          </w14:textFill>
        </w:rPr>
        <w:t>3.2.5</w:t>
      </w:r>
      <w:r>
        <w:rPr>
          <w:rFonts w:hint="eastAsia" w:ascii="宋体" w:hAnsi="宋体" w:eastAsia="宋体" w:cs="宋体"/>
          <w:snapToGrid w:val="0"/>
          <w:color w:val="000000" w:themeColor="text1"/>
          <w:spacing w:val="0"/>
          <w:kern w:val="0"/>
          <w:sz w:val="24"/>
          <w:szCs w:val="20"/>
          <w:highlight w:val="none"/>
          <w:lang w:val="en-US" w:eastAsia="zh-CN"/>
          <w14:textFill>
            <w14:solidFill>
              <w14:schemeClr w14:val="tx1"/>
            </w14:solidFill>
          </w14:textFill>
        </w:rPr>
        <w:t xml:space="preserve"> 预付款应从每支付期应支付给承包人的工程进度款中扣回50%，直到扣回的金额达到合同约定的预付款金额为止。</w:t>
      </w:r>
    </w:p>
    <w:p w14:paraId="5532E8BF">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3.3</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施工过程中按月支付工程进度款：承包人每月按工程实际完成工程量（含变更 及增加工程）申报，承包人必须将《已完成工程量报表》和《工程付款申请书》于当月 26 日前报监理单位核实。经监理单位审核、发包人审定后的工程进度款（指已经按照合 同约定，扣除该支付期内因承包人违约而应扣除的管理费），于申报次月支付。</w:t>
      </w:r>
    </w:p>
    <w:p w14:paraId="38CC6A3C">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3.4</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每月的工程进度款按工程实际完成工程量的 </w:t>
      </w:r>
      <w:r>
        <w:rPr>
          <w:rFonts w:hint="eastAsia" w:ascii="宋体" w:hAnsi="宋体" w:eastAsia="宋体" w:cs="宋体"/>
          <w:snapToGrid w:val="0"/>
          <w:color w:val="000000" w:themeColor="text1"/>
          <w:spacing w:val="0"/>
          <w:kern w:val="0"/>
          <w:sz w:val="24"/>
          <w:szCs w:val="20"/>
          <w:highlight w:val="none"/>
          <w:u w:val="single"/>
          <w:lang w:val="en-US" w:eastAsia="zh-CN"/>
          <w14:textFill>
            <w14:solidFill>
              <w14:schemeClr w14:val="tx1"/>
            </w14:solidFill>
          </w14:textFill>
        </w:rPr>
        <w:t>8</w:t>
      </w:r>
      <w:r>
        <w:rPr>
          <w:rFonts w:hint="eastAsia" w:ascii="宋体" w:hAnsi="宋体" w:eastAsia="宋体" w:cs="宋体"/>
          <w:snapToGrid w:val="0"/>
          <w:color w:val="000000" w:themeColor="text1"/>
          <w:spacing w:val="0"/>
          <w:kern w:val="0"/>
          <w:sz w:val="24"/>
          <w:szCs w:val="20"/>
          <w:highlight w:val="none"/>
          <w:u w:val="single"/>
          <w:lang w:eastAsia="zh-CN"/>
          <w14:textFill>
            <w14:solidFill>
              <w14:schemeClr w14:val="tx1"/>
            </w14:solidFill>
          </w14:textFill>
        </w:rPr>
        <w:t>0</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申请支付，工程进度款的30%作为工人工资费用单独足额拨付到承包人的工资专户。</w:t>
      </w:r>
    </w:p>
    <w:p w14:paraId="300A70FC">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w:t>
      </w:r>
      <w:r>
        <w:rPr>
          <w:rFonts w:hint="eastAsia" w:ascii="宋体" w:hAnsi="宋体" w:eastAsia="宋体" w:cs="宋体"/>
          <w:b/>
          <w:bCs/>
          <w:snapToGrid w:val="0"/>
          <w:color w:val="000000" w:themeColor="text1"/>
          <w:spacing w:val="0"/>
          <w:kern w:val="0"/>
          <w:sz w:val="24"/>
          <w:szCs w:val="20"/>
          <w:highlight w:val="none"/>
          <w:lang w:val="en-US" w:eastAsia="zh-CN"/>
          <w14:textFill>
            <w14:solidFill>
              <w14:schemeClr w14:val="tx1"/>
            </w14:solidFill>
          </w14:textFill>
        </w:rPr>
        <w:t>5</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措施项目费中的“安全生产措施费”拨付按照《广东省建设工程计价依据（2018）》执行，按照项目所在地的建设行政主管部门有关规定支付。发生一般事故及以上等级重大安全事故的，发包人可扣除承包人金额相当于所有“安全生产措施费”的工程管理费。</w:t>
      </w:r>
    </w:p>
    <w:p w14:paraId="6B34D5EB">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w:t>
      </w:r>
      <w:r>
        <w:rPr>
          <w:rFonts w:hint="eastAsia" w:ascii="宋体" w:hAnsi="宋体" w:eastAsia="宋体" w:cs="宋体"/>
          <w:b/>
          <w:bCs/>
          <w:snapToGrid w:val="0"/>
          <w:color w:val="000000" w:themeColor="text1"/>
          <w:spacing w:val="0"/>
          <w:kern w:val="0"/>
          <w:sz w:val="24"/>
          <w:szCs w:val="20"/>
          <w:highlight w:val="none"/>
          <w:lang w:val="en-US" w:eastAsia="zh-CN"/>
          <w14:textFill>
            <w14:solidFill>
              <w14:schemeClr w14:val="tx1"/>
            </w14:solidFill>
          </w14:textFill>
        </w:rPr>
        <w:t>6</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变更工程造价必须经监理单位核实，并经发包人核定后方可支付。</w:t>
      </w:r>
    </w:p>
    <w:p w14:paraId="0820561A">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w:t>
      </w:r>
      <w:r>
        <w:rPr>
          <w:rFonts w:hint="eastAsia" w:ascii="宋体" w:hAnsi="宋体" w:eastAsia="宋体" w:cs="宋体"/>
          <w:b/>
          <w:bCs/>
          <w:snapToGrid w:val="0"/>
          <w:color w:val="000000" w:themeColor="text1"/>
          <w:spacing w:val="0"/>
          <w:kern w:val="0"/>
          <w:sz w:val="24"/>
          <w:szCs w:val="20"/>
          <w:highlight w:val="none"/>
          <w:lang w:val="en-US" w:eastAsia="zh-CN"/>
          <w14:textFill>
            <w14:solidFill>
              <w14:schemeClr w14:val="tx1"/>
            </w14:solidFill>
          </w14:textFill>
        </w:rPr>
        <w:t>7</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结算审核完成后，</w:t>
      </w:r>
      <w:r>
        <w:rPr>
          <w:rFonts w:hint="eastAsia" w:ascii="宋体" w:hAnsi="宋体" w:eastAsia="宋体" w:cs="宋体"/>
          <w:snapToGrid w:val="0"/>
          <w:color w:val="000000" w:themeColor="text1"/>
          <w:spacing w:val="0"/>
          <w:kern w:val="0"/>
          <w:sz w:val="24"/>
          <w:szCs w:val="20"/>
          <w:highlight w:val="none"/>
          <w:lang w:val="en-US" w:eastAsia="zh-CN"/>
          <w14:textFill>
            <w14:solidFill>
              <w14:schemeClr w14:val="tx1"/>
            </w14:solidFill>
          </w14:textFill>
        </w:rPr>
        <w:t>于次月</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支付至</w:t>
      </w:r>
      <w:r>
        <w:rPr>
          <w:rFonts w:hint="eastAsia" w:ascii="宋体" w:hAnsi="宋体" w:eastAsia="宋体" w:cs="宋体"/>
          <w:snapToGrid w:val="0"/>
          <w:color w:val="000000" w:themeColor="text1"/>
          <w:spacing w:val="0"/>
          <w:kern w:val="0"/>
          <w:sz w:val="24"/>
          <w:szCs w:val="20"/>
          <w:highlight w:val="none"/>
          <w:lang w:val="en-US" w:eastAsia="zh-CN"/>
          <w14:textFill>
            <w14:solidFill>
              <w14:schemeClr w14:val="tx1"/>
            </w14:solidFill>
          </w14:textFill>
        </w:rPr>
        <w:t>审定合同总价</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的</w:t>
      </w:r>
      <w:r>
        <w:rPr>
          <w:rFonts w:hint="eastAsia" w:ascii="宋体" w:hAnsi="宋体" w:eastAsia="宋体" w:cs="宋体"/>
          <w:snapToGrid w:val="0"/>
          <w:color w:val="000000" w:themeColor="text1"/>
          <w:spacing w:val="0"/>
          <w:kern w:val="0"/>
          <w:sz w:val="24"/>
          <w:szCs w:val="20"/>
          <w:highlight w:val="none"/>
          <w:u w:val="single"/>
          <w:lang w:eastAsia="zh-CN"/>
          <w14:textFill>
            <w14:solidFill>
              <w14:schemeClr w14:val="tx1"/>
            </w14:solidFill>
          </w14:textFill>
        </w:rPr>
        <w:t>97</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%，剩余3%为</w:t>
      </w:r>
      <w:r>
        <w:rPr>
          <w:rFonts w:hint="eastAsia" w:ascii="宋体" w:hAnsi="宋体" w:eastAsia="宋体" w:cs="宋体"/>
          <w:snapToGrid w:val="0"/>
          <w:color w:val="000000" w:themeColor="text1"/>
          <w:spacing w:val="0"/>
          <w:kern w:val="0"/>
          <w:sz w:val="24"/>
          <w:szCs w:val="20"/>
          <w:highlight w:val="none"/>
          <w:lang w:val="en-US" w:eastAsia="zh-CN"/>
          <w14:textFill>
            <w14:solidFill>
              <w14:schemeClr w14:val="tx1"/>
            </w14:solidFill>
          </w14:textFill>
        </w:rPr>
        <w:t>工程</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质量保证金，</w:t>
      </w:r>
      <w:r>
        <w:rPr>
          <w:rFonts w:hint="eastAsia" w:ascii="宋体" w:hAnsi="宋体" w:eastAsia="宋体" w:cs="宋体"/>
          <w:snapToGrid w:val="0"/>
          <w:color w:val="000000" w:themeColor="text1"/>
          <w:spacing w:val="0"/>
          <w:kern w:val="0"/>
          <w:sz w:val="24"/>
          <w:szCs w:val="20"/>
          <w:highlight w:val="none"/>
          <w:lang w:val="en-US" w:eastAsia="zh-CN"/>
          <w14:textFill>
            <w14:solidFill>
              <w14:schemeClr w14:val="tx1"/>
            </w14:solidFill>
          </w14:textFill>
        </w:rPr>
        <w:t>根据《建设工程质量保证金管理办法》等有关规定，承包人可以银行保函或保险替代质量保证金，承包人提交了等额质量保证担保或质量保证保险的，于次月一次性结清合同价格。</w:t>
      </w:r>
    </w:p>
    <w:p w14:paraId="79AB6B7A">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w:t>
      </w:r>
      <w:r>
        <w:rPr>
          <w:rFonts w:hint="eastAsia" w:ascii="宋体" w:hAnsi="宋体" w:eastAsia="宋体" w:cs="宋体"/>
          <w:b/>
          <w:bCs/>
          <w:snapToGrid w:val="0"/>
          <w:color w:val="000000" w:themeColor="text1"/>
          <w:spacing w:val="0"/>
          <w:kern w:val="0"/>
          <w:sz w:val="24"/>
          <w:szCs w:val="20"/>
          <w:highlight w:val="none"/>
          <w:lang w:val="en-US" w:eastAsia="zh-CN"/>
          <w14:textFill>
            <w14:solidFill>
              <w14:schemeClr w14:val="tx1"/>
            </w14:solidFill>
          </w14:textFill>
        </w:rPr>
        <w:t>8</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本招标项目缺陷责任期为</w:t>
      </w:r>
      <w:r>
        <w:rPr>
          <w:rFonts w:hint="eastAsia" w:ascii="宋体" w:hAnsi="宋体" w:eastAsia="宋体" w:cs="宋体"/>
          <w:snapToGrid w:val="0"/>
          <w:color w:val="000000" w:themeColor="text1"/>
          <w:spacing w:val="0"/>
          <w:kern w:val="0"/>
          <w:sz w:val="24"/>
          <w:szCs w:val="20"/>
          <w:highlight w:val="none"/>
          <w:u w:val="single"/>
          <w:lang w:val="en-US" w:eastAsia="zh-CN"/>
          <w14:textFill>
            <w14:solidFill>
              <w14:schemeClr w14:val="tx1"/>
            </w14:solidFill>
          </w14:textFill>
        </w:rPr>
        <w:t>2</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年（自通过竣工验收之日起计）。缺陷责任期到期后，承包人向发包人申请退还质量保证。发包人收到退还申请后，于</w:t>
      </w:r>
      <w:r>
        <w:rPr>
          <w:rFonts w:hint="eastAsia" w:ascii="宋体" w:hAnsi="宋体" w:eastAsia="宋体" w:cs="宋体"/>
          <w:snapToGrid w:val="0"/>
          <w:color w:val="000000" w:themeColor="text1"/>
          <w:spacing w:val="0"/>
          <w:kern w:val="0"/>
          <w:sz w:val="24"/>
          <w:szCs w:val="20"/>
          <w:highlight w:val="none"/>
          <w:u w:val="single"/>
          <w:lang w:eastAsia="zh-CN"/>
          <w14:textFill>
            <w14:solidFill>
              <w14:schemeClr w14:val="tx1"/>
            </w14:solidFill>
          </w14:textFill>
        </w:rPr>
        <w:t>14</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天内会同承包人进行核实。经双方核实且均无异议后，发包人在核实之日起</w:t>
      </w:r>
      <w:r>
        <w:rPr>
          <w:rFonts w:hint="eastAsia" w:ascii="宋体" w:hAnsi="宋体" w:eastAsia="宋体" w:cs="宋体"/>
          <w:snapToGrid w:val="0"/>
          <w:color w:val="000000" w:themeColor="text1"/>
          <w:spacing w:val="0"/>
          <w:kern w:val="0"/>
          <w:sz w:val="24"/>
          <w:szCs w:val="20"/>
          <w:highlight w:val="none"/>
          <w:u w:val="single"/>
          <w:lang w:eastAsia="zh-CN"/>
          <w14:textFill>
            <w14:solidFill>
              <w14:schemeClr w14:val="tx1"/>
            </w14:solidFill>
          </w14:textFill>
        </w:rPr>
        <w:t xml:space="preserve"> 14 </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天内将应返保证金（或银行保函）退还承包人。</w:t>
      </w:r>
    </w:p>
    <w:p w14:paraId="5F97EA0E">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3.9</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w:t>
      </w: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发包人每次支付工程款前，承包人均应提供有效的增值税专用发票。如果承包人无法提供符合要求的发票，由此造成的相应损失由承包人承担。</w:t>
      </w:r>
    </w:p>
    <w:p w14:paraId="4273771D">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snapToGrid w:val="0"/>
          <w:color w:val="000000" w:themeColor="text1"/>
          <w:spacing w:val="0"/>
          <w:kern w:val="0"/>
          <w:sz w:val="24"/>
          <w:szCs w:val="20"/>
          <w:highlight w:val="none"/>
          <w:u w:val="singl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w:t>
      </w:r>
      <w:r>
        <w:rPr>
          <w:rFonts w:hint="eastAsia" w:ascii="宋体" w:hAnsi="宋体" w:eastAsia="宋体" w:cs="宋体"/>
          <w:b/>
          <w:bCs/>
          <w:snapToGrid w:val="0"/>
          <w:color w:val="000000" w:themeColor="text1"/>
          <w:spacing w:val="0"/>
          <w:kern w:val="0"/>
          <w:sz w:val="24"/>
          <w:szCs w:val="20"/>
          <w:highlight w:val="none"/>
          <w:lang w:val="en-US" w:eastAsia="zh-CN"/>
          <w14:textFill>
            <w14:solidFill>
              <w14:schemeClr w14:val="tx1"/>
            </w14:solidFill>
          </w14:textFill>
        </w:rPr>
        <w:t>10</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暂列金额、材料暂估价、专业工程暂估价支付方式：如工程使用到暂列金、暂估价，申报进度款时按照实际发生工程量80%进行支付。</w:t>
      </w:r>
    </w:p>
    <w:p w14:paraId="1B4A6494">
      <w:pPr>
        <w:keepNext w:val="0"/>
        <w:keepLines w:val="0"/>
        <w:pageBreakBefore w:val="0"/>
        <w:wordWrap w:val="0"/>
        <w:overflowPunct/>
        <w:topLinePunct w:val="0"/>
        <w:bidi w:val="0"/>
        <w:spacing w:before="154" w:line="212" w:lineRule="auto"/>
        <w:ind w:left="486"/>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181" w:name="_Toc17560"/>
      <w:r>
        <w:rPr>
          <w:rFonts w:hint="eastAsia" w:ascii="宋体" w:hAnsi="宋体" w:eastAsia="宋体" w:cs="宋体"/>
          <w:b/>
          <w:bCs/>
          <w:color w:val="000000" w:themeColor="text1"/>
          <w:spacing w:val="0"/>
          <w:sz w:val="24"/>
          <w:szCs w:val="24"/>
          <w:highlight w:val="none"/>
          <w14:textFill>
            <w14:solidFill>
              <w14:schemeClr w14:val="tx1"/>
            </w14:solidFill>
          </w14:textFill>
        </w:rPr>
        <w:t>4 ．其他专用合同条款</w:t>
      </w:r>
      <w:bookmarkEnd w:id="181"/>
    </w:p>
    <w:p w14:paraId="51069F9A">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 xml:space="preserve">4.1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专业工程分包 </w:t>
      </w:r>
    </w:p>
    <w:p w14:paraId="71E5A23E">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 </w:t>
      </w:r>
    </w:p>
    <w:p w14:paraId="0D298AF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工人工资支付专用账户 </w:t>
      </w:r>
    </w:p>
    <w:p w14:paraId="2454931A">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  </w:t>
      </w:r>
    </w:p>
    <w:p w14:paraId="3733DDD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依据人力资源社会保障部等十部门印发的《工程建设领域农民工工资专用账户管理暂行办法》（人社部发〔2021〕53 号）文件规定，承包人中标后，须到银行设立工人工资支付专用账户，用于支付工人工资。发包人支付工程款时，将按工程款（不含工人工资）和工人工资两部分分开支付，工人工资支付至专用账户。承包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 </w:t>
      </w:r>
    </w:p>
    <w:p w14:paraId="64D1C6EB">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按韶关市人力资源和社会保障局 韶关市住房和城乡建设管理局 韶关市交通运输局韶关市水务局 韶关市金融工作局 国家金融监督管理总局韶关监管分局关于印发《韶关市工程建设领域农民工工资保证金管理实施细则》的通知(韶人社规〔2023〕2 号) 及《韶关市工程建设领域农民工工资保证金管理实施细则》（韶法审〔2023〕19 号）规定执行。承包人在签订工程施工承包合同后一个月内必须办妥该事项，并将办妥回执交发包人。 </w:t>
      </w:r>
    </w:p>
    <w:p w14:paraId="6F4D018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如发生承包人拖欠民工工资并且向政府或发包人索要承包人拖欠工资的，发包人有权使用工人工资保证金或在剩余进度款范围内代承包人向民工支付工资，承包人对发包人垫付工资的人员范围和工资数额均不得提异议。发包人代支的工资除了从当期工程款内直接扣除外,承包人须按照发包人所垫付的民工工资 2 倍向发包人支付违约金。 </w:t>
      </w:r>
    </w:p>
    <w:p w14:paraId="4564E298">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 xml:space="preserve">4.2.3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承包人应在工资专户开立后 2 个工作日内，将开户银行及其账号、开户协议等资料提交给发包人。 </w:t>
      </w:r>
    </w:p>
    <w:p w14:paraId="0F3EA377">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（1）用人单位应当在建设项目动工前，在建设项目所在地商业银行设立工人工资支付专用账户。 </w:t>
      </w:r>
    </w:p>
    <w:p w14:paraId="776A9988">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（2）用人单位应当在用工之日起 15 日内为每一位工人办理个人银行账户。</w:t>
      </w:r>
    </w:p>
    <w:p w14:paraId="630E1A6B">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（3）用人单位应当指定专人负责建设项目施工现场台账管理，真实、准确记录工人名册、劳务合同、劳动合同、工程进度、工时台账、劳务承包款和工人工资支付等信息，并保存两年以上备查。 </w:t>
      </w:r>
    </w:p>
    <w:p w14:paraId="493CA8AC">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4）用人单位应当按照“及时支付，按实结算”的原则，在规定日期前通过银行工人工资支付专用账户将工人工资直接支付到工人的个人银行账户，并按月将工人工资支付明细表报施工总承包单位和建设单位备案。</w:t>
      </w:r>
    </w:p>
    <w:p w14:paraId="2E48CB0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用人单位未建立、保存用工管理台账，或者伪造相关台账的，按照《广东省劳动保障监察条例》第五十条的规定，由人力资源社会保障部门责令改正，并可处以二千元以上二万元以下的人民币罚款。</w:t>
      </w:r>
    </w:p>
    <w:p w14:paraId="35366B38">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 </w:t>
      </w:r>
    </w:p>
    <w:p w14:paraId="34B5D41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诚信登记 </w:t>
      </w:r>
    </w:p>
    <w:p w14:paraId="6076B96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根据资质管理规定，许可机关应当建立、健全建筑业企业信用档案管理制度，包括企业基本信息、资质、业绩、工程质量和安全、合同履约、社会投诉和违法行为等情况。 </w:t>
      </w:r>
    </w:p>
    <w:p w14:paraId="1254AFF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4.4</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工期进度 </w:t>
      </w:r>
    </w:p>
    <w:p w14:paraId="50B1FB1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4.4.1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本招标项目施工标准工期为</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300</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个日历天，招标工期为</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300</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个日历天，承包人必须在招标工期内完成招标范围内的全部内容。 </w:t>
      </w:r>
    </w:p>
    <w:p w14:paraId="3937827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4.4.2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施工工期从承包人收到监理单位签发的开工令之日起计，至竣工验收合格之日止。</w:t>
      </w:r>
    </w:p>
    <w:p w14:paraId="48D28B1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4.4.3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工期奖罚 </w:t>
      </w:r>
    </w:p>
    <w:p w14:paraId="046DC92A">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□竣工验收合格交付使用每提前</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天竣工；奖</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元，奖励金额不超过合同价款的</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%（一般为 2%～5%）且不超过</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元。 </w:t>
      </w:r>
    </w:p>
    <w:p w14:paraId="65E4E594">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□按施工合同期约定,因承包人原因每延误</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天竣工,罚</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元。 </w:t>
      </w:r>
    </w:p>
    <w:p w14:paraId="74F80B1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□按施工合同期约定,因承包人原因延误工期</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天内不处罚， 自第壹天起每延误</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天竣工,罚元。处罚金额不超过合同价款的</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%（一般为 2%～5%）且不超过万元，累计延误工期达到</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天，报请建设行政主管部门作不良行为记录，非承包方原因或不可抗力造成延误的除外。 </w:t>
      </w:r>
    </w:p>
    <w:p w14:paraId="7091C39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☑其它说明：（1）因承包人原因，工程没有按期竣工时，承包人须在逾期第壹天起每天按合同价的 1‰ 向发包人返纳逾期竣工违约金。逾期竣工违约金的最高限额为合同价款的3%。</w:t>
      </w:r>
    </w:p>
    <w:p w14:paraId="3965E8AD">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2）承包人需提供各子项目的年度、季度、月、周施工计划报监理单位及发包人确认，在计划实施过程中，发包人及监理单位对承包人实际工期按周、月、季度进行检查、分析、评价，如与实际施工进度发生偏离的，由监理单位书面提醒承包人采取措施，如提醒后承包人未采取有效措施按施工计划按时完成的，每次按2000元缴纳违约金给发包人，在结算中一并扣除。</w:t>
      </w:r>
    </w:p>
    <w:p w14:paraId="2B12986D">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（3）承包人在进场后7天内提交施工进度计划，并注明主要施工节点时间，送监理单位及发包人审核后，作为工期考核的阶段性指标。</w:t>
      </w:r>
    </w:p>
    <w:p w14:paraId="28565A0C">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4.5</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项目管理机构 </w:t>
      </w:r>
    </w:p>
    <w:p w14:paraId="27CA87AC">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4.5.1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承包人派驻的项目管理班子成员必须为其投标文件确定的人员，否则发包人有权终止合同。 </w:t>
      </w:r>
    </w:p>
    <w:p w14:paraId="155CBDD6">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4.5.2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项目管理班子成员不得擅自变更。其中，项目经理若有《广东省住房和城乡建设厅关于建设工程项目招标中标后监督检查的办法》（粤建市〔2009〕8 号，以下简称“《办法》”）第九条所述除外情形之一确需变更的，承包人应填写《建设工程项目管理班子变更情况报告表》（《办法》附件 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 </w:t>
      </w:r>
    </w:p>
    <w:p w14:paraId="0AE1D1C1">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4.6</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现场管理 </w:t>
      </w:r>
    </w:p>
    <w:p w14:paraId="75752DF9">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4.6.1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在施工期间应严格遵守国家、广东省、韶关市有关绿色施工、文明施工、噪音扬尘、消防爆破、环境卫生、渣土清运、治安保卫等方面的规定，并建立相应规章制度和保障措施。否则由此造成的经济损失和法律责任，均由承包人承担。 </w:t>
      </w:r>
    </w:p>
    <w:p w14:paraId="63E3D6BC">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4.6.2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承包人应按安全施工有关规定，采取严格、科学的安全防护措施，确保施工和人员（包括第三者）的安全，承担由于自身安全防护措施不力所造成的安全事故责任和发生的费用。</w:t>
      </w:r>
    </w:p>
    <w:p w14:paraId="36093A8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4.6.3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为保证施工现场的环境卫生，承包人在本招标项目施工过程中，所有的车辆必须按发包人规定的行车路线行驶。 </w:t>
      </w:r>
    </w:p>
    <w:p w14:paraId="18513EF9">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4.7</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监督实施 </w:t>
      </w:r>
    </w:p>
    <w:p w14:paraId="11B9958F">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承包人须服从发包人对工程质量、进度、成本的全方位监督，施工中的年度计划、季度计划、月度计划、施工方案等应报送监理单位审批和发包人备案。施工中的质量保措施等资料均应及时报送监理单位和发包人备案。 </w:t>
      </w:r>
    </w:p>
    <w:p w14:paraId="1E497966">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4.8</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主材的采购和使用 </w:t>
      </w:r>
    </w:p>
    <w:p w14:paraId="45CFC6FF">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 </w:t>
      </w:r>
    </w:p>
    <w:p w14:paraId="637CD19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 xml:space="preserve">4.9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竣工资料移交 </w:t>
      </w:r>
    </w:p>
    <w:p w14:paraId="5E7CD976">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项目竣工验收时，承包人应向监理单位和发包人提供符合国家档案部门备案要求的，编制成册的竣工图及有关的技术档案资料（含声像档案）一式</w:t>
      </w:r>
      <w:r>
        <w:rPr>
          <w:rFonts w:hint="eastAsia" w:ascii="宋体" w:hAnsi="宋体" w:eastAsia="宋体" w:cs="宋体"/>
          <w:bCs/>
          <w:strike w:val="0"/>
          <w:dstrike w:val="0"/>
          <w:snapToGrid w:val="0"/>
          <w:color w:val="000000" w:themeColor="text1"/>
          <w:kern w:val="0"/>
          <w:sz w:val="24"/>
          <w:szCs w:val="24"/>
          <w:highlight w:val="none"/>
          <w:u w:val="single"/>
          <w14:textFill>
            <w14:solidFill>
              <w14:schemeClr w14:val="tx1"/>
            </w14:solidFill>
          </w14:textFill>
        </w:rPr>
        <w:t>八</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份。 </w:t>
      </w:r>
    </w:p>
    <w:p w14:paraId="4941230A">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4.10</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质量保证</w:t>
      </w:r>
    </w:p>
    <w:p w14:paraId="7C977E2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4.10.1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本招标项目缺陷责任期为</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年（自通过竣工验收之日起计），在此期间预留金额为结算价</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的质量保证。 </w:t>
      </w:r>
    </w:p>
    <w:p w14:paraId="7A2DA1C6">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4.10.2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质量保证的形式包括质量保证金、质量保证担保、质量保证保险三种，由承包人自主选择。 </w:t>
      </w:r>
    </w:p>
    <w:p w14:paraId="5014A831">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（1）采用质量保证金形式的，在结清审定总造价时一次性扣留相应金额作为质量保证金或以银行转账方式缴纳给招标人。</w:t>
      </w:r>
    </w:p>
    <w:p w14:paraId="0CE411C4">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2）采用质量保证担保或质量保证保险的，承包人应在竣工验收时向发包人提交有效的商业保函、银行保函或保险合同（或保险单）原件，商业保函、银行保函或保险合同（或保险单）的有效期不得短于缺陷责任期。 </w:t>
      </w:r>
    </w:p>
    <w:p w14:paraId="00FA11C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4.10.3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 </w:t>
      </w:r>
    </w:p>
    <w:p w14:paraId="215343EA">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由他人原因造成的缺陷，发包人负责组织维修，承包人不承担费用，且发包人不得从质量保证中扣除费用。 </w:t>
      </w:r>
    </w:p>
    <w:p w14:paraId="7C6CD6D1">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4.10.4</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缺陷责任期内，承包人应认真履行合同约定的责任。缺陷责任期到期后，承包人向发包人申请退还质量保证，发包人应按照《建设工程质量保证金管理办法》有关规定将质量保证退还给承包人。  </w:t>
      </w:r>
    </w:p>
    <w:p w14:paraId="2102D96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不良行为处理 </w:t>
      </w:r>
    </w:p>
    <w:p w14:paraId="043D6EC9">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承包人及其有关人员有下列行为之一的，发包人应及时向建设行政主管部门报告。除按照有关法律、法规进行处罚外，不良行为将计入企业及有关个人诚信档案，并在韶关市住房和城乡建设管理局网站公示。 </w:t>
      </w:r>
    </w:p>
    <w:p w14:paraId="67A4E90D">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（1）转包、违法分包或违反投标承诺分包工程的； </w:t>
      </w:r>
    </w:p>
    <w:p w14:paraId="01E2E653">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（2）非原参加投标中标的项目经理负责组织施工或在实施过程中擅自更换项目经理的、项目的其他主要管理人员与中标文件确定的人员不相符的；</w:t>
      </w:r>
    </w:p>
    <w:p w14:paraId="4FF9DCC5">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（3）投标文件确定的大型机械设备没有进入施工现场的； </w:t>
      </w:r>
    </w:p>
    <w:p w14:paraId="2C56F21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（4）与建设单位、监理单位串通，签认虚假工程量或工程造价的； </w:t>
      </w:r>
    </w:p>
    <w:p w14:paraId="32D0DD6E">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（5）项目经理施工现场管理不到位的； </w:t>
      </w:r>
    </w:p>
    <w:p w14:paraId="01C481BC">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（6）项目经理在非本人资格证书注册单位从事工程项目施工管理的； </w:t>
      </w:r>
    </w:p>
    <w:p w14:paraId="6E3D80EF">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（7）项目经理同时承担超过一项工程项目的； </w:t>
      </w:r>
    </w:p>
    <w:p w14:paraId="7A86FACA">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（8）违反有关法律、法规、规章规定的其它行为。 </w:t>
      </w:r>
    </w:p>
    <w:p w14:paraId="2E40166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 xml:space="preserve">4.12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信用评价条款内容 </w:t>
      </w:r>
    </w:p>
    <w:p w14:paraId="00CEB1A4">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由发包人决定是否对施工单位的履约情况进行信用评价。若进行信用评价，评价条款由发包人自拟，条款内容可参考人员到位情况、服务配合程度、服务成果质量、项目后期服务及信用评价结果的运用等。 </w:t>
      </w:r>
    </w:p>
    <w:p w14:paraId="7742348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危险性较大的分部分项工程安全管理约定 。对危险性较大的工程必须按《危险性较大的分部分项工程安全管理规定》（中华人民共和国住房和城乡建设部令第37号）的规定编制专项施工方案。同时，从承包人必须按照《危险性较大的分部分项工程安全管理规定》的规定和经审批的专项施工方案履行安全职责，严格执行国家、地方政府有关施工安全管理方面的法律、法规及规章制度，同时严格执行发包人制订的本项目安全生产管理方面的规章制度、安全检查程序及施工安全管理要求，以及监理人有关安全工作的指令。 </w:t>
      </w:r>
    </w:p>
    <w:p w14:paraId="29E4D296">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承包人应根据《危险性较大的分部分项工程安全管理规定》（住房城乡建设部令第 37 号）、《住房城乡建设部办公厅关于实施&lt;危险性较大的分部分项工程安全管理规定&gt;有关问题的通知》（建办质〔2018〕31 号）、《广东省住房和城乡建设厅关于房屋市政工程危险性较大的分部分项工程安全管理的实施细则的通知》(粤建规范〔2019〕2 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 </w:t>
      </w:r>
    </w:p>
    <w:p w14:paraId="54C50EB9">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4.14</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承包人在工程实施过程中，按照国家、省、市的相关规定制定相关的专项安全施工方案（如高支模、基坑支护、沉井等），编制专项施工方案报监理人、发包人审批后方可开展专项工程的施工。 </w:t>
      </w:r>
    </w:p>
    <w:p w14:paraId="155F342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4.15</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承包人须按照《韶关市建筑垃圾管理条例》（2021 年 5 月 1 日起施行），将弃土运至发包人指定的场所，否则发包人有权要求承包人无条件将弃土从违约弃土点运至发包人指定的场所并扣除违约金人民币</w:t>
      </w:r>
      <w:r>
        <w:rPr>
          <w:rFonts w:hint="eastAsia" w:ascii="宋体" w:hAnsi="宋体" w:eastAsia="宋体" w:cs="宋体"/>
          <w:color w:val="000000" w:themeColor="text1"/>
          <w:spacing w:val="0"/>
          <w:kern w:val="2"/>
          <w:sz w:val="24"/>
          <w:szCs w:val="24"/>
          <w:highlight w:val="none"/>
          <w:u w:val="single"/>
          <w:shd w:val="clear" w:color="auto" w:fill="FFFFFF"/>
          <w:lang w:val="en-US" w:eastAsia="zh-CN" w:bidi="ar-SA"/>
          <w14:textFill>
            <w14:solidFill>
              <w14:schemeClr w14:val="tx1"/>
            </w14:solidFill>
          </w14:textFill>
        </w:rPr>
        <w:t xml:space="preserve"> 壹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万元/次。承包人对建筑垃圾须按《韶关市建筑垃圾管理条例》（2021 年 5 月 1 日起施行）的相关规定进行排放和运输，投标人在投标报价时综合考虑在报价内。承包人应在施工现场建立洗车槽和临时排水系统等确保外运车辆（土方运输车辆应符合韶关市相关规定）不带泥上路，投标人在投标报价时综合考虑在报价内，发包人不另行支付该部分费用）。建设单位、施工单位应当在施工工地出入口显著位置公示建筑垃圾处理方案主要信息，包括建设工程垃圾种类、产生量、外运处置去向等信息及各相关单位名称、联系人及联系电话等。 </w:t>
      </w:r>
    </w:p>
    <w:p w14:paraId="30E88A48">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 xml:space="preserve">4.16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工程竣工验收后 15 日内，承包人应按市城建档案馆的要求（质量、数量），将编制成册的施工档案资料（含声像档案和电子档案）提供给发包人、市城建档案馆、市住建管理局、管养单位及监理单位，并承担档案涉及的所有费用（制作标准和相关要求按市城建档案馆的有关规定执行）。承包人提交符合城建档案馆要求的竣工资料经发包人确认签收后，即可办理工程结算手续。发包人应委托</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fldChar w:fldCharType="begin"/>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instrText xml:space="preserve"> HYPERLINK "https://www.baidu.com/s?rsv_dl=re_dqa_generate&amp;sa=re_dqa_generate&amp;wd=%E9%80%A0%E4%BB%B7%E5%92%A8%E8%AF%A2%E6%9C%BA%E6%9E%84&amp;rsv_pq=f923c2c700ba76ee&amp;oq=%E7%BB%93%E7%AE%97%E5%AE%9A%E6%A1%88%E7%9A%84%E4%B8%BB%E4%BD%93%E6%98%AF%E8%B0%81&amp;rsv_t=493eevT/XLpdQB3wyA5JjSs8loqcY0/iRSo1Ct9oLZ0m0QZ4r3tonYTUS6Xi5Fp8qC3Q&amp;tn=baiduhome_pg&amp;ie=utf-8" \t "_blank" </w:instrTex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fldChar w:fldCharType="separate"/>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造价咨询机构</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fldChar w:fldCharType="end"/>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出具竣工结算报告，并签订《工程结算定案单》。 </w:t>
      </w:r>
    </w:p>
    <w:p w14:paraId="234A348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4.17</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应做好周边设施（含军用光缆、燃气、供电、供水、排水、排污、人行道、路灯、治安监控、交通电警等）的成品保护并及时与周边设施的权属单位协调解决，如因承包人原因导致上述设施发生损坏，承包人无条件按发包人规定的期限内修复，涉及成品保护费、索赔等一切费用全部由承包人自行解决。 </w:t>
      </w:r>
    </w:p>
    <w:p w14:paraId="3EA232A4">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4.18</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承包人中标后必须按规定及时缴交工人工资保证金、环保噪声排污费等。 </w:t>
      </w:r>
    </w:p>
    <w:p w14:paraId="232F19CC">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4.19</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工程质量保修期按《中华人民共和国建筑法》、《建设工程质量管理条例》等相关规定实施。 </w:t>
      </w:r>
    </w:p>
    <w:p w14:paraId="794DBDF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4.20</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如项目实施过程中发生了工程变更及工程签证，承包人需根据发包人发布的《工程变更管理办法》和《工程签证管理办法》完善工程变更签证相关程序。 </w:t>
      </w:r>
    </w:p>
    <w:p w14:paraId="0657C355">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承包人需按相关规定要求，设置本工程符合相关要求的永久性标牌及规划公示牌，投标人在投标报价时综合考虑在报价内，发包人不另行支付该部分费用。 </w:t>
      </w:r>
    </w:p>
    <w:p w14:paraId="1605F613">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承包人应在项目所在地住建管理部门办理诚信登记，发包人将严格按住建管理部门诚信登记管理办法对承包人履约情况进行考核。 </w:t>
      </w:r>
    </w:p>
    <w:p w14:paraId="7F42F4AA">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承包人应按韶关市住房和城乡建设管理局、韶关市人力资源和社会保障局等职能部门对用工实名制的相关规定,落实工人及相关软硬件设施要求。</w:t>
      </w:r>
    </w:p>
    <w:p w14:paraId="6E4D0758">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质量违约</w:t>
      </w:r>
    </w:p>
    <w:p w14:paraId="3501D77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材料违约处理：若发现材料不符合国家标准或发包人在技术规范中规定的标准， </w:t>
      </w:r>
    </w:p>
    <w:p w14:paraId="3A33DEBF">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视为承包人违约，按现行《建设工程质量管理条例》处理。 </w:t>
      </w:r>
    </w:p>
    <w:p w14:paraId="172C2EA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4.24.1.1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成品采购项目在采购前，承包人必须先行书面征求监理人、发包人的同意并 </w:t>
      </w:r>
    </w:p>
    <w:p w14:paraId="0FE498C6">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一起看样定版后方能实施。未经监理人、发包人同意擅自先行采购和实施的，否则因不符 </w:t>
      </w:r>
    </w:p>
    <w:p w14:paraId="78BCD3A2">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合设计要求返工造成的费用由承包人承担。</w:t>
      </w:r>
    </w:p>
    <w:p w14:paraId="77B79619">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4.24.2</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工程质量违约： </w:t>
      </w:r>
    </w:p>
    <w:p w14:paraId="433283B4">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4.24.2.1</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在施工过程中经监理单位日常巡查或抽检发现未达到合格标准，责令承包人进 </w:t>
      </w:r>
    </w:p>
    <w:p w14:paraId="12C6716D">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行整改，如未按规定时间进行整改或整改不到位的，每次按 5000 元缴纳违约金给发包人，在进度款或结算款中一并扣除。 </w:t>
      </w:r>
    </w:p>
    <w:p w14:paraId="5755758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4.24.2.2</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工程质量标准须达到国家验收合格标准。如未达到合格标准，除无偿返工至合 </w:t>
      </w:r>
    </w:p>
    <w:p w14:paraId="2A82A30B">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格外，还要按合同价款的 1%向招标人支付质量违约金，工期不予顺延。 </w:t>
      </w:r>
    </w:p>
    <w:p w14:paraId="44A72C4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4.25</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重大责任事故违约 </w:t>
      </w:r>
    </w:p>
    <w:p w14:paraId="7EC71D9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4.25.1</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承包人因违反国家安全质量法规及合同有关条款约定,出现火灾、坍塌、人员重 </w:t>
      </w:r>
    </w:p>
    <w:p w14:paraId="3E6F36F7">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伤、死亡等重大责任事故,则承包人应承担全部损失,并按相关法规接受行政处罚；如造成发 </w:t>
      </w:r>
    </w:p>
    <w:p w14:paraId="105736B3">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包人及对第三人利益的损害,该等损害赔偿责任均由承包人承担。 </w:t>
      </w:r>
    </w:p>
    <w:p w14:paraId="5C6E18CD">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4.26</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用工违约 </w:t>
      </w:r>
    </w:p>
    <w:p w14:paraId="244A204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4.26.1</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在合同履行期间，如经查实承包人拖欠或克扣农民工或劳务工工资，导致劳资纠纷或发生危及公共安全或正常社会秩序的事件的，按承包人违约处理，承包人应按拖欠或克 </w:t>
      </w:r>
    </w:p>
    <w:p w14:paraId="6B19D6EE">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扣农民工工资总金额 2 倍的标准向发包人缴纳惩罚性违约金。 </w:t>
      </w:r>
    </w:p>
    <w:p w14:paraId="7980D17E">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4.27</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安全文明施工违约 </w:t>
      </w:r>
    </w:p>
    <w:p w14:paraId="58B06849">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4.27.1</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如承包人违反国家、广东省、发包人及合同关于安全文明施工的规定，但尚未造 </w:t>
      </w:r>
    </w:p>
    <w:p w14:paraId="0E250BDA">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成安全责任事故，承包人应及时改正行为并赔偿相关方的损失，如未及时整改,针对每一违约 </w:t>
      </w:r>
    </w:p>
    <w:p w14:paraId="4F637481">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行为每持续一天应缴纳违约金 1000.00 元。</w:t>
      </w:r>
    </w:p>
    <w:p w14:paraId="5152D740">
      <w:pPr>
        <w:keepNext w:val="0"/>
        <w:keepLines w:val="0"/>
        <w:pageBreakBefore w:val="0"/>
        <w:wordWrap w:val="0"/>
        <w:overflowPunct/>
        <w:topLinePunct w:val="0"/>
        <w:bidi w:val="0"/>
        <w:adjustRightInd w:val="0"/>
        <w:snapToGrid w:val="0"/>
        <w:spacing w:line="440" w:lineRule="exact"/>
        <w:ind w:firstLine="482" w:firstLineChars="200"/>
        <w:rPr>
          <w:rFonts w:hint="default"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default"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w:t>
      </w: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27</w:t>
      </w:r>
      <w:r>
        <w:rPr>
          <w:rFonts w:hint="default"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.2</w:t>
      </w:r>
      <w:r>
        <w:rPr>
          <w:rFonts w:hint="default"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承包人必须接受发包人及监理单位组织的安全、文明施工的检查，检查中的不合 </w:t>
      </w:r>
    </w:p>
    <w:p w14:paraId="48A3EC33">
      <w:pPr>
        <w:keepNext w:val="0"/>
        <w:keepLines w:val="0"/>
        <w:pageBreakBefore w:val="0"/>
        <w:wordWrap w:val="0"/>
        <w:overflowPunct/>
        <w:topLinePunct w:val="0"/>
        <w:bidi w:val="0"/>
        <w:adjustRightInd w:val="0"/>
        <w:snapToGrid w:val="0"/>
        <w:spacing w:line="440" w:lineRule="exact"/>
        <w:ind w:left="0" w:leftChars="0" w:firstLine="0" w:firstLineChars="0"/>
        <w:rPr>
          <w:rFonts w:hint="default"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default"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格项目、安全隐患必须在规定的时间内整改完成，否则每拖延一天处以 2000.00元人民币违约金，直至整改合格。 </w:t>
      </w:r>
    </w:p>
    <w:p w14:paraId="1D39E82F">
      <w:pPr>
        <w:keepNext w:val="0"/>
        <w:keepLines w:val="0"/>
        <w:pageBreakBefore w:val="0"/>
        <w:wordWrap w:val="0"/>
        <w:overflowPunct/>
        <w:topLinePunct w:val="0"/>
        <w:bidi w:val="0"/>
        <w:adjustRightInd w:val="0"/>
        <w:snapToGrid w:val="0"/>
        <w:spacing w:line="440" w:lineRule="exact"/>
        <w:ind w:firstLine="482" w:firstLineChars="200"/>
        <w:rPr>
          <w:rFonts w:hint="default"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default"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w:t>
      </w: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28</w:t>
      </w:r>
      <w:r>
        <w:rPr>
          <w:rFonts w:hint="default"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其他违约 </w:t>
      </w:r>
    </w:p>
    <w:p w14:paraId="338BE054">
      <w:pPr>
        <w:keepNext w:val="0"/>
        <w:keepLines w:val="0"/>
        <w:pageBreakBefore w:val="0"/>
        <w:wordWrap w:val="0"/>
        <w:overflowPunct/>
        <w:topLinePunct w:val="0"/>
        <w:bidi w:val="0"/>
        <w:adjustRightInd w:val="0"/>
        <w:snapToGrid w:val="0"/>
        <w:spacing w:line="440" w:lineRule="exact"/>
        <w:ind w:firstLine="482" w:firstLineChars="200"/>
        <w:rPr>
          <w:rFonts w:hint="default"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default"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w:t>
      </w: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28</w:t>
      </w:r>
      <w:r>
        <w:rPr>
          <w:rFonts w:hint="default"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.1</w:t>
      </w:r>
      <w:r>
        <w:rPr>
          <w:rFonts w:hint="default"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承包人安排在施工场地的主要管理人员（主要指项目经理、项目技术负责人和专 </w:t>
      </w:r>
    </w:p>
    <w:p w14:paraId="7093E00C">
      <w:pPr>
        <w:keepNext w:val="0"/>
        <w:keepLines w:val="0"/>
        <w:pageBreakBefore w:val="0"/>
        <w:wordWrap w:val="0"/>
        <w:overflowPunct/>
        <w:topLinePunct w:val="0"/>
        <w:bidi w:val="0"/>
        <w:adjustRightInd w:val="0"/>
        <w:snapToGrid w:val="0"/>
        <w:spacing w:line="440" w:lineRule="exact"/>
        <w:ind w:left="0" w:leftChars="0" w:firstLine="0" w:firstLineChars="0"/>
        <w:rPr>
          <w:rFonts w:hint="default"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default"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职安全生产管理人员）应与承包人投标文件承诺的名单一致，并保持相对稳定。未经总监理工程师批准，上述人员不应无故不到位或被替换。若确实无法到位或需替换，需经总监理工程师审核并报发包人批准后，承包人可安排同等资历的人员替换。 </w:t>
      </w:r>
    </w:p>
    <w:p w14:paraId="06E8294D">
      <w:pPr>
        <w:keepNext w:val="0"/>
        <w:keepLines w:val="0"/>
        <w:pageBreakBefore w:val="0"/>
        <w:wordWrap w:val="0"/>
        <w:overflowPunct/>
        <w:topLinePunct w:val="0"/>
        <w:bidi w:val="0"/>
        <w:adjustRightInd w:val="0"/>
        <w:snapToGrid w:val="0"/>
        <w:spacing w:line="440" w:lineRule="exact"/>
        <w:ind w:firstLine="482" w:firstLineChars="200"/>
        <w:rPr>
          <w:rFonts w:hint="default"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default"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w:t>
      </w: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28</w:t>
      </w:r>
      <w:r>
        <w:rPr>
          <w:rFonts w:hint="default"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.2</w:t>
      </w:r>
      <w:r>
        <w:rPr>
          <w:rFonts w:hint="default"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中标人施工资料必须与形象进度同步。 </w:t>
      </w:r>
    </w:p>
    <w:p w14:paraId="0E435855">
      <w:pPr>
        <w:keepNext w:val="0"/>
        <w:keepLines w:val="0"/>
        <w:pageBreakBefore w:val="0"/>
        <w:wordWrap w:val="0"/>
        <w:overflowPunct/>
        <w:topLinePunct w:val="0"/>
        <w:bidi w:val="0"/>
        <w:adjustRightInd w:val="0"/>
        <w:snapToGrid w:val="0"/>
        <w:spacing w:line="440" w:lineRule="exact"/>
        <w:ind w:firstLine="482" w:firstLineChars="200"/>
        <w:rPr>
          <w:rFonts w:hint="default"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default"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w:t>
      </w: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28</w:t>
      </w:r>
      <w:r>
        <w:rPr>
          <w:rFonts w:hint="default"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.3</w:t>
      </w:r>
      <w:r>
        <w:rPr>
          <w:rFonts w:hint="default"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承包人没有正当合理的理由中途退场，可扣除承包人已递交的所有履约风险保证 </w:t>
      </w:r>
    </w:p>
    <w:p w14:paraId="7B1DB3D2">
      <w:pPr>
        <w:keepNext w:val="0"/>
        <w:keepLines w:val="0"/>
        <w:pageBreakBefore w:val="0"/>
        <w:wordWrap w:val="0"/>
        <w:overflowPunct/>
        <w:topLinePunct w:val="0"/>
        <w:bidi w:val="0"/>
        <w:adjustRightInd w:val="0"/>
        <w:snapToGrid w:val="0"/>
        <w:spacing w:line="440" w:lineRule="exact"/>
        <w:rPr>
          <w:rFonts w:hint="default" w:ascii="宋体" w:hAnsi="宋体" w:eastAsia="宋体" w:cs="宋体"/>
          <w:bCs/>
          <w:snapToGrid w:val="0"/>
          <w:color w:val="000000" w:themeColor="text1"/>
          <w:spacing w:val="0"/>
          <w:kern w:val="0"/>
          <w:sz w:val="24"/>
          <w:szCs w:val="24"/>
          <w:highlight w:val="none"/>
          <w:lang w:val="en-US" w:eastAsia="zh-CN" w:bidi="ar-SA"/>
          <w14:textFill>
            <w14:solidFill>
              <w14:schemeClr w14:val="tx1"/>
            </w14:solidFill>
          </w14:textFill>
        </w:rPr>
      </w:pPr>
      <w:r>
        <w:rPr>
          <w:rFonts w:hint="default"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金。承包人因上述违约行为而须缴纳的违约金在工程进度款中或结算时一并扣除。</w:t>
      </w:r>
    </w:p>
    <w:p w14:paraId="22A28A7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5.其他合同条款由招标人与中标人自行协商约定</w:t>
      </w:r>
    </w:p>
    <w:p w14:paraId="76E3D22A">
      <w:pPr>
        <w:keepNext w:val="0"/>
        <w:keepLines w:val="0"/>
        <w:pageBreakBefore w:val="0"/>
        <w:wordWrap w:val="0"/>
        <w:overflowPunct/>
        <w:topLinePunct w:val="0"/>
        <w:bidi w:val="0"/>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592C9070">
      <w:pPr>
        <w:keepNext w:val="0"/>
        <w:keepLines w:val="0"/>
        <w:pageBreakBefore w:val="0"/>
        <w:wordWrap w:val="0"/>
        <w:overflowPunct/>
        <w:topLinePunct w:val="0"/>
        <w:bidi w:val="0"/>
        <w:spacing w:before="78" w:line="219" w:lineRule="auto"/>
        <w:ind w:left="3273"/>
        <w:outlineLvl w:val="0"/>
        <w:rPr>
          <w:rFonts w:hint="eastAsia" w:ascii="宋体" w:hAnsi="宋体" w:eastAsia="宋体" w:cs="宋体"/>
          <w:color w:val="000000" w:themeColor="text1"/>
          <w:spacing w:val="0"/>
          <w:highlight w:val="none"/>
          <w14:textFill>
            <w14:solidFill>
              <w14:schemeClr w14:val="tx1"/>
            </w14:solidFill>
          </w14:textFill>
        </w:rPr>
      </w:pPr>
      <w:bookmarkStart w:id="182" w:name="_Toc27443"/>
      <w:r>
        <w:rPr>
          <w:rFonts w:hint="eastAsia" w:ascii="宋体" w:hAnsi="宋体" w:eastAsia="宋体" w:cs="宋体"/>
          <w:b/>
          <w:bCs/>
          <w:color w:val="000000" w:themeColor="text1"/>
          <w:spacing w:val="0"/>
          <w:sz w:val="24"/>
          <w:szCs w:val="24"/>
          <w:highlight w:val="none"/>
          <w14:textFill>
            <w14:solidFill>
              <w14:schemeClr w14:val="tx1"/>
            </w14:solidFill>
          </w14:textFill>
        </w:rPr>
        <w:t>第四章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技术要求</w:t>
      </w:r>
      <w:bookmarkEnd w:id="182"/>
    </w:p>
    <w:p w14:paraId="3E6A87FB">
      <w:pPr>
        <w:pStyle w:val="6"/>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39F1228B">
      <w:pPr>
        <w:keepNext w:val="0"/>
        <w:keepLines w:val="0"/>
        <w:pageBreakBefore w:val="0"/>
        <w:wordWrap w:val="0"/>
        <w:overflowPunct/>
        <w:topLinePunct w:val="0"/>
        <w:bidi w:val="0"/>
        <w:spacing w:before="78" w:line="221" w:lineRule="auto"/>
        <w:ind w:left="12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83" w:name="_Toc10155"/>
      <w:bookmarkStart w:id="184" w:name="_Toc3371"/>
      <w:r>
        <w:rPr>
          <w:rFonts w:hint="eastAsia" w:ascii="宋体" w:hAnsi="宋体" w:eastAsia="宋体" w:cs="宋体"/>
          <w:b/>
          <w:bCs/>
          <w:color w:val="000000" w:themeColor="text1"/>
          <w:spacing w:val="0"/>
          <w:sz w:val="24"/>
          <w:szCs w:val="24"/>
          <w:highlight w:val="none"/>
          <w14:textFill>
            <w14:solidFill>
              <w14:schemeClr w14:val="tx1"/>
            </w14:solidFill>
          </w14:textFill>
        </w:rPr>
        <w:t>1 ．房屋建筑工程建设项目</w:t>
      </w:r>
      <w:bookmarkEnd w:id="183"/>
      <w:bookmarkEnd w:id="184"/>
    </w:p>
    <w:p w14:paraId="0CE4FE26">
      <w:pPr>
        <w:keepNext w:val="0"/>
        <w:keepLines w:val="0"/>
        <w:pageBreakBefore w:val="0"/>
        <w:wordWrap w:val="0"/>
        <w:overflowPunct/>
        <w:topLinePunct w:val="0"/>
        <w:bidi w:val="0"/>
        <w:spacing w:before="152" w:line="220"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房屋建筑工程建设项目必须执行的现行技术规范，包括且不限于：</w:t>
      </w:r>
    </w:p>
    <w:p w14:paraId="2E913A2A">
      <w:pPr>
        <w:keepNext w:val="0"/>
        <w:keepLines w:val="0"/>
        <w:pageBreakBefore w:val="0"/>
        <w:wordWrap w:val="0"/>
        <w:overflowPunct/>
        <w:topLinePunct w:val="0"/>
        <w:bidi w:val="0"/>
        <w:spacing w:before="155"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（1）《建筑工程施工质量验收统一标准》；</w:t>
      </w:r>
    </w:p>
    <w:p w14:paraId="21289F3F">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（2）《建筑地基基础工程施工质量验收规范》；</w:t>
      </w:r>
    </w:p>
    <w:p w14:paraId="21379855">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（3）《砌体工程施工质量验收规范》；</w:t>
      </w:r>
    </w:p>
    <w:p w14:paraId="191C91D8">
      <w:pPr>
        <w:keepNext w:val="0"/>
        <w:keepLines w:val="0"/>
        <w:pageBreakBefore w:val="0"/>
        <w:wordWrap w:val="0"/>
        <w:overflowPunct/>
        <w:topLinePunct w:val="0"/>
        <w:bidi w:val="0"/>
        <w:spacing w:before="155"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（4）《混凝土结构工程施工质量验收规范》；</w:t>
      </w:r>
    </w:p>
    <w:p w14:paraId="3087379D">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（5）《屋面工程质量验收规范》；</w:t>
      </w:r>
    </w:p>
    <w:p w14:paraId="3B431104">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（6）《地下防水工程质量验收规范》；</w:t>
      </w:r>
    </w:p>
    <w:p w14:paraId="47AE272D">
      <w:pPr>
        <w:keepNext w:val="0"/>
        <w:keepLines w:val="0"/>
        <w:pageBreakBefore w:val="0"/>
        <w:wordWrap w:val="0"/>
        <w:overflowPunct/>
        <w:topLinePunct w:val="0"/>
        <w:bidi w:val="0"/>
        <w:spacing w:before="156"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（7）《建筑地面工程施工质量验收规范》；</w:t>
      </w:r>
    </w:p>
    <w:p w14:paraId="76A79CB0">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（8）《建筑装饰装修工程施工质量验收规范》；</w:t>
      </w:r>
    </w:p>
    <w:p w14:paraId="7E836C74">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（9）《建筑给排水及采暖工程施工质量验收规范》；</w:t>
      </w:r>
    </w:p>
    <w:p w14:paraId="27101421">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（10）《建筑电气工程施工质量验收规范》；</w:t>
      </w:r>
    </w:p>
    <w:p w14:paraId="64136A99">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（11）《住建部绿色建筑评价标准》；</w:t>
      </w:r>
    </w:p>
    <w:p w14:paraId="394AE18E">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（12）《建筑节能与可再生能源利用通用规范》（GB55015-2021）；</w:t>
      </w:r>
    </w:p>
    <w:p w14:paraId="5F96829D">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（13）《建筑环境通用规范》；</w:t>
      </w:r>
    </w:p>
    <w:p w14:paraId="0198E858">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bookmarkStart w:id="185" w:name="_Toc12084"/>
      <w:bookmarkStart w:id="186" w:name="_Toc16294"/>
      <w:r>
        <w:rPr>
          <w:rFonts w:hint="eastAsia" w:ascii="宋体" w:hAnsi="宋体" w:eastAsia="宋体" w:cs="宋体"/>
          <w:color w:val="000000" w:themeColor="text1"/>
          <w:spacing w:val="0"/>
          <w:sz w:val="24"/>
          <w:szCs w:val="24"/>
          <w:highlight w:val="none"/>
          <w14:textFill>
            <w14:solidFill>
              <w14:schemeClr w14:val="tx1"/>
            </w14:solidFill>
          </w14:textFill>
        </w:rPr>
        <w:t>（14）《建筑与市政工程无障碍通用规范》 GB 55019-2021；</w:t>
      </w:r>
      <w:bookmarkEnd w:id="185"/>
      <w:bookmarkEnd w:id="186"/>
    </w:p>
    <w:p w14:paraId="208415E7">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bookmarkStart w:id="187" w:name="_Toc1177"/>
      <w:bookmarkStart w:id="188" w:name="_Toc15158"/>
      <w:r>
        <w:rPr>
          <w:rFonts w:hint="eastAsia" w:ascii="宋体" w:hAnsi="宋体" w:eastAsia="宋体" w:cs="宋体"/>
          <w:color w:val="000000" w:themeColor="text1"/>
          <w:spacing w:val="0"/>
          <w:sz w:val="24"/>
          <w:szCs w:val="24"/>
          <w:highlight w:val="none"/>
          <w14:textFill>
            <w14:solidFill>
              <w14:schemeClr w14:val="tx1"/>
            </w14:solidFill>
          </w14:textFill>
        </w:rPr>
        <w:t>（15）《建筑防火通用规范》GB 55037-2022;</w:t>
      </w:r>
      <w:bookmarkEnd w:id="187"/>
      <w:bookmarkEnd w:id="188"/>
    </w:p>
    <w:p w14:paraId="3CAEBDB1">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bookmarkStart w:id="189" w:name="_Toc24233"/>
      <w:bookmarkStart w:id="190" w:name="_Toc2461"/>
      <w:r>
        <w:rPr>
          <w:rFonts w:hint="eastAsia" w:ascii="宋体" w:hAnsi="宋体" w:eastAsia="宋体" w:cs="宋体"/>
          <w:color w:val="000000" w:themeColor="text1"/>
          <w:spacing w:val="0"/>
          <w:sz w:val="24"/>
          <w:szCs w:val="24"/>
          <w:highlight w:val="none"/>
          <w14:textFill>
            <w14:solidFill>
              <w14:schemeClr w14:val="tx1"/>
            </w14:solidFill>
          </w14:textFill>
        </w:rPr>
        <w:t>（16）《建筑与市政工程抗震通用规范》GB55002-2001;</w:t>
      </w:r>
      <w:bookmarkEnd w:id="189"/>
      <w:bookmarkEnd w:id="190"/>
    </w:p>
    <w:p w14:paraId="685DD796">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bookmarkStart w:id="191" w:name="_Toc5777"/>
      <w:bookmarkStart w:id="192" w:name="_Toc8109"/>
      <w:r>
        <w:rPr>
          <w:rFonts w:hint="eastAsia" w:ascii="宋体" w:hAnsi="宋体" w:eastAsia="宋体" w:cs="宋体"/>
          <w:color w:val="000000" w:themeColor="text1"/>
          <w:spacing w:val="0"/>
          <w:sz w:val="24"/>
          <w:szCs w:val="24"/>
          <w:highlight w:val="none"/>
          <w14:textFill>
            <w14:solidFill>
              <w14:schemeClr w14:val="tx1"/>
            </w14:solidFill>
          </w14:textFill>
        </w:rPr>
        <w:t>（17）《建筑与市政地基基础通用规范》GB55003-2001;</w:t>
      </w:r>
      <w:bookmarkEnd w:id="191"/>
      <w:bookmarkEnd w:id="192"/>
    </w:p>
    <w:p w14:paraId="00DBFC09">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（18）《广东省住房和城乡建设厅绿色施工导则》；</w:t>
      </w:r>
    </w:p>
    <w:p w14:paraId="5D7737AC">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（19）《广东省建筑工程绿色施工评价标准》；</w:t>
      </w:r>
    </w:p>
    <w:p w14:paraId="5CD8C62F">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（20）《广东省建筑节能与绿色建筑工程施工质量验收规范》</w:t>
      </w:r>
    </w:p>
    <w:p w14:paraId="067E85AF">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（21）其他现行国家、广东省关于房建工程的施工及验收规范、定额、规程、标准。</w:t>
      </w:r>
    </w:p>
    <w:p w14:paraId="36B34C1F">
      <w:pPr>
        <w:pStyle w:val="6"/>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75E00F81">
      <w:pPr>
        <w:keepNext w:val="0"/>
        <w:keepLines w:val="0"/>
        <w:pageBreakBefore w:val="0"/>
        <w:wordWrap w:val="0"/>
        <w:overflowPunct/>
        <w:topLinePunct w:val="0"/>
        <w:bidi w:val="0"/>
        <w:spacing w:before="78" w:line="220" w:lineRule="auto"/>
        <w:ind w:left="11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93" w:name="_Toc9561"/>
      <w:bookmarkStart w:id="194" w:name="_Toc15652"/>
      <w:r>
        <w:rPr>
          <w:rFonts w:hint="eastAsia" w:ascii="宋体" w:hAnsi="宋体" w:eastAsia="宋体" w:cs="宋体"/>
          <w:b/>
          <w:bCs/>
          <w:color w:val="000000" w:themeColor="text1"/>
          <w:spacing w:val="0"/>
          <w:sz w:val="24"/>
          <w:szCs w:val="24"/>
          <w:highlight w:val="none"/>
          <w14:textFill>
            <w14:solidFill>
              <w14:schemeClr w14:val="tx1"/>
            </w14:solidFill>
          </w14:textFill>
        </w:rPr>
        <w:t>2 ．市政基础设施工程建设项目</w:t>
      </w:r>
      <w:bookmarkEnd w:id="193"/>
      <w:bookmarkEnd w:id="194"/>
    </w:p>
    <w:p w14:paraId="1DE67B68">
      <w:pPr>
        <w:keepNext w:val="0"/>
        <w:keepLines w:val="0"/>
        <w:pageBreakBefore w:val="0"/>
        <w:wordWrap w:val="0"/>
        <w:overflowPunct/>
        <w:topLinePunct w:val="0"/>
        <w:bidi w:val="0"/>
        <w:spacing w:before="154" w:line="220" w:lineRule="auto"/>
        <w:ind w:left="12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市政基础设施工程建设项目必须执行的现行技术规范，包括且不限于：</w:t>
      </w:r>
    </w:p>
    <w:p w14:paraId="7EF67537">
      <w:pPr>
        <w:keepNext w:val="0"/>
        <w:keepLines w:val="0"/>
        <w:pageBreakBefore w:val="0"/>
        <w:wordWrap w:val="0"/>
        <w:overflowPunct/>
        <w:topLinePunct w:val="0"/>
        <w:bidi w:val="0"/>
        <w:spacing w:before="155"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（1）《公路路基施工技术规范》；</w:t>
      </w:r>
    </w:p>
    <w:p w14:paraId="0FD09BDA">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（2）《市政道路工程质量检验评定标准》；</w:t>
      </w:r>
    </w:p>
    <w:p w14:paraId="5E4C6C0A">
      <w:pPr>
        <w:keepNext w:val="0"/>
        <w:keepLines w:val="0"/>
        <w:pageBreakBefore w:val="0"/>
        <w:wordWrap w:val="0"/>
        <w:overflowPunct/>
        <w:topLinePunct w:val="0"/>
        <w:bidi w:val="0"/>
        <w:spacing w:before="154"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（3）《市政排水管渠工程质量检验评定标准》；</w:t>
      </w:r>
    </w:p>
    <w:p w14:paraId="5FFAA5AA">
      <w:pPr>
        <w:keepNext w:val="0"/>
        <w:keepLines w:val="0"/>
        <w:pageBreakBefore w:val="0"/>
        <w:widowControl w:val="0"/>
        <w:kinsoku w:val="0"/>
        <w:wordWrap w:val="0"/>
        <w:overflowPunct/>
        <w:topLinePunct w:val="0"/>
        <w:autoSpaceDE w:val="0"/>
        <w:autoSpaceDN w:val="0"/>
        <w:bidi w:val="0"/>
        <w:adjustRightInd w:val="0"/>
        <w:snapToGrid w:val="0"/>
        <w:spacing w:before="155" w:line="220" w:lineRule="auto"/>
        <w:ind w:left="13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（4）《给水排水管道工程施工及验收规范》；</w:t>
      </w:r>
    </w:p>
    <w:p w14:paraId="5C80DC30">
      <w:pPr>
        <w:keepNext w:val="0"/>
        <w:keepLines w:val="0"/>
        <w:pageBreakBefore w:val="0"/>
        <w:widowControl w:val="0"/>
        <w:kinsoku w:val="0"/>
        <w:wordWrap w:val="0"/>
        <w:overflowPunct/>
        <w:topLinePunct w:val="0"/>
        <w:autoSpaceDE w:val="0"/>
        <w:autoSpaceDN w:val="0"/>
        <w:bidi w:val="0"/>
        <w:adjustRightInd w:val="0"/>
        <w:snapToGrid w:val="0"/>
        <w:spacing w:before="78"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（5）《城市道路路基工程施工及验收规范》；</w:t>
      </w:r>
    </w:p>
    <w:p w14:paraId="3DE05869">
      <w:pPr>
        <w:keepNext w:val="0"/>
        <w:keepLines w:val="0"/>
        <w:pageBreakBefore w:val="0"/>
        <w:widowControl w:val="0"/>
        <w:kinsoku w:val="0"/>
        <w:wordWrap w:val="0"/>
        <w:overflowPunct/>
        <w:topLinePunct w:val="0"/>
        <w:autoSpaceDE w:val="0"/>
        <w:autoSpaceDN w:val="0"/>
        <w:bidi w:val="0"/>
        <w:adjustRightInd w:val="0"/>
        <w:snapToGrid w:val="0"/>
        <w:spacing w:before="155"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（6）《水泥砼路面施工及验收规范》；</w:t>
      </w:r>
    </w:p>
    <w:p w14:paraId="2D0FA851">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（7）《公路水泥砼路面施工技术规范》；</w:t>
      </w:r>
    </w:p>
    <w:p w14:paraId="3DDEEDA6">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（8）《埋地硬聚氯乙烯排水管道工程技术规程》；</w:t>
      </w:r>
    </w:p>
    <w:p w14:paraId="0C40551B">
      <w:pPr>
        <w:keepNext w:val="0"/>
        <w:keepLines w:val="0"/>
        <w:pageBreakBefore w:val="0"/>
        <w:widowControl w:val="0"/>
        <w:kinsoku w:val="0"/>
        <w:wordWrap w:val="0"/>
        <w:overflowPunct/>
        <w:topLinePunct w:val="0"/>
        <w:autoSpaceDE w:val="0"/>
        <w:autoSpaceDN w:val="0"/>
        <w:bidi w:val="0"/>
        <w:adjustRightInd w:val="0"/>
        <w:snapToGrid w:val="0"/>
        <w:spacing w:before="122" w:line="219"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（9）《沥青路面施工及验收规范》；</w:t>
      </w:r>
    </w:p>
    <w:p w14:paraId="051F222E">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（10）《广东省市政工程施工质量技术资料统一用表》。</w:t>
      </w:r>
    </w:p>
    <w:p w14:paraId="71A0E2DE">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195" w:name="_Toc8494"/>
      <w:bookmarkStart w:id="196" w:name="_Toc30781"/>
      <w:r>
        <w:rPr>
          <w:rFonts w:hint="eastAsia" w:ascii="宋体" w:hAnsi="宋体" w:eastAsia="宋体" w:cs="宋体"/>
          <w:color w:val="000000" w:themeColor="text1"/>
          <w:spacing w:val="0"/>
          <w:sz w:val="24"/>
          <w:szCs w:val="24"/>
          <w:highlight w:val="none"/>
          <w14:textFill>
            <w14:solidFill>
              <w14:schemeClr w14:val="tx1"/>
            </w14:solidFill>
          </w14:textFill>
        </w:rPr>
        <w:t>（11）《建筑与市政工程无障碍通用规范》 GB 55019-2021；</w:t>
      </w:r>
      <w:bookmarkEnd w:id="195"/>
      <w:bookmarkEnd w:id="196"/>
    </w:p>
    <w:p w14:paraId="0BB30486">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197" w:name="_Toc31143"/>
      <w:bookmarkStart w:id="198" w:name="_Toc17383"/>
      <w:r>
        <w:rPr>
          <w:rFonts w:hint="eastAsia" w:ascii="宋体" w:hAnsi="宋体" w:eastAsia="宋体" w:cs="宋体"/>
          <w:color w:val="000000" w:themeColor="text1"/>
          <w:spacing w:val="0"/>
          <w:sz w:val="24"/>
          <w:szCs w:val="24"/>
          <w:highlight w:val="none"/>
          <w14:textFill>
            <w14:solidFill>
              <w14:schemeClr w14:val="tx1"/>
            </w14:solidFill>
          </w14:textFill>
        </w:rPr>
        <w:t>（12）《建筑防火通用规范》GB 55037-2022;</w:t>
      </w:r>
      <w:bookmarkEnd w:id="197"/>
      <w:bookmarkEnd w:id="198"/>
    </w:p>
    <w:p w14:paraId="3167F8CD">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199" w:name="_Toc32476"/>
      <w:bookmarkStart w:id="200" w:name="_Toc954"/>
      <w:r>
        <w:rPr>
          <w:rFonts w:hint="eastAsia" w:ascii="宋体" w:hAnsi="宋体" w:eastAsia="宋体" w:cs="宋体"/>
          <w:color w:val="000000" w:themeColor="text1"/>
          <w:spacing w:val="0"/>
          <w:sz w:val="24"/>
          <w:szCs w:val="24"/>
          <w:highlight w:val="none"/>
          <w14:textFill>
            <w14:solidFill>
              <w14:schemeClr w14:val="tx1"/>
            </w14:solidFill>
          </w14:textFill>
        </w:rPr>
        <w:t>（13）《建筑与市政工程抗震通用规范》GB55002-2001;</w:t>
      </w:r>
      <w:bookmarkEnd w:id="199"/>
      <w:bookmarkEnd w:id="200"/>
    </w:p>
    <w:p w14:paraId="7E7E1132">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201" w:name="_Toc7185"/>
      <w:bookmarkStart w:id="202" w:name="_Toc27898"/>
      <w:r>
        <w:rPr>
          <w:rFonts w:hint="eastAsia" w:ascii="宋体" w:hAnsi="宋体" w:eastAsia="宋体" w:cs="宋体"/>
          <w:color w:val="000000" w:themeColor="text1"/>
          <w:spacing w:val="0"/>
          <w:sz w:val="24"/>
          <w:szCs w:val="24"/>
          <w:highlight w:val="none"/>
          <w14:textFill>
            <w14:solidFill>
              <w14:schemeClr w14:val="tx1"/>
            </w14:solidFill>
          </w14:textFill>
        </w:rPr>
        <w:t>（14）《建筑与市政地基基础通用规范》GB55003-2001;</w:t>
      </w:r>
      <w:bookmarkEnd w:id="201"/>
      <w:bookmarkEnd w:id="202"/>
    </w:p>
    <w:p w14:paraId="598E0BAE">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203" w:name="_Toc17281"/>
      <w:bookmarkStart w:id="204" w:name="_Toc29669"/>
      <w:r>
        <w:rPr>
          <w:rFonts w:hint="eastAsia" w:ascii="宋体" w:hAnsi="宋体" w:eastAsia="宋体" w:cs="宋体"/>
          <w:color w:val="000000" w:themeColor="text1"/>
          <w:spacing w:val="0"/>
          <w:sz w:val="24"/>
          <w:szCs w:val="24"/>
          <w:highlight w:val="none"/>
          <w14:textFill>
            <w14:solidFill>
              <w14:schemeClr w14:val="tx1"/>
            </w14:solidFill>
          </w14:textFill>
        </w:rPr>
        <w:t>（15）《城市道路照明设计标准》（CJJ45-2015）；</w:t>
      </w:r>
      <w:bookmarkEnd w:id="203"/>
      <w:bookmarkEnd w:id="204"/>
    </w:p>
    <w:p w14:paraId="17AD9E79">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205" w:name="_Toc31812"/>
      <w:bookmarkStart w:id="206" w:name="_Toc9161"/>
      <w:r>
        <w:rPr>
          <w:rFonts w:hint="eastAsia" w:ascii="宋体" w:hAnsi="宋体" w:eastAsia="宋体" w:cs="宋体"/>
          <w:color w:val="000000" w:themeColor="text1"/>
          <w:spacing w:val="0"/>
          <w:sz w:val="24"/>
          <w:szCs w:val="24"/>
          <w:highlight w:val="none"/>
          <w14:textFill>
            <w14:solidFill>
              <w14:schemeClr w14:val="tx1"/>
            </w14:solidFill>
          </w14:textFill>
        </w:rPr>
        <w:t>（16）《低压配电设计规范》（GB50054-2011）；</w:t>
      </w:r>
      <w:bookmarkEnd w:id="205"/>
      <w:bookmarkEnd w:id="206"/>
    </w:p>
    <w:p w14:paraId="39AD9BAB">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207" w:name="_Toc18255"/>
      <w:bookmarkStart w:id="208" w:name="_Toc6405"/>
      <w:r>
        <w:rPr>
          <w:rFonts w:hint="eastAsia" w:ascii="宋体" w:hAnsi="宋体" w:eastAsia="宋体" w:cs="宋体"/>
          <w:color w:val="000000" w:themeColor="text1"/>
          <w:spacing w:val="0"/>
          <w:sz w:val="24"/>
          <w:szCs w:val="24"/>
          <w:highlight w:val="none"/>
          <w14:textFill>
            <w14:solidFill>
              <w14:schemeClr w14:val="tx1"/>
            </w14:solidFill>
          </w14:textFill>
        </w:rPr>
        <w:t>（17）《城市道路照明工程施工及验收规程》（CJJ89-2012）；</w:t>
      </w:r>
      <w:bookmarkEnd w:id="207"/>
      <w:bookmarkEnd w:id="208"/>
    </w:p>
    <w:p w14:paraId="5C08A858">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（18）《LED 道路照明工程技术规范》（DB44/T 1898-2016）；</w:t>
      </w:r>
    </w:p>
    <w:p w14:paraId="2E0247A6">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（19）《灯具第 1 部分：一般要求与试验》（GB7000.1-2015）；</w:t>
      </w:r>
    </w:p>
    <w:p w14:paraId="304A14BA">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（20）《电缆工程电缆设计标准》（GB50217-2018）；</w:t>
      </w:r>
    </w:p>
    <w:p w14:paraId="2781CAEA">
      <w:pPr>
        <w:keepNext w:val="0"/>
        <w:keepLines w:val="0"/>
        <w:pageBreakBefore w:val="0"/>
        <w:widowControl w:val="0"/>
        <w:kinsoku w:val="0"/>
        <w:wordWrap w:val="0"/>
        <w:overflowPunct/>
        <w:topLinePunct w:val="0"/>
        <w:autoSpaceDE w:val="0"/>
        <w:autoSpaceDN w:val="0"/>
        <w:bidi w:val="0"/>
        <w:adjustRightInd w:val="0"/>
        <w:snapToGrid w:val="0"/>
        <w:spacing w:before="146" w:line="220" w:lineRule="auto"/>
        <w:ind w:left="216" w:leftChars="103" w:firstLine="0" w:firstLineChars="0"/>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（21）其他现行国家、广东省关于市政工程的技术及验收规范、定额、规程、标准。</w:t>
      </w:r>
    </w:p>
    <w:p w14:paraId="4A2CCAE5">
      <w:pPr>
        <w:pStyle w:val="6"/>
        <w:keepNext w:val="0"/>
        <w:keepLines w:val="0"/>
        <w:pageBreakBefore w:val="0"/>
        <w:widowControl w:val="0"/>
        <w:kinsoku w:val="0"/>
        <w:wordWrap w:val="0"/>
        <w:overflowPunct/>
        <w:topLinePunct w:val="0"/>
        <w:autoSpaceDE w:val="0"/>
        <w:autoSpaceDN w:val="0"/>
        <w:bidi w:val="0"/>
        <w:adjustRightInd w:val="0"/>
        <w:snapToGrid w:val="0"/>
        <w:spacing w:line="255"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4C853389">
      <w:pPr>
        <w:pStyle w:val="6"/>
        <w:keepNext w:val="0"/>
        <w:keepLines w:val="0"/>
        <w:pageBreakBefore w:val="0"/>
        <w:widowControl w:val="0"/>
        <w:kinsoku w:val="0"/>
        <w:wordWrap w:val="0"/>
        <w:overflowPunct/>
        <w:topLinePunct w:val="0"/>
        <w:autoSpaceDE w:val="0"/>
        <w:autoSpaceDN w:val="0"/>
        <w:bidi w:val="0"/>
        <w:adjustRightInd w:val="0"/>
        <w:snapToGrid w:val="0"/>
        <w:spacing w:line="255"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75A42B65">
      <w:pPr>
        <w:keepNext w:val="0"/>
        <w:keepLines w:val="0"/>
        <w:pageBreakBefore w:val="0"/>
        <w:widowControl w:val="0"/>
        <w:kinsoku w:val="0"/>
        <w:wordWrap w:val="0"/>
        <w:overflowPunct/>
        <w:topLinePunct w:val="0"/>
        <w:autoSpaceDE w:val="0"/>
        <w:autoSpaceDN w:val="0"/>
        <w:bidi w:val="0"/>
        <w:adjustRightInd w:val="0"/>
        <w:snapToGrid w:val="0"/>
        <w:spacing w:before="78" w:line="222" w:lineRule="auto"/>
        <w:ind w:left="556"/>
        <w:textAlignment w:val="baseline"/>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09" w:name="_Toc9200"/>
      <w:bookmarkStart w:id="210" w:name="_Toc25663"/>
      <w:r>
        <w:rPr>
          <w:rFonts w:hint="eastAsia" w:ascii="宋体" w:hAnsi="宋体" w:eastAsia="宋体" w:cs="宋体"/>
          <w:b/>
          <w:bCs/>
          <w:color w:val="000000" w:themeColor="text1"/>
          <w:spacing w:val="0"/>
          <w:sz w:val="24"/>
          <w:szCs w:val="24"/>
          <w:highlight w:val="none"/>
          <w14:textFill>
            <w14:solidFill>
              <w14:schemeClr w14:val="tx1"/>
            </w14:solidFill>
          </w14:textFill>
        </w:rPr>
        <w:t>3 ．备查要求</w:t>
      </w:r>
      <w:bookmarkEnd w:id="209"/>
      <w:bookmarkEnd w:id="210"/>
    </w:p>
    <w:p w14:paraId="0334C0EA">
      <w:pPr>
        <w:keepNext w:val="0"/>
        <w:keepLines w:val="0"/>
        <w:pageBreakBefore w:val="0"/>
        <w:widowControl w:val="0"/>
        <w:kinsoku w:val="0"/>
        <w:wordWrap w:val="0"/>
        <w:overflowPunct/>
        <w:topLinePunct w:val="0"/>
        <w:autoSpaceDE w:val="0"/>
        <w:autoSpaceDN w:val="0"/>
        <w:bidi w:val="0"/>
        <w:adjustRightInd w:val="0"/>
        <w:snapToGrid w:val="0"/>
        <w:spacing w:before="155" w:line="324" w:lineRule="auto"/>
        <w:ind w:right="81" w:firstLine="561"/>
        <w:jc w:val="both"/>
        <w:textAlignment w:val="baseline"/>
        <w:rPr>
          <w:rFonts w:hint="eastAsia"/>
          <w:color w:val="000000" w:themeColor="text1"/>
          <w:spacing w:val="0"/>
          <w:highlight w:val="none"/>
          <w14:textFill>
            <w14:solidFill>
              <w14:schemeClr w14:val="tx1"/>
            </w14:solidFill>
          </w14:textFill>
        </w:rPr>
        <w:sectPr>
          <w:footerReference r:id="rId13"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color w:val="000000" w:themeColor="text1"/>
          <w:spacing w:val="0"/>
          <w:sz w:val="24"/>
          <w:szCs w:val="24"/>
          <w:highlight w:val="none"/>
          <w14:textFill>
            <w14:solidFill>
              <w14:schemeClr w14:val="tx1"/>
            </w14:solidFill>
          </w14:textFill>
        </w:rPr>
        <w:t>承包人必须在施工现场准备至少一套上述规范，发包人和监理单位可随时检查承 包人的上述规范，并监督承包人按规范要求执行。</w:t>
      </w:r>
    </w:p>
    <w:p w14:paraId="4E917614">
      <w:pPr>
        <w:keepNext w:val="0"/>
        <w:keepLines w:val="0"/>
        <w:pageBreakBefore w:val="0"/>
        <w:wordWrap w:val="0"/>
        <w:overflowPunct/>
        <w:topLinePunct w:val="0"/>
        <w:bidi w:val="0"/>
        <w:spacing w:before="78" w:line="219" w:lineRule="auto"/>
        <w:jc w:val="center"/>
        <w:outlineLvl w:val="0"/>
        <w:rPr>
          <w:rFonts w:hint="eastAsia" w:ascii="宋体" w:hAnsi="宋体" w:eastAsia="宋体" w:cs="宋体"/>
          <w:color w:val="000000" w:themeColor="text1"/>
          <w:spacing w:val="0"/>
          <w:sz w:val="24"/>
          <w:szCs w:val="24"/>
          <w:highlight w:val="none"/>
          <w14:textFill>
            <w14:solidFill>
              <w14:schemeClr w14:val="tx1"/>
            </w14:solidFill>
          </w14:textFill>
        </w:rPr>
      </w:pPr>
      <w:bookmarkStart w:id="211" w:name="bookmark146"/>
      <w:bookmarkEnd w:id="211"/>
      <w:bookmarkStart w:id="212" w:name="bookmark100"/>
      <w:bookmarkEnd w:id="212"/>
      <w:bookmarkStart w:id="213" w:name="_Toc19497"/>
      <w:r>
        <w:rPr>
          <w:rFonts w:hint="eastAsia" w:ascii="宋体" w:hAnsi="宋体" w:eastAsia="宋体" w:cs="宋体"/>
          <w:b/>
          <w:bCs/>
          <w:color w:val="000000" w:themeColor="text1"/>
          <w:spacing w:val="0"/>
          <w:sz w:val="24"/>
          <w:szCs w:val="24"/>
          <w:highlight w:val="none"/>
          <w14:textFill>
            <w14:solidFill>
              <w14:schemeClr w14:val="tx1"/>
            </w14:solidFill>
          </w14:textFill>
        </w:rPr>
        <w:t>第五章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图纸和招标工程量清单</w:t>
      </w:r>
      <w:bookmarkEnd w:id="213"/>
    </w:p>
    <w:p w14:paraId="5FC74284">
      <w:pPr>
        <w:pStyle w:val="6"/>
        <w:keepNext w:val="0"/>
        <w:keepLines w:val="0"/>
        <w:pageBreakBefore w:val="0"/>
        <w:wordWrap w:val="0"/>
        <w:overflowPunct/>
        <w:topLinePunct w:val="0"/>
        <w:bidi w:val="0"/>
        <w:spacing w:line="283" w:lineRule="auto"/>
        <w:rPr>
          <w:rFonts w:hint="eastAsia" w:ascii="宋体" w:hAnsi="宋体" w:eastAsia="宋体" w:cs="宋体"/>
          <w:color w:val="000000" w:themeColor="text1"/>
          <w:spacing w:val="0"/>
          <w:highlight w:val="none"/>
          <w14:textFill>
            <w14:solidFill>
              <w14:schemeClr w14:val="tx1"/>
            </w14:solidFill>
          </w14:textFill>
        </w:rPr>
      </w:pPr>
    </w:p>
    <w:p w14:paraId="4531523B">
      <w:pPr>
        <w:pStyle w:val="6"/>
        <w:keepNext w:val="0"/>
        <w:keepLines w:val="0"/>
        <w:pageBreakBefore w:val="0"/>
        <w:wordWrap w:val="0"/>
        <w:overflowPunct/>
        <w:topLinePunct w:val="0"/>
        <w:bidi w:val="0"/>
        <w:spacing w:line="284" w:lineRule="auto"/>
        <w:rPr>
          <w:rFonts w:hint="eastAsia" w:ascii="宋体" w:hAnsi="宋体" w:eastAsia="宋体" w:cs="宋体"/>
          <w:color w:val="000000" w:themeColor="text1"/>
          <w:spacing w:val="0"/>
          <w:highlight w:val="none"/>
          <w14:textFill>
            <w14:solidFill>
              <w14:schemeClr w14:val="tx1"/>
            </w14:solidFill>
          </w14:textFill>
        </w:rPr>
      </w:pPr>
    </w:p>
    <w:p w14:paraId="57E54AE6">
      <w:pPr>
        <w:keepNext w:val="0"/>
        <w:keepLines w:val="0"/>
        <w:pageBreakBefore w:val="0"/>
        <w:wordWrap w:val="0"/>
        <w:overflowPunct/>
        <w:topLinePunct w:val="0"/>
        <w:bidi w:val="0"/>
        <w:spacing w:before="78" w:line="219" w:lineRule="auto"/>
        <w:ind w:left="106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□有，另附复印件         </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有，自行网上下载(浏览)           □无</w:t>
      </w:r>
    </w:p>
    <w:p w14:paraId="78499731">
      <w:pPr>
        <w:pStyle w:val="6"/>
        <w:keepNext w:val="0"/>
        <w:keepLines w:val="0"/>
        <w:pageBreakBefore w:val="0"/>
        <w:wordWrap w:val="0"/>
        <w:overflowPunct/>
        <w:topLinePunct w:val="0"/>
        <w:bidi w:val="0"/>
        <w:spacing w:line="265" w:lineRule="auto"/>
        <w:rPr>
          <w:rFonts w:hint="eastAsia" w:ascii="宋体" w:hAnsi="宋体" w:eastAsia="宋体" w:cs="宋体"/>
          <w:color w:val="000000" w:themeColor="text1"/>
          <w:spacing w:val="0"/>
          <w:highlight w:val="none"/>
          <w14:textFill>
            <w14:solidFill>
              <w14:schemeClr w14:val="tx1"/>
            </w14:solidFill>
          </w14:textFill>
        </w:rPr>
      </w:pPr>
    </w:p>
    <w:p w14:paraId="660835A9">
      <w:pPr>
        <w:keepNext w:val="0"/>
        <w:keepLines w:val="0"/>
        <w:pageBreakBefore w:val="0"/>
        <w:wordWrap w:val="0"/>
        <w:overflowPunct/>
        <w:topLinePunct w:val="0"/>
        <w:bidi w:val="0"/>
        <w:spacing w:before="151" w:line="222" w:lineRule="auto"/>
        <w:ind w:left="71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14" w:name="_Toc13773"/>
      <w:bookmarkStart w:id="215" w:name="_Toc24446"/>
      <w:r>
        <w:rPr>
          <w:rFonts w:hint="eastAsia" w:ascii="宋体" w:hAnsi="宋体" w:eastAsia="宋体" w:cs="宋体"/>
          <w:b/>
          <w:bCs/>
          <w:color w:val="000000" w:themeColor="text1"/>
          <w:spacing w:val="0"/>
          <w:sz w:val="24"/>
          <w:szCs w:val="24"/>
          <w:highlight w:val="none"/>
          <w14:textFill>
            <w14:solidFill>
              <w14:schemeClr w14:val="tx1"/>
            </w14:solidFill>
          </w14:textFill>
        </w:rPr>
        <w:t>1 ．图纸</w:t>
      </w:r>
      <w:bookmarkEnd w:id="214"/>
      <w:bookmarkEnd w:id="215"/>
    </w:p>
    <w:p w14:paraId="00652F97">
      <w:pPr>
        <w:keepNext w:val="0"/>
        <w:keepLines w:val="0"/>
        <w:pageBreakBefore w:val="0"/>
        <w:wordWrap w:val="0"/>
        <w:overflowPunct/>
        <w:topLinePunct w:val="0"/>
        <w:bidi w:val="0"/>
        <w:spacing w:before="150" w:line="330" w:lineRule="auto"/>
        <w:ind w:left="230" w:firstLine="48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本招标文件随文另附施工图（电子文件）一套。</w:t>
      </w:r>
    </w:p>
    <w:p w14:paraId="48EB0DBD">
      <w:pPr>
        <w:pStyle w:val="6"/>
        <w:keepNext w:val="0"/>
        <w:keepLines w:val="0"/>
        <w:pageBreakBefore w:val="0"/>
        <w:wordWrap w:val="0"/>
        <w:overflowPunct/>
        <w:topLinePunct w:val="0"/>
        <w:bidi w:val="0"/>
        <w:spacing w:line="253" w:lineRule="auto"/>
        <w:rPr>
          <w:rFonts w:hint="eastAsia" w:ascii="宋体" w:hAnsi="宋体" w:eastAsia="宋体" w:cs="宋体"/>
          <w:color w:val="000000" w:themeColor="text1"/>
          <w:spacing w:val="0"/>
          <w:highlight w:val="none"/>
          <w14:textFill>
            <w14:solidFill>
              <w14:schemeClr w14:val="tx1"/>
            </w14:solidFill>
          </w14:textFill>
        </w:rPr>
      </w:pPr>
    </w:p>
    <w:p w14:paraId="7191C978">
      <w:pPr>
        <w:keepNext w:val="0"/>
        <w:keepLines w:val="0"/>
        <w:pageBreakBefore w:val="0"/>
        <w:wordWrap w:val="0"/>
        <w:overflowPunct/>
        <w:topLinePunct w:val="0"/>
        <w:bidi w:val="0"/>
        <w:spacing w:before="79" w:line="221" w:lineRule="auto"/>
        <w:ind w:left="70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16" w:name="_Toc10026"/>
      <w:bookmarkStart w:id="217" w:name="_Toc9064"/>
      <w:r>
        <w:rPr>
          <w:rFonts w:hint="eastAsia" w:ascii="宋体" w:hAnsi="宋体" w:eastAsia="宋体" w:cs="宋体"/>
          <w:b/>
          <w:bCs/>
          <w:color w:val="000000" w:themeColor="text1"/>
          <w:spacing w:val="0"/>
          <w:sz w:val="24"/>
          <w:szCs w:val="24"/>
          <w:highlight w:val="none"/>
          <w14:textFill>
            <w14:solidFill>
              <w14:schemeClr w14:val="tx1"/>
            </w14:solidFill>
          </w14:textFill>
        </w:rPr>
        <w:t>2 ．招标工程量清单</w:t>
      </w:r>
      <w:bookmarkEnd w:id="216"/>
      <w:bookmarkEnd w:id="217"/>
    </w:p>
    <w:p w14:paraId="6A47FAFD">
      <w:pPr>
        <w:keepNext w:val="0"/>
        <w:keepLines w:val="0"/>
        <w:pageBreakBefore w:val="0"/>
        <w:wordWrap w:val="0"/>
        <w:overflowPunct/>
        <w:topLinePunct w:val="0"/>
        <w:bidi w:val="0"/>
        <w:spacing w:before="117" w:line="312" w:lineRule="auto"/>
        <w:ind w:left="231" w:firstLine="47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2.1  </w:t>
      </w:r>
      <w:r>
        <w:rPr>
          <w:rFonts w:hint="eastAsia" w:ascii="宋体" w:hAnsi="宋体" w:eastAsia="宋体" w:cs="宋体"/>
          <w:color w:val="000000" w:themeColor="text1"/>
          <w:spacing w:val="0"/>
          <w:sz w:val="24"/>
          <w:szCs w:val="24"/>
          <w:highlight w:val="none"/>
          <w14:textFill>
            <w14:solidFill>
              <w14:schemeClr w14:val="tx1"/>
            </w14:solidFill>
          </w14:textFill>
        </w:rPr>
        <w:t>本招标文件随文另附</w:t>
      </w:r>
      <w:bookmarkStart w:id="218" w:name="OLE_LINK33"/>
      <w:r>
        <w:rPr>
          <w:rFonts w:hint="eastAsia" w:ascii="宋体" w:hAnsi="宋体" w:eastAsia="宋体" w:cs="宋体"/>
          <w:color w:val="000000" w:themeColor="text1"/>
          <w:spacing w:val="0"/>
          <w:sz w:val="24"/>
          <w:szCs w:val="24"/>
          <w:highlight w:val="none"/>
          <w:u w:val="single"/>
          <w14:textFill>
            <w14:solidFill>
              <w14:schemeClr w14:val="tx1"/>
            </w14:solidFill>
          </w14:textFill>
        </w:rPr>
        <w:t>招标工程量清单  EXCEL 版</w:t>
      </w:r>
      <w:bookmarkEnd w:id="218"/>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电子文件一套。</w:t>
      </w:r>
    </w:p>
    <w:p w14:paraId="076FE901">
      <w:pPr>
        <w:keepNext w:val="0"/>
        <w:keepLines w:val="0"/>
        <w:pageBreakBefore w:val="0"/>
        <w:wordWrap w:val="0"/>
        <w:overflowPunct/>
        <w:topLinePunct w:val="0"/>
        <w:bidi w:val="0"/>
        <w:spacing w:before="78" w:line="219" w:lineRule="auto"/>
        <w:ind w:left="478" w:firstLine="241" w:firstLineChars="100"/>
        <w:rPr>
          <w:rFonts w:hint="eastAsia" w:ascii="宋体" w:hAnsi="宋体" w:eastAsia="宋体" w:cs="宋体"/>
          <w:color w:val="000000" w:themeColor="text1"/>
          <w:spacing w:val="0"/>
          <w:sz w:val="24"/>
          <w:szCs w:val="24"/>
          <w:highlight w:val="none"/>
          <w14:textFill>
            <w14:solidFill>
              <w14:schemeClr w14:val="tx1"/>
            </w14:solidFill>
          </w14:textFill>
        </w:rPr>
      </w:pPr>
      <w:bookmarkStart w:id="219" w:name="bookmark147"/>
      <w:bookmarkEnd w:id="219"/>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2.2  </w:t>
      </w:r>
      <w:r>
        <w:rPr>
          <w:rFonts w:hint="eastAsia" w:ascii="宋体" w:hAnsi="宋体" w:eastAsia="宋体" w:cs="宋体"/>
          <w:color w:val="000000" w:themeColor="text1"/>
          <w:spacing w:val="0"/>
          <w:sz w:val="24"/>
          <w:szCs w:val="24"/>
          <w:highlight w:val="none"/>
          <w14:textFill>
            <w14:solidFill>
              <w14:schemeClr w14:val="tx1"/>
            </w14:solidFill>
          </w14:textFill>
        </w:rPr>
        <w:t>本工程按照以下依据编制</w:t>
      </w:r>
      <w:r>
        <w:rPr>
          <w:rFonts w:hint="eastAsia" w:ascii="宋体" w:hAnsi="宋体" w:eastAsia="宋体" w:cs="宋体"/>
          <w:color w:val="000000" w:themeColor="text1"/>
          <w:spacing w:val="0"/>
          <w:sz w:val="24"/>
          <w:szCs w:val="24"/>
          <w:highlight w:val="none"/>
          <w:u w:val="single"/>
          <w14:textFill>
            <w14:solidFill>
              <w14:schemeClr w14:val="tx1"/>
            </w14:solidFill>
          </w14:textFill>
        </w:rPr>
        <w:t>招标工程量清单</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678730BC">
      <w:pPr>
        <w:keepNext w:val="0"/>
        <w:keepLines w:val="0"/>
        <w:pageBreakBefore w:val="0"/>
        <w:wordWrap w:val="0"/>
        <w:overflowPunct/>
        <w:topLinePunct w:val="0"/>
        <w:bidi w:val="0"/>
        <w:spacing w:before="123" w:line="219"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53E00F35">
      <w:pPr>
        <w:keepNext w:val="0"/>
        <w:keepLines w:val="0"/>
        <w:pageBreakBefore w:val="0"/>
        <w:wordWrap w:val="0"/>
        <w:overflowPunct/>
        <w:topLinePunct w:val="0"/>
        <w:bidi w:val="0"/>
        <w:spacing w:before="115" w:line="299" w:lineRule="auto"/>
        <w:ind w:firstLine="493"/>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须知 ”规定提交的要求招标人澄清的其他问题一起提交给招标人，招标人将根据实际情况决定是否颁发</w:t>
      </w:r>
      <w:r>
        <w:rPr>
          <w:rFonts w:hint="eastAsia" w:ascii="宋体" w:hAnsi="宋体" w:eastAsia="宋体" w:cs="宋体"/>
          <w:color w:val="000000" w:themeColor="text1"/>
          <w:spacing w:val="0"/>
          <w:sz w:val="24"/>
          <w:szCs w:val="24"/>
          <w:highlight w:val="none"/>
          <w:u w:val="single"/>
          <w14:textFill>
            <w14:solidFill>
              <w14:schemeClr w14:val="tx1"/>
            </w14:solidFill>
          </w14:textFill>
        </w:rPr>
        <w:t>工程量清单</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的补充和(或)修改文件。</w:t>
      </w:r>
    </w:p>
    <w:p w14:paraId="3E496F3B">
      <w:pPr>
        <w:keepNext w:val="0"/>
        <w:keepLines w:val="0"/>
        <w:pageBreakBefore w:val="0"/>
        <w:wordWrap w:val="0"/>
        <w:overflowPunct/>
        <w:topLinePunct w:val="0"/>
        <w:bidi w:val="0"/>
        <w:spacing w:before="79" w:line="263" w:lineRule="auto"/>
        <w:ind w:left="2" w:right="2" w:firstLine="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（3）本招标工程量清单措施项目中的</w:t>
      </w:r>
      <w:r>
        <w:rPr>
          <w:rFonts w:hint="eastAsia" w:ascii="宋体" w:hAnsi="宋体" w:eastAsia="宋体" w:cs="宋体"/>
          <w:b/>
          <w:bCs/>
          <w:color w:val="000000" w:themeColor="text1"/>
          <w:spacing w:val="0"/>
          <w:sz w:val="24"/>
          <w:szCs w:val="24"/>
          <w:highlight w:val="none"/>
          <w14:textFill>
            <w14:solidFill>
              <w14:schemeClr w14:val="tx1"/>
            </w14:solidFill>
          </w14:textFill>
        </w:rPr>
        <w:t>暂列金额、暂估价</w:t>
      </w:r>
      <w:r>
        <w:rPr>
          <w:rFonts w:hint="eastAsia" w:ascii="宋体" w:hAnsi="宋体" w:eastAsia="宋体" w:cs="宋体"/>
          <w:color w:val="000000" w:themeColor="text1"/>
          <w:spacing w:val="0"/>
          <w:sz w:val="24"/>
          <w:szCs w:val="24"/>
          <w:highlight w:val="none"/>
          <w14:textFill>
            <w14:solidFill>
              <w14:schemeClr w14:val="tx1"/>
            </w14:solidFill>
          </w14:textFill>
        </w:rPr>
        <w:t>不得作为竞争性费用，投标报价必须按本招标工程量清单规定的金额填报。</w:t>
      </w:r>
    </w:p>
    <w:p w14:paraId="24C45CC5">
      <w:pPr>
        <w:keepNext w:val="0"/>
        <w:keepLines w:val="0"/>
        <w:pageBreakBefore w:val="0"/>
        <w:wordWrap w:val="0"/>
        <w:overflowPunct/>
        <w:topLinePunct w:val="0"/>
        <w:bidi w:val="0"/>
        <w:spacing w:before="118" w:line="265" w:lineRule="auto"/>
        <w:ind w:left="7" w:right="4" w:firstLine="48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（4）投标报价使用的表格格式须按照 </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《建设工程工程量清单计价标准》（GB/T50500-2024）</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5D89ED6B">
      <w:pPr>
        <w:keepNext w:val="0"/>
        <w:keepLines w:val="0"/>
        <w:pageBreakBefore w:val="0"/>
        <w:wordWrap w:val="0"/>
        <w:overflowPunct/>
        <w:topLinePunct w:val="0"/>
        <w:bidi w:val="0"/>
        <w:spacing w:before="107" w:line="286" w:lineRule="auto"/>
        <w:ind w:right="4" w:firstLine="4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4B3D583F">
      <w:pPr>
        <w:keepNext w:val="0"/>
        <w:keepLines w:val="0"/>
        <w:pageBreakBefore w:val="0"/>
        <w:wordWrap w:val="0"/>
        <w:overflowPunct/>
        <w:topLinePunct w:val="0"/>
        <w:bidi w:val="0"/>
        <w:spacing w:before="146" w:line="221"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（6）施工图及相关资料；</w:t>
      </w:r>
    </w:p>
    <w:p w14:paraId="2C855D25">
      <w:pPr>
        <w:keepNext w:val="0"/>
        <w:keepLines w:val="0"/>
        <w:pageBreakBefore w:val="0"/>
        <w:wordWrap w:val="0"/>
        <w:overflowPunct/>
        <w:topLinePunct w:val="0"/>
        <w:bidi w:val="0"/>
        <w:spacing w:before="153" w:line="220"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（7）招标文件；</w:t>
      </w:r>
    </w:p>
    <w:p w14:paraId="7D4A78D6">
      <w:pPr>
        <w:keepNext w:val="0"/>
        <w:keepLines w:val="0"/>
        <w:pageBreakBefore w:val="0"/>
        <w:wordWrap w:val="0"/>
        <w:overflowPunct/>
        <w:topLinePunct w:val="0"/>
        <w:bidi w:val="0"/>
        <w:spacing w:before="155" w:line="220"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（8）施工现场情况、地勘水文资料、工程特点及常规施工方案；</w:t>
      </w:r>
    </w:p>
    <w:p w14:paraId="617E9DDC">
      <w:pPr>
        <w:keepNext w:val="0"/>
        <w:keepLines w:val="0"/>
        <w:pageBreakBefore w:val="0"/>
        <w:wordWrap w:val="0"/>
        <w:overflowPunct/>
        <w:topLinePunct w:val="0"/>
        <w:bidi w:val="0"/>
        <w:spacing w:before="153" w:line="219"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（9）与建设工程有关的标准、规范、技术资料、材料设备信息价或市场价格等。</w:t>
      </w:r>
    </w:p>
    <w:p w14:paraId="12618F59">
      <w:pPr>
        <w:pStyle w:val="25"/>
        <w:rPr>
          <w:rFonts w:hint="eastAsia"/>
          <w:color w:val="000000" w:themeColor="text1"/>
          <w:highlight w:val="none"/>
          <w14:textFill>
            <w14:solidFill>
              <w14:schemeClr w14:val="tx1"/>
            </w14:solidFill>
          </w14:textFill>
        </w:rPr>
      </w:pPr>
    </w:p>
    <w:p w14:paraId="499D0013">
      <w:pPr>
        <w:keepNext w:val="0"/>
        <w:keepLines w:val="0"/>
        <w:pageBreakBefore w:val="0"/>
        <w:wordWrap w:val="0"/>
        <w:overflowPunct/>
        <w:topLinePunct w:val="0"/>
        <w:bidi w:val="0"/>
        <w:spacing w:line="219" w:lineRule="auto"/>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14"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6C94DD83">
      <w:pPr>
        <w:pStyle w:val="6"/>
        <w:keepNext w:val="0"/>
        <w:keepLines w:val="0"/>
        <w:pageBreakBefore w:val="0"/>
        <w:wordWrap w:val="0"/>
        <w:overflowPunct/>
        <w:topLinePunct w:val="0"/>
        <w:bidi w:val="0"/>
        <w:spacing w:line="304" w:lineRule="auto"/>
        <w:rPr>
          <w:rFonts w:hint="eastAsia" w:ascii="宋体" w:hAnsi="宋体" w:eastAsia="宋体" w:cs="宋体"/>
          <w:color w:val="000000" w:themeColor="text1"/>
          <w:spacing w:val="0"/>
          <w:highlight w:val="none"/>
          <w14:textFill>
            <w14:solidFill>
              <w14:schemeClr w14:val="tx1"/>
            </w14:solidFill>
          </w14:textFill>
        </w:rPr>
      </w:pPr>
    </w:p>
    <w:p w14:paraId="0C8B4CB9">
      <w:pPr>
        <w:keepNext w:val="0"/>
        <w:keepLines w:val="0"/>
        <w:pageBreakBefore w:val="0"/>
        <w:wordWrap w:val="0"/>
        <w:overflowPunct/>
        <w:topLinePunct w:val="0"/>
        <w:bidi w:val="0"/>
        <w:spacing w:before="78" w:line="219" w:lineRule="auto"/>
        <w:ind w:left="3357"/>
        <w:outlineLvl w:val="0"/>
        <w:rPr>
          <w:rFonts w:hint="eastAsia" w:ascii="宋体" w:hAnsi="宋体" w:eastAsia="宋体" w:cs="宋体"/>
          <w:color w:val="000000" w:themeColor="text1"/>
          <w:spacing w:val="0"/>
          <w:sz w:val="24"/>
          <w:szCs w:val="24"/>
          <w:highlight w:val="none"/>
          <w14:textFill>
            <w14:solidFill>
              <w14:schemeClr w14:val="tx1"/>
            </w14:solidFill>
          </w14:textFill>
        </w:rPr>
      </w:pPr>
      <w:bookmarkStart w:id="220" w:name="_Toc20707"/>
      <w:r>
        <w:rPr>
          <w:rFonts w:hint="eastAsia" w:ascii="宋体" w:hAnsi="宋体" w:eastAsia="宋体" w:cs="宋体"/>
          <w:b/>
          <w:bCs/>
          <w:color w:val="000000" w:themeColor="text1"/>
          <w:spacing w:val="0"/>
          <w:sz w:val="24"/>
          <w:szCs w:val="24"/>
          <w:highlight w:val="none"/>
          <w14:textFill>
            <w14:solidFill>
              <w14:schemeClr w14:val="tx1"/>
            </w14:solidFill>
          </w14:textFill>
        </w:rPr>
        <w:t>第六章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投标文件格式</w:t>
      </w:r>
      <w:bookmarkEnd w:id="220"/>
    </w:p>
    <w:p w14:paraId="5B1AE375">
      <w:pPr>
        <w:pStyle w:val="6"/>
        <w:keepNext w:val="0"/>
        <w:keepLines w:val="0"/>
        <w:pageBreakBefore w:val="0"/>
        <w:wordWrap w:val="0"/>
        <w:overflowPunct/>
        <w:topLinePunct w:val="0"/>
        <w:bidi w:val="0"/>
        <w:spacing w:line="302" w:lineRule="auto"/>
        <w:jc w:val="right"/>
        <w:rPr>
          <w:rFonts w:hint="eastAsia" w:ascii="宋体" w:hAnsi="宋体" w:eastAsia="宋体" w:cs="宋体"/>
          <w:color w:val="000000" w:themeColor="text1"/>
          <w:spacing w:val="0"/>
          <w:highlight w:val="none"/>
          <w14:textFill>
            <w14:solidFill>
              <w14:schemeClr w14:val="tx1"/>
            </w14:solidFill>
          </w14:textFill>
        </w:rPr>
      </w:pPr>
    </w:p>
    <w:p w14:paraId="732FF561">
      <w:pPr>
        <w:keepNext w:val="0"/>
        <w:keepLines w:val="0"/>
        <w:pageBreakBefore w:val="0"/>
        <w:wordWrap w:val="0"/>
        <w:overflowPunct/>
        <w:topLinePunct w:val="0"/>
        <w:bidi w:val="0"/>
        <w:spacing w:before="78" w:line="220" w:lineRule="auto"/>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21" w:name="_Toc55"/>
      <w:r>
        <w:rPr>
          <w:rFonts w:hint="eastAsia" w:ascii="宋体" w:hAnsi="宋体" w:eastAsia="宋体" w:cs="宋体"/>
          <w:b/>
          <w:bCs/>
          <w:color w:val="000000" w:themeColor="text1"/>
          <w:spacing w:val="0"/>
          <w:sz w:val="24"/>
          <w:szCs w:val="24"/>
          <w:highlight w:val="none"/>
          <w14:textFill>
            <w14:solidFill>
              <w14:schemeClr w14:val="tx1"/>
            </w14:solidFill>
          </w14:textFill>
        </w:rPr>
        <w:t>格式一</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封面</w:t>
      </w:r>
      <w:bookmarkEnd w:id="221"/>
    </w:p>
    <w:p w14:paraId="3D936F71">
      <w:pPr>
        <w:pStyle w:val="6"/>
        <w:keepNext w:val="0"/>
        <w:keepLines w:val="0"/>
        <w:pageBreakBefore w:val="0"/>
        <w:wordWrap w:val="0"/>
        <w:overflowPunct/>
        <w:topLinePunct w:val="0"/>
        <w:bidi w:val="0"/>
        <w:spacing w:line="258" w:lineRule="auto"/>
        <w:rPr>
          <w:rFonts w:hint="eastAsia" w:ascii="宋体" w:hAnsi="宋体" w:eastAsia="宋体" w:cs="宋体"/>
          <w:color w:val="000000" w:themeColor="text1"/>
          <w:spacing w:val="0"/>
          <w:highlight w:val="none"/>
          <w14:textFill>
            <w14:solidFill>
              <w14:schemeClr w14:val="tx1"/>
            </w14:solidFill>
          </w14:textFill>
        </w:rPr>
      </w:pPr>
    </w:p>
    <w:p w14:paraId="068AB70E">
      <w:pPr>
        <w:pStyle w:val="6"/>
        <w:keepNext w:val="0"/>
        <w:keepLines w:val="0"/>
        <w:pageBreakBefore w:val="0"/>
        <w:wordWrap w:val="0"/>
        <w:overflowPunct/>
        <w:topLinePunct w:val="0"/>
        <w:bidi w:val="0"/>
        <w:spacing w:line="259" w:lineRule="auto"/>
        <w:rPr>
          <w:rFonts w:hint="eastAsia" w:ascii="宋体" w:hAnsi="宋体" w:eastAsia="宋体" w:cs="宋体"/>
          <w:color w:val="000000" w:themeColor="text1"/>
          <w:spacing w:val="0"/>
          <w:highlight w:val="none"/>
          <w14:textFill>
            <w14:solidFill>
              <w14:schemeClr w14:val="tx1"/>
            </w14:solidFill>
          </w14:textFill>
        </w:rPr>
      </w:pPr>
    </w:p>
    <w:p w14:paraId="0DE0F809">
      <w:pPr>
        <w:pStyle w:val="6"/>
        <w:keepNext w:val="0"/>
        <w:keepLines w:val="0"/>
        <w:pageBreakBefore w:val="0"/>
        <w:wordWrap w:val="0"/>
        <w:overflowPunct/>
        <w:topLinePunct w:val="0"/>
        <w:bidi w:val="0"/>
        <w:spacing w:line="259" w:lineRule="auto"/>
        <w:rPr>
          <w:rFonts w:hint="eastAsia" w:ascii="宋体" w:hAnsi="宋体" w:eastAsia="宋体" w:cs="宋体"/>
          <w:color w:val="000000" w:themeColor="text1"/>
          <w:spacing w:val="0"/>
          <w:highlight w:val="none"/>
          <w14:textFill>
            <w14:solidFill>
              <w14:schemeClr w14:val="tx1"/>
            </w14:solidFill>
          </w14:textFill>
        </w:rPr>
      </w:pPr>
    </w:p>
    <w:p w14:paraId="5ED9FBF6">
      <w:pPr>
        <w:keepNext w:val="0"/>
        <w:keepLines w:val="0"/>
        <w:pageBreakBefore w:val="0"/>
        <w:wordWrap w:val="0"/>
        <w:overflowPunct/>
        <w:topLinePunct w:val="0"/>
        <w:bidi w:val="0"/>
        <w:spacing w:before="153" w:line="225" w:lineRule="auto"/>
        <w:ind w:left="-1" w:leftChars="0" w:firstLine="0" w:firstLineChars="0"/>
        <w:jc w:val="center"/>
        <w:rPr>
          <w:rFonts w:hint="eastAsia" w:ascii="宋体" w:hAnsi="宋体" w:eastAsia="宋体" w:cs="宋体"/>
          <w:color w:val="000000" w:themeColor="text1"/>
          <w:spacing w:val="0"/>
          <w:sz w:val="47"/>
          <w:szCs w:val="47"/>
          <w:highlight w:val="none"/>
          <w14:textFill>
            <w14:solidFill>
              <w14:schemeClr w14:val="tx1"/>
            </w14:solidFill>
          </w14:textFill>
        </w:rPr>
      </w:pPr>
      <w:r>
        <w:rPr>
          <w:rFonts w:hint="eastAsia" w:ascii="宋体" w:hAnsi="宋体" w:eastAsia="宋体" w:cs="宋体"/>
          <w:b/>
          <w:bCs/>
          <w:color w:val="000000" w:themeColor="text1"/>
          <w:spacing w:val="0"/>
          <w:sz w:val="47"/>
          <w:szCs w:val="47"/>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spacing w:val="0"/>
          <w:sz w:val="47"/>
          <w:szCs w:val="47"/>
          <w:highlight w:val="none"/>
          <w:u w:val="single"/>
          <w14:textFill>
            <w14:solidFill>
              <w14:schemeClr w14:val="tx1"/>
            </w14:solidFill>
          </w14:textFill>
        </w:rPr>
        <w:t>（项目名称）</w:t>
      </w:r>
      <w:r>
        <w:rPr>
          <w:rFonts w:hint="eastAsia" w:ascii="宋体" w:hAnsi="宋体" w:eastAsia="宋体" w:cs="宋体"/>
          <w:b/>
          <w:bCs/>
          <w:color w:val="000000" w:themeColor="text1"/>
          <w:spacing w:val="0"/>
          <w:sz w:val="47"/>
          <w:szCs w:val="47"/>
          <w:highlight w:val="none"/>
          <w:u w:val="none"/>
          <w:lang w:val="en-US" w:eastAsia="zh-CN"/>
          <w14:textFill>
            <w14:solidFill>
              <w14:schemeClr w14:val="tx1"/>
            </w14:solidFill>
          </w14:textFill>
        </w:rPr>
        <w:t>施工</w:t>
      </w:r>
      <w:r>
        <w:rPr>
          <w:rFonts w:hint="eastAsia" w:ascii="宋体" w:hAnsi="宋体" w:eastAsia="宋体" w:cs="宋体"/>
          <w:b/>
          <w:bCs/>
          <w:color w:val="000000" w:themeColor="text1"/>
          <w:spacing w:val="0"/>
          <w:sz w:val="47"/>
          <w:szCs w:val="47"/>
          <w:highlight w:val="none"/>
          <w14:textFill>
            <w14:solidFill>
              <w14:schemeClr w14:val="tx1"/>
            </w14:solidFill>
          </w14:textFill>
        </w:rPr>
        <w:t>招标</w:t>
      </w:r>
    </w:p>
    <w:p w14:paraId="6DEABEF4">
      <w:pPr>
        <w:pStyle w:val="6"/>
        <w:keepNext w:val="0"/>
        <w:keepLines w:val="0"/>
        <w:pageBreakBefore w:val="0"/>
        <w:wordWrap w:val="0"/>
        <w:overflowPunct/>
        <w:topLinePunct w:val="0"/>
        <w:bidi w:val="0"/>
        <w:spacing w:line="247" w:lineRule="auto"/>
        <w:rPr>
          <w:rFonts w:hint="eastAsia" w:ascii="宋体" w:hAnsi="宋体" w:eastAsia="宋体" w:cs="宋体"/>
          <w:color w:val="000000" w:themeColor="text1"/>
          <w:spacing w:val="0"/>
          <w:highlight w:val="none"/>
          <w14:textFill>
            <w14:solidFill>
              <w14:schemeClr w14:val="tx1"/>
            </w14:solidFill>
          </w14:textFill>
        </w:rPr>
      </w:pPr>
    </w:p>
    <w:p w14:paraId="5EF5EDE9">
      <w:pPr>
        <w:pStyle w:val="6"/>
        <w:keepNext w:val="0"/>
        <w:keepLines w:val="0"/>
        <w:pageBreakBefore w:val="0"/>
        <w:wordWrap w:val="0"/>
        <w:overflowPunct/>
        <w:topLinePunct w:val="0"/>
        <w:bidi w:val="0"/>
        <w:spacing w:line="247" w:lineRule="auto"/>
        <w:rPr>
          <w:rFonts w:hint="eastAsia" w:ascii="宋体" w:hAnsi="宋体" w:eastAsia="宋体" w:cs="宋体"/>
          <w:color w:val="000000" w:themeColor="text1"/>
          <w:spacing w:val="0"/>
          <w:highlight w:val="none"/>
          <w14:textFill>
            <w14:solidFill>
              <w14:schemeClr w14:val="tx1"/>
            </w14:solidFill>
          </w14:textFill>
        </w:rPr>
      </w:pPr>
    </w:p>
    <w:p w14:paraId="34AB878A">
      <w:pPr>
        <w:pStyle w:val="6"/>
        <w:keepNext w:val="0"/>
        <w:keepLines w:val="0"/>
        <w:pageBreakBefore w:val="0"/>
        <w:wordWrap w:val="0"/>
        <w:overflowPunct/>
        <w:topLinePunct w:val="0"/>
        <w:bidi w:val="0"/>
        <w:spacing w:line="247" w:lineRule="auto"/>
        <w:rPr>
          <w:rFonts w:hint="eastAsia" w:ascii="宋体" w:hAnsi="宋体" w:eastAsia="宋体" w:cs="宋体"/>
          <w:color w:val="000000" w:themeColor="text1"/>
          <w:spacing w:val="0"/>
          <w:highlight w:val="none"/>
          <w14:textFill>
            <w14:solidFill>
              <w14:schemeClr w14:val="tx1"/>
            </w14:solidFill>
          </w14:textFill>
        </w:rPr>
      </w:pPr>
    </w:p>
    <w:p w14:paraId="15E641E6">
      <w:pPr>
        <w:pStyle w:val="6"/>
        <w:keepNext w:val="0"/>
        <w:keepLines w:val="0"/>
        <w:pageBreakBefore w:val="0"/>
        <w:wordWrap w:val="0"/>
        <w:overflowPunct/>
        <w:topLinePunct w:val="0"/>
        <w:bidi w:val="0"/>
        <w:spacing w:line="247" w:lineRule="auto"/>
        <w:rPr>
          <w:rFonts w:hint="eastAsia" w:ascii="宋体" w:hAnsi="宋体" w:eastAsia="宋体" w:cs="宋体"/>
          <w:color w:val="000000" w:themeColor="text1"/>
          <w:spacing w:val="0"/>
          <w:highlight w:val="none"/>
          <w14:textFill>
            <w14:solidFill>
              <w14:schemeClr w14:val="tx1"/>
            </w14:solidFill>
          </w14:textFill>
        </w:rPr>
      </w:pPr>
    </w:p>
    <w:p w14:paraId="3098056B">
      <w:pPr>
        <w:pStyle w:val="6"/>
        <w:keepNext w:val="0"/>
        <w:keepLines w:val="0"/>
        <w:pageBreakBefore w:val="0"/>
        <w:wordWrap w:val="0"/>
        <w:overflowPunct/>
        <w:topLinePunct w:val="0"/>
        <w:bidi w:val="0"/>
        <w:spacing w:line="248" w:lineRule="auto"/>
        <w:rPr>
          <w:rFonts w:hint="eastAsia" w:ascii="宋体" w:hAnsi="宋体" w:eastAsia="宋体" w:cs="宋体"/>
          <w:color w:val="000000" w:themeColor="text1"/>
          <w:spacing w:val="0"/>
          <w:highlight w:val="none"/>
          <w14:textFill>
            <w14:solidFill>
              <w14:schemeClr w14:val="tx1"/>
            </w14:solidFill>
          </w14:textFill>
        </w:rPr>
      </w:pPr>
    </w:p>
    <w:p w14:paraId="4ECB4A2E">
      <w:pPr>
        <w:keepNext w:val="0"/>
        <w:keepLines w:val="0"/>
        <w:pageBreakBefore w:val="0"/>
        <w:wordWrap w:val="0"/>
        <w:overflowPunct/>
        <w:topLinePunct w:val="0"/>
        <w:bidi w:val="0"/>
        <w:spacing w:before="231" w:line="223" w:lineRule="auto"/>
        <w:jc w:val="center"/>
        <w:rPr>
          <w:rFonts w:hint="eastAsia" w:ascii="宋体" w:hAnsi="宋体" w:eastAsia="宋体" w:cs="宋体"/>
          <w:color w:val="000000" w:themeColor="text1"/>
          <w:spacing w:val="0"/>
          <w:sz w:val="71"/>
          <w:szCs w:val="71"/>
          <w:highlight w:val="none"/>
          <w14:textFill>
            <w14:solidFill>
              <w14:schemeClr w14:val="tx1"/>
            </w14:solidFill>
          </w14:textFill>
        </w:rPr>
      </w:pPr>
      <w:r>
        <w:rPr>
          <w:rFonts w:hint="eastAsia" w:ascii="宋体" w:hAnsi="宋体" w:eastAsia="宋体" w:cs="宋体"/>
          <w:b/>
          <w:bCs/>
          <w:color w:val="000000" w:themeColor="text1"/>
          <w:spacing w:val="0"/>
          <w:sz w:val="71"/>
          <w:szCs w:val="71"/>
          <w:highlight w:val="none"/>
          <w14:textFill>
            <w14:solidFill>
              <w14:schemeClr w14:val="tx1"/>
            </w14:solidFill>
          </w14:textFill>
        </w:rPr>
        <w:t>投</w:t>
      </w:r>
      <w:r>
        <w:rPr>
          <w:rFonts w:hint="eastAsia" w:ascii="宋体" w:hAnsi="宋体" w:eastAsia="宋体" w:cs="宋体"/>
          <w:color w:val="000000" w:themeColor="text1"/>
          <w:spacing w:val="0"/>
          <w:sz w:val="71"/>
          <w:szCs w:val="71"/>
          <w:highlight w:val="none"/>
          <w14:textFill>
            <w14:solidFill>
              <w14:schemeClr w14:val="tx1"/>
            </w14:solidFill>
          </w14:textFill>
        </w:rPr>
        <w:t xml:space="preserve">  </w:t>
      </w:r>
      <w:r>
        <w:rPr>
          <w:rFonts w:hint="eastAsia" w:ascii="宋体" w:hAnsi="宋体" w:eastAsia="宋体" w:cs="宋体"/>
          <w:b/>
          <w:bCs/>
          <w:color w:val="000000" w:themeColor="text1"/>
          <w:spacing w:val="0"/>
          <w:sz w:val="71"/>
          <w:szCs w:val="71"/>
          <w:highlight w:val="none"/>
          <w14:textFill>
            <w14:solidFill>
              <w14:schemeClr w14:val="tx1"/>
            </w14:solidFill>
          </w14:textFill>
        </w:rPr>
        <w:t>标</w:t>
      </w:r>
      <w:r>
        <w:rPr>
          <w:rFonts w:hint="eastAsia" w:ascii="宋体" w:hAnsi="宋体" w:eastAsia="宋体" w:cs="宋体"/>
          <w:color w:val="000000" w:themeColor="text1"/>
          <w:spacing w:val="0"/>
          <w:sz w:val="71"/>
          <w:szCs w:val="71"/>
          <w:highlight w:val="none"/>
          <w14:textFill>
            <w14:solidFill>
              <w14:schemeClr w14:val="tx1"/>
            </w14:solidFill>
          </w14:textFill>
        </w:rPr>
        <w:t xml:space="preserve">  </w:t>
      </w:r>
      <w:r>
        <w:rPr>
          <w:rFonts w:hint="eastAsia" w:ascii="宋体" w:hAnsi="宋体" w:eastAsia="宋体" w:cs="宋体"/>
          <w:b/>
          <w:bCs/>
          <w:color w:val="000000" w:themeColor="text1"/>
          <w:spacing w:val="0"/>
          <w:sz w:val="71"/>
          <w:szCs w:val="71"/>
          <w:highlight w:val="none"/>
          <w14:textFill>
            <w14:solidFill>
              <w14:schemeClr w14:val="tx1"/>
            </w14:solidFill>
          </w14:textFill>
        </w:rPr>
        <w:t>文</w:t>
      </w:r>
      <w:r>
        <w:rPr>
          <w:rFonts w:hint="eastAsia" w:ascii="宋体" w:hAnsi="宋体" w:eastAsia="宋体" w:cs="宋体"/>
          <w:color w:val="000000" w:themeColor="text1"/>
          <w:spacing w:val="0"/>
          <w:sz w:val="71"/>
          <w:szCs w:val="71"/>
          <w:highlight w:val="none"/>
          <w14:textFill>
            <w14:solidFill>
              <w14:schemeClr w14:val="tx1"/>
            </w14:solidFill>
          </w14:textFill>
        </w:rPr>
        <w:t xml:space="preserve">  </w:t>
      </w:r>
      <w:r>
        <w:rPr>
          <w:rFonts w:hint="eastAsia" w:ascii="宋体" w:hAnsi="宋体" w:eastAsia="宋体" w:cs="宋体"/>
          <w:b/>
          <w:bCs/>
          <w:color w:val="000000" w:themeColor="text1"/>
          <w:spacing w:val="0"/>
          <w:sz w:val="71"/>
          <w:szCs w:val="71"/>
          <w:highlight w:val="none"/>
          <w14:textFill>
            <w14:solidFill>
              <w14:schemeClr w14:val="tx1"/>
            </w14:solidFill>
          </w14:textFill>
        </w:rPr>
        <w:t>件</w:t>
      </w:r>
    </w:p>
    <w:p w14:paraId="23F78714">
      <w:pPr>
        <w:pStyle w:val="6"/>
        <w:keepNext w:val="0"/>
        <w:keepLines w:val="0"/>
        <w:pageBreakBefore w:val="0"/>
        <w:wordWrap w:val="0"/>
        <w:overflowPunct/>
        <w:topLinePunct w:val="0"/>
        <w:bidi w:val="0"/>
        <w:spacing w:line="293" w:lineRule="auto"/>
        <w:rPr>
          <w:rFonts w:hint="eastAsia" w:ascii="宋体" w:hAnsi="宋体" w:eastAsia="宋体" w:cs="宋体"/>
          <w:color w:val="000000" w:themeColor="text1"/>
          <w:spacing w:val="0"/>
          <w:highlight w:val="none"/>
          <w14:textFill>
            <w14:solidFill>
              <w14:schemeClr w14:val="tx1"/>
            </w14:solidFill>
          </w14:textFill>
        </w:rPr>
      </w:pPr>
    </w:p>
    <w:p w14:paraId="0CD43441">
      <w:pPr>
        <w:pStyle w:val="6"/>
        <w:keepNext w:val="0"/>
        <w:keepLines w:val="0"/>
        <w:pageBreakBefore w:val="0"/>
        <w:wordWrap w:val="0"/>
        <w:overflowPunct/>
        <w:topLinePunct w:val="0"/>
        <w:bidi w:val="0"/>
        <w:spacing w:line="293" w:lineRule="auto"/>
        <w:rPr>
          <w:rFonts w:hint="eastAsia" w:ascii="宋体" w:hAnsi="宋体" w:eastAsia="宋体" w:cs="宋体"/>
          <w:color w:val="000000" w:themeColor="text1"/>
          <w:spacing w:val="0"/>
          <w:highlight w:val="none"/>
          <w14:textFill>
            <w14:solidFill>
              <w14:schemeClr w14:val="tx1"/>
            </w14:solidFill>
          </w14:textFill>
        </w:rPr>
      </w:pPr>
    </w:p>
    <w:p w14:paraId="48210BB7">
      <w:pPr>
        <w:keepNext w:val="0"/>
        <w:keepLines w:val="0"/>
        <w:pageBreakBefore w:val="0"/>
        <w:wordWrap w:val="0"/>
        <w:overflowPunct/>
        <w:topLinePunct w:val="0"/>
        <w:bidi w:val="0"/>
        <w:spacing w:before="152" w:line="223" w:lineRule="auto"/>
        <w:jc w:val="center"/>
        <w:rPr>
          <w:rFonts w:hint="eastAsia" w:ascii="宋体" w:hAnsi="宋体" w:eastAsia="宋体" w:cs="宋体"/>
          <w:b/>
          <w:bCs/>
          <w:color w:val="000000" w:themeColor="text1"/>
          <w:spacing w:val="0"/>
          <w:sz w:val="47"/>
          <w:szCs w:val="47"/>
          <w:highlight w:val="none"/>
          <w14:textFill>
            <w14:solidFill>
              <w14:schemeClr w14:val="tx1"/>
            </w14:solidFill>
          </w14:textFill>
        </w:rPr>
      </w:pPr>
      <w:bookmarkStart w:id="222" w:name="bookmark105"/>
      <w:bookmarkEnd w:id="222"/>
      <w:r>
        <w:rPr>
          <w:rFonts w:hint="eastAsia" w:ascii="宋体" w:hAnsi="宋体" w:eastAsia="宋体" w:cs="宋体"/>
          <w:b/>
          <w:bCs/>
          <w:color w:val="000000" w:themeColor="text1"/>
          <w:spacing w:val="0"/>
          <w:sz w:val="47"/>
          <w:szCs w:val="47"/>
          <w:highlight w:val="none"/>
          <w14:textFill>
            <w14:solidFill>
              <w14:schemeClr w14:val="tx1"/>
            </w14:solidFill>
          </w14:textFill>
        </w:rPr>
        <w:t>（商务标书／经济标书／施工组织设计／</w:t>
      </w:r>
      <w:r>
        <w:rPr>
          <w:rFonts w:hint="eastAsia" w:ascii="宋体" w:hAnsi="宋体" w:eastAsia="宋体" w:cs="宋体"/>
          <w:b/>
          <w:bCs/>
          <w:color w:val="000000" w:themeColor="text1"/>
          <w:spacing w:val="0"/>
          <w:sz w:val="47"/>
          <w:szCs w:val="47"/>
          <w:highlight w:val="none"/>
          <w:lang w:val="en-US" w:eastAsia="zh-CN"/>
          <w14:textFill>
            <w14:solidFill>
              <w14:schemeClr w14:val="tx1"/>
            </w14:solidFill>
          </w14:textFill>
        </w:rPr>
        <w:t>定标文件</w:t>
      </w:r>
      <w:r>
        <w:rPr>
          <w:rFonts w:hint="eastAsia" w:ascii="宋体" w:hAnsi="宋体" w:eastAsia="宋体" w:cs="宋体"/>
          <w:b/>
          <w:bCs/>
          <w:color w:val="000000" w:themeColor="text1"/>
          <w:spacing w:val="0"/>
          <w:sz w:val="47"/>
          <w:szCs w:val="47"/>
          <w:highlight w:val="none"/>
          <w14:textFill>
            <w14:solidFill>
              <w14:schemeClr w14:val="tx1"/>
            </w14:solidFill>
          </w14:textFill>
        </w:rPr>
        <w:t>）</w:t>
      </w:r>
    </w:p>
    <w:p w14:paraId="33EFFA4B">
      <w:pPr>
        <w:keepNext w:val="0"/>
        <w:keepLines w:val="0"/>
        <w:pageBreakBefore w:val="0"/>
        <w:wordWrap w:val="0"/>
        <w:overflowPunct/>
        <w:topLinePunct w:val="0"/>
        <w:bidi w:val="0"/>
        <w:rPr>
          <w:rFonts w:hint="eastAsia"/>
          <w:color w:val="000000" w:themeColor="text1"/>
          <w:spacing w:val="0"/>
          <w:highlight w:val="none"/>
          <w14:textFill>
            <w14:solidFill>
              <w14:schemeClr w14:val="tx1"/>
            </w14:solidFill>
          </w14:textFill>
        </w:rPr>
      </w:pPr>
    </w:p>
    <w:p w14:paraId="71694CDA">
      <w:pPr>
        <w:keepNext w:val="0"/>
        <w:keepLines w:val="0"/>
        <w:pageBreakBefore w:val="0"/>
        <w:wordWrap w:val="0"/>
        <w:overflowPunct/>
        <w:topLinePunct w:val="0"/>
        <w:bidi w:val="0"/>
        <w:rPr>
          <w:rFonts w:hint="eastAsia"/>
          <w:color w:val="000000" w:themeColor="text1"/>
          <w:spacing w:val="0"/>
          <w:highlight w:val="none"/>
          <w14:textFill>
            <w14:solidFill>
              <w14:schemeClr w14:val="tx1"/>
            </w14:solidFill>
          </w14:textFill>
        </w:rPr>
      </w:pPr>
    </w:p>
    <w:p w14:paraId="7C6BCB43">
      <w:pPr>
        <w:keepNext w:val="0"/>
        <w:keepLines w:val="0"/>
        <w:pageBreakBefore w:val="0"/>
        <w:wordWrap w:val="0"/>
        <w:overflowPunct/>
        <w:topLinePunct w:val="0"/>
        <w:bidi w:val="0"/>
        <w:rPr>
          <w:rFonts w:hint="eastAsia"/>
          <w:color w:val="000000" w:themeColor="text1"/>
          <w:spacing w:val="0"/>
          <w:highlight w:val="none"/>
          <w14:textFill>
            <w14:solidFill>
              <w14:schemeClr w14:val="tx1"/>
            </w14:solidFill>
          </w14:textFill>
        </w:rPr>
      </w:pPr>
    </w:p>
    <w:p w14:paraId="10E86CD1">
      <w:pPr>
        <w:keepNext w:val="0"/>
        <w:keepLines w:val="0"/>
        <w:pageBreakBefore w:val="0"/>
        <w:wordWrap w:val="0"/>
        <w:overflowPunct/>
        <w:topLinePunct w:val="0"/>
        <w:bidi w:val="0"/>
        <w:rPr>
          <w:rFonts w:hint="eastAsia"/>
          <w:color w:val="000000" w:themeColor="text1"/>
          <w:spacing w:val="0"/>
          <w:highlight w:val="none"/>
          <w14:textFill>
            <w14:solidFill>
              <w14:schemeClr w14:val="tx1"/>
            </w14:solidFill>
          </w14:textFill>
        </w:rPr>
      </w:pPr>
    </w:p>
    <w:p w14:paraId="7AB4BF47">
      <w:pPr>
        <w:keepNext w:val="0"/>
        <w:keepLines w:val="0"/>
        <w:pageBreakBefore w:val="0"/>
        <w:wordWrap w:val="0"/>
        <w:overflowPunct/>
        <w:topLinePunct w:val="0"/>
        <w:bidi w:val="0"/>
        <w:rPr>
          <w:rFonts w:hint="eastAsia"/>
          <w:color w:val="000000" w:themeColor="text1"/>
          <w:spacing w:val="0"/>
          <w:highlight w:val="none"/>
          <w14:textFill>
            <w14:solidFill>
              <w14:schemeClr w14:val="tx1"/>
            </w14:solidFill>
          </w14:textFill>
        </w:rPr>
      </w:pPr>
    </w:p>
    <w:p w14:paraId="17C1C6BE">
      <w:pPr>
        <w:keepNext w:val="0"/>
        <w:keepLines w:val="0"/>
        <w:pageBreakBefore w:val="0"/>
        <w:wordWrap w:val="0"/>
        <w:overflowPunct/>
        <w:topLinePunct w:val="0"/>
        <w:bidi w:val="0"/>
        <w:rPr>
          <w:rFonts w:hint="eastAsia"/>
          <w:color w:val="000000" w:themeColor="text1"/>
          <w:spacing w:val="0"/>
          <w:highlight w:val="none"/>
          <w14:textFill>
            <w14:solidFill>
              <w14:schemeClr w14:val="tx1"/>
            </w14:solidFill>
          </w14:textFill>
        </w:rPr>
      </w:pPr>
    </w:p>
    <w:p w14:paraId="313F4F70">
      <w:pPr>
        <w:keepNext w:val="0"/>
        <w:keepLines w:val="0"/>
        <w:pageBreakBefore w:val="0"/>
        <w:wordWrap w:val="0"/>
        <w:overflowPunct/>
        <w:topLinePunct w:val="0"/>
        <w:bidi w:val="0"/>
        <w:rPr>
          <w:rFonts w:hint="eastAsia"/>
          <w:color w:val="000000" w:themeColor="text1"/>
          <w:spacing w:val="0"/>
          <w:highlight w:val="none"/>
          <w14:textFill>
            <w14:solidFill>
              <w14:schemeClr w14:val="tx1"/>
            </w14:solidFill>
          </w14:textFill>
        </w:rPr>
      </w:pPr>
    </w:p>
    <w:p w14:paraId="2D1F340C">
      <w:pPr>
        <w:pStyle w:val="46"/>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14:textFill>
            <w14:solidFill>
              <w14:schemeClr w14:val="tx1"/>
            </w14:solidFill>
          </w14:textFill>
        </w:rPr>
      </w:pPr>
      <w:r>
        <w:rPr>
          <w:rFonts w:hint="eastAsia" w:ascii="宋体" w:hAnsi="宋体" w:eastAsia="宋体" w:cs="宋体"/>
          <w:bCs/>
          <w:snapToGrid w:val="0"/>
          <w:color w:val="000000" w:themeColor="text1"/>
          <w:spacing w:val="0"/>
          <w:sz w:val="32"/>
          <w:highlight w:val="none"/>
          <w14:textFill>
            <w14:solidFill>
              <w14:schemeClr w14:val="tx1"/>
            </w14:solidFill>
          </w14:textFill>
        </w:rPr>
        <w:t>投标人：</w:t>
      </w:r>
      <w:r>
        <w:rPr>
          <w:rFonts w:hint="eastAsia" w:ascii="宋体" w:hAnsi="宋体" w:eastAsia="宋体" w:cs="宋体"/>
          <w:bCs/>
          <w:snapToGrid w:val="0"/>
          <w:color w:val="000000" w:themeColor="text1"/>
          <w:spacing w:val="0"/>
          <w:sz w:val="32"/>
          <w:highlight w:val="none"/>
          <w:u w:val="single"/>
          <w14:textFill>
            <w14:solidFill>
              <w14:schemeClr w14:val="tx1"/>
            </w14:solidFill>
          </w14:textFill>
        </w:rPr>
        <w:t xml:space="preserve">                                    </w:t>
      </w:r>
      <w:r>
        <w:rPr>
          <w:rFonts w:hint="eastAsia" w:ascii="宋体" w:hAnsi="宋体" w:eastAsia="宋体" w:cs="宋体"/>
          <w:bCs/>
          <w:snapToGrid w:val="0"/>
          <w:color w:val="000000" w:themeColor="text1"/>
          <w:spacing w:val="0"/>
          <w:sz w:val="32"/>
          <w:highlight w:val="none"/>
          <w14:textFill>
            <w14:solidFill>
              <w14:schemeClr w14:val="tx1"/>
            </w14:solidFill>
          </w14:textFill>
        </w:rPr>
        <w:t>（盖单位章）</w:t>
      </w:r>
    </w:p>
    <w:p w14:paraId="711C8DA7">
      <w:pPr>
        <w:pStyle w:val="46"/>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14:textFill>
            <w14:solidFill>
              <w14:schemeClr w14:val="tx1"/>
            </w14:solidFill>
          </w14:textFill>
        </w:rPr>
      </w:pPr>
    </w:p>
    <w:p w14:paraId="3752A510">
      <w:pPr>
        <w:pStyle w:val="46"/>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14:textFill>
            <w14:solidFill>
              <w14:schemeClr w14:val="tx1"/>
            </w14:solidFill>
          </w14:textFill>
        </w:rPr>
      </w:pPr>
    </w:p>
    <w:p w14:paraId="7191B422">
      <w:pPr>
        <w:pStyle w:val="46"/>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14:textFill>
            <w14:solidFill>
              <w14:schemeClr w14:val="tx1"/>
            </w14:solidFill>
          </w14:textFill>
        </w:rPr>
      </w:pPr>
      <w:r>
        <w:rPr>
          <w:rFonts w:hint="eastAsia" w:ascii="宋体" w:hAnsi="宋体" w:eastAsia="宋体" w:cs="宋体"/>
          <w:bCs/>
          <w:snapToGrid w:val="0"/>
          <w:color w:val="000000" w:themeColor="text1"/>
          <w:spacing w:val="0"/>
          <w:sz w:val="32"/>
          <w:highlight w:val="none"/>
          <w14:textFill>
            <w14:solidFill>
              <w14:schemeClr w14:val="tx1"/>
            </w14:solidFill>
          </w14:textFill>
        </w:rPr>
        <w:t>法定代表人或其委托代理人：</w:t>
      </w:r>
      <w:r>
        <w:rPr>
          <w:rFonts w:hint="eastAsia" w:ascii="宋体" w:hAnsi="宋体" w:eastAsia="宋体" w:cs="宋体"/>
          <w:bCs/>
          <w:snapToGrid w:val="0"/>
          <w:color w:val="000000" w:themeColor="text1"/>
          <w:spacing w:val="0"/>
          <w:sz w:val="32"/>
          <w:highlight w:val="none"/>
          <w:u w:val="single"/>
          <w14:textFill>
            <w14:solidFill>
              <w14:schemeClr w14:val="tx1"/>
            </w14:solidFill>
          </w14:textFill>
        </w:rPr>
        <w:t xml:space="preserve">                 </w:t>
      </w:r>
      <w:r>
        <w:rPr>
          <w:rFonts w:hint="eastAsia" w:ascii="宋体" w:hAnsi="宋体" w:eastAsia="宋体" w:cs="宋体"/>
          <w:bCs/>
          <w:snapToGrid w:val="0"/>
          <w:color w:val="000000" w:themeColor="text1"/>
          <w:spacing w:val="0"/>
          <w:sz w:val="32"/>
          <w:highlight w:val="none"/>
          <w14:textFill>
            <w14:solidFill>
              <w14:schemeClr w14:val="tx1"/>
            </w14:solidFill>
          </w14:textFill>
        </w:rPr>
        <w:t>（签字或盖章）</w:t>
      </w:r>
    </w:p>
    <w:p w14:paraId="76469CE6">
      <w:pPr>
        <w:pStyle w:val="46"/>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14:textFill>
            <w14:solidFill>
              <w14:schemeClr w14:val="tx1"/>
            </w14:solidFill>
          </w14:textFill>
        </w:rPr>
      </w:pPr>
    </w:p>
    <w:p w14:paraId="06FBE36F">
      <w:pPr>
        <w:pStyle w:val="46"/>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u w:val="single"/>
          <w14:textFill>
            <w14:solidFill>
              <w14:schemeClr w14:val="tx1"/>
            </w14:solidFill>
          </w14:textFill>
        </w:rPr>
      </w:pPr>
    </w:p>
    <w:p w14:paraId="6C1EC974">
      <w:pPr>
        <w:pStyle w:val="46"/>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
          <w:snapToGrid w:val="0"/>
          <w:color w:val="000000" w:themeColor="text1"/>
          <w:spacing w:val="0"/>
          <w:highlight w:val="none"/>
          <w14:textFill>
            <w14:solidFill>
              <w14:schemeClr w14:val="tx1"/>
            </w14:solidFill>
          </w14:textFill>
        </w:rPr>
      </w:pPr>
      <w:r>
        <w:rPr>
          <w:rFonts w:hint="eastAsia" w:ascii="宋体" w:hAnsi="宋体" w:eastAsia="宋体" w:cs="宋体"/>
          <w:bCs/>
          <w:snapToGrid w:val="0"/>
          <w:color w:val="000000" w:themeColor="text1"/>
          <w:spacing w:val="0"/>
          <w:sz w:val="32"/>
          <w:highlight w:val="none"/>
          <w:u w:val="single"/>
          <w14:textFill>
            <w14:solidFill>
              <w14:schemeClr w14:val="tx1"/>
            </w14:solidFill>
          </w14:textFill>
        </w:rPr>
        <w:t xml:space="preserve">         </w:t>
      </w:r>
      <w:r>
        <w:rPr>
          <w:rFonts w:hint="eastAsia" w:ascii="宋体" w:hAnsi="宋体" w:eastAsia="宋体" w:cs="宋体"/>
          <w:bCs/>
          <w:snapToGrid w:val="0"/>
          <w:color w:val="000000" w:themeColor="text1"/>
          <w:spacing w:val="0"/>
          <w:sz w:val="32"/>
          <w:highlight w:val="none"/>
          <w14:textFill>
            <w14:solidFill>
              <w14:schemeClr w14:val="tx1"/>
            </w14:solidFill>
          </w14:textFill>
        </w:rPr>
        <w:t>年</w:t>
      </w:r>
      <w:r>
        <w:rPr>
          <w:rFonts w:hint="eastAsia" w:ascii="宋体" w:hAnsi="宋体" w:eastAsia="宋体" w:cs="宋体"/>
          <w:bCs/>
          <w:snapToGrid w:val="0"/>
          <w:color w:val="000000" w:themeColor="text1"/>
          <w:spacing w:val="0"/>
          <w:sz w:val="32"/>
          <w:highlight w:val="none"/>
          <w:u w:val="single"/>
          <w14:textFill>
            <w14:solidFill>
              <w14:schemeClr w14:val="tx1"/>
            </w14:solidFill>
          </w14:textFill>
        </w:rPr>
        <w:t xml:space="preserve">      </w:t>
      </w:r>
      <w:r>
        <w:rPr>
          <w:rFonts w:hint="eastAsia" w:ascii="宋体" w:hAnsi="宋体" w:eastAsia="宋体" w:cs="宋体"/>
          <w:bCs/>
          <w:snapToGrid w:val="0"/>
          <w:color w:val="000000" w:themeColor="text1"/>
          <w:spacing w:val="0"/>
          <w:sz w:val="32"/>
          <w:highlight w:val="none"/>
          <w14:textFill>
            <w14:solidFill>
              <w14:schemeClr w14:val="tx1"/>
            </w14:solidFill>
          </w14:textFill>
        </w:rPr>
        <w:t>月</w:t>
      </w:r>
      <w:r>
        <w:rPr>
          <w:rFonts w:hint="eastAsia" w:ascii="宋体" w:hAnsi="宋体" w:eastAsia="宋体" w:cs="宋体"/>
          <w:bCs/>
          <w:snapToGrid w:val="0"/>
          <w:color w:val="000000" w:themeColor="text1"/>
          <w:spacing w:val="0"/>
          <w:sz w:val="32"/>
          <w:highlight w:val="none"/>
          <w:u w:val="single"/>
          <w14:textFill>
            <w14:solidFill>
              <w14:schemeClr w14:val="tx1"/>
            </w14:solidFill>
          </w14:textFill>
        </w:rPr>
        <w:t xml:space="preserve">      </w:t>
      </w:r>
      <w:r>
        <w:rPr>
          <w:rFonts w:hint="eastAsia" w:ascii="宋体" w:hAnsi="宋体" w:eastAsia="宋体" w:cs="宋体"/>
          <w:bCs/>
          <w:snapToGrid w:val="0"/>
          <w:color w:val="000000" w:themeColor="text1"/>
          <w:spacing w:val="0"/>
          <w:sz w:val="32"/>
          <w:highlight w:val="none"/>
          <w14:textFill>
            <w14:solidFill>
              <w14:schemeClr w14:val="tx1"/>
            </w14:solidFill>
          </w14:textFill>
        </w:rPr>
        <w:t>日</w:t>
      </w:r>
    </w:p>
    <w:p w14:paraId="75ADAE4C">
      <w:pPr>
        <w:keepNext w:val="0"/>
        <w:keepLines w:val="0"/>
        <w:pageBreakBefore w:val="0"/>
        <w:wordWrap w:val="0"/>
        <w:overflowPunct/>
        <w:topLinePunct w:val="0"/>
        <w:bidi w:val="0"/>
        <w:outlineLvl w:val="9"/>
        <w:rPr>
          <w:rFonts w:hint="eastAsia"/>
          <w:color w:val="000000" w:themeColor="text1"/>
          <w:spacing w:val="0"/>
          <w:highlight w:val="none"/>
          <w14:textFill>
            <w14:solidFill>
              <w14:schemeClr w14:val="tx1"/>
            </w14:solidFill>
          </w14:textFill>
        </w:rPr>
      </w:pPr>
    </w:p>
    <w:p w14:paraId="7A6DF66C">
      <w:pPr>
        <w:keepNext w:val="0"/>
        <w:keepLines w:val="0"/>
        <w:pageBreakBefore w:val="0"/>
        <w:wordWrap w:val="0"/>
        <w:overflowPunct/>
        <w:topLinePunct w:val="0"/>
        <w:bidi w:val="0"/>
        <w:spacing w:line="223" w:lineRule="auto"/>
        <w:rPr>
          <w:rFonts w:hint="eastAsia" w:ascii="宋体" w:hAnsi="宋体" w:eastAsia="宋体" w:cs="宋体"/>
          <w:color w:val="000000" w:themeColor="text1"/>
          <w:spacing w:val="0"/>
          <w:sz w:val="47"/>
          <w:szCs w:val="47"/>
          <w:highlight w:val="none"/>
          <w14:textFill>
            <w14:solidFill>
              <w14:schemeClr w14:val="tx1"/>
            </w14:solidFill>
          </w14:textFill>
        </w:rPr>
        <w:sectPr>
          <w:footerReference r:id="rId15"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39C38B38">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23" w:name="_Toc15089"/>
      <w:r>
        <w:rPr>
          <w:rFonts w:hint="eastAsia" w:ascii="宋体" w:hAnsi="宋体" w:eastAsia="宋体" w:cs="宋体"/>
          <w:b/>
          <w:bCs/>
          <w:color w:val="000000" w:themeColor="text1"/>
          <w:spacing w:val="0"/>
          <w:sz w:val="24"/>
          <w:szCs w:val="24"/>
          <w:highlight w:val="none"/>
          <w14:textFill>
            <w14:solidFill>
              <w14:schemeClr w14:val="tx1"/>
            </w14:solidFill>
          </w14:textFill>
        </w:rPr>
        <w:t>格式二 投标函</w:t>
      </w:r>
      <w:bookmarkEnd w:id="223"/>
    </w:p>
    <w:p w14:paraId="392E4C63">
      <w:pPr>
        <w:pStyle w:val="6"/>
        <w:keepNext w:val="0"/>
        <w:keepLines w:val="0"/>
        <w:pageBreakBefore w:val="0"/>
        <w:wordWrap w:val="0"/>
        <w:overflowPunct/>
        <w:topLinePunct w:val="0"/>
        <w:bidi w:val="0"/>
        <w:spacing w:line="261" w:lineRule="auto"/>
        <w:rPr>
          <w:rFonts w:hint="eastAsia" w:ascii="宋体" w:hAnsi="宋体" w:eastAsia="宋体" w:cs="宋体"/>
          <w:color w:val="000000" w:themeColor="text1"/>
          <w:spacing w:val="0"/>
          <w:highlight w:val="none"/>
          <w14:textFill>
            <w14:solidFill>
              <w14:schemeClr w14:val="tx1"/>
            </w14:solidFill>
          </w14:textFill>
        </w:rPr>
      </w:pPr>
    </w:p>
    <w:p w14:paraId="2E98BF1A">
      <w:pPr>
        <w:keepNext w:val="0"/>
        <w:keepLines w:val="0"/>
        <w:pageBreakBefore w:val="0"/>
        <w:wordWrap w:val="0"/>
        <w:overflowPunct/>
        <w:topLinePunct w:val="0"/>
        <w:bidi w:val="0"/>
        <w:spacing w:before="97" w:line="221" w:lineRule="auto"/>
        <w:ind w:left="3799"/>
        <w:outlineLvl w:val="9"/>
        <w:rPr>
          <w:rFonts w:hint="eastAsia" w:ascii="宋体" w:hAnsi="宋体" w:eastAsia="宋体" w:cs="宋体"/>
          <w:color w:val="000000" w:themeColor="text1"/>
          <w:spacing w:val="0"/>
          <w:sz w:val="30"/>
          <w:szCs w:val="30"/>
          <w:highlight w:val="none"/>
          <w14:textFill>
            <w14:solidFill>
              <w14:schemeClr w14:val="tx1"/>
            </w14:solidFill>
          </w14:textFill>
        </w:rPr>
      </w:pPr>
      <w:bookmarkStart w:id="224" w:name="bookmark148"/>
      <w:bookmarkEnd w:id="224"/>
      <w:bookmarkStart w:id="225" w:name="_Toc317"/>
      <w:bookmarkStart w:id="226" w:name="_Toc297"/>
      <w:bookmarkStart w:id="227" w:name="_Toc27397"/>
      <w:r>
        <w:rPr>
          <w:rFonts w:hint="eastAsia" w:ascii="宋体" w:hAnsi="宋体" w:eastAsia="宋体" w:cs="宋体"/>
          <w:b/>
          <w:bCs/>
          <w:color w:val="000000" w:themeColor="text1"/>
          <w:spacing w:val="0"/>
          <w:sz w:val="30"/>
          <w:szCs w:val="30"/>
          <w:highlight w:val="none"/>
          <w14:textFill>
            <w14:solidFill>
              <w14:schemeClr w14:val="tx1"/>
            </w14:solidFill>
          </w14:textFill>
        </w:rPr>
        <w:t>投</w:t>
      </w:r>
      <w:r>
        <w:rPr>
          <w:rFonts w:hint="eastAsia" w:ascii="宋体" w:hAnsi="宋体" w:eastAsia="宋体" w:cs="宋体"/>
          <w:color w:val="000000" w:themeColor="text1"/>
          <w:spacing w:val="0"/>
          <w:sz w:val="30"/>
          <w:szCs w:val="30"/>
          <w:highlight w:val="none"/>
          <w14:textFill>
            <w14:solidFill>
              <w14:schemeClr w14:val="tx1"/>
            </w14:solidFill>
          </w14:textFill>
        </w:rPr>
        <w:t xml:space="preserve">  </w:t>
      </w:r>
      <w:r>
        <w:rPr>
          <w:rFonts w:hint="eastAsia" w:ascii="宋体" w:hAnsi="宋体" w:eastAsia="宋体" w:cs="宋体"/>
          <w:b/>
          <w:bCs/>
          <w:color w:val="000000" w:themeColor="text1"/>
          <w:spacing w:val="0"/>
          <w:sz w:val="30"/>
          <w:szCs w:val="30"/>
          <w:highlight w:val="none"/>
          <w14:textFill>
            <w14:solidFill>
              <w14:schemeClr w14:val="tx1"/>
            </w14:solidFill>
          </w14:textFill>
        </w:rPr>
        <w:t>标</w:t>
      </w:r>
      <w:r>
        <w:rPr>
          <w:rFonts w:hint="eastAsia" w:ascii="宋体" w:hAnsi="宋体" w:eastAsia="宋体" w:cs="宋体"/>
          <w:color w:val="000000" w:themeColor="text1"/>
          <w:spacing w:val="0"/>
          <w:sz w:val="30"/>
          <w:szCs w:val="30"/>
          <w:highlight w:val="none"/>
          <w14:textFill>
            <w14:solidFill>
              <w14:schemeClr w14:val="tx1"/>
            </w14:solidFill>
          </w14:textFill>
        </w:rPr>
        <w:t xml:space="preserve">  </w:t>
      </w:r>
      <w:r>
        <w:rPr>
          <w:rFonts w:hint="eastAsia" w:ascii="宋体" w:hAnsi="宋体" w:eastAsia="宋体" w:cs="宋体"/>
          <w:b/>
          <w:bCs/>
          <w:color w:val="000000" w:themeColor="text1"/>
          <w:spacing w:val="0"/>
          <w:sz w:val="30"/>
          <w:szCs w:val="30"/>
          <w:highlight w:val="none"/>
          <w14:textFill>
            <w14:solidFill>
              <w14:schemeClr w14:val="tx1"/>
            </w14:solidFill>
          </w14:textFill>
        </w:rPr>
        <w:t>函</w:t>
      </w:r>
      <w:bookmarkEnd w:id="225"/>
      <w:bookmarkEnd w:id="226"/>
      <w:bookmarkEnd w:id="227"/>
    </w:p>
    <w:p w14:paraId="58F05F57">
      <w:pPr>
        <w:pStyle w:val="6"/>
        <w:keepNext w:val="0"/>
        <w:keepLines w:val="0"/>
        <w:pageBreakBefore w:val="0"/>
        <w:wordWrap w:val="0"/>
        <w:overflowPunct/>
        <w:topLinePunct w:val="0"/>
        <w:bidi w:val="0"/>
        <w:spacing w:line="249" w:lineRule="auto"/>
        <w:rPr>
          <w:rFonts w:hint="eastAsia" w:ascii="宋体" w:hAnsi="宋体" w:eastAsia="宋体" w:cs="宋体"/>
          <w:color w:val="000000" w:themeColor="text1"/>
          <w:spacing w:val="0"/>
          <w:highlight w:val="none"/>
          <w14:textFill>
            <w14:solidFill>
              <w14:schemeClr w14:val="tx1"/>
            </w14:solidFill>
          </w14:textFill>
        </w:rPr>
      </w:pPr>
    </w:p>
    <w:p w14:paraId="08B6DA1F">
      <w:pPr>
        <w:pStyle w:val="6"/>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1E3DA538">
      <w:pPr>
        <w:pStyle w:val="6"/>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448E62A4">
      <w:pPr>
        <w:keepNext w:val="0"/>
        <w:keepLines w:val="0"/>
        <w:pageBreakBefore w:val="0"/>
        <w:wordWrap w:val="0"/>
        <w:overflowPunct/>
        <w:topLinePunct w:val="0"/>
        <w:bidi w:val="0"/>
        <w:spacing w:before="78" w:line="221" w:lineRule="auto"/>
        <w:ind w:left="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致：</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（招标人名称）</w:t>
      </w:r>
    </w:p>
    <w:p w14:paraId="342E60C5">
      <w:pPr>
        <w:pStyle w:val="6"/>
        <w:keepNext w:val="0"/>
        <w:keepLines w:val="0"/>
        <w:pageBreakBefore w:val="0"/>
        <w:wordWrap w:val="0"/>
        <w:overflowPunct/>
        <w:topLinePunct w:val="0"/>
        <w:bidi w:val="0"/>
        <w:spacing w:before="156" w:line="328" w:lineRule="auto"/>
        <w:ind w:left="9" w:right="142" w:firstLine="589"/>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  我方考察现场并充分研究</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（项目名称）（以下简称“本项目 ”）施工招标文件所有内容后，结合自身资质、能力和特点，愿意接受招标文件的全部内容和条件，兹以人民币（大写）：</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 </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 的投标总价竞投本项目施工。</w:t>
      </w:r>
    </w:p>
    <w:p w14:paraId="19F6B28C">
      <w:pPr>
        <w:keepNext w:val="0"/>
        <w:keepLines w:val="0"/>
        <w:pageBreakBefore w:val="0"/>
        <w:wordWrap w:val="0"/>
        <w:overflowPunct/>
        <w:topLinePunct w:val="0"/>
        <w:bidi w:val="0"/>
        <w:spacing w:before="39" w:line="323" w:lineRule="auto"/>
        <w:ind w:right="142" w:firstLine="57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在我方的上述投标总价中，包括：</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none"/>
          <w:lang w:eastAsia="zh-CN"/>
          <w14:textFill>
            <w14:solidFill>
              <w14:schemeClr w14:val="tx1"/>
            </w14:solidFill>
          </w14:textFill>
        </w:rPr>
        <w:t>；暂列金额</w:t>
      </w:r>
      <w:r>
        <w:rPr>
          <w:rFonts w:hint="eastAsia" w:ascii="宋体" w:hAnsi="宋体" w:eastAsia="宋体" w:cs="宋体"/>
          <w:color w:val="000000" w:themeColor="text1"/>
          <w:spacing w:val="0"/>
          <w:sz w:val="24"/>
          <w:szCs w:val="24"/>
          <w:highlight w:val="none"/>
          <w:u w:val="none"/>
          <w14:textFill>
            <w14:solidFill>
              <w14:schemeClr w14:val="tx1"/>
            </w14:solidFill>
          </w14:textFill>
        </w:rPr>
        <w:t>¥</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none"/>
          <w:lang w:eastAsia="zh-CN"/>
          <w14:textFill>
            <w14:solidFill>
              <w14:schemeClr w14:val="tx1"/>
            </w14:solidFill>
          </w14:textFill>
        </w:rPr>
        <w:t>；暂估价</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725455D2">
      <w:pPr>
        <w:keepNext w:val="0"/>
        <w:keepLines w:val="0"/>
        <w:pageBreakBefore w:val="0"/>
        <w:wordWrap w:val="0"/>
        <w:overflowPunct/>
        <w:topLinePunct w:val="0"/>
        <w:bidi w:val="0"/>
        <w:spacing w:before="38" w:line="280" w:lineRule="auto"/>
        <w:ind w:left="13" w:right="142" w:firstLine="56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如果我方中标，我方保证按照合同约定的开工日期开始本项目的施工，</w:t>
      </w:r>
      <w:bookmarkStart w:id="228" w:name="OLE_LINK34"/>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bookmarkEnd w:id="228"/>
      <w:r>
        <w:rPr>
          <w:rFonts w:hint="eastAsia" w:ascii="宋体" w:hAnsi="宋体" w:eastAsia="宋体" w:cs="宋体"/>
          <w:color w:val="000000" w:themeColor="text1"/>
          <w:spacing w:val="0"/>
          <w:sz w:val="24"/>
          <w:szCs w:val="24"/>
          <w:highlight w:val="none"/>
          <w14:textFill>
            <w14:solidFill>
              <w14:schemeClr w14:val="tx1"/>
            </w14:solidFill>
          </w14:textFill>
        </w:rPr>
        <w:t>个日历天内竣工，并确保工程质量达到</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标准和维修其中的任何缺陷。</w:t>
      </w:r>
    </w:p>
    <w:p w14:paraId="10E8DA76">
      <w:pPr>
        <w:keepNext w:val="0"/>
        <w:keepLines w:val="0"/>
        <w:pageBreakBefore w:val="0"/>
        <w:wordWrap w:val="0"/>
        <w:overflowPunct/>
        <w:topLinePunct w:val="0"/>
        <w:bidi w:val="0"/>
        <w:spacing w:before="152" w:line="279" w:lineRule="auto"/>
        <w:ind w:left="11" w:right="142" w:firstLine="5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  本投标函在你方接收我方递交的投标文件之日起、到招标文件规定的投标有效期期满前对我方具有约束力。我方随时准备接受你方发出的中标通知书。</w:t>
      </w:r>
    </w:p>
    <w:p w14:paraId="36F81C92">
      <w:pPr>
        <w:keepNext w:val="0"/>
        <w:keepLines w:val="0"/>
        <w:pageBreakBefore w:val="0"/>
        <w:wordWrap w:val="0"/>
        <w:overflowPunct/>
        <w:topLinePunct w:val="0"/>
        <w:bidi w:val="0"/>
        <w:spacing w:before="156" w:line="279" w:lineRule="auto"/>
        <w:ind w:left="11" w:right="61" w:firstLine="56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4 ．我方在此声明，我方不存在本项目招标文件第一章第三节第 </w:t>
      </w:r>
      <w:r>
        <w:rPr>
          <w:rFonts w:hint="eastAsia" w:ascii="宋体" w:hAnsi="宋体" w:eastAsia="宋体" w:cs="宋体"/>
          <w:b/>
          <w:bCs/>
          <w:color w:val="000000" w:themeColor="text1"/>
          <w:spacing w:val="0"/>
          <w:sz w:val="24"/>
          <w:szCs w:val="24"/>
          <w:highlight w:val="none"/>
          <w14:textFill>
            <w14:solidFill>
              <w14:schemeClr w14:val="tx1"/>
            </w14:solidFill>
          </w14:textFill>
        </w:rPr>
        <w:t>2.4</w:t>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条“禁止投标条款 ”所列出的任何一种情形，并愿意承担因我方就此弄虚作假所引起的一切法律后果。</w:t>
      </w:r>
    </w:p>
    <w:p w14:paraId="0E71490A">
      <w:pPr>
        <w:keepNext w:val="0"/>
        <w:keepLines w:val="0"/>
        <w:pageBreakBefore w:val="0"/>
        <w:wordWrap w:val="0"/>
        <w:overflowPunct/>
        <w:topLinePunct w:val="0"/>
        <w:bidi w:val="0"/>
        <w:spacing w:before="153" w:line="280" w:lineRule="auto"/>
        <w:ind w:left="9" w:right="142" w:firstLine="57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 ．我方在此承诺，所递交投标文件的全部内容均为真实、有效、准确的，并愿意承担因我方就此弄虚作假所引起的一切法律后果，同时理解和同意有可能被要求提供更多的资料。</w:t>
      </w:r>
    </w:p>
    <w:p w14:paraId="0954415E">
      <w:pPr>
        <w:keepNext w:val="0"/>
        <w:keepLines w:val="0"/>
        <w:pageBreakBefore w:val="0"/>
        <w:wordWrap w:val="0"/>
        <w:overflowPunct/>
        <w:topLinePunct w:val="0"/>
        <w:bidi w:val="0"/>
        <w:spacing w:before="153" w:line="326" w:lineRule="auto"/>
        <w:ind w:left="13" w:firstLine="5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  我方理解你方不一定要接纳收到的最低投标总价或任何投标总价的投标人中标， 也不要求你方解释我方是否中标的原因。</w:t>
      </w:r>
    </w:p>
    <w:p w14:paraId="665C13C8">
      <w:pPr>
        <w:pStyle w:val="6"/>
        <w:keepNext w:val="0"/>
        <w:keepLines w:val="0"/>
        <w:pageBreakBefore w:val="0"/>
        <w:wordWrap w:val="0"/>
        <w:overflowPunct/>
        <w:topLinePunct w:val="0"/>
        <w:bidi w:val="0"/>
        <w:spacing w:line="276" w:lineRule="auto"/>
        <w:rPr>
          <w:rFonts w:hint="eastAsia" w:ascii="宋体" w:hAnsi="宋体" w:eastAsia="宋体" w:cs="宋体"/>
          <w:color w:val="000000" w:themeColor="text1"/>
          <w:spacing w:val="0"/>
          <w:highlight w:val="none"/>
          <w14:textFill>
            <w14:solidFill>
              <w14:schemeClr w14:val="tx1"/>
            </w14:solidFill>
          </w14:textFill>
        </w:rPr>
      </w:pPr>
    </w:p>
    <w:p w14:paraId="6A293A0C">
      <w:pPr>
        <w:pStyle w:val="6"/>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1338C97A">
      <w:pPr>
        <w:pStyle w:val="6"/>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6D644921">
      <w:pPr>
        <w:keepNext w:val="0"/>
        <w:keepLines w:val="0"/>
        <w:pageBreakBefore w:val="0"/>
        <w:wordWrap w:val="0"/>
        <w:overflowPunct/>
        <w:topLinePunct w:val="0"/>
        <w:bidi w:val="0"/>
        <w:spacing w:before="79" w:line="219" w:lineRule="auto"/>
        <w:ind w:firstLine="5760" w:firstLineChars="240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u w:val="singl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53B9F8FC">
      <w:pPr>
        <w:pStyle w:val="6"/>
        <w:keepNext w:val="0"/>
        <w:keepLines w:val="0"/>
        <w:pageBreakBefore w:val="0"/>
        <w:wordWrap w:val="0"/>
        <w:overflowPunct/>
        <w:topLinePunct w:val="0"/>
        <w:bidi w:val="0"/>
        <w:spacing w:line="256" w:lineRule="auto"/>
        <w:jc w:val="right"/>
        <w:rPr>
          <w:rFonts w:hint="eastAsia" w:ascii="宋体" w:hAnsi="宋体" w:eastAsia="宋体" w:cs="宋体"/>
          <w:color w:val="000000" w:themeColor="text1"/>
          <w:spacing w:val="0"/>
          <w:highlight w:val="none"/>
          <w14:textFill>
            <w14:solidFill>
              <w14:schemeClr w14:val="tx1"/>
            </w14:solidFill>
          </w14:textFill>
        </w:rPr>
      </w:pPr>
    </w:p>
    <w:p w14:paraId="1FE5B2A2">
      <w:pPr>
        <w:pStyle w:val="6"/>
        <w:keepNext w:val="0"/>
        <w:keepLines w:val="0"/>
        <w:pageBreakBefore w:val="0"/>
        <w:wordWrap w:val="0"/>
        <w:overflowPunct/>
        <w:topLinePunct w:val="0"/>
        <w:bidi w:val="0"/>
        <w:spacing w:line="256" w:lineRule="auto"/>
        <w:jc w:val="right"/>
        <w:rPr>
          <w:rFonts w:hint="eastAsia" w:ascii="宋体" w:hAnsi="宋体" w:eastAsia="宋体" w:cs="宋体"/>
          <w:color w:val="000000" w:themeColor="text1"/>
          <w:spacing w:val="0"/>
          <w:highlight w:val="none"/>
          <w14:textFill>
            <w14:solidFill>
              <w14:schemeClr w14:val="tx1"/>
            </w14:solidFill>
          </w14:textFill>
        </w:rPr>
      </w:pPr>
    </w:p>
    <w:p w14:paraId="70C6C00B">
      <w:pPr>
        <w:keepNext w:val="0"/>
        <w:keepLines w:val="0"/>
        <w:pageBreakBefore w:val="0"/>
        <w:wordWrap w:val="0"/>
        <w:overflowPunct/>
        <w:topLinePunct w:val="0"/>
        <w:bidi w:val="0"/>
        <w:spacing w:before="78" w:line="219" w:lineRule="auto"/>
        <w:ind w:left="3922"/>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37331156">
      <w:pPr>
        <w:pStyle w:val="6"/>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3063FEBF">
      <w:pPr>
        <w:pStyle w:val="6"/>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27512AB8">
      <w:pPr>
        <w:keepNext w:val="0"/>
        <w:keepLines w:val="0"/>
        <w:pageBreakBefore w:val="0"/>
        <w:wordWrap w:val="0"/>
        <w:overflowPunct/>
        <w:topLinePunct w:val="0"/>
        <w:bidi w:val="0"/>
        <w:spacing w:before="79" w:line="220" w:lineRule="auto"/>
        <w:ind w:left="697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日</w:t>
      </w:r>
    </w:p>
    <w:p w14:paraId="02A06E5B">
      <w:pPr>
        <w:keepNext w:val="0"/>
        <w:keepLines w:val="0"/>
        <w:pageBreakBefore w:val="0"/>
        <w:wordWrap w:val="0"/>
        <w:overflowPunct/>
        <w:topLinePunct w:val="0"/>
        <w:bidi w:val="0"/>
        <w:spacing w:line="220" w:lineRule="auto"/>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16"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205EF889">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29" w:name="_Toc1551"/>
      <w:r>
        <w:rPr>
          <w:rFonts w:hint="eastAsia" w:ascii="宋体" w:hAnsi="宋体" w:eastAsia="宋体" w:cs="宋体"/>
          <w:b/>
          <w:bCs/>
          <w:color w:val="000000" w:themeColor="text1"/>
          <w:spacing w:val="0"/>
          <w:sz w:val="24"/>
          <w:szCs w:val="24"/>
          <w:highlight w:val="none"/>
          <w14:textFill>
            <w14:solidFill>
              <w14:schemeClr w14:val="tx1"/>
            </w14:solidFill>
          </w14:textFill>
        </w:rPr>
        <w:t>格式三 各项承诺一览表</w:t>
      </w:r>
      <w:bookmarkEnd w:id="229"/>
    </w:p>
    <w:p w14:paraId="51E0204F">
      <w:pPr>
        <w:pStyle w:val="6"/>
        <w:keepNext w:val="0"/>
        <w:keepLines w:val="0"/>
        <w:pageBreakBefore w:val="0"/>
        <w:wordWrap w:val="0"/>
        <w:overflowPunct/>
        <w:topLinePunct w:val="0"/>
        <w:bidi w:val="0"/>
        <w:spacing w:line="254" w:lineRule="auto"/>
        <w:rPr>
          <w:rFonts w:hint="eastAsia" w:ascii="宋体" w:hAnsi="宋体" w:eastAsia="宋体" w:cs="宋体"/>
          <w:color w:val="000000" w:themeColor="text1"/>
          <w:spacing w:val="0"/>
          <w:highlight w:val="none"/>
          <w14:textFill>
            <w14:solidFill>
              <w14:schemeClr w14:val="tx1"/>
            </w14:solidFill>
          </w14:textFill>
        </w:rPr>
      </w:pPr>
    </w:p>
    <w:p w14:paraId="34B1A1A4">
      <w:pPr>
        <w:keepNext w:val="0"/>
        <w:keepLines w:val="0"/>
        <w:pageBreakBefore w:val="0"/>
        <w:wordWrap w:val="0"/>
        <w:overflowPunct/>
        <w:topLinePunct w:val="0"/>
        <w:bidi w:val="0"/>
        <w:spacing w:before="98" w:line="220" w:lineRule="auto"/>
        <w:ind w:left="3581"/>
        <w:outlineLvl w:val="9"/>
        <w:rPr>
          <w:rFonts w:hint="eastAsia" w:ascii="宋体" w:hAnsi="宋体" w:eastAsia="宋体" w:cs="宋体"/>
          <w:color w:val="000000" w:themeColor="text1"/>
          <w:spacing w:val="0"/>
          <w:sz w:val="30"/>
          <w:szCs w:val="30"/>
          <w:highlight w:val="none"/>
          <w14:textFill>
            <w14:solidFill>
              <w14:schemeClr w14:val="tx1"/>
            </w14:solidFill>
          </w14:textFill>
        </w:rPr>
      </w:pPr>
      <w:bookmarkStart w:id="230" w:name="bookmark149"/>
      <w:bookmarkEnd w:id="230"/>
      <w:bookmarkStart w:id="231" w:name="_Toc4767"/>
      <w:bookmarkStart w:id="232" w:name="_Toc10326"/>
      <w:bookmarkStart w:id="233" w:name="_Toc2936"/>
      <w:r>
        <w:rPr>
          <w:rFonts w:hint="eastAsia" w:ascii="宋体" w:hAnsi="宋体" w:eastAsia="宋体" w:cs="宋体"/>
          <w:b/>
          <w:bCs/>
          <w:color w:val="000000" w:themeColor="text1"/>
          <w:spacing w:val="0"/>
          <w:sz w:val="30"/>
          <w:szCs w:val="30"/>
          <w:highlight w:val="none"/>
          <w14:textFill>
            <w14:solidFill>
              <w14:schemeClr w14:val="tx1"/>
            </w14:solidFill>
          </w14:textFill>
        </w:rPr>
        <w:t>各项承诺一览表</w:t>
      </w:r>
      <w:bookmarkEnd w:id="231"/>
      <w:bookmarkEnd w:id="232"/>
      <w:bookmarkEnd w:id="233"/>
    </w:p>
    <w:p w14:paraId="5C63A27F">
      <w:pPr>
        <w:keepNext w:val="0"/>
        <w:keepLines w:val="0"/>
        <w:pageBreakBefore w:val="0"/>
        <w:wordWrap w:val="0"/>
        <w:overflowPunct/>
        <w:topLinePunct w:val="0"/>
        <w:bidi w:val="0"/>
        <w:spacing w:before="6"/>
        <w:rPr>
          <w:rFonts w:hint="eastAsia" w:ascii="宋体" w:hAnsi="宋体" w:eastAsia="宋体" w:cs="宋体"/>
          <w:color w:val="000000" w:themeColor="text1"/>
          <w:spacing w:val="0"/>
          <w:highlight w:val="none"/>
          <w14:textFill>
            <w14:solidFill>
              <w14:schemeClr w14:val="tx1"/>
            </w14:solidFill>
          </w14:textFill>
        </w:rPr>
      </w:pPr>
    </w:p>
    <w:tbl>
      <w:tblPr>
        <w:tblStyle w:val="15"/>
        <w:tblW w:w="98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4"/>
        <w:gridCol w:w="1675"/>
        <w:gridCol w:w="3107"/>
        <w:gridCol w:w="4272"/>
      </w:tblGrid>
      <w:tr w14:paraId="5204A2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754B582C">
            <w:pPr>
              <w:keepNext w:val="0"/>
              <w:keepLines w:val="0"/>
              <w:pageBreakBefore w:val="0"/>
              <w:widowControl/>
              <w:kinsoku w:val="0"/>
              <w:wordWrap w:val="0"/>
              <w:overflowPunct/>
              <w:topLinePunct w:val="0"/>
              <w:autoSpaceDE w:val="0"/>
              <w:autoSpaceDN w:val="0"/>
              <w:bidi w:val="0"/>
              <w:adjustRightInd w:val="0"/>
              <w:snapToGrid w:val="0"/>
              <w:spacing w:before="209" w:line="288" w:lineRule="auto"/>
              <w:ind w:left="126"/>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序号</w:t>
            </w:r>
          </w:p>
        </w:tc>
        <w:tc>
          <w:tcPr>
            <w:tcW w:w="1675" w:type="dxa"/>
            <w:vAlign w:val="top"/>
          </w:tcPr>
          <w:p w14:paraId="1CCE799E">
            <w:pPr>
              <w:keepNext w:val="0"/>
              <w:keepLines w:val="0"/>
              <w:pageBreakBefore w:val="0"/>
              <w:widowControl/>
              <w:kinsoku w:val="0"/>
              <w:wordWrap w:val="0"/>
              <w:overflowPunct/>
              <w:topLinePunct w:val="0"/>
              <w:autoSpaceDE w:val="0"/>
              <w:autoSpaceDN w:val="0"/>
              <w:bidi w:val="0"/>
              <w:adjustRightInd w:val="0"/>
              <w:snapToGrid w:val="0"/>
              <w:spacing w:before="208" w:line="288" w:lineRule="auto"/>
              <w:ind w:left="310"/>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承诺事项</w:t>
            </w:r>
          </w:p>
        </w:tc>
        <w:tc>
          <w:tcPr>
            <w:tcW w:w="3107" w:type="dxa"/>
            <w:vAlign w:val="top"/>
          </w:tcPr>
          <w:p w14:paraId="4EBB8A6D">
            <w:pPr>
              <w:keepNext w:val="0"/>
              <w:keepLines w:val="0"/>
              <w:pageBreakBefore w:val="0"/>
              <w:widowControl/>
              <w:kinsoku w:val="0"/>
              <w:wordWrap w:val="0"/>
              <w:overflowPunct/>
              <w:topLinePunct w:val="0"/>
              <w:autoSpaceDE w:val="0"/>
              <w:autoSpaceDN w:val="0"/>
              <w:bidi w:val="0"/>
              <w:adjustRightInd w:val="0"/>
              <w:snapToGrid w:val="0"/>
              <w:spacing w:before="209" w:line="288" w:lineRule="auto"/>
              <w:ind w:left="987"/>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承诺内容</w:t>
            </w:r>
          </w:p>
        </w:tc>
        <w:tc>
          <w:tcPr>
            <w:tcW w:w="4272" w:type="dxa"/>
            <w:vAlign w:val="top"/>
          </w:tcPr>
          <w:p w14:paraId="31A27193">
            <w:pPr>
              <w:keepNext w:val="0"/>
              <w:keepLines w:val="0"/>
              <w:pageBreakBefore w:val="0"/>
              <w:widowControl/>
              <w:kinsoku w:val="0"/>
              <w:wordWrap w:val="0"/>
              <w:overflowPunct/>
              <w:topLinePunct w:val="0"/>
              <w:autoSpaceDE w:val="0"/>
              <w:autoSpaceDN w:val="0"/>
              <w:bidi w:val="0"/>
              <w:adjustRightInd w:val="0"/>
              <w:snapToGrid w:val="0"/>
              <w:spacing w:before="209" w:line="288" w:lineRule="auto"/>
              <w:ind w:left="1537"/>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违约承诺</w:t>
            </w:r>
          </w:p>
        </w:tc>
      </w:tr>
      <w:tr w14:paraId="2A006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48261D65">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w:t>
            </w:r>
          </w:p>
        </w:tc>
        <w:tc>
          <w:tcPr>
            <w:tcW w:w="1675" w:type="dxa"/>
            <w:vAlign w:val="center"/>
          </w:tcPr>
          <w:p w14:paraId="01CAE980">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自愿接受招标文件条款的承诺</w:t>
            </w:r>
          </w:p>
        </w:tc>
        <w:tc>
          <w:tcPr>
            <w:tcW w:w="3107" w:type="dxa"/>
            <w:vAlign w:val="top"/>
          </w:tcPr>
          <w:p w14:paraId="2CDC7B50">
            <w:pPr>
              <w:pStyle w:val="28"/>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41955F4E">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1"/>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我方自愿接受招标文件的所有条款，所递交的投标文件已经充分响应招标文件的实质性要求。</w:t>
            </w:r>
          </w:p>
        </w:tc>
        <w:tc>
          <w:tcPr>
            <w:tcW w:w="4272" w:type="dxa"/>
            <w:vAlign w:val="top"/>
          </w:tcPr>
          <w:p w14:paraId="31B3DB23">
            <w:pPr>
              <w:keepNext w:val="0"/>
              <w:keepLines w:val="0"/>
              <w:pageBreakBefore w:val="0"/>
              <w:widowControl/>
              <w:kinsoku w:val="0"/>
              <w:wordWrap w:val="0"/>
              <w:overflowPunct/>
              <w:topLinePunct w:val="0"/>
              <w:autoSpaceDE w:val="0"/>
              <w:autoSpaceDN w:val="0"/>
              <w:bidi w:val="0"/>
              <w:adjustRightInd w:val="0"/>
              <w:snapToGrid w:val="0"/>
              <w:spacing w:before="122" w:line="288" w:lineRule="auto"/>
              <w:ind w:left="14" w:right="4" w:firstLine="420"/>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如果我方的投标文件未响应、违反、偏 离招标文件的实质性要求，我方接受招标人或其授权的招标代理机构或其组建的评标委员会依据招标文件作出的相应处理，包括否决投标。</w:t>
            </w:r>
          </w:p>
        </w:tc>
      </w:tr>
      <w:tr w14:paraId="10B0D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2F577063">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w:t>
            </w:r>
          </w:p>
        </w:tc>
        <w:tc>
          <w:tcPr>
            <w:tcW w:w="1675" w:type="dxa"/>
            <w:vAlign w:val="center"/>
          </w:tcPr>
          <w:p w14:paraId="796EA612">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无禁止投标情形的承诺</w:t>
            </w:r>
          </w:p>
        </w:tc>
        <w:tc>
          <w:tcPr>
            <w:tcW w:w="3107" w:type="dxa"/>
            <w:vAlign w:val="top"/>
          </w:tcPr>
          <w:p w14:paraId="6DBD4A30">
            <w:pPr>
              <w:pStyle w:val="28"/>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168E3A76">
            <w:pPr>
              <w:pStyle w:val="28"/>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37C38C6C">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0"/>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 xml:space="preserve">我方不存在招标文件第一 章第三节第 </w:t>
            </w:r>
            <w:r>
              <w:rPr>
                <w:rFonts w:hint="eastAsia" w:ascii="宋体" w:hAnsi="宋体" w:eastAsia="宋体" w:cs="宋体"/>
                <w:b/>
                <w:bCs/>
                <w:color w:val="000000" w:themeColor="text1"/>
                <w:spacing w:val="0"/>
                <w:sz w:val="21"/>
                <w:szCs w:val="21"/>
                <w:highlight w:val="none"/>
                <w14:textFill>
                  <w14:solidFill>
                    <w14:schemeClr w14:val="tx1"/>
                  </w14:solidFill>
                </w14:textFill>
              </w:rPr>
              <w:t xml:space="preserve">2.4 </w:t>
            </w:r>
            <w:r>
              <w:rPr>
                <w:rFonts w:hint="eastAsia" w:ascii="宋体" w:hAnsi="宋体" w:eastAsia="宋体" w:cs="宋体"/>
                <w:color w:val="000000" w:themeColor="text1"/>
                <w:spacing w:val="0"/>
                <w:sz w:val="21"/>
                <w:szCs w:val="21"/>
                <w:highlight w:val="none"/>
                <w14:textFill>
                  <w14:solidFill>
                    <w14:schemeClr w14:val="tx1"/>
                  </w14:solidFill>
                </w14:textFill>
              </w:rPr>
              <w:t>条“禁止投标条 款 ”规定的任何一种情形。</w:t>
            </w:r>
          </w:p>
        </w:tc>
        <w:tc>
          <w:tcPr>
            <w:tcW w:w="4272" w:type="dxa"/>
            <w:vAlign w:val="top"/>
          </w:tcPr>
          <w:p w14:paraId="5C557624">
            <w:pPr>
              <w:keepNext w:val="0"/>
              <w:keepLines w:val="0"/>
              <w:pageBreakBefore w:val="0"/>
              <w:widowControl/>
              <w:kinsoku w:val="0"/>
              <w:wordWrap w:val="0"/>
              <w:overflowPunct/>
              <w:topLinePunct w:val="0"/>
              <w:autoSpaceDE w:val="0"/>
              <w:autoSpaceDN w:val="0"/>
              <w:bidi w:val="0"/>
              <w:adjustRightInd w:val="0"/>
              <w:snapToGrid w:val="0"/>
              <w:spacing w:before="122" w:line="288" w:lineRule="auto"/>
              <w:ind w:left="9" w:firstLine="421"/>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 xml:space="preserve">如果我方有招标文件第一章第三节第 </w:t>
            </w:r>
            <w:r>
              <w:rPr>
                <w:rFonts w:hint="eastAsia" w:ascii="宋体" w:hAnsi="宋体" w:eastAsia="宋体" w:cs="宋体"/>
                <w:b/>
                <w:bCs/>
                <w:color w:val="000000" w:themeColor="text1"/>
                <w:spacing w:val="0"/>
                <w:sz w:val="21"/>
                <w:szCs w:val="21"/>
                <w:highlight w:val="none"/>
                <w14:textFill>
                  <w14:solidFill>
                    <w14:schemeClr w14:val="tx1"/>
                  </w14:solidFill>
                </w14:textFill>
              </w:rPr>
              <w:t xml:space="preserve">2.  4 </w:t>
            </w:r>
            <w:r>
              <w:rPr>
                <w:rFonts w:hint="eastAsia" w:ascii="宋体" w:hAnsi="宋体" w:eastAsia="宋体" w:cs="宋体"/>
                <w:color w:val="000000" w:themeColor="text1"/>
                <w:spacing w:val="0"/>
                <w:sz w:val="21"/>
                <w:szCs w:val="21"/>
                <w:highlight w:val="none"/>
                <w14:textFill>
                  <w14:solidFill>
                    <w14:schemeClr w14:val="tx1"/>
                  </w14:solidFill>
                </w14:textFill>
              </w:rPr>
              <w:t>条“禁止投标条款 ”规定的任何一种情形，我方接受招标人或其授权的招标代理机构或 其组建的评标委员会依据招标文件作出的相应处理以及有关监督部门作出的行政处罚，并承担由此引起的一切法律后果。</w:t>
            </w:r>
          </w:p>
        </w:tc>
      </w:tr>
      <w:tr w14:paraId="6BAE3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6D41129A">
            <w:pPr>
              <w:keepNext w:val="0"/>
              <w:keepLines w:val="0"/>
              <w:pageBreakBefore w:val="0"/>
              <w:widowControl/>
              <w:kinsoku w:val="0"/>
              <w:wordWrap w:val="0"/>
              <w:overflowPunct/>
              <w:topLinePunct w:val="0"/>
              <w:autoSpaceDE w:val="0"/>
              <w:autoSpaceDN w:val="0"/>
              <w:bidi w:val="0"/>
              <w:adjustRightInd w:val="0"/>
              <w:snapToGrid w:val="0"/>
              <w:spacing w:before="57"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w:t>
            </w:r>
          </w:p>
        </w:tc>
        <w:tc>
          <w:tcPr>
            <w:tcW w:w="1675" w:type="dxa"/>
            <w:vAlign w:val="center"/>
          </w:tcPr>
          <w:p w14:paraId="7EDF57FD">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自觉抵制围标</w:t>
            </w:r>
          </w:p>
          <w:p w14:paraId="7350A53C">
            <w:pPr>
              <w:keepNext w:val="0"/>
              <w:keepLines w:val="0"/>
              <w:pageBreakBefore w:val="0"/>
              <w:widowControl/>
              <w:kinsoku w:val="0"/>
              <w:wordWrap w:val="0"/>
              <w:overflowPunct/>
              <w:topLinePunct w:val="0"/>
              <w:autoSpaceDE w:val="0"/>
              <w:autoSpaceDN w:val="0"/>
              <w:bidi w:val="0"/>
              <w:adjustRightInd w:val="0"/>
              <w:snapToGrid w:val="0"/>
              <w:spacing w:before="131"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串标和弄虚</w:t>
            </w:r>
          </w:p>
          <w:p w14:paraId="18E84040">
            <w:pPr>
              <w:keepNext w:val="0"/>
              <w:keepLines w:val="0"/>
              <w:pageBreakBefore w:val="0"/>
              <w:widowControl/>
              <w:kinsoku w:val="0"/>
              <w:wordWrap w:val="0"/>
              <w:overflowPunct/>
              <w:topLinePunct w:val="0"/>
              <w:autoSpaceDE w:val="0"/>
              <w:autoSpaceDN w:val="0"/>
              <w:bidi w:val="0"/>
              <w:adjustRightInd w:val="0"/>
              <w:snapToGrid w:val="0"/>
              <w:spacing w:before="133"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作假行为的承诺</w:t>
            </w:r>
          </w:p>
        </w:tc>
        <w:tc>
          <w:tcPr>
            <w:tcW w:w="3107" w:type="dxa"/>
            <w:vAlign w:val="top"/>
          </w:tcPr>
          <w:p w14:paraId="62CF0363">
            <w:pPr>
              <w:pStyle w:val="28"/>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3960F528">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1" w:right="2" w:firstLine="420"/>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我方合法正当、诚实守信地参与投标，不组织、不参加围标串标违法行为，不通过弄虚作假行为骗取中标。</w:t>
            </w:r>
          </w:p>
        </w:tc>
        <w:tc>
          <w:tcPr>
            <w:tcW w:w="4272" w:type="dxa"/>
            <w:vAlign w:val="top"/>
          </w:tcPr>
          <w:p w14:paraId="0A090EF8">
            <w:pPr>
              <w:keepNext w:val="0"/>
              <w:keepLines w:val="0"/>
              <w:pageBreakBefore w:val="0"/>
              <w:widowControl/>
              <w:kinsoku w:val="0"/>
              <w:wordWrap w:val="0"/>
              <w:overflowPunct/>
              <w:topLinePunct w:val="0"/>
              <w:autoSpaceDE w:val="0"/>
              <w:autoSpaceDN w:val="0"/>
              <w:bidi w:val="0"/>
              <w:adjustRightInd w:val="0"/>
              <w:snapToGrid w:val="0"/>
              <w:spacing w:before="129" w:line="288" w:lineRule="auto"/>
              <w:ind w:left="13" w:right="4" w:firstLine="422"/>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6CBF92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39F3D356">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4</w:t>
            </w:r>
          </w:p>
        </w:tc>
        <w:tc>
          <w:tcPr>
            <w:tcW w:w="1675" w:type="dxa"/>
            <w:vAlign w:val="center"/>
          </w:tcPr>
          <w:p w14:paraId="5F8AABEC">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项目经理任职承诺</w:t>
            </w:r>
          </w:p>
        </w:tc>
        <w:tc>
          <w:tcPr>
            <w:tcW w:w="3107" w:type="dxa"/>
            <w:vAlign w:val="top"/>
          </w:tcPr>
          <w:p w14:paraId="3D586645">
            <w:pPr>
              <w:pStyle w:val="28"/>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25D7FCEF">
            <w:pPr>
              <w:pStyle w:val="28"/>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1EFE29D7">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9" w:right="2" w:firstLine="422"/>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我方拟派项目经理现阶段没有担任任何在施（包括已中标未开工、已开工未竣工）建设工程项目的项目经理。</w:t>
            </w:r>
          </w:p>
        </w:tc>
        <w:tc>
          <w:tcPr>
            <w:tcW w:w="4272" w:type="dxa"/>
            <w:vAlign w:val="top"/>
          </w:tcPr>
          <w:p w14:paraId="4A8515D9">
            <w:pPr>
              <w:keepNext w:val="0"/>
              <w:keepLines w:val="0"/>
              <w:pageBreakBefore w:val="0"/>
              <w:widowControl/>
              <w:kinsoku w:val="0"/>
              <w:wordWrap w:val="0"/>
              <w:overflowPunct/>
              <w:topLinePunct w:val="0"/>
              <w:autoSpaceDE w:val="0"/>
              <w:autoSpaceDN w:val="0"/>
              <w:bidi w:val="0"/>
              <w:adjustRightInd w:val="0"/>
              <w:snapToGrid w:val="0"/>
              <w:spacing w:before="128" w:line="288" w:lineRule="auto"/>
              <w:ind w:left="11" w:firstLine="417"/>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拟派项目经理在本项目招标投标活动期间有担任其他任何在施（包括已中标未开工、已开工未竣工）建设工程项目的项目经理，我方接受招标人或其授权的招标代理机构或其组建的评标委员会依据招标文件作出的相应处理以及有关监督部门作出的行政处罚，并承担由此引起的一切法律后果。</w:t>
            </w:r>
          </w:p>
        </w:tc>
      </w:tr>
      <w:tr w14:paraId="5F5F5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1B9DDA4A">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5</w:t>
            </w:r>
          </w:p>
        </w:tc>
        <w:tc>
          <w:tcPr>
            <w:tcW w:w="1675" w:type="dxa"/>
            <w:vAlign w:val="center"/>
          </w:tcPr>
          <w:p w14:paraId="7009D3C6">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投标文件</w:t>
            </w:r>
          </w:p>
          <w:p w14:paraId="7FA4425B">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真实性承诺</w:t>
            </w:r>
          </w:p>
        </w:tc>
        <w:tc>
          <w:tcPr>
            <w:tcW w:w="3107" w:type="dxa"/>
            <w:vAlign w:val="top"/>
          </w:tcPr>
          <w:p w14:paraId="24313CA0">
            <w:pPr>
              <w:pStyle w:val="28"/>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080F2869">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2" w:firstLine="409"/>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我方所递交投标文件的全部内容均为真实、有效、准确的。</w:t>
            </w:r>
          </w:p>
        </w:tc>
        <w:tc>
          <w:tcPr>
            <w:tcW w:w="4272" w:type="dxa"/>
            <w:vAlign w:val="top"/>
          </w:tcPr>
          <w:p w14:paraId="117F7D2E">
            <w:pPr>
              <w:keepNext w:val="0"/>
              <w:keepLines w:val="0"/>
              <w:pageBreakBefore w:val="0"/>
              <w:widowControl/>
              <w:kinsoku w:val="0"/>
              <w:wordWrap w:val="0"/>
              <w:overflowPunct/>
              <w:topLinePunct w:val="0"/>
              <w:autoSpaceDE w:val="0"/>
              <w:autoSpaceDN w:val="0"/>
              <w:bidi w:val="0"/>
              <w:adjustRightInd w:val="0"/>
              <w:snapToGrid w:val="0"/>
              <w:spacing w:before="127" w:line="288" w:lineRule="auto"/>
              <w:ind w:left="11" w:firstLine="417"/>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如果我方递交的投标文件任何内容不真实或无效或不准确，我方接受招标人或其授权的招标代理机构或其组建的评标委员会依据招标文件作出的相应处理，包括否决投标。</w:t>
            </w:r>
          </w:p>
        </w:tc>
      </w:tr>
      <w:tr w14:paraId="02577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4" w:hRule="atLeast"/>
        </w:trPr>
        <w:tc>
          <w:tcPr>
            <w:tcW w:w="764" w:type="dxa"/>
            <w:vAlign w:val="center"/>
          </w:tcPr>
          <w:p w14:paraId="6B3A9885">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6</w:t>
            </w:r>
            <w:r>
              <w:rPr>
                <w:rFonts w:hint="eastAsia" w:ascii="宋体" w:hAnsi="宋体" w:eastAsia="宋体" w:cs="宋体"/>
                <w:color w:val="000000" w:themeColor="text1"/>
                <w:spacing w:val="0"/>
                <w:sz w:val="21"/>
                <w:szCs w:val="21"/>
                <w:highlight w:val="none"/>
                <w14:textFill>
                  <w14:solidFill>
                    <w14:schemeClr w14:val="tx1"/>
                  </w14:solidFill>
                </w14:textFill>
              </w:rPr>
              <w:drawing>
                <wp:anchor distT="0" distB="0" distL="114300" distR="114300" simplePos="0" relativeHeight="251664384" behindDoc="1" locked="0" layoutInCell="0" allowOverlap="1">
                  <wp:simplePos x="0" y="0"/>
                  <wp:positionH relativeFrom="page">
                    <wp:posOffset>3902075</wp:posOffset>
                  </wp:positionH>
                  <wp:positionV relativeFrom="page">
                    <wp:posOffset>2252345</wp:posOffset>
                  </wp:positionV>
                  <wp:extent cx="6350" cy="241300"/>
                  <wp:effectExtent l="0" t="0" r="0" b="0"/>
                  <wp:wrapNone/>
                  <wp:docPr id="16" name="IM 120"/>
                  <wp:cNvGraphicFramePr/>
                  <a:graphic xmlns:a="http://schemas.openxmlformats.org/drawingml/2006/main">
                    <a:graphicData uri="http://schemas.openxmlformats.org/drawingml/2006/picture">
                      <pic:pic xmlns:pic="http://schemas.openxmlformats.org/drawingml/2006/picture">
                        <pic:nvPicPr>
                          <pic:cNvPr id="16" name="IM 120"/>
                          <pic:cNvPicPr/>
                        </pic:nvPicPr>
                        <pic:blipFill>
                          <a:blip r:embed="rId56"/>
                          <a:stretch>
                            <a:fillRect/>
                          </a:stretch>
                        </pic:blipFill>
                        <pic:spPr>
                          <a:xfrm>
                            <a:off x="0" y="0"/>
                            <a:ext cx="6350" cy="241300"/>
                          </a:xfrm>
                          <a:prstGeom prst="rect">
                            <a:avLst/>
                          </a:prstGeom>
                          <a:noFill/>
                          <a:ln>
                            <a:noFill/>
                          </a:ln>
                        </pic:spPr>
                      </pic:pic>
                    </a:graphicData>
                  </a:graphic>
                </wp:anchor>
              </w:drawing>
            </w:r>
          </w:p>
        </w:tc>
        <w:tc>
          <w:tcPr>
            <w:tcW w:w="1675" w:type="dxa"/>
            <w:vAlign w:val="center"/>
          </w:tcPr>
          <w:p w14:paraId="4D2FADD0">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投标文件</w:t>
            </w:r>
          </w:p>
          <w:p w14:paraId="0E95F9BE">
            <w:pPr>
              <w:keepNext w:val="0"/>
              <w:keepLines w:val="0"/>
              <w:pageBreakBefore w:val="0"/>
              <w:widowControl/>
              <w:kinsoku w:val="0"/>
              <w:wordWrap w:val="0"/>
              <w:overflowPunct/>
              <w:topLinePunct w:val="0"/>
              <w:autoSpaceDE w:val="0"/>
              <w:autoSpaceDN w:val="0"/>
              <w:bidi w:val="0"/>
              <w:adjustRightInd w:val="0"/>
              <w:snapToGrid w:val="0"/>
              <w:spacing w:before="132"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信息公开承诺</w:t>
            </w:r>
          </w:p>
        </w:tc>
        <w:tc>
          <w:tcPr>
            <w:tcW w:w="3107" w:type="dxa"/>
            <w:vAlign w:val="center"/>
          </w:tcPr>
          <w:p w14:paraId="0DF7EDDD">
            <w:pPr>
              <w:keepNext w:val="0"/>
              <w:keepLines w:val="0"/>
              <w:pageBreakBefore w:val="0"/>
              <w:widowControl/>
              <w:kinsoku w:val="0"/>
              <w:wordWrap w:val="0"/>
              <w:overflowPunct/>
              <w:topLinePunct w:val="0"/>
              <w:autoSpaceDE w:val="0"/>
              <w:autoSpaceDN w:val="0"/>
              <w:bidi w:val="0"/>
              <w:adjustRightInd w:val="0"/>
              <w:snapToGrid w:val="0"/>
              <w:spacing w:before="130" w:line="288" w:lineRule="auto"/>
              <w:ind w:left="10" w:right="2" w:firstLine="420"/>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我方提供完整的文件。如果我方成为本项目</w:t>
            </w: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定</w:t>
            </w:r>
            <w:r>
              <w:rPr>
                <w:rFonts w:hint="eastAsia" w:ascii="宋体" w:hAnsi="宋体" w:eastAsia="宋体" w:cs="宋体"/>
                <w:color w:val="000000" w:themeColor="text1"/>
                <w:spacing w:val="0"/>
                <w:sz w:val="21"/>
                <w:szCs w:val="21"/>
                <w:highlight w:val="none"/>
                <w14:textFill>
                  <w14:solidFill>
                    <w14:schemeClr w14:val="tx1"/>
                  </w14:solidFill>
                </w14:textFill>
              </w:rPr>
              <w:t>标候选人，我方同意并授权招标人在评标结果公示期内公开我方商务标书的全部内容。</w:t>
            </w:r>
          </w:p>
        </w:tc>
        <w:tc>
          <w:tcPr>
            <w:tcW w:w="4272" w:type="dxa"/>
            <w:vAlign w:val="top"/>
            <mc:AlternateContent>
              <mc:Choice Requires="wpsCustomData">
                <wpsCustomData:diagonals>
                  <wpsCustomData:diagonal from="20000" to="0">
                    <wpsCustomData:border w:val="single" w:color="000000" w:sz="2" w:space="0"/>
                  </wpsCustomData:diagonal>
                </wpsCustomData:diagonals>
              </mc:Choice>
            </mc:AlternateContent>
          </w:tcPr>
          <w:p w14:paraId="1164999A">
            <w:pPr>
              <w:pStyle w:val="28"/>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6D48F5C3">
            <w:pPr>
              <w:pStyle w:val="28"/>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695D5933">
            <w:pPr>
              <w:keepNext w:val="0"/>
              <w:keepLines w:val="0"/>
              <w:pageBreakBefore w:val="0"/>
              <w:widowControl/>
              <w:kinsoku w:val="0"/>
              <w:wordWrap w:val="0"/>
              <w:overflowPunct/>
              <w:topLinePunct w:val="0"/>
              <w:autoSpaceDE w:val="0"/>
              <w:autoSpaceDN w:val="0"/>
              <w:bidi w:val="0"/>
              <w:adjustRightInd w:val="0"/>
              <w:snapToGrid w:val="0"/>
              <w:spacing w:before="58" w:line="240" w:lineRule="auto"/>
              <w:ind w:left="1979"/>
              <w:textAlignment w:val="baseline"/>
              <mc:AlternateContent>
                <mc:Choice Requires="wpsCustomData">
                  <wpsCustomData:diagonalParaType/>
                </mc:Choice>
              </mc:AlternateContent>
              <w:rPr>
                <w:rFonts w:hint="eastAsia" w:ascii="宋体" w:hAnsi="宋体" w:eastAsia="宋体" w:cs="宋体"/>
                <w:color w:val="000000" w:themeColor="text1"/>
                <w:spacing w:val="0"/>
                <w:sz w:val="21"/>
                <w:szCs w:val="21"/>
                <w:highlight w:val="none"/>
                <w14:textFill>
                  <w14:solidFill>
                    <w14:schemeClr w14:val="tx1"/>
                  </w14:solidFill>
                </w14:textFill>
              </w:rPr>
            </w:pPr>
          </w:p>
          <w:p w14:paraId="52A22145">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1979"/>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tc>
      </w:tr>
      <w:tr w14:paraId="31DB0D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6" w:hRule="atLeast"/>
        </w:trPr>
        <w:tc>
          <w:tcPr>
            <w:tcW w:w="764" w:type="dxa"/>
            <w:vAlign w:val="center"/>
          </w:tcPr>
          <w:p w14:paraId="320F0521">
            <w:pPr>
              <w:keepNext w:val="0"/>
              <w:keepLines w:val="0"/>
              <w:pageBreakBefore w:val="0"/>
              <w:widowControl/>
              <w:kinsoku w:val="0"/>
              <w:wordWrap w:val="0"/>
              <w:overflowPunct/>
              <w:topLinePunct w:val="0"/>
              <w:autoSpaceDE w:val="0"/>
              <w:autoSpaceDN w:val="0"/>
              <w:bidi w:val="0"/>
              <w:adjustRightInd w:val="0"/>
              <w:snapToGrid w:val="0"/>
              <w:spacing w:before="57"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7</w:t>
            </w:r>
          </w:p>
        </w:tc>
        <w:tc>
          <w:tcPr>
            <w:tcW w:w="1675" w:type="dxa"/>
            <w:vAlign w:val="center"/>
          </w:tcPr>
          <w:p w14:paraId="5782E3F0">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对不正常报价的确认承诺</w:t>
            </w:r>
          </w:p>
        </w:tc>
        <w:tc>
          <w:tcPr>
            <w:tcW w:w="3107" w:type="dxa"/>
            <w:vAlign w:val="top"/>
          </w:tcPr>
          <w:p w14:paraId="6D8BDFB8">
            <w:pPr>
              <w:keepNext w:val="0"/>
              <w:keepLines w:val="0"/>
              <w:pageBreakBefore w:val="0"/>
              <w:widowControl/>
              <w:kinsoku w:val="0"/>
              <w:wordWrap w:val="0"/>
              <w:overflowPunct/>
              <w:topLinePunct w:val="0"/>
              <w:autoSpaceDE w:val="0"/>
              <w:autoSpaceDN w:val="0"/>
              <w:bidi w:val="0"/>
              <w:adjustRightInd w:val="0"/>
              <w:snapToGrid w:val="0"/>
              <w:spacing w:before="121" w:line="288" w:lineRule="auto"/>
              <w:ind w:left="10" w:right="2" w:firstLine="423"/>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如果我方中标，我方接受招标人在合同订立期间依据招标文件有关条款约定对我方已标价工程量清单中不正常报价的修正或认定，并按要求签署《不正常报价清单》加以确认。</w:t>
            </w:r>
          </w:p>
        </w:tc>
        <w:tc>
          <w:tcPr>
            <w:tcW w:w="4272" w:type="dxa"/>
            <w:vAlign w:val="top"/>
            <mc:AlternateContent>
              <mc:Choice Requires="wpsCustomData">
                <wpsCustomData:diagonals>
                  <wpsCustomData:diagonal from="20000" to="0">
                    <wpsCustomData:border w:val="single" w:color="000000" w:sz="2" w:space="0"/>
                  </wpsCustomData:diagonal>
                </wpsCustomData:diagonals>
              </mc:Choice>
            </mc:AlternateContent>
          </w:tcPr>
          <w:p w14:paraId="55874C84">
            <w:pPr>
              <w:pStyle w:val="28"/>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7ACFEB24">
            <w:pPr>
              <w:pStyle w:val="28"/>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69C2BA43">
            <w:pPr>
              <w:pStyle w:val="28"/>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1303911B">
            <w:pPr>
              <w:keepNext w:val="0"/>
              <w:keepLines w:val="0"/>
              <w:pageBreakBefore w:val="0"/>
              <w:widowControl/>
              <w:kinsoku w:val="0"/>
              <w:wordWrap w:val="0"/>
              <w:overflowPunct/>
              <w:topLinePunct w:val="0"/>
              <w:autoSpaceDE w:val="0"/>
              <w:autoSpaceDN w:val="0"/>
              <w:bidi w:val="0"/>
              <w:adjustRightInd w:val="0"/>
              <w:snapToGrid w:val="0"/>
              <w:spacing w:before="57" w:line="240" w:lineRule="auto"/>
              <w:ind w:left="1979"/>
              <w:textAlignment w:val="baseline"/>
              <mc:AlternateContent>
                <mc:Choice Requires="wpsCustomData">
                  <wpsCustomData:diagonalParaType/>
                </mc:Choice>
              </mc:AlternateContent>
              <w:rPr>
                <w:rFonts w:hint="eastAsia" w:ascii="宋体" w:hAnsi="宋体" w:eastAsia="宋体" w:cs="宋体"/>
                <w:color w:val="000000" w:themeColor="text1"/>
                <w:spacing w:val="0"/>
                <w:sz w:val="21"/>
                <w:szCs w:val="21"/>
                <w:highlight w:val="none"/>
                <w14:textFill>
                  <w14:solidFill>
                    <w14:schemeClr w14:val="tx1"/>
                  </w14:solidFill>
                </w14:textFill>
              </w:rPr>
            </w:pPr>
          </w:p>
          <w:p w14:paraId="1AB87749">
            <w:pPr>
              <w:keepNext w:val="0"/>
              <w:keepLines w:val="0"/>
              <w:pageBreakBefore w:val="0"/>
              <w:widowControl/>
              <w:kinsoku w:val="0"/>
              <w:wordWrap w:val="0"/>
              <w:overflowPunct/>
              <w:topLinePunct w:val="0"/>
              <w:autoSpaceDE w:val="0"/>
              <w:autoSpaceDN w:val="0"/>
              <w:bidi w:val="0"/>
              <w:adjustRightInd w:val="0"/>
              <w:snapToGrid w:val="0"/>
              <w:spacing w:before="57" w:line="288" w:lineRule="auto"/>
              <w:ind w:left="1979"/>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tc>
      </w:tr>
      <w:tr w14:paraId="2D63E4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7C876BD4">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8</w:t>
            </w:r>
          </w:p>
        </w:tc>
        <w:tc>
          <w:tcPr>
            <w:tcW w:w="1675" w:type="dxa"/>
            <w:vAlign w:val="center"/>
          </w:tcPr>
          <w:p w14:paraId="01E67844">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按时提交履约保证的承诺</w:t>
            </w:r>
          </w:p>
        </w:tc>
        <w:tc>
          <w:tcPr>
            <w:tcW w:w="3107" w:type="dxa"/>
            <w:vAlign w:val="top"/>
          </w:tcPr>
          <w:p w14:paraId="29A0D195">
            <w:pPr>
              <w:pStyle w:val="28"/>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00CA932B">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2"/>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如果我方中标，我方保证在招标文件规定的时限内全额提交履约保证。</w:t>
            </w:r>
          </w:p>
        </w:tc>
        <w:tc>
          <w:tcPr>
            <w:tcW w:w="4272" w:type="dxa"/>
            <w:vAlign w:val="top"/>
          </w:tcPr>
          <w:p w14:paraId="157135E5">
            <w:pPr>
              <w:keepNext w:val="0"/>
              <w:keepLines w:val="0"/>
              <w:pageBreakBefore w:val="0"/>
              <w:widowControl/>
              <w:kinsoku w:val="0"/>
              <w:wordWrap w:val="0"/>
              <w:overflowPunct/>
              <w:topLinePunct w:val="0"/>
              <w:autoSpaceDE w:val="0"/>
              <w:autoSpaceDN w:val="0"/>
              <w:bidi w:val="0"/>
              <w:adjustRightInd w:val="0"/>
              <w:snapToGrid w:val="0"/>
              <w:spacing w:before="128" w:line="288" w:lineRule="auto"/>
              <w:ind w:left="12" w:right="23" w:firstLine="423"/>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如果我方未在招标文件规定的时限内全额提交履约保证，我方接受招标人依据招标文件作出的相应处理以及有关监督部门作出的行政处罚，并承担由此引起的一切法律后果。</w:t>
            </w:r>
          </w:p>
        </w:tc>
      </w:tr>
      <w:tr w14:paraId="12204F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2C8442E1">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9</w:t>
            </w:r>
          </w:p>
        </w:tc>
        <w:tc>
          <w:tcPr>
            <w:tcW w:w="1675" w:type="dxa"/>
            <w:vAlign w:val="center"/>
          </w:tcPr>
          <w:p w14:paraId="7AF6CE02">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按时签订合同的承诺</w:t>
            </w:r>
          </w:p>
        </w:tc>
        <w:tc>
          <w:tcPr>
            <w:tcW w:w="3107" w:type="dxa"/>
            <w:vAlign w:val="top"/>
          </w:tcPr>
          <w:p w14:paraId="59576A39">
            <w:pPr>
              <w:pStyle w:val="28"/>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25FCE2AC">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2"/>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如果我方中标，我方保证在招标文件规定的时限内与招标人签订合同，不提出违背或超出招标文件、中标文件的要求。</w:t>
            </w:r>
          </w:p>
        </w:tc>
        <w:tc>
          <w:tcPr>
            <w:tcW w:w="4272" w:type="dxa"/>
            <w:vAlign w:val="top"/>
          </w:tcPr>
          <w:p w14:paraId="3246D3A0">
            <w:pPr>
              <w:keepNext w:val="0"/>
              <w:keepLines w:val="0"/>
              <w:pageBreakBefore w:val="0"/>
              <w:widowControl/>
              <w:kinsoku w:val="0"/>
              <w:wordWrap w:val="0"/>
              <w:overflowPunct/>
              <w:topLinePunct w:val="0"/>
              <w:autoSpaceDE w:val="0"/>
              <w:autoSpaceDN w:val="0"/>
              <w:bidi w:val="0"/>
              <w:adjustRightInd w:val="0"/>
              <w:snapToGrid w:val="0"/>
              <w:spacing w:before="126" w:line="288" w:lineRule="auto"/>
              <w:ind w:left="13" w:firstLine="415"/>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5841BEAA">
      <w:pPr>
        <w:keepNext w:val="0"/>
        <w:keepLines w:val="0"/>
        <w:pageBreakBefore w:val="0"/>
        <w:wordWrap w:val="0"/>
        <w:overflowPunct/>
        <w:topLinePunct w:val="0"/>
        <w:bidi w:val="0"/>
        <w:spacing w:before="78" w:line="219" w:lineRule="auto"/>
        <w:ind w:firstLine="6720" w:firstLineChars="2800"/>
        <w:jc w:val="both"/>
        <w:rPr>
          <w:rFonts w:hint="eastAsia" w:ascii="宋体" w:hAnsi="宋体" w:eastAsia="宋体" w:cs="宋体"/>
          <w:color w:val="000000" w:themeColor="text1"/>
          <w:spacing w:val="0"/>
          <w:sz w:val="24"/>
          <w:szCs w:val="24"/>
          <w:highlight w:val="none"/>
          <w14:textFill>
            <w14:solidFill>
              <w14:schemeClr w14:val="tx1"/>
            </w14:solidFill>
          </w14:textFill>
        </w:rPr>
      </w:pPr>
    </w:p>
    <w:p w14:paraId="5A5A4090">
      <w:pPr>
        <w:keepNext w:val="0"/>
        <w:keepLines w:val="0"/>
        <w:pageBreakBefore w:val="0"/>
        <w:wordWrap w:val="0"/>
        <w:overflowPunct/>
        <w:topLinePunct w:val="0"/>
        <w:bidi w:val="0"/>
        <w:spacing w:before="78" w:line="219" w:lineRule="auto"/>
        <w:ind w:firstLine="6720" w:firstLineChars="280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11F3159F">
      <w:pPr>
        <w:pStyle w:val="6"/>
        <w:keepNext w:val="0"/>
        <w:keepLines w:val="0"/>
        <w:pageBreakBefore w:val="0"/>
        <w:wordWrap w:val="0"/>
        <w:overflowPunct/>
        <w:topLinePunct w:val="0"/>
        <w:bidi w:val="0"/>
        <w:spacing w:line="297" w:lineRule="auto"/>
        <w:jc w:val="right"/>
        <w:rPr>
          <w:rFonts w:hint="eastAsia" w:ascii="宋体" w:hAnsi="宋体" w:eastAsia="宋体" w:cs="宋体"/>
          <w:color w:val="000000" w:themeColor="text1"/>
          <w:spacing w:val="0"/>
          <w:highlight w:val="none"/>
          <w14:textFill>
            <w14:solidFill>
              <w14:schemeClr w14:val="tx1"/>
            </w14:solidFill>
          </w14:textFill>
        </w:rPr>
      </w:pPr>
    </w:p>
    <w:p w14:paraId="09C1B693">
      <w:pPr>
        <w:keepNext w:val="0"/>
        <w:keepLines w:val="0"/>
        <w:pageBreakBefore w:val="0"/>
        <w:wordWrap w:val="0"/>
        <w:overflowPunct/>
        <w:topLinePunct w:val="0"/>
        <w:bidi w:val="0"/>
        <w:spacing w:before="78" w:line="219" w:lineRule="auto"/>
        <w:ind w:left="4366"/>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5307D740">
      <w:pPr>
        <w:keepNext w:val="0"/>
        <w:keepLines w:val="0"/>
        <w:pageBreakBefore w:val="0"/>
        <w:wordWrap w:val="0"/>
        <w:overflowPunct/>
        <w:topLinePunct w:val="0"/>
        <w:bidi w:val="0"/>
        <w:outlineLvl w:val="9"/>
        <w:rPr>
          <w:rFonts w:hint="eastAsia"/>
          <w:color w:val="000000" w:themeColor="text1"/>
          <w:spacing w:val="0"/>
          <w:highlight w:val="none"/>
          <w14:textFill>
            <w14:solidFill>
              <w14:schemeClr w14:val="tx1"/>
            </w14:solidFill>
          </w14:textFill>
        </w:rPr>
      </w:pPr>
    </w:p>
    <w:p w14:paraId="76133165">
      <w:pPr>
        <w:keepNext w:val="0"/>
        <w:keepLines w:val="0"/>
        <w:pageBreakBefore w:val="0"/>
        <w:wordWrap w:val="0"/>
        <w:overflowPunct/>
        <w:topLinePunct w:val="0"/>
        <w:bidi w:val="0"/>
        <w:spacing w:before="78" w:line="220" w:lineRule="auto"/>
        <w:ind w:left="673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2420BB4E">
      <w:pPr>
        <w:keepNext w:val="0"/>
        <w:keepLines w:val="0"/>
        <w:pageBreakBefore w:val="0"/>
        <w:wordWrap w:val="0"/>
        <w:overflowPunct/>
        <w:topLinePunct w:val="0"/>
        <w:bidi w:val="0"/>
        <w:spacing w:line="220"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17"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0B193340">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34" w:name="_Toc29314"/>
      <w:r>
        <w:rPr>
          <w:rFonts w:hint="eastAsia" w:ascii="宋体" w:hAnsi="宋体" w:eastAsia="宋体" w:cs="宋体"/>
          <w:b/>
          <w:bCs/>
          <w:color w:val="000000" w:themeColor="text1"/>
          <w:spacing w:val="0"/>
          <w:sz w:val="24"/>
          <w:szCs w:val="24"/>
          <w:highlight w:val="none"/>
          <w14:textFill>
            <w14:solidFill>
              <w14:schemeClr w14:val="tx1"/>
            </w14:solidFill>
          </w14:textFill>
        </w:rPr>
        <w:t>格式四 授权委托书</w:t>
      </w:r>
      <w:bookmarkEnd w:id="234"/>
    </w:p>
    <w:p w14:paraId="03776E3A">
      <w:pPr>
        <w:pStyle w:val="6"/>
        <w:keepNext w:val="0"/>
        <w:keepLines w:val="0"/>
        <w:pageBreakBefore w:val="0"/>
        <w:wordWrap w:val="0"/>
        <w:overflowPunct/>
        <w:topLinePunct w:val="0"/>
        <w:bidi w:val="0"/>
        <w:spacing w:line="351" w:lineRule="auto"/>
        <w:rPr>
          <w:rFonts w:hint="eastAsia" w:ascii="宋体" w:hAnsi="宋体" w:eastAsia="宋体" w:cs="宋体"/>
          <w:color w:val="000000" w:themeColor="text1"/>
          <w:spacing w:val="0"/>
          <w:highlight w:val="none"/>
          <w14:textFill>
            <w14:solidFill>
              <w14:schemeClr w14:val="tx1"/>
            </w14:solidFill>
          </w14:textFill>
        </w:rPr>
      </w:pPr>
    </w:p>
    <w:p w14:paraId="27681910">
      <w:pPr>
        <w:pStyle w:val="6"/>
        <w:keepNext w:val="0"/>
        <w:keepLines w:val="0"/>
        <w:pageBreakBefore w:val="0"/>
        <w:wordWrap w:val="0"/>
        <w:overflowPunct/>
        <w:topLinePunct w:val="0"/>
        <w:bidi w:val="0"/>
        <w:spacing w:line="351" w:lineRule="auto"/>
        <w:rPr>
          <w:rFonts w:hint="eastAsia" w:ascii="宋体" w:hAnsi="宋体" w:eastAsia="宋体" w:cs="宋体"/>
          <w:color w:val="000000" w:themeColor="text1"/>
          <w:spacing w:val="0"/>
          <w:highlight w:val="none"/>
          <w14:textFill>
            <w14:solidFill>
              <w14:schemeClr w14:val="tx1"/>
            </w14:solidFill>
          </w14:textFill>
        </w:rPr>
      </w:pPr>
    </w:p>
    <w:p w14:paraId="6710AE74">
      <w:pPr>
        <w:keepNext w:val="0"/>
        <w:keepLines w:val="0"/>
        <w:pageBreakBefore w:val="0"/>
        <w:wordWrap w:val="0"/>
        <w:overflowPunct/>
        <w:topLinePunct w:val="0"/>
        <w:bidi w:val="0"/>
        <w:spacing w:before="97" w:line="219" w:lineRule="auto"/>
        <w:ind w:left="3786"/>
        <w:rPr>
          <w:rFonts w:hint="eastAsia" w:ascii="宋体" w:hAnsi="宋体" w:eastAsia="宋体" w:cs="宋体"/>
          <w:color w:val="000000" w:themeColor="text1"/>
          <w:spacing w:val="0"/>
          <w:sz w:val="30"/>
          <w:szCs w:val="30"/>
          <w:highlight w:val="none"/>
          <w14:textFill>
            <w14:solidFill>
              <w14:schemeClr w14:val="tx1"/>
            </w14:solidFill>
          </w14:textFill>
        </w:rPr>
      </w:pPr>
      <w:bookmarkStart w:id="235" w:name="bookmark151"/>
      <w:bookmarkEnd w:id="235"/>
      <w:r>
        <w:rPr>
          <w:rFonts w:hint="eastAsia" w:ascii="宋体" w:hAnsi="宋体" w:eastAsia="宋体" w:cs="宋体"/>
          <w:b/>
          <w:bCs/>
          <w:color w:val="000000" w:themeColor="text1"/>
          <w:spacing w:val="0"/>
          <w:sz w:val="30"/>
          <w:szCs w:val="30"/>
          <w:highlight w:val="none"/>
          <w14:textFill>
            <w14:solidFill>
              <w14:schemeClr w14:val="tx1"/>
            </w14:solidFill>
          </w14:textFill>
        </w:rPr>
        <w:t>授权委托书</w:t>
      </w:r>
    </w:p>
    <w:p w14:paraId="6B19C13D">
      <w:pPr>
        <w:pStyle w:val="6"/>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761B3015">
      <w:pPr>
        <w:pStyle w:val="6"/>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586EF8E7">
      <w:pPr>
        <w:pStyle w:val="6"/>
        <w:keepNext w:val="0"/>
        <w:keepLines w:val="0"/>
        <w:pageBreakBefore w:val="0"/>
        <w:wordWrap w:val="0"/>
        <w:overflowPunct/>
        <w:topLinePunct w:val="0"/>
        <w:bidi w:val="0"/>
        <w:spacing w:line="251" w:lineRule="auto"/>
        <w:rPr>
          <w:rFonts w:hint="eastAsia" w:ascii="宋体" w:hAnsi="宋体" w:eastAsia="宋体" w:cs="宋体"/>
          <w:color w:val="000000" w:themeColor="text1"/>
          <w:spacing w:val="0"/>
          <w:highlight w:val="none"/>
          <w14:textFill>
            <w14:solidFill>
              <w14:schemeClr w14:val="tx1"/>
            </w14:solidFill>
          </w14:textFill>
        </w:rPr>
      </w:pPr>
    </w:p>
    <w:p w14:paraId="29794F47">
      <w:pPr>
        <w:keepNext w:val="0"/>
        <w:keepLines w:val="0"/>
        <w:pageBreakBefore w:val="0"/>
        <w:widowControl/>
        <w:kinsoku w:val="0"/>
        <w:wordWrap w:val="0"/>
        <w:overflowPunct/>
        <w:topLinePunct w:val="0"/>
        <w:autoSpaceDE w:val="0"/>
        <w:autoSpaceDN w:val="0"/>
        <w:bidi w:val="0"/>
        <w:adjustRightInd w:val="0"/>
        <w:snapToGrid w:val="0"/>
        <w:spacing w:before="78" w:line="330" w:lineRule="auto"/>
        <w:ind w:firstLine="481"/>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8"/>
          <w:highlight w:val="none"/>
          <w:lang w:eastAsia="zh-CN"/>
          <w14:textFill>
            <w14:solidFill>
              <w14:schemeClr w14:val="tx1"/>
            </w14:solidFill>
          </w14:textFill>
        </w:rPr>
        <w:t>本人</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8"/>
          <w:highlight w:val="none"/>
          <w:lang w:eastAsia="zh-CN"/>
          <w14:textFill>
            <w14:solidFill>
              <w14:schemeClr w14:val="tx1"/>
            </w14:solidFill>
          </w14:textFill>
        </w:rPr>
        <w:t>（姓名）系</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8"/>
          <w:highlight w:val="none"/>
          <w:lang w:eastAsia="zh-CN"/>
          <w14:textFill>
            <w14:solidFill>
              <w14:schemeClr w14:val="tx1"/>
            </w14:solidFill>
          </w14:textFill>
        </w:rPr>
        <w:t>（投标人名称）的法定代表人，现委托</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8"/>
          <w:highlight w:val="none"/>
          <w:lang w:eastAsia="zh-CN"/>
          <w14:textFill>
            <w14:solidFill>
              <w14:schemeClr w14:val="tx1"/>
            </w14:solidFill>
          </w14:textFill>
        </w:rPr>
        <w:t>（姓名）为我方代理人。代理人根据授权，以我方名义签署、澄清、说明、补正、递交、撤回、修改</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u w:val="singl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8"/>
          <w:highlight w:val="none"/>
          <w:u w:val="single"/>
          <w:lang w:eastAsia="zh-CN"/>
          <w14:textFill>
            <w14:solidFill>
              <w14:schemeClr w14:val="tx1"/>
            </w14:solidFill>
          </w14:textFill>
        </w:rPr>
        <w:t>（项目名称）</w:t>
      </w:r>
      <w:r>
        <w:rPr>
          <w:rFonts w:hint="eastAsia" w:ascii="宋体" w:hAnsi="宋体" w:eastAsia="宋体" w:cs="宋体"/>
          <w:snapToGrid w:val="0"/>
          <w:color w:val="000000" w:themeColor="text1"/>
          <w:spacing w:val="0"/>
          <w:kern w:val="0"/>
          <w:sz w:val="24"/>
          <w:szCs w:val="28"/>
          <w:highlight w:val="none"/>
          <w:lang w:eastAsia="zh-CN"/>
          <w14:textFill>
            <w14:solidFill>
              <w14:schemeClr w14:val="tx1"/>
            </w14:solidFill>
          </w14:textFill>
        </w:rPr>
        <w:t>施工投标文件、签订合同和处理有关事宜，其法律后果由我方承担。</w:t>
      </w:r>
    </w:p>
    <w:p w14:paraId="61311643">
      <w:pPr>
        <w:keepNext w:val="0"/>
        <w:keepLines w:val="0"/>
        <w:pageBreakBefore w:val="0"/>
        <w:widowControl/>
        <w:kinsoku w:val="0"/>
        <w:wordWrap w:val="0"/>
        <w:overflowPunct/>
        <w:topLinePunct w:val="0"/>
        <w:autoSpaceDE w:val="0"/>
        <w:autoSpaceDN w:val="0"/>
        <w:bidi w:val="0"/>
        <w:adjustRightInd w:val="0"/>
        <w:snapToGrid w:val="0"/>
        <w:spacing w:before="32" w:line="320" w:lineRule="auto"/>
        <w:ind w:left="480" w:right="497"/>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委托期限：至</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年   月    日</w:t>
      </w:r>
      <w:r>
        <w:rPr>
          <w:rFonts w:hint="eastAsia" w:ascii="宋体" w:hAnsi="宋体" w:eastAsia="宋体" w:cs="宋体"/>
          <w:i/>
          <w:iCs/>
          <w:color w:val="000000" w:themeColor="text1"/>
          <w:spacing w:val="0"/>
          <w:sz w:val="25"/>
          <w:szCs w:val="25"/>
          <w:highlight w:val="none"/>
          <w:u w:val="single"/>
          <w14:textFill>
            <w14:solidFill>
              <w14:schemeClr w14:val="tx1"/>
            </w14:solidFill>
          </w14:textFill>
        </w:rPr>
        <w:t>（不得短于招标文件规定的投标有效期）</w:t>
      </w:r>
      <w:r>
        <w:rPr>
          <w:rFonts w:hint="eastAsia" w:ascii="宋体" w:hAnsi="宋体" w:eastAsia="宋体" w:cs="宋体"/>
          <w:color w:val="000000" w:themeColor="text1"/>
          <w:spacing w:val="0"/>
          <w:sz w:val="25"/>
          <w:szCs w:val="25"/>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p>
    <w:p w14:paraId="065F5DA6">
      <w:pPr>
        <w:keepNext w:val="0"/>
        <w:keepLines w:val="0"/>
        <w:pageBreakBefore w:val="0"/>
        <w:widowControl/>
        <w:kinsoku w:val="0"/>
        <w:wordWrap w:val="0"/>
        <w:overflowPunct/>
        <w:topLinePunct w:val="0"/>
        <w:autoSpaceDE w:val="0"/>
        <w:autoSpaceDN w:val="0"/>
        <w:bidi w:val="0"/>
        <w:adjustRightInd w:val="0"/>
        <w:snapToGrid w:val="0"/>
        <w:spacing w:before="32" w:line="320" w:lineRule="auto"/>
        <w:ind w:left="480" w:right="497"/>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代理人无转委托权。</w:t>
      </w:r>
    </w:p>
    <w:p w14:paraId="03D08A77">
      <w:pPr>
        <w:pStyle w:val="6"/>
        <w:keepNext w:val="0"/>
        <w:keepLines w:val="0"/>
        <w:pageBreakBefore w:val="0"/>
        <w:wordWrap w:val="0"/>
        <w:overflowPunct/>
        <w:topLinePunct w:val="0"/>
        <w:bidi w:val="0"/>
        <w:spacing w:line="276" w:lineRule="auto"/>
        <w:rPr>
          <w:rFonts w:hint="eastAsia" w:ascii="宋体" w:hAnsi="宋体" w:eastAsia="宋体" w:cs="宋体"/>
          <w:color w:val="000000" w:themeColor="text1"/>
          <w:spacing w:val="0"/>
          <w:highlight w:val="none"/>
          <w14:textFill>
            <w14:solidFill>
              <w14:schemeClr w14:val="tx1"/>
            </w14:solidFill>
          </w14:textFill>
        </w:rPr>
      </w:pPr>
    </w:p>
    <w:p w14:paraId="43532AC3">
      <w:pPr>
        <w:pStyle w:val="6"/>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2B7914FB">
      <w:pPr>
        <w:pStyle w:val="6"/>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37C771EC">
      <w:pPr>
        <w:keepNext w:val="0"/>
        <w:keepLines w:val="0"/>
        <w:pageBreakBefore w:val="0"/>
        <w:wordWrap w:val="0"/>
        <w:overflowPunct/>
        <w:topLinePunct w:val="0"/>
        <w:bidi w:val="0"/>
        <w:spacing w:before="78" w:line="219" w:lineRule="auto"/>
        <w:ind w:left="3123"/>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  标  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67E86849">
      <w:pPr>
        <w:pStyle w:val="6"/>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4D39F848">
      <w:pPr>
        <w:pStyle w:val="6"/>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067D7E79">
      <w:pPr>
        <w:pStyle w:val="6"/>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67B8E691">
      <w:pPr>
        <w:keepNext w:val="0"/>
        <w:keepLines w:val="0"/>
        <w:pageBreakBefore w:val="0"/>
        <w:wordWrap w:val="0"/>
        <w:overflowPunct/>
        <w:topLinePunct w:val="0"/>
        <w:bidi w:val="0"/>
        <w:spacing w:before="79" w:line="219" w:lineRule="auto"/>
        <w:ind w:left="3121"/>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058F6FE5">
      <w:pPr>
        <w:pStyle w:val="6"/>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084C2FB0">
      <w:pPr>
        <w:pStyle w:val="6"/>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357963A6">
      <w:pPr>
        <w:pStyle w:val="6"/>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732A1D8F">
      <w:pPr>
        <w:keepNext w:val="0"/>
        <w:keepLines w:val="0"/>
        <w:pageBreakBefore w:val="0"/>
        <w:wordWrap w:val="0"/>
        <w:overflowPunct/>
        <w:topLinePunct w:val="0"/>
        <w:bidi w:val="0"/>
        <w:spacing w:before="78" w:line="219" w:lineRule="auto"/>
        <w:ind w:left="288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委托代理人：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1B567FA1">
      <w:pPr>
        <w:pStyle w:val="6"/>
        <w:keepNext w:val="0"/>
        <w:keepLines w:val="0"/>
        <w:pageBreakBefore w:val="0"/>
        <w:wordWrap w:val="0"/>
        <w:overflowPunct/>
        <w:topLinePunct w:val="0"/>
        <w:bidi w:val="0"/>
        <w:spacing w:line="256" w:lineRule="auto"/>
        <w:jc w:val="right"/>
        <w:rPr>
          <w:rFonts w:hint="eastAsia" w:ascii="宋体" w:hAnsi="宋体" w:eastAsia="宋体" w:cs="宋体"/>
          <w:color w:val="000000" w:themeColor="text1"/>
          <w:spacing w:val="0"/>
          <w:highlight w:val="none"/>
          <w14:textFill>
            <w14:solidFill>
              <w14:schemeClr w14:val="tx1"/>
            </w14:solidFill>
          </w14:textFill>
        </w:rPr>
      </w:pPr>
    </w:p>
    <w:p w14:paraId="3C2BC505">
      <w:pPr>
        <w:pStyle w:val="6"/>
        <w:keepNext w:val="0"/>
        <w:keepLines w:val="0"/>
        <w:pageBreakBefore w:val="0"/>
        <w:wordWrap w:val="0"/>
        <w:overflowPunct/>
        <w:topLinePunct w:val="0"/>
        <w:bidi w:val="0"/>
        <w:spacing w:line="256" w:lineRule="auto"/>
        <w:jc w:val="right"/>
        <w:rPr>
          <w:rFonts w:hint="eastAsia" w:ascii="宋体" w:hAnsi="宋体" w:eastAsia="宋体" w:cs="宋体"/>
          <w:color w:val="000000" w:themeColor="text1"/>
          <w:spacing w:val="0"/>
          <w:highlight w:val="none"/>
          <w14:textFill>
            <w14:solidFill>
              <w14:schemeClr w14:val="tx1"/>
            </w14:solidFill>
          </w14:textFill>
        </w:rPr>
      </w:pPr>
    </w:p>
    <w:p w14:paraId="32DFD235">
      <w:pPr>
        <w:keepNext w:val="0"/>
        <w:keepLines w:val="0"/>
        <w:pageBreakBefore w:val="0"/>
        <w:wordWrap w:val="0"/>
        <w:overflowPunct/>
        <w:topLinePunct w:val="0"/>
        <w:bidi w:val="0"/>
        <w:spacing w:before="78" w:line="220" w:lineRule="auto"/>
        <w:ind w:left="673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09CD99D4">
      <w:pPr>
        <w:keepNext w:val="0"/>
        <w:keepLines w:val="0"/>
        <w:pageBreakBefore w:val="0"/>
        <w:wordWrap w:val="0"/>
        <w:overflowPunct/>
        <w:topLinePunct w:val="0"/>
        <w:bidi w:val="0"/>
        <w:spacing w:before="78" w:line="220" w:lineRule="auto"/>
        <w:ind w:left="4201"/>
        <w:jc w:val="right"/>
        <w:rPr>
          <w:rFonts w:hint="eastAsia" w:ascii="宋体" w:hAnsi="宋体" w:eastAsia="宋体" w:cs="宋体"/>
          <w:color w:val="000000" w:themeColor="text1"/>
          <w:spacing w:val="0"/>
          <w:sz w:val="24"/>
          <w:szCs w:val="24"/>
          <w:highlight w:val="none"/>
          <w14:textFill>
            <w14:solidFill>
              <w14:schemeClr w14:val="tx1"/>
            </w14:solidFill>
          </w14:textFill>
        </w:rPr>
      </w:pPr>
    </w:p>
    <w:p w14:paraId="723A21F5">
      <w:pPr>
        <w:keepNext w:val="0"/>
        <w:keepLines w:val="0"/>
        <w:pageBreakBefore w:val="0"/>
        <w:wordWrap w:val="0"/>
        <w:overflowPunct/>
        <w:topLinePunct w:val="0"/>
        <w:bidi w:val="0"/>
        <w:spacing w:before="69"/>
        <w:rPr>
          <w:rFonts w:hint="eastAsia" w:ascii="宋体" w:hAnsi="宋体" w:eastAsia="宋体" w:cs="宋体"/>
          <w:color w:val="000000" w:themeColor="text1"/>
          <w:spacing w:val="0"/>
          <w:highlight w:val="none"/>
          <w14:textFill>
            <w14:solidFill>
              <w14:schemeClr w14:val="tx1"/>
            </w14:solidFill>
          </w14:textFill>
        </w:rPr>
      </w:pPr>
    </w:p>
    <w:p w14:paraId="1E0667E6">
      <w:pPr>
        <w:keepNext w:val="0"/>
        <w:keepLines w:val="0"/>
        <w:pageBreakBefore w:val="0"/>
        <w:wordWrap w:val="0"/>
        <w:overflowPunct/>
        <w:topLinePunct w:val="0"/>
        <w:bidi w:val="0"/>
        <w:spacing w:before="69"/>
        <w:rPr>
          <w:rFonts w:hint="eastAsia" w:ascii="宋体" w:hAnsi="宋体" w:eastAsia="宋体" w:cs="宋体"/>
          <w:color w:val="000000" w:themeColor="text1"/>
          <w:spacing w:val="0"/>
          <w:highlight w:val="none"/>
          <w14:textFill>
            <w14:solidFill>
              <w14:schemeClr w14:val="tx1"/>
            </w14:solidFill>
          </w14:textFill>
        </w:rPr>
      </w:pPr>
    </w:p>
    <w:tbl>
      <w:tblPr>
        <w:tblStyle w:val="15"/>
        <w:tblW w:w="5600" w:type="dxa"/>
        <w:tblInd w:w="230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5600"/>
      </w:tblGrid>
      <w:tr w14:paraId="2127AB6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570" w:hRule="atLeast"/>
        </w:trPr>
        <w:tc>
          <w:tcPr>
            <w:tcW w:w="5600" w:type="dxa"/>
            <w:vAlign w:val="top"/>
          </w:tcPr>
          <w:p w14:paraId="06290FA3">
            <w:pPr>
              <w:pStyle w:val="28"/>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73D5EEA8">
            <w:pPr>
              <w:pStyle w:val="28"/>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4189E6F9">
            <w:pPr>
              <w:pStyle w:val="28"/>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31D9240F">
            <w:pPr>
              <w:pStyle w:val="28"/>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30F2804B">
            <w:pPr>
              <w:pStyle w:val="28"/>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376A489E">
            <w:pPr>
              <w:pStyle w:val="28"/>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5A6EA383">
            <w:pPr>
              <w:pStyle w:val="28"/>
              <w:keepNext w:val="0"/>
              <w:keepLines w:val="0"/>
              <w:pageBreakBefore w:val="0"/>
              <w:wordWrap w:val="0"/>
              <w:overflowPunct/>
              <w:topLinePunct w:val="0"/>
              <w:bidi w:val="0"/>
              <w:spacing w:line="246" w:lineRule="auto"/>
              <w:rPr>
                <w:rFonts w:hint="eastAsia" w:ascii="宋体" w:hAnsi="宋体" w:eastAsia="宋体" w:cs="宋体"/>
                <w:color w:val="000000" w:themeColor="text1"/>
                <w:spacing w:val="0"/>
                <w:highlight w:val="none"/>
                <w14:textFill>
                  <w14:solidFill>
                    <w14:schemeClr w14:val="tx1"/>
                  </w14:solidFill>
                </w14:textFill>
              </w:rPr>
            </w:pPr>
          </w:p>
          <w:p w14:paraId="46299238">
            <w:pPr>
              <w:keepNext w:val="0"/>
              <w:keepLines w:val="0"/>
              <w:pageBreakBefore w:val="0"/>
              <w:wordWrap w:val="0"/>
              <w:overflowPunct/>
              <w:topLinePunct w:val="0"/>
              <w:bidi w:val="0"/>
              <w:spacing w:before="78" w:line="220" w:lineRule="auto"/>
              <w:ind w:left="71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委托代理人身份证</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彩色扫描件</w:t>
            </w:r>
            <w:r>
              <w:rPr>
                <w:rFonts w:hint="eastAsia" w:ascii="宋体" w:hAnsi="宋体" w:eastAsia="宋体" w:cs="宋体"/>
                <w:color w:val="000000" w:themeColor="text1"/>
                <w:spacing w:val="0"/>
                <w:sz w:val="24"/>
                <w:szCs w:val="24"/>
                <w:highlight w:val="none"/>
                <w14:textFill>
                  <w14:solidFill>
                    <w14:schemeClr w14:val="tx1"/>
                  </w14:solidFill>
                </w14:textFill>
              </w:rPr>
              <w:t>正、反面</w:t>
            </w:r>
          </w:p>
        </w:tc>
      </w:tr>
    </w:tbl>
    <w:p w14:paraId="1CD2E23D">
      <w:pPr>
        <w:pStyle w:val="6"/>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414108A7">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sectPr>
          <w:footerReference r:id="rId18"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13DBB8BC">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36" w:name="_Toc17591"/>
      <w:r>
        <w:rPr>
          <w:rFonts w:hint="eastAsia" w:ascii="宋体" w:hAnsi="宋体" w:eastAsia="宋体" w:cs="宋体"/>
          <w:b/>
          <w:bCs/>
          <w:color w:val="000000" w:themeColor="text1"/>
          <w:spacing w:val="0"/>
          <w:sz w:val="24"/>
          <w:szCs w:val="24"/>
          <w:highlight w:val="none"/>
          <w14:textFill>
            <w14:solidFill>
              <w14:schemeClr w14:val="tx1"/>
            </w14:solidFill>
          </w14:textFill>
        </w:rPr>
        <w:t>格式五 法定代表人身份证明</w:t>
      </w:r>
      <w:bookmarkEnd w:id="236"/>
    </w:p>
    <w:p w14:paraId="64F0910B">
      <w:pPr>
        <w:pStyle w:val="6"/>
        <w:keepNext w:val="0"/>
        <w:keepLines w:val="0"/>
        <w:pageBreakBefore w:val="0"/>
        <w:wordWrap w:val="0"/>
        <w:overflowPunct/>
        <w:topLinePunct w:val="0"/>
        <w:bidi w:val="0"/>
        <w:spacing w:line="350" w:lineRule="auto"/>
        <w:rPr>
          <w:rFonts w:hint="eastAsia" w:ascii="宋体" w:hAnsi="宋体" w:eastAsia="宋体" w:cs="宋体"/>
          <w:color w:val="000000" w:themeColor="text1"/>
          <w:spacing w:val="0"/>
          <w:highlight w:val="none"/>
          <w14:textFill>
            <w14:solidFill>
              <w14:schemeClr w14:val="tx1"/>
            </w14:solidFill>
          </w14:textFill>
        </w:rPr>
      </w:pPr>
    </w:p>
    <w:p w14:paraId="2888A3EE">
      <w:pPr>
        <w:pStyle w:val="6"/>
        <w:keepNext w:val="0"/>
        <w:keepLines w:val="0"/>
        <w:pageBreakBefore w:val="0"/>
        <w:wordWrap w:val="0"/>
        <w:overflowPunct/>
        <w:topLinePunct w:val="0"/>
        <w:bidi w:val="0"/>
        <w:spacing w:line="350" w:lineRule="auto"/>
        <w:rPr>
          <w:rFonts w:hint="eastAsia" w:ascii="宋体" w:hAnsi="宋体" w:eastAsia="宋体" w:cs="宋体"/>
          <w:color w:val="000000" w:themeColor="text1"/>
          <w:spacing w:val="0"/>
          <w:highlight w:val="none"/>
          <w14:textFill>
            <w14:solidFill>
              <w14:schemeClr w14:val="tx1"/>
            </w14:solidFill>
          </w14:textFill>
        </w:rPr>
      </w:pPr>
    </w:p>
    <w:p w14:paraId="10601B29">
      <w:pPr>
        <w:keepNext w:val="0"/>
        <w:keepLines w:val="0"/>
        <w:pageBreakBefore w:val="0"/>
        <w:wordWrap w:val="0"/>
        <w:overflowPunct/>
        <w:topLinePunct w:val="0"/>
        <w:bidi w:val="0"/>
        <w:spacing w:before="98" w:line="220" w:lineRule="auto"/>
        <w:ind w:left="3183"/>
        <w:rPr>
          <w:rFonts w:hint="eastAsia" w:ascii="宋体" w:hAnsi="宋体" w:eastAsia="宋体" w:cs="宋体"/>
          <w:color w:val="000000" w:themeColor="text1"/>
          <w:spacing w:val="0"/>
          <w:sz w:val="30"/>
          <w:szCs w:val="30"/>
          <w:highlight w:val="none"/>
          <w14:textFill>
            <w14:solidFill>
              <w14:schemeClr w14:val="tx1"/>
            </w14:solidFill>
          </w14:textFill>
        </w:rPr>
      </w:pPr>
      <w:bookmarkStart w:id="237" w:name="bookmark152"/>
      <w:bookmarkEnd w:id="237"/>
      <w:r>
        <w:rPr>
          <w:rFonts w:hint="eastAsia" w:ascii="宋体" w:hAnsi="宋体" w:eastAsia="宋体" w:cs="宋体"/>
          <w:b/>
          <w:bCs/>
          <w:color w:val="000000" w:themeColor="text1"/>
          <w:spacing w:val="0"/>
          <w:sz w:val="30"/>
          <w:szCs w:val="30"/>
          <w:highlight w:val="none"/>
          <w14:textFill>
            <w14:solidFill>
              <w14:schemeClr w14:val="tx1"/>
            </w14:solidFill>
          </w14:textFill>
        </w:rPr>
        <w:t>法定代表人身份证明</w:t>
      </w:r>
    </w:p>
    <w:p w14:paraId="176A168B">
      <w:pPr>
        <w:pStyle w:val="6"/>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5B8D004F">
      <w:pPr>
        <w:pStyle w:val="6"/>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47A552CC">
      <w:pPr>
        <w:pStyle w:val="6"/>
        <w:keepNext w:val="0"/>
        <w:keepLines w:val="0"/>
        <w:pageBreakBefore w:val="0"/>
        <w:wordWrap w:val="0"/>
        <w:overflowPunct/>
        <w:topLinePunct w:val="0"/>
        <w:bidi w:val="0"/>
        <w:spacing w:line="251" w:lineRule="auto"/>
        <w:rPr>
          <w:rFonts w:hint="eastAsia" w:ascii="宋体" w:hAnsi="宋体" w:eastAsia="宋体" w:cs="宋体"/>
          <w:color w:val="000000" w:themeColor="text1"/>
          <w:spacing w:val="0"/>
          <w:highlight w:val="none"/>
          <w14:textFill>
            <w14:solidFill>
              <w14:schemeClr w14:val="tx1"/>
            </w14:solidFill>
          </w14:textFill>
        </w:rPr>
      </w:pPr>
    </w:p>
    <w:p w14:paraId="6441890C">
      <w:pPr>
        <w:keepNext w:val="0"/>
        <w:keepLines w:val="0"/>
        <w:pageBreakBefore w:val="0"/>
        <w:wordWrap w:val="0"/>
        <w:overflowPunct/>
        <w:topLinePunct w:val="0"/>
        <w:bidi w:val="0"/>
        <w:adjustRightInd w:val="0"/>
        <w:snapToGrid w:val="0"/>
        <w:spacing w:line="440" w:lineRule="exact"/>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投标人名称：</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p>
    <w:p w14:paraId="78081EA7">
      <w:pPr>
        <w:keepNext w:val="0"/>
        <w:keepLines w:val="0"/>
        <w:pageBreakBefore w:val="0"/>
        <w:wordWrap w:val="0"/>
        <w:overflowPunct/>
        <w:topLinePunct w:val="0"/>
        <w:bidi w:val="0"/>
        <w:adjustRightInd w:val="0"/>
        <w:snapToGrid w:val="0"/>
        <w:spacing w:line="440" w:lineRule="exact"/>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姓名：</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性别：</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年龄：</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职务：</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p>
    <w:p w14:paraId="572BE33E">
      <w:pPr>
        <w:keepNext w:val="0"/>
        <w:keepLines w:val="0"/>
        <w:pageBreakBefore w:val="0"/>
        <w:wordWrap w:val="0"/>
        <w:overflowPunct/>
        <w:topLinePunct w:val="0"/>
        <w:bidi w:val="0"/>
        <w:adjustRightInd w:val="0"/>
        <w:snapToGrid w:val="0"/>
        <w:spacing w:line="440" w:lineRule="exact"/>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系</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（投标人名称）的法定代表人。</w:t>
      </w:r>
    </w:p>
    <w:p w14:paraId="7898B9FA">
      <w:pPr>
        <w:keepNext w:val="0"/>
        <w:keepLines w:val="0"/>
        <w:pageBreakBefore w:val="0"/>
        <w:wordWrap w:val="0"/>
        <w:overflowPunct/>
        <w:topLinePunct w:val="0"/>
        <w:bidi w:val="0"/>
        <w:adjustRightInd w:val="0"/>
        <w:snapToGrid w:val="0"/>
        <w:rPr>
          <w:rFonts w:hint="eastAsia" w:ascii="宋体" w:hAnsi="宋体" w:eastAsia="宋体" w:cs="宋体"/>
          <w:snapToGrid w:val="0"/>
          <w:color w:val="000000" w:themeColor="text1"/>
          <w:spacing w:val="0"/>
          <w:kern w:val="0"/>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 xml:space="preserve">    特此证明。</w:t>
      </w:r>
    </w:p>
    <w:p w14:paraId="1DA8C0EE">
      <w:pPr>
        <w:pStyle w:val="6"/>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46E051EF">
      <w:pPr>
        <w:pStyle w:val="6"/>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31074CD7">
      <w:pPr>
        <w:pStyle w:val="6"/>
        <w:keepNext w:val="0"/>
        <w:keepLines w:val="0"/>
        <w:pageBreakBefore w:val="0"/>
        <w:wordWrap w:val="0"/>
        <w:overflowPunct/>
        <w:topLinePunct w:val="0"/>
        <w:bidi w:val="0"/>
        <w:spacing w:line="278" w:lineRule="auto"/>
        <w:rPr>
          <w:rFonts w:hint="eastAsia" w:ascii="宋体" w:hAnsi="宋体" w:eastAsia="宋体" w:cs="宋体"/>
          <w:color w:val="000000" w:themeColor="text1"/>
          <w:spacing w:val="0"/>
          <w:highlight w:val="none"/>
          <w14:textFill>
            <w14:solidFill>
              <w14:schemeClr w14:val="tx1"/>
            </w14:solidFill>
          </w14:textFill>
        </w:rPr>
      </w:pPr>
    </w:p>
    <w:p w14:paraId="7DE923C3">
      <w:pPr>
        <w:keepNext w:val="0"/>
        <w:keepLines w:val="0"/>
        <w:pageBreakBefore w:val="0"/>
        <w:wordWrap w:val="0"/>
        <w:overflowPunct/>
        <w:topLinePunct w:val="0"/>
        <w:bidi w:val="0"/>
        <w:spacing w:before="78" w:line="219"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5195DD81">
      <w:pPr>
        <w:pStyle w:val="6"/>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355329DE">
      <w:pPr>
        <w:pStyle w:val="6"/>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6910EDC1">
      <w:pPr>
        <w:pStyle w:val="6"/>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14A7032E">
      <w:pPr>
        <w:keepNext w:val="0"/>
        <w:keepLines w:val="0"/>
        <w:pageBreakBefore w:val="0"/>
        <w:wordWrap w:val="0"/>
        <w:overflowPunct/>
        <w:topLinePunct w:val="0"/>
        <w:bidi w:val="0"/>
        <w:spacing w:before="79" w:line="219"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109F911F">
      <w:pPr>
        <w:pStyle w:val="6"/>
        <w:keepNext w:val="0"/>
        <w:keepLines w:val="0"/>
        <w:pageBreakBefore w:val="0"/>
        <w:wordWrap w:val="0"/>
        <w:overflowPunct/>
        <w:topLinePunct w:val="0"/>
        <w:bidi w:val="0"/>
        <w:spacing w:line="257" w:lineRule="auto"/>
        <w:jc w:val="right"/>
        <w:rPr>
          <w:rFonts w:hint="eastAsia" w:ascii="宋体" w:hAnsi="宋体" w:eastAsia="宋体" w:cs="宋体"/>
          <w:color w:val="000000" w:themeColor="text1"/>
          <w:spacing w:val="0"/>
          <w:highlight w:val="none"/>
          <w14:textFill>
            <w14:solidFill>
              <w14:schemeClr w14:val="tx1"/>
            </w14:solidFill>
          </w14:textFill>
        </w:rPr>
      </w:pPr>
    </w:p>
    <w:p w14:paraId="24B1B1E8">
      <w:pPr>
        <w:pStyle w:val="6"/>
        <w:keepNext w:val="0"/>
        <w:keepLines w:val="0"/>
        <w:pageBreakBefore w:val="0"/>
        <w:wordWrap w:val="0"/>
        <w:overflowPunct/>
        <w:topLinePunct w:val="0"/>
        <w:bidi w:val="0"/>
        <w:spacing w:line="257" w:lineRule="auto"/>
        <w:jc w:val="right"/>
        <w:rPr>
          <w:rFonts w:hint="eastAsia" w:ascii="宋体" w:hAnsi="宋体" w:eastAsia="宋体" w:cs="宋体"/>
          <w:color w:val="000000" w:themeColor="text1"/>
          <w:spacing w:val="0"/>
          <w:highlight w:val="none"/>
          <w14:textFill>
            <w14:solidFill>
              <w14:schemeClr w14:val="tx1"/>
            </w14:solidFill>
          </w14:textFill>
        </w:rPr>
      </w:pPr>
    </w:p>
    <w:p w14:paraId="033908D8">
      <w:pPr>
        <w:pStyle w:val="6"/>
        <w:keepNext w:val="0"/>
        <w:keepLines w:val="0"/>
        <w:pageBreakBefore w:val="0"/>
        <w:wordWrap w:val="0"/>
        <w:overflowPunct/>
        <w:topLinePunct w:val="0"/>
        <w:bidi w:val="0"/>
        <w:spacing w:line="254" w:lineRule="auto"/>
        <w:jc w:val="right"/>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4CB3CC8E">
      <w:pPr>
        <w:pStyle w:val="6"/>
        <w:keepNext w:val="0"/>
        <w:keepLines w:val="0"/>
        <w:pageBreakBefore w:val="0"/>
        <w:wordWrap w:val="0"/>
        <w:overflowPunct/>
        <w:topLinePunct w:val="0"/>
        <w:bidi w:val="0"/>
        <w:spacing w:line="254" w:lineRule="auto"/>
        <w:rPr>
          <w:rFonts w:hint="eastAsia" w:ascii="宋体" w:hAnsi="宋体" w:eastAsia="宋体" w:cs="宋体"/>
          <w:color w:val="000000" w:themeColor="text1"/>
          <w:spacing w:val="0"/>
          <w:highlight w:val="none"/>
          <w14:textFill>
            <w14:solidFill>
              <w14:schemeClr w14:val="tx1"/>
            </w14:solidFill>
          </w14:textFill>
        </w:rPr>
      </w:pPr>
    </w:p>
    <w:p w14:paraId="1A118B4E">
      <w:pPr>
        <w:pStyle w:val="6"/>
        <w:keepNext w:val="0"/>
        <w:keepLines w:val="0"/>
        <w:pageBreakBefore w:val="0"/>
        <w:wordWrap w:val="0"/>
        <w:overflowPunct/>
        <w:topLinePunct w:val="0"/>
        <w:bidi w:val="0"/>
        <w:spacing w:line="254" w:lineRule="auto"/>
        <w:rPr>
          <w:rFonts w:hint="eastAsia" w:ascii="宋体" w:hAnsi="宋体" w:eastAsia="宋体" w:cs="宋体"/>
          <w:color w:val="000000" w:themeColor="text1"/>
          <w:spacing w:val="0"/>
          <w:highlight w:val="none"/>
          <w14:textFill>
            <w14:solidFill>
              <w14:schemeClr w14:val="tx1"/>
            </w14:solidFill>
          </w14:textFill>
        </w:rPr>
      </w:pPr>
    </w:p>
    <w:p w14:paraId="29B7FFB7">
      <w:pPr>
        <w:pStyle w:val="6"/>
        <w:keepNext w:val="0"/>
        <w:keepLines w:val="0"/>
        <w:pageBreakBefore w:val="0"/>
        <w:wordWrap w:val="0"/>
        <w:overflowPunct/>
        <w:topLinePunct w:val="0"/>
        <w:bidi w:val="0"/>
        <w:spacing w:line="254" w:lineRule="auto"/>
        <w:rPr>
          <w:rFonts w:hint="eastAsia" w:ascii="宋体" w:hAnsi="宋体" w:eastAsia="宋体" w:cs="宋体"/>
          <w:color w:val="000000" w:themeColor="text1"/>
          <w:spacing w:val="0"/>
          <w:highlight w:val="none"/>
          <w14:textFill>
            <w14:solidFill>
              <w14:schemeClr w14:val="tx1"/>
            </w14:solidFill>
          </w14:textFill>
        </w:rPr>
      </w:pPr>
    </w:p>
    <w:p w14:paraId="3FB212A0">
      <w:pPr>
        <w:pStyle w:val="6"/>
        <w:keepNext w:val="0"/>
        <w:keepLines w:val="0"/>
        <w:pageBreakBefore w:val="0"/>
        <w:wordWrap w:val="0"/>
        <w:overflowPunct/>
        <w:topLinePunct w:val="0"/>
        <w:bidi w:val="0"/>
        <w:spacing w:line="254" w:lineRule="auto"/>
        <w:rPr>
          <w:rFonts w:hint="eastAsia" w:ascii="宋体" w:hAnsi="宋体" w:eastAsia="宋体" w:cs="宋体"/>
          <w:color w:val="000000" w:themeColor="text1"/>
          <w:spacing w:val="0"/>
          <w:highlight w:val="none"/>
          <w14:textFill>
            <w14:solidFill>
              <w14:schemeClr w14:val="tx1"/>
            </w14:solidFill>
          </w14:textFill>
        </w:rPr>
      </w:pPr>
    </w:p>
    <w:p w14:paraId="661DD784">
      <w:pPr>
        <w:pStyle w:val="6"/>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highlight w:val="none"/>
          <w14:textFill>
            <w14:solidFill>
              <w14:schemeClr w14:val="tx1"/>
            </w14:solidFill>
          </w14:textFill>
        </w:rPr>
      </w:pPr>
    </w:p>
    <w:p w14:paraId="4F8DA62D">
      <w:pPr>
        <w:pStyle w:val="6"/>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highlight w:val="none"/>
          <w14:textFill>
            <w14:solidFill>
              <w14:schemeClr w14:val="tx1"/>
            </w14:solidFill>
          </w14:textFill>
        </w:rPr>
      </w:pPr>
    </w:p>
    <w:p w14:paraId="67391F7A">
      <w:pPr>
        <w:pStyle w:val="6"/>
        <w:keepNext w:val="0"/>
        <w:keepLines w:val="0"/>
        <w:pageBreakBefore w:val="0"/>
        <w:wordWrap w:val="0"/>
        <w:overflowPunct/>
        <w:topLinePunct w:val="0"/>
        <w:bidi w:val="0"/>
        <w:spacing w:before="1" w:line="2510" w:lineRule="exact"/>
        <w:ind w:firstLine="2534"/>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position w:val="-50"/>
          <w:highlight w:val="none"/>
          <w14:textFill>
            <w14:solidFill>
              <w14:schemeClr w14:val="tx1"/>
            </w14:solidFill>
          </w14:textFill>
        </w:rPr>
        <mc:AlternateContent>
          <mc:Choice Requires="wpg">
            <w:drawing>
              <wp:inline distT="0" distB="0" distL="114300" distR="114300">
                <wp:extent cx="2835275" cy="1593850"/>
                <wp:effectExtent l="12700" t="0" r="28575" b="12700"/>
                <wp:docPr id="13" name="组合 13"/>
                <wp:cNvGraphicFramePr/>
                <a:graphic xmlns:a="http://schemas.openxmlformats.org/drawingml/2006/main">
                  <a:graphicData uri="http://schemas.microsoft.com/office/word/2010/wordprocessingGroup">
                    <wpg:wgp>
                      <wpg:cNvGrpSpPr>
                        <a:grpSpLocks noRot="1"/>
                      </wpg:cNvGrpSpPr>
                      <wpg:grpSpPr>
                        <a:xfrm>
                          <a:off x="0" y="0"/>
                          <a:ext cx="2835275" cy="1593850"/>
                          <a:chOff x="0" y="0"/>
                          <a:chExt cx="4465" cy="2510"/>
                        </a:xfrm>
                      </wpg:grpSpPr>
                      <pic:pic xmlns:pic="http://schemas.openxmlformats.org/drawingml/2006/picture">
                        <pic:nvPicPr>
                          <pic:cNvPr id="11" name="图片 5"/>
                          <pic:cNvPicPr>
                            <a:picLocks noChangeAspect="1"/>
                          </pic:cNvPicPr>
                        </pic:nvPicPr>
                        <pic:blipFill>
                          <a:blip r:embed="rId57"/>
                          <a:stretch>
                            <a:fillRect/>
                          </a:stretch>
                        </pic:blipFill>
                        <pic:spPr>
                          <a:xfrm>
                            <a:off x="0" y="0"/>
                            <a:ext cx="4465" cy="2510"/>
                          </a:xfrm>
                          <a:prstGeom prst="rect">
                            <a:avLst/>
                          </a:prstGeom>
                          <a:noFill/>
                          <a:ln>
                            <a:noFill/>
                          </a:ln>
                        </pic:spPr>
                      </pic:pic>
                      <wps:wsp>
                        <wps:cNvPr id="12" name="文本框 12"/>
                        <wps:cNvSpPr txBox="1"/>
                        <wps:spPr>
                          <a:xfrm>
                            <a:off x="-20" y="-20"/>
                            <a:ext cx="4505" cy="2550"/>
                          </a:xfrm>
                          <a:prstGeom prst="rect">
                            <a:avLst/>
                          </a:prstGeom>
                          <a:noFill/>
                          <a:ln>
                            <a:noFill/>
                          </a:ln>
                        </wps:spPr>
                        <wps:txbx>
                          <w:txbxContent>
                            <w:p w14:paraId="30B2BA37">
                              <w:pPr>
                                <w:spacing w:line="249" w:lineRule="auto"/>
                                <w:rPr>
                                  <w:highlight w:val="none"/>
                                </w:rPr>
                              </w:pPr>
                            </w:p>
                            <w:p w14:paraId="0A32F196">
                              <w:pPr>
                                <w:spacing w:line="249" w:lineRule="auto"/>
                                <w:rPr>
                                  <w:highlight w:val="none"/>
                                </w:rPr>
                              </w:pPr>
                            </w:p>
                            <w:p w14:paraId="6C01FF1E">
                              <w:pPr>
                                <w:spacing w:line="249" w:lineRule="auto"/>
                                <w:rPr>
                                  <w:highlight w:val="none"/>
                                </w:rPr>
                              </w:pPr>
                            </w:p>
                            <w:p w14:paraId="5F468A72">
                              <w:pPr>
                                <w:spacing w:line="249" w:lineRule="auto"/>
                                <w:rPr>
                                  <w:highlight w:val="none"/>
                                </w:rPr>
                              </w:pPr>
                            </w:p>
                            <w:p w14:paraId="3437CEDB">
                              <w:pPr>
                                <w:spacing w:before="78" w:line="220" w:lineRule="auto"/>
                                <w:jc w:val="center"/>
                                <w:rPr>
                                  <w:rFonts w:ascii="宋体" w:hAnsi="宋体" w:eastAsia="宋体" w:cs="宋体"/>
                                  <w:sz w:val="24"/>
                                  <w:szCs w:val="24"/>
                                  <w:highlight w:val="none"/>
                                </w:rPr>
                              </w:pPr>
                              <w:r>
                                <w:rPr>
                                  <w:rFonts w:ascii="宋体" w:hAnsi="宋体" w:eastAsia="宋体" w:cs="宋体"/>
                                  <w:spacing w:val="-1"/>
                                  <w:sz w:val="24"/>
                                  <w:szCs w:val="24"/>
                                  <w:highlight w:val="none"/>
                                </w:rPr>
                                <w:t>法定代表人身份证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正、反面</w:t>
                              </w:r>
                            </w:p>
                          </w:txbxContent>
                        </wps:txbx>
                        <wps:bodyPr lIns="0" tIns="0" rIns="0" bIns="0" upright="1"/>
                      </wps:wsp>
                    </wpg:wgp>
                  </a:graphicData>
                </a:graphic>
              </wp:inline>
            </w:drawing>
          </mc:Choice>
          <mc:Fallback>
            <w:pict>
              <v:group id="_x0000_s1026" o:spid="_x0000_s1026" o:spt="203" style="height:125.5pt;width:223.25pt;" coordsize="4465,2510" o:gfxdata="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">
                <o:lock v:ext="edit" rotation="t" aspectratio="f"/>
                <v:shape id="图片 5" o:spid="_x0000_s1026" o:spt="75" type="#_x0000_t75" style="position:absolute;left:0;top:0;height:2510;width:4465;" filled="f" o:preferrelative="t" stroked="f" coordsize="21600,21600" o:gfxdata="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RLC28AAAA&#10;2wAAAA8AAAAAAAAAAQAgAAAAIgAAAGRycy9kb3ducmV2LnhtbFBLAQIUABQAAAAIAIdO4kAzLwWe&#10;OwAAADkAAAAQAAAAAAAAAAEAIAAAAAsBAABkcnMvc2hhcGV4bWwueG1sUEsFBgAAAAAGAAYAWwEA&#10;ALUDAAAAAA==&#10;">
                  <v:fill on="f" focussize="0,0"/>
                  <v:stroke on="f"/>
                  <v:imagedata r:id="rId57" o:title=""/>
                  <o:lock v:ext="edit" aspectratio="t"/>
                </v:shape>
                <v:shape id="_x0000_s1026" o:spid="_x0000_s1026" o:spt="202" type="#_x0000_t202" style="position:absolute;left:-20;top:-20;height:2550;width:4505;"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0B2BA37">
                        <w:pPr>
                          <w:spacing w:line="249" w:lineRule="auto"/>
                          <w:rPr>
                            <w:highlight w:val="none"/>
                          </w:rPr>
                        </w:pPr>
                      </w:p>
                      <w:p w14:paraId="0A32F196">
                        <w:pPr>
                          <w:spacing w:line="249" w:lineRule="auto"/>
                          <w:rPr>
                            <w:highlight w:val="none"/>
                          </w:rPr>
                        </w:pPr>
                      </w:p>
                      <w:p w14:paraId="6C01FF1E">
                        <w:pPr>
                          <w:spacing w:line="249" w:lineRule="auto"/>
                          <w:rPr>
                            <w:highlight w:val="none"/>
                          </w:rPr>
                        </w:pPr>
                      </w:p>
                      <w:p w14:paraId="5F468A72">
                        <w:pPr>
                          <w:spacing w:line="249" w:lineRule="auto"/>
                          <w:rPr>
                            <w:highlight w:val="none"/>
                          </w:rPr>
                        </w:pPr>
                      </w:p>
                      <w:p w14:paraId="3437CEDB">
                        <w:pPr>
                          <w:spacing w:before="78" w:line="220" w:lineRule="auto"/>
                          <w:jc w:val="center"/>
                          <w:rPr>
                            <w:rFonts w:ascii="宋体" w:hAnsi="宋体" w:eastAsia="宋体" w:cs="宋体"/>
                            <w:sz w:val="24"/>
                            <w:szCs w:val="24"/>
                            <w:highlight w:val="none"/>
                          </w:rPr>
                        </w:pPr>
                        <w:r>
                          <w:rPr>
                            <w:rFonts w:ascii="宋体" w:hAnsi="宋体" w:eastAsia="宋体" w:cs="宋体"/>
                            <w:spacing w:val="-1"/>
                            <w:sz w:val="24"/>
                            <w:szCs w:val="24"/>
                            <w:highlight w:val="none"/>
                          </w:rPr>
                          <w:t>法定代表人身份证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正、反面</w:t>
                        </w:r>
                      </w:p>
                    </w:txbxContent>
                  </v:textbox>
                </v:shape>
                <w10:wrap type="none"/>
                <w10:anchorlock/>
              </v:group>
            </w:pict>
          </mc:Fallback>
        </mc:AlternateContent>
      </w:r>
    </w:p>
    <w:p w14:paraId="2BB2EBC8">
      <w:pPr>
        <w:keepNext w:val="0"/>
        <w:keepLines w:val="0"/>
        <w:pageBreakBefore w:val="0"/>
        <w:wordWrap w:val="0"/>
        <w:overflowPunct/>
        <w:topLinePunct w:val="0"/>
        <w:bidi w:val="0"/>
        <w:spacing w:line="2510" w:lineRule="exact"/>
        <w:rPr>
          <w:rFonts w:hint="eastAsia" w:ascii="宋体" w:hAnsi="宋体" w:eastAsia="宋体" w:cs="宋体"/>
          <w:color w:val="000000" w:themeColor="text1"/>
          <w:spacing w:val="0"/>
          <w:highlight w:val="none"/>
          <w14:textFill>
            <w14:solidFill>
              <w14:schemeClr w14:val="tx1"/>
            </w14:solidFill>
          </w14:textFill>
        </w:rPr>
        <w:sectPr>
          <w:footerReference r:id="rId19"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2DAF3FC7">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38" w:name="_Toc17565"/>
      <w:r>
        <w:rPr>
          <w:rFonts w:hint="eastAsia" w:ascii="宋体" w:hAnsi="宋体" w:eastAsia="宋体" w:cs="宋体"/>
          <w:b/>
          <w:bCs/>
          <w:color w:val="000000" w:themeColor="text1"/>
          <w:spacing w:val="0"/>
          <w:sz w:val="24"/>
          <w:szCs w:val="24"/>
          <w:highlight w:val="none"/>
          <w14:textFill>
            <w14:solidFill>
              <w14:schemeClr w14:val="tx1"/>
            </w14:solidFill>
          </w14:textFill>
        </w:rPr>
        <w:t>格式六 联合体协议书</w:t>
      </w:r>
      <w:bookmarkEnd w:id="238"/>
    </w:p>
    <w:p w14:paraId="7EE6374E">
      <w:pPr>
        <w:keepNext w:val="0"/>
        <w:keepLines w:val="0"/>
        <w:pageBreakBefore w:val="0"/>
        <w:wordWrap w:val="0"/>
        <w:overflowPunct/>
        <w:topLinePunct w:val="0"/>
        <w:bidi w:val="0"/>
        <w:spacing w:before="98" w:line="219" w:lineRule="auto"/>
        <w:ind w:left="3638"/>
        <w:rPr>
          <w:rFonts w:hint="eastAsia" w:ascii="宋体" w:hAnsi="宋体" w:eastAsia="宋体" w:cs="宋体"/>
          <w:color w:val="000000" w:themeColor="text1"/>
          <w:spacing w:val="0"/>
          <w:sz w:val="30"/>
          <w:szCs w:val="30"/>
          <w:highlight w:val="none"/>
          <w14:textFill>
            <w14:solidFill>
              <w14:schemeClr w14:val="tx1"/>
            </w14:solidFill>
          </w14:textFill>
        </w:rPr>
      </w:pPr>
      <w:bookmarkStart w:id="239" w:name="bookmark153"/>
      <w:bookmarkEnd w:id="239"/>
      <w:r>
        <w:rPr>
          <w:rFonts w:hint="eastAsia" w:ascii="宋体" w:hAnsi="宋体" w:eastAsia="宋体" w:cs="宋体"/>
          <w:b/>
          <w:bCs/>
          <w:color w:val="000000" w:themeColor="text1"/>
          <w:spacing w:val="0"/>
          <w:sz w:val="30"/>
          <w:szCs w:val="30"/>
          <w:highlight w:val="none"/>
          <w14:textFill>
            <w14:solidFill>
              <w14:schemeClr w14:val="tx1"/>
            </w14:solidFill>
          </w14:textFill>
        </w:rPr>
        <w:t>联合体协议书</w:t>
      </w:r>
    </w:p>
    <w:p w14:paraId="66B66C30">
      <w:pPr>
        <w:pStyle w:val="6"/>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2B0D39DC">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牵头人名称： </w:t>
      </w:r>
    </w:p>
    <w:p w14:paraId="0F9C623A">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法定代表人： </w:t>
      </w:r>
    </w:p>
    <w:p w14:paraId="61337983">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法定住所：</w:t>
      </w:r>
    </w:p>
    <w:p w14:paraId="0B7EEC45">
      <w:pPr>
        <w:keepNext w:val="0"/>
        <w:keepLines w:val="0"/>
        <w:pageBreakBefore w:val="0"/>
        <w:wordWrap w:val="0"/>
        <w:overflowPunct/>
        <w:topLinePunct w:val="0"/>
        <w:bidi w:val="0"/>
        <w:outlineLvl w:val="9"/>
        <w:rPr>
          <w:rFonts w:hint="eastAsia"/>
          <w:color w:val="000000" w:themeColor="text1"/>
          <w:spacing w:val="0"/>
          <w:highlight w:val="none"/>
          <w14:textFill>
            <w14:solidFill>
              <w14:schemeClr w14:val="tx1"/>
            </w14:solidFill>
          </w14:textFill>
        </w:rPr>
      </w:pPr>
    </w:p>
    <w:p w14:paraId="207AD2AE">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成员二名称： </w:t>
      </w:r>
    </w:p>
    <w:p w14:paraId="35C3774A">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法定代表人： </w:t>
      </w:r>
    </w:p>
    <w:p w14:paraId="4A1D6D63">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法定住所：</w:t>
      </w:r>
    </w:p>
    <w:p w14:paraId="7C0F8432">
      <w:pPr>
        <w:keepNext w:val="0"/>
        <w:keepLines w:val="0"/>
        <w:pageBreakBefore w:val="0"/>
        <w:widowControl/>
        <w:kinsoku w:val="0"/>
        <w:wordWrap w:val="0"/>
        <w:overflowPunct/>
        <w:topLinePunct w:val="0"/>
        <w:autoSpaceDE w:val="0"/>
        <w:autoSpaceDN w:val="0"/>
        <w:bidi w:val="0"/>
        <w:adjustRightInd w:val="0"/>
        <w:snapToGrid w:val="0"/>
        <w:spacing w:before="32" w:line="264" w:lineRule="auto"/>
        <w:ind w:left="436"/>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3"/>
          <w:sz w:val="24"/>
          <w:szCs w:val="24"/>
          <w:highlight w:val="none"/>
          <w14:textFill>
            <w14:solidFill>
              <w14:schemeClr w14:val="tx1"/>
            </w14:solidFill>
          </w14:textFill>
        </w:rPr>
        <w:t>……</w:t>
      </w:r>
    </w:p>
    <w:p w14:paraId="09D55383">
      <w:pPr>
        <w:keepNext w:val="0"/>
        <w:keepLines w:val="0"/>
        <w:pageBreakBefore w:val="0"/>
        <w:widowControl/>
        <w:kinsoku w:val="0"/>
        <w:wordWrap w:val="0"/>
        <w:overflowPunct/>
        <w:topLinePunct w:val="0"/>
        <w:autoSpaceDE w:val="0"/>
        <w:autoSpaceDN w:val="0"/>
        <w:bidi w:val="0"/>
        <w:adjustRightInd w:val="0"/>
        <w:snapToGrid w:val="0"/>
        <w:spacing w:before="61" w:line="264" w:lineRule="auto"/>
        <w:ind w:firstLine="422"/>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上述各成员单位经过友好协商，自愿组成联合体，共同参加</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（项目名称）（以下简称“本项目 ”）的施工投标并争取赢得本项目施工承包合同（以下简称合同）。现就联合体投标事宜订立如下协议：</w:t>
      </w:r>
    </w:p>
    <w:p w14:paraId="470AEF9A">
      <w:pPr>
        <w:keepNext w:val="0"/>
        <w:keepLines w:val="0"/>
        <w:pageBreakBefore w:val="0"/>
        <w:widowControl/>
        <w:kinsoku w:val="0"/>
        <w:wordWrap w:val="0"/>
        <w:overflowPunct/>
        <w:topLinePunct w:val="0"/>
        <w:autoSpaceDE w:val="0"/>
        <w:autoSpaceDN w:val="0"/>
        <w:bidi w:val="0"/>
        <w:adjustRightInd w:val="0"/>
        <w:snapToGrid w:val="0"/>
        <w:spacing w:before="33" w:line="264" w:lineRule="auto"/>
        <w:ind w:left="499"/>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 ．</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（某成员单位名称）为联合体牵头人。</w:t>
      </w:r>
    </w:p>
    <w:p w14:paraId="01E61A89">
      <w:pPr>
        <w:keepNext w:val="0"/>
        <w:keepLines w:val="0"/>
        <w:pageBreakBefore w:val="0"/>
        <w:widowControl/>
        <w:kinsoku w:val="0"/>
        <w:wordWrap w:val="0"/>
        <w:overflowPunct/>
        <w:topLinePunct w:val="0"/>
        <w:autoSpaceDE w:val="0"/>
        <w:autoSpaceDN w:val="0"/>
        <w:bidi w:val="0"/>
        <w:adjustRightInd w:val="0"/>
        <w:snapToGrid w:val="0"/>
        <w:spacing w:before="156" w:line="264" w:lineRule="auto"/>
        <w:ind w:left="1" w:firstLine="474"/>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1F9A22CE">
      <w:pPr>
        <w:keepNext w:val="0"/>
        <w:keepLines w:val="0"/>
        <w:pageBreakBefore w:val="0"/>
        <w:widowControl/>
        <w:kinsoku w:val="0"/>
        <w:wordWrap w:val="0"/>
        <w:overflowPunct/>
        <w:topLinePunct w:val="0"/>
        <w:autoSpaceDE w:val="0"/>
        <w:autoSpaceDN w:val="0"/>
        <w:bidi w:val="0"/>
        <w:adjustRightInd w:val="0"/>
        <w:snapToGrid w:val="0"/>
        <w:spacing w:before="153" w:line="264" w:lineRule="auto"/>
        <w:ind w:left="2" w:firstLine="478"/>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 ．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4ADCDF28">
      <w:pPr>
        <w:keepNext w:val="0"/>
        <w:keepLines w:val="0"/>
        <w:pageBreakBefore w:val="0"/>
        <w:widowControl/>
        <w:kinsoku w:val="0"/>
        <w:wordWrap w:val="0"/>
        <w:overflowPunct/>
        <w:topLinePunct w:val="0"/>
        <w:autoSpaceDE w:val="0"/>
        <w:autoSpaceDN w:val="0"/>
        <w:bidi w:val="0"/>
        <w:adjustRightInd w:val="0"/>
        <w:snapToGrid w:val="0"/>
        <w:spacing w:before="154" w:line="264" w:lineRule="auto"/>
        <w:ind w:left="475"/>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240" w:name="_Toc32149"/>
      <w:bookmarkStart w:id="241" w:name="_Toc5365"/>
      <w:r>
        <w:rPr>
          <w:rFonts w:hint="eastAsia" w:ascii="宋体" w:hAnsi="宋体" w:eastAsia="宋体" w:cs="宋体"/>
          <w:color w:val="000000" w:themeColor="text1"/>
          <w:spacing w:val="0"/>
          <w:sz w:val="24"/>
          <w:szCs w:val="24"/>
          <w:highlight w:val="none"/>
          <w14:textFill>
            <w14:solidFill>
              <w14:schemeClr w14:val="tx1"/>
            </w14:solidFill>
          </w14:textFill>
        </w:rPr>
        <w:t>4 ．联合体各成员单位内部的职责分工如下：</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w:t>
      </w:r>
      <w:bookmarkEnd w:id="240"/>
      <w:bookmarkEnd w:id="241"/>
    </w:p>
    <w:p w14:paraId="66972B38">
      <w:pPr>
        <w:keepNext w:val="0"/>
        <w:keepLines w:val="0"/>
        <w:pageBreakBefore w:val="0"/>
        <w:widowControl/>
        <w:kinsoku w:val="0"/>
        <w:wordWrap w:val="0"/>
        <w:overflowPunct/>
        <w:topLinePunct w:val="0"/>
        <w:autoSpaceDE w:val="0"/>
        <w:autoSpaceDN w:val="0"/>
        <w:bidi w:val="0"/>
        <w:adjustRightInd w:val="0"/>
        <w:snapToGrid w:val="0"/>
        <w:spacing w:before="152" w:line="264" w:lineRule="auto"/>
        <w:ind w:right="71" w:firstLine="483"/>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 ．投标工作和联合体在中标后工程实施过程中的有关费用按各自承担的工作量分摊。</w:t>
      </w:r>
    </w:p>
    <w:p w14:paraId="16602AE1">
      <w:pPr>
        <w:keepNext w:val="0"/>
        <w:keepLines w:val="0"/>
        <w:pageBreakBefore w:val="0"/>
        <w:widowControl/>
        <w:kinsoku w:val="0"/>
        <w:wordWrap w:val="0"/>
        <w:overflowPunct/>
        <w:topLinePunct w:val="0"/>
        <w:autoSpaceDE w:val="0"/>
        <w:autoSpaceDN w:val="0"/>
        <w:bidi w:val="0"/>
        <w:adjustRightInd w:val="0"/>
        <w:snapToGrid w:val="0"/>
        <w:spacing w:before="153" w:line="264" w:lineRule="auto"/>
        <w:ind w:left="4" w:right="71" w:firstLine="477"/>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 ．联合体中标后，本联合体协议是合同的附件，对联合体各成员单位有合同约束力。</w:t>
      </w:r>
    </w:p>
    <w:p w14:paraId="4A791BDA">
      <w:pPr>
        <w:keepNext w:val="0"/>
        <w:keepLines w:val="0"/>
        <w:pageBreakBefore w:val="0"/>
        <w:widowControl/>
        <w:kinsoku w:val="0"/>
        <w:wordWrap w:val="0"/>
        <w:overflowPunct/>
        <w:topLinePunct w:val="0"/>
        <w:autoSpaceDE w:val="0"/>
        <w:autoSpaceDN w:val="0"/>
        <w:bidi w:val="0"/>
        <w:adjustRightInd w:val="0"/>
        <w:snapToGrid w:val="0"/>
        <w:spacing w:before="157" w:line="264" w:lineRule="auto"/>
        <w:ind w:left="6" w:right="71" w:firstLine="473"/>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 ．本协议书自签署之日起生效，联合体未中标或者中标时合同履行完毕后自动失效。</w:t>
      </w:r>
    </w:p>
    <w:p w14:paraId="45E52A06">
      <w:pPr>
        <w:keepNext w:val="0"/>
        <w:keepLines w:val="0"/>
        <w:pageBreakBefore w:val="0"/>
        <w:widowControl/>
        <w:kinsoku w:val="0"/>
        <w:wordWrap w:val="0"/>
        <w:overflowPunct/>
        <w:topLinePunct w:val="0"/>
        <w:autoSpaceDE w:val="0"/>
        <w:autoSpaceDN w:val="0"/>
        <w:bidi w:val="0"/>
        <w:adjustRightInd w:val="0"/>
        <w:snapToGrid w:val="0"/>
        <w:spacing w:before="152" w:line="264" w:lineRule="auto"/>
        <w:ind w:left="486"/>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242" w:name="_Toc22612"/>
      <w:bookmarkStart w:id="243" w:name="_Toc26708"/>
      <w:r>
        <w:rPr>
          <w:rFonts w:hint="eastAsia" w:ascii="宋体" w:hAnsi="宋体" w:eastAsia="宋体" w:cs="宋体"/>
          <w:color w:val="000000" w:themeColor="text1"/>
          <w:spacing w:val="0"/>
          <w:sz w:val="24"/>
          <w:szCs w:val="24"/>
          <w:highlight w:val="none"/>
          <w14:textFill>
            <w14:solidFill>
              <w14:schemeClr w14:val="tx1"/>
            </w14:solidFill>
          </w14:textFill>
        </w:rPr>
        <w:t>8 ．本协议书一式</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份，联合体成员和招标人各执一份。</w:t>
      </w:r>
      <w:bookmarkEnd w:id="242"/>
      <w:bookmarkEnd w:id="243"/>
    </w:p>
    <w:p w14:paraId="7383C992">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244" w:name="bookmark154"/>
      <w:bookmarkEnd w:id="244"/>
      <w:r>
        <w:rPr>
          <w:rFonts w:hint="eastAsia" w:ascii="宋体" w:hAnsi="宋体" w:eastAsia="宋体" w:cs="宋体"/>
          <w:color w:val="000000" w:themeColor="text1"/>
          <w:spacing w:val="0"/>
          <w:sz w:val="24"/>
          <w:szCs w:val="24"/>
          <w:highlight w:val="none"/>
          <w14:textFill>
            <w14:solidFill>
              <w14:schemeClr w14:val="tx1"/>
            </w14:solidFill>
          </w14:textFill>
        </w:rPr>
        <w:t>牵头人名称：</w:t>
      </w:r>
      <w:r>
        <w:rPr>
          <w:rFonts w:hint="eastAsia" w:ascii="宋体" w:hAnsi="宋体" w:eastAsia="宋体" w:cs="宋体"/>
          <w:snapToGrid w:val="0"/>
          <w:color w:val="000000" w:themeColor="text1"/>
          <w:spacing w:val="0"/>
          <w:kern w:val="0"/>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5326D8EF">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spacing w:val="0"/>
          <w:kern w:val="0"/>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4D6CBD8F">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p w14:paraId="4A50685C">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成员二名称：</w:t>
      </w:r>
      <w:r>
        <w:rPr>
          <w:rFonts w:hint="eastAsia" w:ascii="宋体" w:hAnsi="宋体" w:eastAsia="宋体" w:cs="宋体"/>
          <w:snapToGrid w:val="0"/>
          <w:color w:val="000000" w:themeColor="text1"/>
          <w:spacing w:val="0"/>
          <w:kern w:val="0"/>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1EC39C4E">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spacing w:val="0"/>
          <w:kern w:val="0"/>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2C910984">
      <w:pPr>
        <w:keepNext w:val="0"/>
        <w:keepLines w:val="0"/>
        <w:pageBreakBefore w:val="0"/>
        <w:wordWrap w:val="0"/>
        <w:overflowPunct/>
        <w:topLinePunct w:val="0"/>
        <w:bidi w:val="0"/>
        <w:spacing w:before="78" w:line="220" w:lineRule="auto"/>
        <w:ind w:left="673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53670306">
      <w:pPr>
        <w:pStyle w:val="6"/>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7C2788A4">
      <w:pPr>
        <w:keepNext w:val="0"/>
        <w:keepLines w:val="0"/>
        <w:pageBreakBefore w:val="0"/>
        <w:widowControl/>
        <w:kinsoku w:val="0"/>
        <w:wordWrap w:val="0"/>
        <w:overflowPunct/>
        <w:topLinePunct w:val="0"/>
        <w:autoSpaceDE w:val="0"/>
        <w:autoSpaceDN w:val="0"/>
        <w:bidi w:val="0"/>
        <w:adjustRightInd w:val="0"/>
        <w:snapToGrid w:val="0"/>
        <w:spacing w:before="65" w:line="264" w:lineRule="auto"/>
        <w:ind w:right="22"/>
        <w:jc w:val="both"/>
        <w:textAlignment w:val="baseline"/>
        <w:rPr>
          <w:rFonts w:hint="eastAsia" w:ascii="宋体" w:hAnsi="宋体" w:eastAsia="宋体" w:cs="宋体"/>
          <w:color w:val="000000" w:themeColor="text1"/>
          <w:spacing w:val="0"/>
          <w:sz w:val="20"/>
          <w:szCs w:val="20"/>
          <w:highlight w:val="none"/>
          <w14:textFill>
            <w14:solidFill>
              <w14:schemeClr w14:val="tx1"/>
            </w14:solidFill>
          </w14:textFill>
        </w:rPr>
      </w:pPr>
      <w:r>
        <w:rPr>
          <w:rFonts w:hint="eastAsia" w:ascii="宋体" w:hAnsi="宋体" w:eastAsia="宋体" w:cs="宋体"/>
          <w:b/>
          <w:bCs/>
          <w:color w:val="000000" w:themeColor="text1"/>
          <w:spacing w:val="0"/>
          <w:sz w:val="20"/>
          <w:szCs w:val="20"/>
          <w:highlight w:val="none"/>
          <w14:textFill>
            <w14:solidFill>
              <w14:schemeClr w14:val="tx1"/>
            </w14:solidFill>
          </w14:textFill>
        </w:rPr>
        <w:t>说明：《联合体协议书》 由委托代理人签字或盖章的，应附法定代表人签字或盖章的授权委托书。</w:t>
      </w:r>
    </w:p>
    <w:p w14:paraId="1A78BC6F">
      <w:pPr>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000000" w:themeColor="text1"/>
          <w:spacing w:val="0"/>
          <w:sz w:val="20"/>
          <w:szCs w:val="20"/>
          <w:highlight w:val="none"/>
          <w14:textFill>
            <w14:solidFill>
              <w14:schemeClr w14:val="tx1"/>
            </w14:solidFill>
          </w14:textFill>
        </w:rPr>
        <w:sectPr>
          <w:footerReference r:id="rId20"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529AF8C9">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45" w:name="_Toc27078"/>
      <w:r>
        <w:rPr>
          <w:rFonts w:hint="eastAsia" w:ascii="宋体" w:hAnsi="宋体" w:eastAsia="宋体" w:cs="宋体"/>
          <w:b/>
          <w:bCs/>
          <w:color w:val="000000" w:themeColor="text1"/>
          <w:spacing w:val="0"/>
          <w:sz w:val="24"/>
          <w:szCs w:val="24"/>
          <w:highlight w:val="none"/>
          <w14:textFill>
            <w14:solidFill>
              <w14:schemeClr w14:val="tx1"/>
            </w14:solidFill>
          </w14:textFill>
        </w:rPr>
        <w:t>格式七 投标人基本情况表</w:t>
      </w:r>
      <w:bookmarkEnd w:id="245"/>
    </w:p>
    <w:p w14:paraId="3C060929">
      <w:pPr>
        <w:keepNext w:val="0"/>
        <w:keepLines w:val="0"/>
        <w:pageBreakBefore w:val="0"/>
        <w:wordWrap w:val="0"/>
        <w:overflowPunct/>
        <w:topLinePunct w:val="0"/>
        <w:bidi w:val="0"/>
        <w:spacing w:before="333" w:line="219" w:lineRule="auto"/>
        <w:ind w:left="3350"/>
        <w:rPr>
          <w:rFonts w:hint="eastAsia" w:ascii="宋体" w:hAnsi="宋体" w:eastAsia="宋体" w:cs="宋体"/>
          <w:color w:val="000000" w:themeColor="text1"/>
          <w:spacing w:val="0"/>
          <w:sz w:val="30"/>
          <w:szCs w:val="30"/>
          <w:highlight w:val="none"/>
          <w14:textFill>
            <w14:solidFill>
              <w14:schemeClr w14:val="tx1"/>
            </w14:solidFill>
          </w14:textFill>
        </w:rPr>
      </w:pPr>
      <w:r>
        <w:rPr>
          <w:rFonts w:hint="eastAsia" w:ascii="宋体" w:hAnsi="宋体" w:eastAsia="宋体" w:cs="宋体"/>
          <w:b/>
          <w:bCs/>
          <w:color w:val="000000" w:themeColor="text1"/>
          <w:spacing w:val="0"/>
          <w:sz w:val="30"/>
          <w:szCs w:val="30"/>
          <w:highlight w:val="none"/>
          <w14:textFill>
            <w14:solidFill>
              <w14:schemeClr w14:val="tx1"/>
            </w14:solidFill>
          </w14:textFill>
        </w:rPr>
        <w:t>投标人基本情况表</w:t>
      </w:r>
    </w:p>
    <w:p w14:paraId="06DA9422">
      <w:pPr>
        <w:keepNext w:val="0"/>
        <w:keepLines w:val="0"/>
        <w:pageBreakBefore w:val="0"/>
        <w:wordWrap w:val="0"/>
        <w:overflowPunct/>
        <w:topLinePunct w:val="0"/>
        <w:bidi w:val="0"/>
        <w:spacing w:line="239" w:lineRule="exact"/>
        <w:rPr>
          <w:rFonts w:hint="eastAsia" w:ascii="宋体" w:hAnsi="宋体" w:eastAsia="宋体" w:cs="宋体"/>
          <w:color w:val="000000" w:themeColor="text1"/>
          <w:spacing w:val="0"/>
          <w:highlight w:val="none"/>
          <w14:textFill>
            <w14:solidFill>
              <w14:schemeClr w14:val="tx1"/>
            </w14:solidFill>
          </w14:textFill>
        </w:rPr>
      </w:pPr>
    </w:p>
    <w:tbl>
      <w:tblPr>
        <w:tblStyle w:val="15"/>
        <w:tblW w:w="9259" w:type="dxa"/>
        <w:tblInd w:w="28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0"/>
        <w:gridCol w:w="975"/>
        <w:gridCol w:w="1837"/>
        <w:gridCol w:w="872"/>
        <w:gridCol w:w="311"/>
        <w:gridCol w:w="1043"/>
        <w:gridCol w:w="283"/>
        <w:gridCol w:w="770"/>
        <w:gridCol w:w="1548"/>
      </w:tblGrid>
      <w:tr w14:paraId="033E4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74A7C5BF">
            <w:pPr>
              <w:keepNext w:val="0"/>
              <w:keepLines w:val="0"/>
              <w:pageBreakBefore w:val="0"/>
              <w:widowControl/>
              <w:kinsoku w:val="0"/>
              <w:wordWrap w:val="0"/>
              <w:overflowPunct/>
              <w:topLinePunct w:val="0"/>
              <w:autoSpaceDE w:val="0"/>
              <w:autoSpaceDN w:val="0"/>
              <w:bidi w:val="0"/>
              <w:adjustRightInd w:val="0"/>
              <w:snapToGrid w:val="0"/>
              <w:spacing w:before="149" w:line="24" w:lineRule="atLeast"/>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投标人名称</w:t>
            </w:r>
          </w:p>
        </w:tc>
        <w:tc>
          <w:tcPr>
            <w:tcW w:w="7639" w:type="dxa"/>
            <w:gridSpan w:val="8"/>
            <w:vAlign w:val="center"/>
          </w:tcPr>
          <w:p w14:paraId="0DB2A2CE">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r>
      <w:tr w14:paraId="32F10F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65451CF9">
            <w:pPr>
              <w:keepNext w:val="0"/>
              <w:keepLines w:val="0"/>
              <w:pageBreakBefore w:val="0"/>
              <w:widowControl/>
              <w:kinsoku w:val="0"/>
              <w:wordWrap w:val="0"/>
              <w:overflowPunct/>
              <w:topLinePunct w:val="0"/>
              <w:autoSpaceDE w:val="0"/>
              <w:autoSpaceDN w:val="0"/>
              <w:bidi w:val="0"/>
              <w:adjustRightInd w:val="0"/>
              <w:snapToGrid w:val="0"/>
              <w:spacing w:before="144" w:line="24" w:lineRule="atLeast"/>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注册地址</w:t>
            </w:r>
          </w:p>
        </w:tc>
        <w:tc>
          <w:tcPr>
            <w:tcW w:w="3684" w:type="dxa"/>
            <w:gridSpan w:val="3"/>
            <w:vAlign w:val="center"/>
          </w:tcPr>
          <w:p w14:paraId="7BF1DE63">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c>
          <w:tcPr>
            <w:tcW w:w="1354" w:type="dxa"/>
            <w:gridSpan w:val="2"/>
            <w:vAlign w:val="center"/>
          </w:tcPr>
          <w:p w14:paraId="6E7F119C">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邮政编码</w:t>
            </w:r>
          </w:p>
        </w:tc>
        <w:tc>
          <w:tcPr>
            <w:tcW w:w="2601" w:type="dxa"/>
            <w:gridSpan w:val="3"/>
            <w:vAlign w:val="center"/>
          </w:tcPr>
          <w:p w14:paraId="047A44F3">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r>
      <w:tr w14:paraId="75D48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Merge w:val="restart"/>
            <w:tcBorders>
              <w:bottom w:val="nil"/>
            </w:tcBorders>
            <w:vAlign w:val="center"/>
          </w:tcPr>
          <w:p w14:paraId="0F6ED57E">
            <w:pPr>
              <w:keepNext w:val="0"/>
              <w:keepLines w:val="0"/>
              <w:pageBreakBefore w:val="0"/>
              <w:widowControl/>
              <w:kinsoku w:val="0"/>
              <w:wordWrap w:val="0"/>
              <w:overflowPunct/>
              <w:topLinePunct w:val="0"/>
              <w:autoSpaceDE w:val="0"/>
              <w:autoSpaceDN w:val="0"/>
              <w:bidi w:val="0"/>
              <w:adjustRightInd w:val="0"/>
              <w:snapToGrid w:val="0"/>
              <w:spacing w:before="65" w:line="24" w:lineRule="atLeast"/>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联系方式</w:t>
            </w:r>
          </w:p>
        </w:tc>
        <w:tc>
          <w:tcPr>
            <w:tcW w:w="975" w:type="dxa"/>
            <w:vAlign w:val="center"/>
          </w:tcPr>
          <w:p w14:paraId="33FA9D06">
            <w:pPr>
              <w:keepNext w:val="0"/>
              <w:keepLines w:val="0"/>
              <w:pageBreakBefore w:val="0"/>
              <w:widowControl/>
              <w:kinsoku w:val="0"/>
              <w:wordWrap w:val="0"/>
              <w:overflowPunct/>
              <w:topLinePunct w:val="0"/>
              <w:autoSpaceDE w:val="0"/>
              <w:autoSpaceDN w:val="0"/>
              <w:bidi w:val="0"/>
              <w:adjustRightInd w:val="0"/>
              <w:snapToGrid w:val="0"/>
              <w:spacing w:before="145" w:line="231" w:lineRule="auto"/>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联系人</w:t>
            </w:r>
          </w:p>
        </w:tc>
        <w:tc>
          <w:tcPr>
            <w:tcW w:w="2709" w:type="dxa"/>
            <w:gridSpan w:val="2"/>
            <w:vAlign w:val="center"/>
          </w:tcPr>
          <w:p w14:paraId="3A1A86D3">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c>
          <w:tcPr>
            <w:tcW w:w="1354" w:type="dxa"/>
            <w:gridSpan w:val="2"/>
            <w:vAlign w:val="center"/>
          </w:tcPr>
          <w:p w14:paraId="68D00D84">
            <w:pPr>
              <w:keepNext w:val="0"/>
              <w:keepLines w:val="0"/>
              <w:pageBreakBefore w:val="0"/>
              <w:widowControl/>
              <w:kinsoku w:val="0"/>
              <w:wordWrap w:val="0"/>
              <w:overflowPunct/>
              <w:topLinePunct w:val="0"/>
              <w:autoSpaceDE w:val="0"/>
              <w:autoSpaceDN w:val="0"/>
              <w:bidi w:val="0"/>
              <w:adjustRightInd w:val="0"/>
              <w:snapToGrid w:val="0"/>
              <w:spacing w:before="145" w:line="231" w:lineRule="auto"/>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电  话</w:t>
            </w:r>
          </w:p>
        </w:tc>
        <w:tc>
          <w:tcPr>
            <w:tcW w:w="2601" w:type="dxa"/>
            <w:gridSpan w:val="3"/>
            <w:vAlign w:val="center"/>
          </w:tcPr>
          <w:p w14:paraId="478BD977">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r>
      <w:tr w14:paraId="0EE24B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Merge w:val="continue"/>
            <w:tcBorders>
              <w:top w:val="nil"/>
            </w:tcBorders>
            <w:vAlign w:val="center"/>
          </w:tcPr>
          <w:p w14:paraId="7E9A5F01">
            <w:pPr>
              <w:pStyle w:val="28"/>
              <w:keepNext w:val="0"/>
              <w:keepLines w:val="0"/>
              <w:pageBreakBefore w:val="0"/>
              <w:widowControl/>
              <w:kinsoku w:val="0"/>
              <w:wordWrap w:val="0"/>
              <w:overflowPunct/>
              <w:topLinePunct w:val="0"/>
              <w:autoSpaceDE w:val="0"/>
              <w:autoSpaceDN w:val="0"/>
              <w:bidi w:val="0"/>
              <w:adjustRightInd w:val="0"/>
              <w:snapToGrid w:val="0"/>
              <w:spacing w:line="24" w:lineRule="atLeast"/>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c>
          <w:tcPr>
            <w:tcW w:w="975" w:type="dxa"/>
            <w:vAlign w:val="center"/>
          </w:tcPr>
          <w:p w14:paraId="04A5A850">
            <w:pPr>
              <w:keepNext w:val="0"/>
              <w:keepLines w:val="0"/>
              <w:pageBreakBefore w:val="0"/>
              <w:widowControl/>
              <w:kinsoku w:val="0"/>
              <w:wordWrap w:val="0"/>
              <w:overflowPunct/>
              <w:topLinePunct w:val="0"/>
              <w:autoSpaceDE w:val="0"/>
              <w:autoSpaceDN w:val="0"/>
              <w:bidi w:val="0"/>
              <w:adjustRightInd w:val="0"/>
              <w:snapToGrid w:val="0"/>
              <w:spacing w:before="143" w:line="228" w:lineRule="auto"/>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传  真</w:t>
            </w:r>
          </w:p>
        </w:tc>
        <w:tc>
          <w:tcPr>
            <w:tcW w:w="2709" w:type="dxa"/>
            <w:gridSpan w:val="2"/>
            <w:vAlign w:val="center"/>
          </w:tcPr>
          <w:p w14:paraId="408C0231">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c>
          <w:tcPr>
            <w:tcW w:w="1354" w:type="dxa"/>
            <w:gridSpan w:val="2"/>
            <w:vAlign w:val="center"/>
          </w:tcPr>
          <w:p w14:paraId="7C350B75">
            <w:pPr>
              <w:keepNext w:val="0"/>
              <w:keepLines w:val="0"/>
              <w:pageBreakBefore w:val="0"/>
              <w:widowControl/>
              <w:kinsoku w:val="0"/>
              <w:wordWrap w:val="0"/>
              <w:overflowPunct/>
              <w:topLinePunct w:val="0"/>
              <w:autoSpaceDE w:val="0"/>
              <w:autoSpaceDN w:val="0"/>
              <w:bidi w:val="0"/>
              <w:adjustRightInd w:val="0"/>
              <w:snapToGrid w:val="0"/>
              <w:spacing w:before="144" w:line="229" w:lineRule="auto"/>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电子邮箱</w:t>
            </w:r>
          </w:p>
        </w:tc>
        <w:tc>
          <w:tcPr>
            <w:tcW w:w="2601" w:type="dxa"/>
            <w:gridSpan w:val="3"/>
            <w:vAlign w:val="center"/>
          </w:tcPr>
          <w:p w14:paraId="717515D4">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r>
      <w:tr w14:paraId="60C3F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33F0792">
            <w:pPr>
              <w:keepNext w:val="0"/>
              <w:keepLines w:val="0"/>
              <w:pageBreakBefore w:val="0"/>
              <w:widowControl/>
              <w:kinsoku w:val="0"/>
              <w:wordWrap w:val="0"/>
              <w:overflowPunct/>
              <w:topLinePunct w:val="0"/>
              <w:autoSpaceDE w:val="0"/>
              <w:autoSpaceDN w:val="0"/>
              <w:bidi w:val="0"/>
              <w:adjustRightInd w:val="0"/>
              <w:snapToGrid w:val="0"/>
              <w:spacing w:before="145" w:line="24" w:lineRule="atLeast"/>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单位性质</w:t>
            </w:r>
          </w:p>
        </w:tc>
        <w:tc>
          <w:tcPr>
            <w:tcW w:w="7639" w:type="dxa"/>
            <w:gridSpan w:val="8"/>
            <w:vAlign w:val="center"/>
          </w:tcPr>
          <w:p w14:paraId="434E07A5">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r>
      <w:tr w14:paraId="3C1E85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78583C86">
            <w:pPr>
              <w:keepNext w:val="0"/>
              <w:keepLines w:val="0"/>
              <w:pageBreakBefore w:val="0"/>
              <w:widowControl/>
              <w:kinsoku w:val="0"/>
              <w:wordWrap w:val="0"/>
              <w:overflowPunct/>
              <w:topLinePunct w:val="0"/>
              <w:autoSpaceDE w:val="0"/>
              <w:autoSpaceDN w:val="0"/>
              <w:bidi w:val="0"/>
              <w:adjustRightInd w:val="0"/>
              <w:snapToGrid w:val="0"/>
              <w:spacing w:before="144" w:line="24" w:lineRule="atLeast"/>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法定代表人</w:t>
            </w:r>
          </w:p>
        </w:tc>
        <w:tc>
          <w:tcPr>
            <w:tcW w:w="975" w:type="dxa"/>
            <w:vAlign w:val="center"/>
          </w:tcPr>
          <w:p w14:paraId="2CF8127D">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姓名</w:t>
            </w:r>
          </w:p>
        </w:tc>
        <w:tc>
          <w:tcPr>
            <w:tcW w:w="1837" w:type="dxa"/>
            <w:vAlign w:val="center"/>
          </w:tcPr>
          <w:p w14:paraId="55F10CB7">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c>
          <w:tcPr>
            <w:tcW w:w="1183" w:type="dxa"/>
            <w:gridSpan w:val="2"/>
            <w:vAlign w:val="center"/>
          </w:tcPr>
          <w:p w14:paraId="1248557B">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技术职称</w:t>
            </w:r>
          </w:p>
        </w:tc>
        <w:tc>
          <w:tcPr>
            <w:tcW w:w="1326" w:type="dxa"/>
            <w:gridSpan w:val="2"/>
            <w:vAlign w:val="center"/>
          </w:tcPr>
          <w:p w14:paraId="345CCE79">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c>
          <w:tcPr>
            <w:tcW w:w="770" w:type="dxa"/>
            <w:vAlign w:val="center"/>
          </w:tcPr>
          <w:p w14:paraId="63CA2C03">
            <w:pPr>
              <w:keepNext w:val="0"/>
              <w:keepLines w:val="0"/>
              <w:pageBreakBefore w:val="0"/>
              <w:widowControl/>
              <w:kinsoku w:val="0"/>
              <w:wordWrap w:val="0"/>
              <w:overflowPunct/>
              <w:topLinePunct w:val="0"/>
              <w:autoSpaceDE w:val="0"/>
              <w:autoSpaceDN w:val="0"/>
              <w:bidi w:val="0"/>
              <w:adjustRightInd w:val="0"/>
              <w:snapToGrid w:val="0"/>
              <w:spacing w:before="143" w:line="231" w:lineRule="auto"/>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电话</w:t>
            </w:r>
          </w:p>
        </w:tc>
        <w:tc>
          <w:tcPr>
            <w:tcW w:w="1548" w:type="dxa"/>
            <w:vAlign w:val="center"/>
          </w:tcPr>
          <w:p w14:paraId="21775F23">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r>
      <w:tr w14:paraId="6C9B2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AB30980">
            <w:pPr>
              <w:keepNext w:val="0"/>
              <w:keepLines w:val="0"/>
              <w:pageBreakBefore w:val="0"/>
              <w:widowControl/>
              <w:kinsoku w:val="0"/>
              <w:wordWrap w:val="0"/>
              <w:overflowPunct/>
              <w:topLinePunct w:val="0"/>
              <w:autoSpaceDE w:val="0"/>
              <w:autoSpaceDN w:val="0"/>
              <w:bidi w:val="0"/>
              <w:adjustRightInd w:val="0"/>
              <w:snapToGrid w:val="0"/>
              <w:spacing w:before="145" w:line="24" w:lineRule="atLeast"/>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成立时间</w:t>
            </w:r>
          </w:p>
        </w:tc>
        <w:tc>
          <w:tcPr>
            <w:tcW w:w="2812" w:type="dxa"/>
            <w:gridSpan w:val="2"/>
            <w:vAlign w:val="center"/>
          </w:tcPr>
          <w:p w14:paraId="1528A619">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c>
          <w:tcPr>
            <w:tcW w:w="4827" w:type="dxa"/>
            <w:gridSpan w:val="6"/>
            <w:vAlign w:val="center"/>
          </w:tcPr>
          <w:p w14:paraId="29648EC6">
            <w:pPr>
              <w:keepNext w:val="0"/>
              <w:keepLines w:val="0"/>
              <w:pageBreakBefore w:val="0"/>
              <w:widowControl/>
              <w:kinsoku w:val="0"/>
              <w:wordWrap w:val="0"/>
              <w:overflowPunct/>
              <w:topLinePunct w:val="0"/>
              <w:autoSpaceDE w:val="0"/>
              <w:autoSpaceDN w:val="0"/>
              <w:bidi w:val="0"/>
              <w:adjustRightInd w:val="0"/>
              <w:snapToGrid w:val="0"/>
              <w:spacing w:before="145" w:line="228" w:lineRule="auto"/>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员工总人数（个）：</w:t>
            </w:r>
          </w:p>
        </w:tc>
      </w:tr>
      <w:tr w14:paraId="1639BB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554FA43F">
            <w:pPr>
              <w:keepNext w:val="0"/>
              <w:keepLines w:val="0"/>
              <w:pageBreakBefore w:val="0"/>
              <w:widowControl/>
              <w:kinsoku w:val="0"/>
              <w:wordWrap w:val="0"/>
              <w:overflowPunct/>
              <w:topLinePunct w:val="0"/>
              <w:autoSpaceDE w:val="0"/>
              <w:autoSpaceDN w:val="0"/>
              <w:bidi w:val="0"/>
              <w:adjustRightInd w:val="0"/>
              <w:snapToGrid w:val="0"/>
              <w:spacing w:before="61" w:line="24" w:lineRule="atLeast"/>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企业资质</w:t>
            </w:r>
          </w:p>
          <w:p w14:paraId="4BDC0C8F">
            <w:pPr>
              <w:keepNext w:val="0"/>
              <w:keepLines w:val="0"/>
              <w:pageBreakBefore w:val="0"/>
              <w:widowControl/>
              <w:kinsoku w:val="0"/>
              <w:wordWrap w:val="0"/>
              <w:overflowPunct/>
              <w:topLinePunct w:val="0"/>
              <w:autoSpaceDE w:val="0"/>
              <w:autoSpaceDN w:val="0"/>
              <w:bidi w:val="0"/>
              <w:adjustRightInd w:val="0"/>
              <w:snapToGrid w:val="0"/>
              <w:spacing w:before="61" w:line="24" w:lineRule="atLeast"/>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类型和等级</w:t>
            </w:r>
          </w:p>
        </w:tc>
        <w:tc>
          <w:tcPr>
            <w:tcW w:w="2812" w:type="dxa"/>
            <w:gridSpan w:val="2"/>
            <w:vAlign w:val="center"/>
          </w:tcPr>
          <w:p w14:paraId="177F1066">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c>
          <w:tcPr>
            <w:tcW w:w="1183" w:type="dxa"/>
            <w:gridSpan w:val="2"/>
            <w:vMerge w:val="restart"/>
            <w:tcBorders>
              <w:bottom w:val="nil"/>
            </w:tcBorders>
            <w:vAlign w:val="center"/>
          </w:tcPr>
          <w:p w14:paraId="102DBC66">
            <w:pPr>
              <w:keepNext w:val="0"/>
              <w:keepLines w:val="0"/>
              <w:pageBreakBefore w:val="0"/>
              <w:widowControl/>
              <w:kinsoku w:val="0"/>
              <w:wordWrap w:val="0"/>
              <w:overflowPunct/>
              <w:topLinePunct w:val="0"/>
              <w:autoSpaceDE w:val="0"/>
              <w:autoSpaceDN w:val="0"/>
              <w:bidi w:val="0"/>
              <w:adjustRightInd w:val="0"/>
              <w:snapToGrid w:val="0"/>
              <w:spacing w:before="65" w:line="229" w:lineRule="auto"/>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其中</w:t>
            </w:r>
          </w:p>
        </w:tc>
        <w:tc>
          <w:tcPr>
            <w:tcW w:w="2096" w:type="dxa"/>
            <w:gridSpan w:val="3"/>
            <w:vAlign w:val="center"/>
          </w:tcPr>
          <w:p w14:paraId="2278305A">
            <w:pPr>
              <w:keepNext w:val="0"/>
              <w:keepLines w:val="0"/>
              <w:pageBreakBefore w:val="0"/>
              <w:widowControl/>
              <w:kinsoku w:val="0"/>
              <w:wordWrap w:val="0"/>
              <w:overflowPunct/>
              <w:topLinePunct w:val="0"/>
              <w:autoSpaceDE w:val="0"/>
              <w:autoSpaceDN w:val="0"/>
              <w:bidi w:val="0"/>
              <w:adjustRightInd w:val="0"/>
              <w:snapToGrid w:val="0"/>
              <w:spacing w:before="214" w:line="229" w:lineRule="auto"/>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项目经理</w:t>
            </w:r>
          </w:p>
        </w:tc>
        <w:tc>
          <w:tcPr>
            <w:tcW w:w="1548" w:type="dxa"/>
            <w:vAlign w:val="center"/>
          </w:tcPr>
          <w:p w14:paraId="3262520C">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r>
      <w:tr w14:paraId="738EE5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3E310579">
            <w:pPr>
              <w:keepNext w:val="0"/>
              <w:keepLines w:val="0"/>
              <w:pageBreakBefore w:val="0"/>
              <w:widowControl/>
              <w:kinsoku w:val="0"/>
              <w:wordWrap w:val="0"/>
              <w:overflowPunct/>
              <w:topLinePunct w:val="0"/>
              <w:autoSpaceDE w:val="0"/>
              <w:autoSpaceDN w:val="0"/>
              <w:bidi w:val="0"/>
              <w:adjustRightInd w:val="0"/>
              <w:snapToGrid w:val="0"/>
              <w:spacing w:before="146" w:line="24" w:lineRule="atLeast"/>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营业执照号</w:t>
            </w:r>
          </w:p>
        </w:tc>
        <w:tc>
          <w:tcPr>
            <w:tcW w:w="2812" w:type="dxa"/>
            <w:gridSpan w:val="2"/>
            <w:vAlign w:val="center"/>
          </w:tcPr>
          <w:p w14:paraId="771E0050">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c>
          <w:tcPr>
            <w:tcW w:w="1183" w:type="dxa"/>
            <w:gridSpan w:val="2"/>
            <w:vMerge w:val="continue"/>
            <w:tcBorders>
              <w:top w:val="nil"/>
              <w:bottom w:val="nil"/>
            </w:tcBorders>
            <w:vAlign w:val="center"/>
          </w:tcPr>
          <w:p w14:paraId="5949ACF2">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c>
          <w:tcPr>
            <w:tcW w:w="2096" w:type="dxa"/>
            <w:gridSpan w:val="3"/>
            <w:vAlign w:val="center"/>
          </w:tcPr>
          <w:p w14:paraId="6C5F1489">
            <w:pPr>
              <w:keepNext w:val="0"/>
              <w:keepLines w:val="0"/>
              <w:pageBreakBefore w:val="0"/>
              <w:widowControl/>
              <w:kinsoku w:val="0"/>
              <w:wordWrap w:val="0"/>
              <w:overflowPunct/>
              <w:topLinePunct w:val="0"/>
              <w:autoSpaceDE w:val="0"/>
              <w:autoSpaceDN w:val="0"/>
              <w:bidi w:val="0"/>
              <w:adjustRightInd w:val="0"/>
              <w:snapToGrid w:val="0"/>
              <w:spacing w:before="146" w:line="228" w:lineRule="auto"/>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高级职称人员</w:t>
            </w:r>
          </w:p>
        </w:tc>
        <w:tc>
          <w:tcPr>
            <w:tcW w:w="1548" w:type="dxa"/>
            <w:vAlign w:val="center"/>
          </w:tcPr>
          <w:p w14:paraId="484C31E4">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r>
      <w:tr w14:paraId="77906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199E82AD">
            <w:pPr>
              <w:keepNext w:val="0"/>
              <w:keepLines w:val="0"/>
              <w:pageBreakBefore w:val="0"/>
              <w:widowControl/>
              <w:kinsoku w:val="0"/>
              <w:wordWrap w:val="0"/>
              <w:overflowPunct/>
              <w:topLinePunct w:val="0"/>
              <w:autoSpaceDE w:val="0"/>
              <w:autoSpaceDN w:val="0"/>
              <w:bidi w:val="0"/>
              <w:adjustRightInd w:val="0"/>
              <w:snapToGrid w:val="0"/>
              <w:spacing w:before="146" w:line="24" w:lineRule="atLeast"/>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注册资金</w:t>
            </w:r>
          </w:p>
        </w:tc>
        <w:tc>
          <w:tcPr>
            <w:tcW w:w="2812" w:type="dxa"/>
            <w:gridSpan w:val="2"/>
            <w:vAlign w:val="center"/>
          </w:tcPr>
          <w:p w14:paraId="28BB0564">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c>
          <w:tcPr>
            <w:tcW w:w="1183" w:type="dxa"/>
            <w:gridSpan w:val="2"/>
            <w:vMerge w:val="continue"/>
            <w:tcBorders>
              <w:top w:val="nil"/>
              <w:bottom w:val="nil"/>
            </w:tcBorders>
            <w:vAlign w:val="center"/>
          </w:tcPr>
          <w:p w14:paraId="2B790690">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c>
          <w:tcPr>
            <w:tcW w:w="2096" w:type="dxa"/>
            <w:gridSpan w:val="3"/>
            <w:vAlign w:val="center"/>
          </w:tcPr>
          <w:p w14:paraId="27F06363">
            <w:pPr>
              <w:keepNext w:val="0"/>
              <w:keepLines w:val="0"/>
              <w:pageBreakBefore w:val="0"/>
              <w:widowControl/>
              <w:kinsoku w:val="0"/>
              <w:wordWrap w:val="0"/>
              <w:overflowPunct/>
              <w:topLinePunct w:val="0"/>
              <w:autoSpaceDE w:val="0"/>
              <w:autoSpaceDN w:val="0"/>
              <w:bidi w:val="0"/>
              <w:adjustRightInd w:val="0"/>
              <w:snapToGrid w:val="0"/>
              <w:spacing w:before="147" w:line="229" w:lineRule="auto"/>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中级职称人员</w:t>
            </w:r>
          </w:p>
        </w:tc>
        <w:tc>
          <w:tcPr>
            <w:tcW w:w="1548" w:type="dxa"/>
            <w:vAlign w:val="center"/>
          </w:tcPr>
          <w:p w14:paraId="18CD3973">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r>
      <w:tr w14:paraId="453B7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532F27D9">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 xml:space="preserve">基本账户 </w:t>
            </w:r>
          </w:p>
          <w:p w14:paraId="41955478">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开户银行</w:t>
            </w:r>
          </w:p>
        </w:tc>
        <w:tc>
          <w:tcPr>
            <w:tcW w:w="2812" w:type="dxa"/>
            <w:gridSpan w:val="2"/>
            <w:vAlign w:val="center"/>
          </w:tcPr>
          <w:p w14:paraId="65DFBEF7">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c>
          <w:tcPr>
            <w:tcW w:w="1183" w:type="dxa"/>
            <w:gridSpan w:val="2"/>
            <w:vMerge w:val="continue"/>
            <w:tcBorders>
              <w:top w:val="nil"/>
              <w:bottom w:val="nil"/>
            </w:tcBorders>
            <w:vAlign w:val="center"/>
          </w:tcPr>
          <w:p w14:paraId="31F677A8">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c>
          <w:tcPr>
            <w:tcW w:w="2096" w:type="dxa"/>
            <w:gridSpan w:val="3"/>
            <w:vAlign w:val="center"/>
          </w:tcPr>
          <w:p w14:paraId="0336B438">
            <w:pPr>
              <w:keepNext w:val="0"/>
              <w:keepLines w:val="0"/>
              <w:pageBreakBefore w:val="0"/>
              <w:widowControl/>
              <w:kinsoku w:val="0"/>
              <w:wordWrap w:val="0"/>
              <w:overflowPunct/>
              <w:topLinePunct w:val="0"/>
              <w:autoSpaceDE w:val="0"/>
              <w:autoSpaceDN w:val="0"/>
              <w:bidi w:val="0"/>
              <w:adjustRightInd w:val="0"/>
              <w:snapToGrid w:val="0"/>
              <w:spacing w:before="191" w:line="230" w:lineRule="auto"/>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初级职称人员</w:t>
            </w:r>
          </w:p>
        </w:tc>
        <w:tc>
          <w:tcPr>
            <w:tcW w:w="1548" w:type="dxa"/>
            <w:vAlign w:val="center"/>
          </w:tcPr>
          <w:p w14:paraId="00F898E7">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r>
      <w:tr w14:paraId="2E7A6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E52826A">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 xml:space="preserve">基本账户 </w:t>
            </w:r>
          </w:p>
          <w:p w14:paraId="33D5D73F">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银行账号</w:t>
            </w:r>
          </w:p>
        </w:tc>
        <w:tc>
          <w:tcPr>
            <w:tcW w:w="2812" w:type="dxa"/>
            <w:gridSpan w:val="2"/>
            <w:vAlign w:val="center"/>
          </w:tcPr>
          <w:p w14:paraId="60A346F4">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c>
          <w:tcPr>
            <w:tcW w:w="1183" w:type="dxa"/>
            <w:gridSpan w:val="2"/>
            <w:vMerge w:val="continue"/>
            <w:tcBorders>
              <w:top w:val="nil"/>
            </w:tcBorders>
            <w:vAlign w:val="center"/>
          </w:tcPr>
          <w:p w14:paraId="1322C4EB">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c>
          <w:tcPr>
            <w:tcW w:w="2096" w:type="dxa"/>
            <w:gridSpan w:val="3"/>
            <w:vAlign w:val="center"/>
          </w:tcPr>
          <w:p w14:paraId="4D44C804">
            <w:pPr>
              <w:keepNext w:val="0"/>
              <w:keepLines w:val="0"/>
              <w:pageBreakBefore w:val="0"/>
              <w:widowControl/>
              <w:kinsoku w:val="0"/>
              <w:wordWrap w:val="0"/>
              <w:overflowPunct/>
              <w:topLinePunct w:val="0"/>
              <w:autoSpaceDE w:val="0"/>
              <w:autoSpaceDN w:val="0"/>
              <w:bidi w:val="0"/>
              <w:adjustRightInd w:val="0"/>
              <w:snapToGrid w:val="0"/>
              <w:spacing w:before="211" w:line="228" w:lineRule="auto"/>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技术员</w:t>
            </w:r>
          </w:p>
        </w:tc>
        <w:tc>
          <w:tcPr>
            <w:tcW w:w="1548" w:type="dxa"/>
            <w:vAlign w:val="center"/>
          </w:tcPr>
          <w:p w14:paraId="46D2B23A">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r>
      <w:tr w14:paraId="6A626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3BF7B502">
            <w:pPr>
              <w:keepNext w:val="0"/>
              <w:keepLines w:val="0"/>
              <w:pageBreakBefore w:val="0"/>
              <w:widowControl/>
              <w:kinsoku w:val="0"/>
              <w:wordWrap w:val="0"/>
              <w:overflowPunct/>
              <w:topLinePunct w:val="0"/>
              <w:autoSpaceDE w:val="0"/>
              <w:autoSpaceDN w:val="0"/>
              <w:bidi w:val="0"/>
              <w:adjustRightInd w:val="0"/>
              <w:snapToGrid w:val="0"/>
              <w:spacing w:before="65" w:line="24" w:lineRule="atLeast"/>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经营范围</w:t>
            </w:r>
          </w:p>
        </w:tc>
        <w:tc>
          <w:tcPr>
            <w:tcW w:w="7639" w:type="dxa"/>
            <w:gridSpan w:val="8"/>
            <w:vAlign w:val="center"/>
          </w:tcPr>
          <w:p w14:paraId="07997BAE">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r>
      <w:tr w14:paraId="29A8D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05DF8A32">
            <w:pPr>
              <w:keepNext w:val="0"/>
              <w:keepLines w:val="0"/>
              <w:pageBreakBefore w:val="0"/>
              <w:widowControl/>
              <w:kinsoku w:val="0"/>
              <w:wordWrap w:val="0"/>
              <w:overflowPunct/>
              <w:topLinePunct w:val="0"/>
              <w:autoSpaceDE w:val="0"/>
              <w:autoSpaceDN w:val="0"/>
              <w:bidi w:val="0"/>
              <w:adjustRightInd w:val="0"/>
              <w:snapToGrid w:val="0"/>
              <w:spacing w:before="65" w:line="24" w:lineRule="atLeast"/>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关联企业情况</w:t>
            </w:r>
          </w:p>
        </w:tc>
        <w:tc>
          <w:tcPr>
            <w:tcW w:w="7639" w:type="dxa"/>
            <w:gridSpan w:val="8"/>
            <w:vAlign w:val="center"/>
          </w:tcPr>
          <w:p w14:paraId="1E7ADE4D">
            <w:pPr>
              <w:keepNext w:val="0"/>
              <w:keepLines w:val="0"/>
              <w:pageBreakBefore w:val="0"/>
              <w:widowControl/>
              <w:kinsoku w:val="0"/>
              <w:wordWrap w:val="0"/>
              <w:overflowPunct/>
              <w:topLinePunct w:val="0"/>
              <w:autoSpaceDE w:val="0"/>
              <w:autoSpaceDN w:val="0"/>
              <w:bidi w:val="0"/>
              <w:adjustRightInd w:val="0"/>
              <w:snapToGrid w:val="0"/>
              <w:spacing w:before="168" w:line="228" w:lineRule="auto"/>
              <w:ind w:left="0" w:right="0"/>
              <w:jc w:val="both"/>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包括但不限于与投标人存在以下关系的不同单位：</w:t>
            </w:r>
          </w:p>
          <w:p w14:paraId="0A579FFA">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0" w:right="0"/>
              <w:jc w:val="both"/>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1 ．法定代表人为同一人的。</w:t>
            </w:r>
          </w:p>
          <w:p w14:paraId="20E6965C">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0" w:right="0"/>
              <w:jc w:val="both"/>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2 ．存在控股、管理关系的。</w:t>
            </w:r>
          </w:p>
          <w:p w14:paraId="585BD72F">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0" w:right="0"/>
              <w:jc w:val="both"/>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3 ．主要人员相互任职的。</w:t>
            </w:r>
          </w:p>
        </w:tc>
      </w:tr>
      <w:tr w14:paraId="28D64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A94CEF9">
            <w:pPr>
              <w:keepNext w:val="0"/>
              <w:keepLines w:val="0"/>
              <w:pageBreakBefore w:val="0"/>
              <w:widowControl/>
              <w:kinsoku w:val="0"/>
              <w:wordWrap w:val="0"/>
              <w:overflowPunct/>
              <w:topLinePunct w:val="0"/>
              <w:autoSpaceDE w:val="0"/>
              <w:autoSpaceDN w:val="0"/>
              <w:bidi w:val="0"/>
              <w:adjustRightInd w:val="0"/>
              <w:snapToGrid w:val="0"/>
              <w:spacing w:before="235" w:line="230" w:lineRule="auto"/>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t>备注</w:t>
            </w:r>
          </w:p>
        </w:tc>
        <w:tc>
          <w:tcPr>
            <w:tcW w:w="7639" w:type="dxa"/>
            <w:gridSpan w:val="8"/>
            <w:vAlign w:val="center"/>
          </w:tcPr>
          <w:p w14:paraId="33A69765">
            <w:pPr>
              <w:pStyle w:val="28"/>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000000" w:themeColor="text1"/>
                <w:spacing w:val="0"/>
                <w:sz w:val="24"/>
                <w:szCs w:val="24"/>
                <w:highlight w:val="none"/>
                <w14:textFill>
                  <w14:solidFill>
                    <w14:schemeClr w14:val="tx1"/>
                  </w14:solidFill>
                </w14:textFill>
              </w:rPr>
            </w:pPr>
          </w:p>
        </w:tc>
      </w:tr>
    </w:tbl>
    <w:p w14:paraId="34C67D25">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69B31669">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说明：</w:t>
      </w:r>
    </w:p>
    <w:p w14:paraId="5F7DADAA">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outlineLvl w:val="9"/>
        <w:rPr>
          <w:rFonts w:hint="eastAsia" w:ascii="宋体" w:hAnsi="宋体" w:eastAsia="宋体" w:cs="宋体"/>
          <w:color w:val="000000" w:themeColor="text1"/>
          <w:spacing w:val="0"/>
          <w:sz w:val="21"/>
          <w:szCs w:val="21"/>
          <w:highlight w:val="none"/>
          <w14:textFill>
            <w14:solidFill>
              <w14:schemeClr w14:val="tx1"/>
            </w14:solidFill>
          </w14:textFill>
        </w:rPr>
      </w:pPr>
      <w:bookmarkStart w:id="246" w:name="_Toc5131"/>
      <w:bookmarkStart w:id="247" w:name="_Toc14048"/>
      <w:r>
        <w:rPr>
          <w:rFonts w:hint="eastAsia" w:ascii="宋体" w:hAnsi="宋体" w:eastAsia="宋体" w:cs="宋体"/>
          <w:color w:val="000000" w:themeColor="text1"/>
          <w:spacing w:val="0"/>
          <w:sz w:val="21"/>
          <w:szCs w:val="21"/>
          <w:highlight w:val="none"/>
          <w14:textFill>
            <w14:solidFill>
              <w14:schemeClr w14:val="tx1"/>
            </w14:solidFill>
          </w14:textFill>
        </w:rPr>
        <w:t>1 ．《投标人基本情况表》后应附以下资料：</w:t>
      </w:r>
      <w:bookmarkEnd w:id="246"/>
      <w:bookmarkEnd w:id="247"/>
    </w:p>
    <w:p w14:paraId="230E1626">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1）企业营业执照、资质证书、安全生产许可证的（因推行电子证照，企业的营业执照、资质证书等可以提供电子证照。为实时掌握项目投标单位的是否具备企业安全生产条件，企业的安全生生许可证需提供企业实时网页查询页，实时查询页的打印时间应在项目招标公告发布之日起至开标前。企业的安全生产许可证实时网页查询路径：登录“ 中华人民共和国住房和城乡建设部 ”进入“全国工程质量安全监管信息平台公共服务门户 ”版块，具体网址为：https://zlaq.mohurd.gov.cn，进入后点击“安全生产许可证信息 ”，输入企业名称和统一社会信用代码即可查询。如中标后，投标单位安全生产许可证发生被暂扣情形，需双方另行协商）；</w:t>
      </w:r>
    </w:p>
    <w:p w14:paraId="259B1130">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（2）</w:t>
      </w:r>
      <w:r>
        <w:rPr>
          <w:rFonts w:hint="eastAsia" w:ascii="宋体" w:hAnsi="宋体" w:eastAsia="宋体" w:cs="宋体"/>
          <w:color w:val="000000" w:themeColor="text1"/>
          <w:spacing w:val="0"/>
          <w:sz w:val="21"/>
          <w:szCs w:val="21"/>
          <w:highlight w:val="none"/>
          <w14:textFill>
            <w14:solidFill>
              <w14:schemeClr w14:val="tx1"/>
            </w14:solidFill>
          </w14:textFill>
        </w:rPr>
        <w:t>“进粤企业和人员诚信信息登记平台 ”企业信息情况打印页。（适用于省外建筑企业）</w:t>
      </w:r>
    </w:p>
    <w:p w14:paraId="49CB0524">
      <w:pPr>
        <w:keepNext w:val="0"/>
        <w:keepLines w:val="0"/>
        <w:pageBreakBefore w:val="0"/>
        <w:widowControl/>
        <w:kinsoku w:val="0"/>
        <w:wordWrap w:val="0"/>
        <w:overflowPunct/>
        <w:topLinePunct w:val="0"/>
        <w:autoSpaceDE w:val="0"/>
        <w:autoSpaceDN w:val="0"/>
        <w:bidi w:val="0"/>
        <w:adjustRightInd w:val="0"/>
        <w:snapToGrid w:val="0"/>
        <w:spacing w:line="30" w:lineRule="atLeast"/>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（3）</w:t>
      </w:r>
      <w:r>
        <w:rPr>
          <w:rFonts w:hint="eastAsia" w:ascii="宋体" w:hAnsi="宋体" w:eastAsia="宋体" w:cs="宋体"/>
          <w:color w:val="000000" w:themeColor="text1"/>
          <w:spacing w:val="0"/>
          <w:sz w:val="21"/>
          <w:szCs w:val="21"/>
          <w:highlight w:val="none"/>
          <w14:textFill>
            <w14:solidFill>
              <w14:schemeClr w14:val="tx1"/>
            </w14:solidFill>
          </w14:textFill>
        </w:rPr>
        <w:t>《法人和非法人组织公共信用信息报告》（在“信用中国 ”网站企业查询界面中下载）。</w:t>
      </w:r>
    </w:p>
    <w:p w14:paraId="214750AF">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 ．联合体投标的，联合体成员单位均应填写《投标人基本情况表》并提供以上所需资料。</w:t>
      </w:r>
    </w:p>
    <w:p w14:paraId="012C8021">
      <w:pPr>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2AB7BED9">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48" w:name="_Toc12910"/>
      <w:r>
        <w:rPr>
          <w:rFonts w:hint="eastAsia" w:ascii="宋体" w:hAnsi="宋体" w:eastAsia="宋体" w:cs="宋体"/>
          <w:b/>
          <w:bCs/>
          <w:color w:val="000000" w:themeColor="text1"/>
          <w:spacing w:val="0"/>
          <w:sz w:val="24"/>
          <w:szCs w:val="24"/>
          <w:highlight w:val="none"/>
          <w14:textFill>
            <w14:solidFill>
              <w14:schemeClr w14:val="tx1"/>
            </w14:solidFill>
          </w14:textFill>
        </w:rPr>
        <w:t>格式八 项目经理简历表</w:t>
      </w:r>
      <w:bookmarkEnd w:id="248"/>
    </w:p>
    <w:p w14:paraId="07245DD0">
      <w:pPr>
        <w:pStyle w:val="6"/>
        <w:keepNext w:val="0"/>
        <w:keepLines w:val="0"/>
        <w:pageBreakBefore w:val="0"/>
        <w:wordWrap w:val="0"/>
        <w:overflowPunct/>
        <w:topLinePunct w:val="0"/>
        <w:bidi w:val="0"/>
        <w:spacing w:line="444" w:lineRule="auto"/>
        <w:rPr>
          <w:rFonts w:hint="eastAsia" w:ascii="宋体" w:hAnsi="宋体" w:eastAsia="宋体" w:cs="宋体"/>
          <w:color w:val="000000" w:themeColor="text1"/>
          <w:spacing w:val="0"/>
          <w:highlight w:val="none"/>
          <w14:textFill>
            <w14:solidFill>
              <w14:schemeClr w14:val="tx1"/>
            </w14:solidFill>
          </w14:textFill>
        </w:rPr>
      </w:pPr>
    </w:p>
    <w:p w14:paraId="0C78A5C7">
      <w:pPr>
        <w:keepNext w:val="0"/>
        <w:keepLines w:val="0"/>
        <w:pageBreakBefore w:val="0"/>
        <w:wordWrap w:val="0"/>
        <w:overflowPunct/>
        <w:topLinePunct w:val="0"/>
        <w:bidi w:val="0"/>
        <w:spacing w:before="97" w:line="219" w:lineRule="auto"/>
        <w:ind w:left="3538"/>
        <w:outlineLvl w:val="9"/>
        <w:rPr>
          <w:rFonts w:hint="eastAsia" w:ascii="宋体" w:hAnsi="宋体" w:eastAsia="宋体" w:cs="宋体"/>
          <w:color w:val="000000" w:themeColor="text1"/>
          <w:spacing w:val="0"/>
          <w:sz w:val="30"/>
          <w:szCs w:val="30"/>
          <w:highlight w:val="none"/>
          <w14:textFill>
            <w14:solidFill>
              <w14:schemeClr w14:val="tx1"/>
            </w14:solidFill>
          </w14:textFill>
        </w:rPr>
      </w:pPr>
      <w:bookmarkStart w:id="249" w:name="bookmark156"/>
      <w:bookmarkEnd w:id="249"/>
      <w:bookmarkStart w:id="250" w:name="bookmark89"/>
      <w:bookmarkEnd w:id="250"/>
      <w:bookmarkStart w:id="251" w:name="_Toc31533"/>
      <w:bookmarkStart w:id="252" w:name="_Toc24489"/>
      <w:r>
        <w:rPr>
          <w:rFonts w:hint="eastAsia" w:ascii="宋体" w:hAnsi="宋体" w:eastAsia="宋体" w:cs="宋体"/>
          <w:b/>
          <w:bCs/>
          <w:color w:val="000000" w:themeColor="text1"/>
          <w:spacing w:val="0"/>
          <w:sz w:val="30"/>
          <w:szCs w:val="30"/>
          <w:highlight w:val="none"/>
          <w14:textFill>
            <w14:solidFill>
              <w14:schemeClr w14:val="tx1"/>
            </w14:solidFill>
          </w14:textFill>
        </w:rPr>
        <w:t>项目经理简历表</w:t>
      </w:r>
      <w:bookmarkEnd w:id="251"/>
      <w:bookmarkEnd w:id="252"/>
    </w:p>
    <w:p w14:paraId="733B316D">
      <w:pPr>
        <w:keepNext w:val="0"/>
        <w:keepLines w:val="0"/>
        <w:pageBreakBefore w:val="0"/>
        <w:wordWrap w:val="0"/>
        <w:overflowPunct/>
        <w:topLinePunct w:val="0"/>
        <w:bidi w:val="0"/>
        <w:spacing w:line="240" w:lineRule="exact"/>
        <w:rPr>
          <w:rFonts w:hint="eastAsia" w:ascii="宋体" w:hAnsi="宋体" w:eastAsia="宋体" w:cs="宋体"/>
          <w:color w:val="000000" w:themeColor="text1"/>
          <w:spacing w:val="0"/>
          <w:highlight w:val="none"/>
          <w14:textFill>
            <w14:solidFill>
              <w14:schemeClr w14:val="tx1"/>
            </w14:solidFill>
          </w14:textFill>
        </w:rPr>
      </w:pPr>
    </w:p>
    <w:tbl>
      <w:tblPr>
        <w:tblStyle w:val="15"/>
        <w:tblW w:w="97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8"/>
        <w:gridCol w:w="1010"/>
        <w:gridCol w:w="614"/>
        <w:gridCol w:w="680"/>
        <w:gridCol w:w="1357"/>
        <w:gridCol w:w="2062"/>
        <w:gridCol w:w="1798"/>
        <w:gridCol w:w="1398"/>
      </w:tblGrid>
      <w:tr w14:paraId="52897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1828" w:type="dxa"/>
            <w:gridSpan w:val="2"/>
            <w:vAlign w:val="center"/>
          </w:tcPr>
          <w:p w14:paraId="4005FF2B">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姓   名</w:t>
            </w:r>
          </w:p>
        </w:tc>
        <w:tc>
          <w:tcPr>
            <w:tcW w:w="1294" w:type="dxa"/>
            <w:gridSpan w:val="2"/>
            <w:vAlign w:val="center"/>
          </w:tcPr>
          <w:p w14:paraId="459C112F">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57" w:type="dxa"/>
            <w:vAlign w:val="center"/>
          </w:tcPr>
          <w:p w14:paraId="1B35C805">
            <w:pPr>
              <w:keepNext w:val="0"/>
              <w:keepLines w:val="0"/>
              <w:pageBreakBefore w:val="0"/>
              <w:widowControl/>
              <w:kinsoku w:val="0"/>
              <w:wordWrap w:val="0"/>
              <w:overflowPunct/>
              <w:topLinePunct w:val="0"/>
              <w:autoSpaceDE w:val="0"/>
              <w:autoSpaceDN w:val="0"/>
              <w:bidi w:val="0"/>
              <w:adjustRightInd w:val="0"/>
              <w:snapToGrid w:val="0"/>
              <w:spacing w:before="177"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性  别</w:t>
            </w:r>
          </w:p>
        </w:tc>
        <w:tc>
          <w:tcPr>
            <w:tcW w:w="2062" w:type="dxa"/>
            <w:vAlign w:val="center"/>
          </w:tcPr>
          <w:p w14:paraId="606F045A">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144F8EEA">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年   龄</w:t>
            </w:r>
          </w:p>
        </w:tc>
        <w:tc>
          <w:tcPr>
            <w:tcW w:w="1398" w:type="dxa"/>
            <w:vAlign w:val="center"/>
          </w:tcPr>
          <w:p w14:paraId="248A87DB">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C7B6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1828" w:type="dxa"/>
            <w:gridSpan w:val="2"/>
            <w:vAlign w:val="center"/>
          </w:tcPr>
          <w:p w14:paraId="6C5EBB96">
            <w:pPr>
              <w:keepNext w:val="0"/>
              <w:keepLines w:val="0"/>
              <w:pageBreakBefore w:val="0"/>
              <w:widowControl/>
              <w:kinsoku w:val="0"/>
              <w:wordWrap w:val="0"/>
              <w:overflowPunct/>
              <w:topLinePunct w:val="0"/>
              <w:autoSpaceDE w:val="0"/>
              <w:autoSpaceDN w:val="0"/>
              <w:bidi w:val="0"/>
              <w:adjustRightInd w:val="0"/>
              <w:snapToGrid w:val="0"/>
              <w:spacing w:before="175"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职   务</w:t>
            </w:r>
          </w:p>
        </w:tc>
        <w:tc>
          <w:tcPr>
            <w:tcW w:w="1294" w:type="dxa"/>
            <w:gridSpan w:val="2"/>
            <w:vAlign w:val="center"/>
          </w:tcPr>
          <w:p w14:paraId="49703266">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57" w:type="dxa"/>
            <w:vAlign w:val="center"/>
          </w:tcPr>
          <w:p w14:paraId="275BEF66">
            <w:pPr>
              <w:keepNext w:val="0"/>
              <w:keepLines w:val="0"/>
              <w:pageBreakBefore w:val="0"/>
              <w:widowControl/>
              <w:kinsoku w:val="0"/>
              <w:wordWrap w:val="0"/>
              <w:overflowPunct/>
              <w:topLinePunct w:val="0"/>
              <w:autoSpaceDE w:val="0"/>
              <w:autoSpaceDN w:val="0"/>
              <w:bidi w:val="0"/>
              <w:adjustRightInd w:val="0"/>
              <w:snapToGrid w:val="0"/>
              <w:spacing w:before="174" w:line="231"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职  称</w:t>
            </w:r>
          </w:p>
        </w:tc>
        <w:tc>
          <w:tcPr>
            <w:tcW w:w="2062" w:type="dxa"/>
            <w:vAlign w:val="center"/>
          </w:tcPr>
          <w:p w14:paraId="16D1E874">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3B726250">
            <w:pPr>
              <w:keepNext w:val="0"/>
              <w:keepLines w:val="0"/>
              <w:pageBreakBefore w:val="0"/>
              <w:widowControl/>
              <w:kinsoku w:val="0"/>
              <w:wordWrap w:val="0"/>
              <w:overflowPunct/>
              <w:topLinePunct w:val="0"/>
              <w:autoSpaceDE w:val="0"/>
              <w:autoSpaceDN w:val="0"/>
              <w:bidi w:val="0"/>
              <w:adjustRightInd w:val="0"/>
              <w:snapToGrid w:val="0"/>
              <w:spacing w:before="175" w:line="230"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学   历</w:t>
            </w:r>
          </w:p>
        </w:tc>
        <w:tc>
          <w:tcPr>
            <w:tcW w:w="1398" w:type="dxa"/>
            <w:vAlign w:val="center"/>
          </w:tcPr>
          <w:p w14:paraId="18686FE9">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8DD02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1828" w:type="dxa"/>
            <w:gridSpan w:val="2"/>
            <w:vAlign w:val="center"/>
          </w:tcPr>
          <w:p w14:paraId="6CA0A6E3">
            <w:pPr>
              <w:keepNext w:val="0"/>
              <w:keepLines w:val="0"/>
              <w:pageBreakBefore w:val="0"/>
              <w:widowControl/>
              <w:kinsoku w:val="0"/>
              <w:wordWrap w:val="0"/>
              <w:overflowPunct/>
              <w:topLinePunct w:val="0"/>
              <w:autoSpaceDE w:val="0"/>
              <w:autoSpaceDN w:val="0"/>
              <w:bidi w:val="0"/>
              <w:adjustRightInd w:val="0"/>
              <w:snapToGrid w:val="0"/>
              <w:spacing w:before="175"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参加工作时间</w:t>
            </w:r>
          </w:p>
        </w:tc>
        <w:tc>
          <w:tcPr>
            <w:tcW w:w="2651" w:type="dxa"/>
            <w:gridSpan w:val="3"/>
            <w:vAlign w:val="center"/>
          </w:tcPr>
          <w:p w14:paraId="1D8F273A">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3860" w:type="dxa"/>
            <w:gridSpan w:val="2"/>
            <w:vAlign w:val="center"/>
          </w:tcPr>
          <w:p w14:paraId="1DCA2560">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从事工程建设项目管理工作年限</w:t>
            </w:r>
          </w:p>
        </w:tc>
        <w:tc>
          <w:tcPr>
            <w:tcW w:w="1398" w:type="dxa"/>
            <w:vAlign w:val="center"/>
          </w:tcPr>
          <w:p w14:paraId="55F6DD2C">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5205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9737" w:type="dxa"/>
            <w:gridSpan w:val="8"/>
            <w:vAlign w:val="center"/>
          </w:tcPr>
          <w:p w14:paraId="1985FCD7">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以项目经理身份参与过的主要业绩（已完工项目）</w:t>
            </w:r>
          </w:p>
        </w:tc>
      </w:tr>
      <w:tr w14:paraId="6A55E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818" w:type="dxa"/>
            <w:vAlign w:val="center"/>
          </w:tcPr>
          <w:p w14:paraId="226DD453">
            <w:pPr>
              <w:keepNext w:val="0"/>
              <w:keepLines w:val="0"/>
              <w:pageBreakBefore w:val="0"/>
              <w:widowControl/>
              <w:kinsoku w:val="0"/>
              <w:wordWrap w:val="0"/>
              <w:overflowPunct/>
              <w:topLinePunct w:val="0"/>
              <w:autoSpaceDE w:val="0"/>
              <w:autoSpaceDN w:val="0"/>
              <w:bidi w:val="0"/>
              <w:adjustRightInd w:val="0"/>
              <w:snapToGrid w:val="0"/>
              <w:spacing w:before="176" w:line="230"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序号</w:t>
            </w:r>
          </w:p>
        </w:tc>
        <w:tc>
          <w:tcPr>
            <w:tcW w:w="1624" w:type="dxa"/>
            <w:gridSpan w:val="2"/>
            <w:vAlign w:val="center"/>
          </w:tcPr>
          <w:p w14:paraId="67B2AAAA">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项目名称</w:t>
            </w:r>
          </w:p>
        </w:tc>
        <w:tc>
          <w:tcPr>
            <w:tcW w:w="2037" w:type="dxa"/>
            <w:gridSpan w:val="2"/>
            <w:vAlign w:val="center"/>
          </w:tcPr>
          <w:p w14:paraId="4801985C">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建设单位</w:t>
            </w:r>
          </w:p>
        </w:tc>
        <w:tc>
          <w:tcPr>
            <w:tcW w:w="2062" w:type="dxa"/>
            <w:vAlign w:val="center"/>
          </w:tcPr>
          <w:p w14:paraId="027FA0A0">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建设内容和规模</w:t>
            </w:r>
          </w:p>
        </w:tc>
        <w:tc>
          <w:tcPr>
            <w:tcW w:w="1798" w:type="dxa"/>
            <w:vAlign w:val="center"/>
          </w:tcPr>
          <w:p w14:paraId="13665F3A">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开、竣工日期</w:t>
            </w:r>
          </w:p>
        </w:tc>
        <w:tc>
          <w:tcPr>
            <w:tcW w:w="1398" w:type="dxa"/>
            <w:vAlign w:val="center"/>
          </w:tcPr>
          <w:p w14:paraId="1363170B">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质量等级</w:t>
            </w:r>
          </w:p>
        </w:tc>
      </w:tr>
      <w:tr w14:paraId="69665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center"/>
          </w:tcPr>
          <w:p w14:paraId="67F61AFB">
            <w:pPr>
              <w:keepNext w:val="0"/>
              <w:keepLines w:val="0"/>
              <w:pageBreakBefore w:val="0"/>
              <w:widowControl/>
              <w:kinsoku w:val="0"/>
              <w:wordWrap w:val="0"/>
              <w:overflowPunct/>
              <w:topLinePunct w:val="0"/>
              <w:autoSpaceDE w:val="0"/>
              <w:autoSpaceDN w:val="0"/>
              <w:bidi w:val="0"/>
              <w:adjustRightInd w:val="0"/>
              <w:snapToGrid w:val="0"/>
              <w:spacing w:before="214"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p>
        </w:tc>
        <w:tc>
          <w:tcPr>
            <w:tcW w:w="1624" w:type="dxa"/>
            <w:gridSpan w:val="2"/>
            <w:vAlign w:val="center"/>
          </w:tcPr>
          <w:p w14:paraId="6B906EE2">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37" w:type="dxa"/>
            <w:gridSpan w:val="2"/>
            <w:vAlign w:val="center"/>
          </w:tcPr>
          <w:p w14:paraId="39014A66">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62" w:type="dxa"/>
            <w:vAlign w:val="center"/>
          </w:tcPr>
          <w:p w14:paraId="015E44A0">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191B5C4F">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98" w:type="dxa"/>
            <w:vAlign w:val="center"/>
          </w:tcPr>
          <w:p w14:paraId="5601622C">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ADBD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818" w:type="dxa"/>
            <w:vAlign w:val="center"/>
          </w:tcPr>
          <w:p w14:paraId="2D37EB61">
            <w:pPr>
              <w:keepNext w:val="0"/>
              <w:keepLines w:val="0"/>
              <w:pageBreakBefore w:val="0"/>
              <w:widowControl/>
              <w:kinsoku w:val="0"/>
              <w:wordWrap w:val="0"/>
              <w:overflowPunct/>
              <w:topLinePunct w:val="0"/>
              <w:autoSpaceDE w:val="0"/>
              <w:autoSpaceDN w:val="0"/>
              <w:bidi w:val="0"/>
              <w:adjustRightInd w:val="0"/>
              <w:snapToGrid w:val="0"/>
              <w:spacing w:before="213"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w:t>
            </w:r>
          </w:p>
        </w:tc>
        <w:tc>
          <w:tcPr>
            <w:tcW w:w="1624" w:type="dxa"/>
            <w:gridSpan w:val="2"/>
            <w:vAlign w:val="center"/>
          </w:tcPr>
          <w:p w14:paraId="3F9424A4">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37" w:type="dxa"/>
            <w:gridSpan w:val="2"/>
            <w:vAlign w:val="center"/>
          </w:tcPr>
          <w:p w14:paraId="5C8C87A3">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62" w:type="dxa"/>
            <w:vAlign w:val="center"/>
          </w:tcPr>
          <w:p w14:paraId="4B5D2BB4">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347BC37F">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98" w:type="dxa"/>
            <w:vAlign w:val="center"/>
          </w:tcPr>
          <w:p w14:paraId="0D3458B9">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612B5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center"/>
          </w:tcPr>
          <w:p w14:paraId="3C8FBE28">
            <w:pPr>
              <w:keepNext w:val="0"/>
              <w:keepLines w:val="0"/>
              <w:pageBreakBefore w:val="0"/>
              <w:widowControl/>
              <w:kinsoku w:val="0"/>
              <w:wordWrap w:val="0"/>
              <w:overflowPunct/>
              <w:topLinePunct w:val="0"/>
              <w:autoSpaceDE w:val="0"/>
              <w:autoSpaceDN w:val="0"/>
              <w:bidi w:val="0"/>
              <w:adjustRightInd w:val="0"/>
              <w:snapToGrid w:val="0"/>
              <w:spacing w:before="213"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w:t>
            </w:r>
          </w:p>
        </w:tc>
        <w:tc>
          <w:tcPr>
            <w:tcW w:w="1624" w:type="dxa"/>
            <w:gridSpan w:val="2"/>
            <w:vAlign w:val="center"/>
          </w:tcPr>
          <w:p w14:paraId="05CB1FA8">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37" w:type="dxa"/>
            <w:gridSpan w:val="2"/>
            <w:vAlign w:val="center"/>
          </w:tcPr>
          <w:p w14:paraId="67C95E4D">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62" w:type="dxa"/>
            <w:vAlign w:val="center"/>
          </w:tcPr>
          <w:p w14:paraId="0F3F3FCD">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7EEF915B">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98" w:type="dxa"/>
            <w:vAlign w:val="center"/>
          </w:tcPr>
          <w:p w14:paraId="1073B937">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5BEC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18" w:type="dxa"/>
            <w:vAlign w:val="center"/>
          </w:tcPr>
          <w:p w14:paraId="68FD65E9">
            <w:pPr>
              <w:keepNext w:val="0"/>
              <w:keepLines w:val="0"/>
              <w:pageBreakBefore w:val="0"/>
              <w:widowControl/>
              <w:kinsoku w:val="0"/>
              <w:wordWrap w:val="0"/>
              <w:overflowPunct/>
              <w:topLinePunct w:val="0"/>
              <w:autoSpaceDE w:val="0"/>
              <w:autoSpaceDN w:val="0"/>
              <w:bidi w:val="0"/>
              <w:adjustRightInd w:val="0"/>
              <w:snapToGrid w:val="0"/>
              <w:spacing w:before="177" w:line="325" w:lineRule="exact"/>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3"/>
                <w:sz w:val="24"/>
                <w:szCs w:val="24"/>
                <w:highlight w:val="none"/>
                <w14:textFill>
                  <w14:solidFill>
                    <w14:schemeClr w14:val="tx1"/>
                  </w14:solidFill>
                </w14:textFill>
              </w:rPr>
              <w:t>……</w:t>
            </w:r>
          </w:p>
        </w:tc>
        <w:tc>
          <w:tcPr>
            <w:tcW w:w="1624" w:type="dxa"/>
            <w:gridSpan w:val="2"/>
            <w:vAlign w:val="center"/>
          </w:tcPr>
          <w:p w14:paraId="11BEC3EF">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37" w:type="dxa"/>
            <w:gridSpan w:val="2"/>
            <w:vAlign w:val="center"/>
          </w:tcPr>
          <w:p w14:paraId="31783523">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62" w:type="dxa"/>
            <w:vAlign w:val="center"/>
          </w:tcPr>
          <w:p w14:paraId="01C4C874">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7DE5047D">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98" w:type="dxa"/>
            <w:vAlign w:val="center"/>
          </w:tcPr>
          <w:p w14:paraId="26308B2C">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bl>
    <w:p w14:paraId="2A57AD35">
      <w:pPr>
        <w:pStyle w:val="6"/>
        <w:keepNext w:val="0"/>
        <w:keepLines w:val="0"/>
        <w:pageBreakBefore w:val="0"/>
        <w:wordWrap w:val="0"/>
        <w:overflowPunct/>
        <w:topLinePunct w:val="0"/>
        <w:bidi w:val="0"/>
        <w:spacing w:line="315" w:lineRule="auto"/>
        <w:rPr>
          <w:rFonts w:hint="eastAsia" w:ascii="宋体" w:hAnsi="宋体" w:eastAsia="宋体" w:cs="宋体"/>
          <w:color w:val="000000" w:themeColor="text1"/>
          <w:spacing w:val="0"/>
          <w:highlight w:val="none"/>
          <w14:textFill>
            <w14:solidFill>
              <w14:schemeClr w14:val="tx1"/>
            </w14:solidFill>
          </w14:textFill>
        </w:rPr>
      </w:pPr>
    </w:p>
    <w:p w14:paraId="006CE30E">
      <w:pPr>
        <w:keepNext w:val="0"/>
        <w:keepLines w:val="0"/>
        <w:pageBreakBefore w:val="0"/>
        <w:wordWrap w:val="0"/>
        <w:overflowPunct/>
        <w:topLinePunct w:val="0"/>
        <w:bidi w:val="0"/>
        <w:spacing w:before="78" w:line="220" w:lineRule="auto"/>
        <w:ind w:left="69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项目经理：</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w:t>
      </w:r>
    </w:p>
    <w:p w14:paraId="16855C17">
      <w:pPr>
        <w:pStyle w:val="6"/>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highlight w:val="none"/>
          <w14:textFill>
            <w14:solidFill>
              <w14:schemeClr w14:val="tx1"/>
            </w14:solidFill>
          </w14:textFill>
        </w:rPr>
      </w:pPr>
    </w:p>
    <w:p w14:paraId="13503D5A">
      <w:pPr>
        <w:pStyle w:val="6"/>
        <w:keepNext w:val="0"/>
        <w:keepLines w:val="0"/>
        <w:pageBreakBefore w:val="0"/>
        <w:wordWrap w:val="0"/>
        <w:overflowPunct/>
        <w:topLinePunct w:val="0"/>
        <w:bidi w:val="0"/>
        <w:spacing w:line="254" w:lineRule="auto"/>
        <w:jc w:val="right"/>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2046C6DB">
      <w:pPr>
        <w:keepNext w:val="0"/>
        <w:keepLines w:val="0"/>
        <w:pageBreakBefore w:val="0"/>
        <w:wordWrap w:val="0"/>
        <w:overflowPunct/>
        <w:topLinePunct w:val="0"/>
        <w:bidi w:val="0"/>
        <w:spacing w:before="78" w:line="220" w:lineRule="auto"/>
        <w:ind w:left="4226"/>
        <w:jc w:val="center"/>
        <w:rPr>
          <w:rFonts w:hint="eastAsia" w:ascii="宋体" w:hAnsi="宋体" w:eastAsia="宋体" w:cs="宋体"/>
          <w:color w:val="000000" w:themeColor="text1"/>
          <w:spacing w:val="0"/>
          <w:highlight w:val="none"/>
          <w14:textFill>
            <w14:solidFill>
              <w14:schemeClr w14:val="tx1"/>
            </w14:solidFill>
          </w14:textFill>
        </w:rPr>
      </w:pPr>
    </w:p>
    <w:p w14:paraId="338141CB">
      <w:pPr>
        <w:pStyle w:val="6"/>
        <w:keepNext w:val="0"/>
        <w:keepLines w:val="0"/>
        <w:pageBreakBefore w:val="0"/>
        <w:wordWrap w:val="0"/>
        <w:overflowPunct/>
        <w:topLinePunct w:val="0"/>
        <w:bidi w:val="0"/>
        <w:spacing w:line="241" w:lineRule="auto"/>
        <w:rPr>
          <w:rFonts w:hint="eastAsia" w:ascii="宋体" w:hAnsi="宋体" w:eastAsia="宋体" w:cs="宋体"/>
          <w:color w:val="000000" w:themeColor="text1"/>
          <w:spacing w:val="0"/>
          <w:highlight w:val="none"/>
          <w14:textFill>
            <w14:solidFill>
              <w14:schemeClr w14:val="tx1"/>
            </w14:solidFill>
          </w14:textFill>
        </w:rPr>
      </w:pPr>
    </w:p>
    <w:p w14:paraId="0D471702">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说明：《项目经理简历表》后应附拟派项目经理以下资料：</w:t>
      </w:r>
    </w:p>
    <w:p w14:paraId="2281CD1D">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253" w:name="_Toc25271"/>
      <w:bookmarkStart w:id="254" w:name="_Toc1942"/>
      <w:r>
        <w:rPr>
          <w:rFonts w:hint="eastAsia" w:ascii="宋体" w:hAnsi="宋体" w:eastAsia="宋体" w:cs="宋体"/>
          <w:color w:val="000000" w:themeColor="text1"/>
          <w:spacing w:val="0"/>
          <w:sz w:val="24"/>
          <w:szCs w:val="24"/>
          <w:highlight w:val="none"/>
          <w14:textFill>
            <w14:solidFill>
              <w14:schemeClr w14:val="tx1"/>
            </w14:solidFill>
          </w14:textFill>
        </w:rPr>
        <w:t>1 ．身份证彩色扫描件；</w:t>
      </w:r>
      <w:bookmarkEnd w:id="253"/>
      <w:bookmarkEnd w:id="254"/>
    </w:p>
    <w:p w14:paraId="256029DB">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．建造师电子注册证书（在使用有效期内的有效电子证书）彩色扫描件；</w:t>
      </w:r>
    </w:p>
    <w:p w14:paraId="66281E20">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3．B 类安全生产考核合格证书彩色扫描件或广东省建筑施工企业管理人员安全生产考核系统考核合格信息彩色扫描件；</w:t>
      </w:r>
    </w:p>
    <w:p w14:paraId="76F37EF6">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 ．在本单位缴纳社保</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的证明（至少</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个月，其</w:t>
      </w:r>
      <w:bookmarkStart w:id="255" w:name="OLE_LINK38"/>
      <w:r>
        <w:rPr>
          <w:rFonts w:hint="eastAsia" w:ascii="宋体" w:hAnsi="宋体" w:eastAsia="宋体" w:cs="宋体"/>
          <w:color w:val="000000" w:themeColor="text1"/>
          <w:spacing w:val="0"/>
          <w:sz w:val="24"/>
          <w:szCs w:val="24"/>
          <w:highlight w:val="none"/>
          <w:lang w:eastAsia="zh-CN"/>
          <w14:textFill>
            <w14:solidFill>
              <w14:schemeClr w14:val="tx1"/>
            </w14:solidFill>
          </w14:textFill>
        </w:rPr>
        <w:t>中必须有202</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年</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月</w:t>
      </w:r>
      <w:bookmarkEnd w:id="255"/>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扫描</w:t>
      </w:r>
      <w:r>
        <w:rPr>
          <w:rFonts w:hint="eastAsia" w:ascii="宋体" w:hAnsi="宋体" w:eastAsia="宋体" w:cs="宋体"/>
          <w:color w:val="000000" w:themeColor="text1"/>
          <w:spacing w:val="0"/>
          <w:sz w:val="24"/>
          <w:szCs w:val="24"/>
          <w:highlight w:val="none"/>
          <w14:textFill>
            <w14:solidFill>
              <w14:schemeClr w14:val="tx1"/>
            </w14:solidFill>
          </w14:textFill>
        </w:rPr>
        <w:t>件或打印件。拟派项目经理为退休返聘人员无法提供社保证明的，提供退休证和劳动合同彩色扫描件。</w:t>
      </w:r>
    </w:p>
    <w:p w14:paraId="2A87991E">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 ．“进粤企业和人员诚信信息登记平台 ”个人信息情况截图。（适用于省外建筑企业）</w:t>
      </w:r>
    </w:p>
    <w:p w14:paraId="4BCF539F">
      <w:pPr>
        <w:pStyle w:val="25"/>
        <w:rPr>
          <w:rFonts w:hint="eastAsia"/>
          <w:color w:val="000000" w:themeColor="text1"/>
          <w:highlight w:val="none"/>
          <w14:textFill>
            <w14:solidFill>
              <w14:schemeClr w14:val="tx1"/>
            </w14:solidFill>
          </w14:textFill>
        </w:rPr>
      </w:pPr>
    </w:p>
    <w:p w14:paraId="00386200">
      <w:pPr>
        <w:keepNext w:val="0"/>
        <w:keepLines w:val="0"/>
        <w:pageBreakBefore w:val="0"/>
        <w:wordWrap w:val="0"/>
        <w:overflowPunct/>
        <w:topLinePunct w:val="0"/>
        <w:bidi w:val="0"/>
        <w:spacing w:line="300" w:lineRule="auto"/>
        <w:rPr>
          <w:rFonts w:hint="eastAsia" w:ascii="宋体" w:hAnsi="宋体" w:eastAsia="宋体" w:cs="宋体"/>
          <w:color w:val="000000" w:themeColor="text1"/>
          <w:spacing w:val="0"/>
          <w:sz w:val="20"/>
          <w:szCs w:val="20"/>
          <w:highlight w:val="none"/>
          <w14:textFill>
            <w14:solidFill>
              <w14:schemeClr w14:val="tx1"/>
            </w14:solidFill>
          </w14:textFill>
        </w:rPr>
        <w:sectPr>
          <w:footerReference r:id="rId21"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5A1871F0">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56" w:name="_Toc4318"/>
      <w:r>
        <w:rPr>
          <w:rFonts w:hint="eastAsia" w:ascii="宋体" w:hAnsi="宋体" w:eastAsia="宋体" w:cs="宋体"/>
          <w:b/>
          <w:bCs/>
          <w:color w:val="000000" w:themeColor="text1"/>
          <w:spacing w:val="0"/>
          <w:sz w:val="24"/>
          <w:szCs w:val="24"/>
          <w:highlight w:val="none"/>
          <w14:textFill>
            <w14:solidFill>
              <w14:schemeClr w14:val="tx1"/>
            </w14:solidFill>
          </w14:textFill>
        </w:rPr>
        <w:t>格式九 项目经理任职声明</w:t>
      </w:r>
      <w:bookmarkEnd w:id="256"/>
    </w:p>
    <w:p w14:paraId="0578F8FA">
      <w:pPr>
        <w:pStyle w:val="6"/>
        <w:keepNext w:val="0"/>
        <w:keepLines w:val="0"/>
        <w:pageBreakBefore w:val="0"/>
        <w:wordWrap w:val="0"/>
        <w:overflowPunct/>
        <w:topLinePunct w:val="0"/>
        <w:bidi w:val="0"/>
        <w:spacing w:line="350" w:lineRule="auto"/>
        <w:rPr>
          <w:rFonts w:hint="eastAsia" w:ascii="宋体" w:hAnsi="宋体" w:eastAsia="宋体" w:cs="宋体"/>
          <w:color w:val="000000" w:themeColor="text1"/>
          <w:spacing w:val="0"/>
          <w:highlight w:val="none"/>
          <w14:textFill>
            <w14:solidFill>
              <w14:schemeClr w14:val="tx1"/>
            </w14:solidFill>
          </w14:textFill>
        </w:rPr>
      </w:pPr>
    </w:p>
    <w:p w14:paraId="18B06342">
      <w:pPr>
        <w:pStyle w:val="6"/>
        <w:keepNext w:val="0"/>
        <w:keepLines w:val="0"/>
        <w:pageBreakBefore w:val="0"/>
        <w:wordWrap w:val="0"/>
        <w:overflowPunct/>
        <w:topLinePunct w:val="0"/>
        <w:bidi w:val="0"/>
        <w:spacing w:line="350" w:lineRule="auto"/>
        <w:rPr>
          <w:rFonts w:hint="eastAsia" w:ascii="宋体" w:hAnsi="宋体" w:eastAsia="宋体" w:cs="宋体"/>
          <w:color w:val="000000" w:themeColor="text1"/>
          <w:spacing w:val="0"/>
          <w:highlight w:val="none"/>
          <w14:textFill>
            <w14:solidFill>
              <w14:schemeClr w14:val="tx1"/>
            </w14:solidFill>
          </w14:textFill>
        </w:rPr>
      </w:pPr>
    </w:p>
    <w:p w14:paraId="40F834AF">
      <w:pPr>
        <w:keepNext w:val="0"/>
        <w:keepLines w:val="0"/>
        <w:pageBreakBefore w:val="0"/>
        <w:wordWrap w:val="0"/>
        <w:overflowPunct/>
        <w:topLinePunct w:val="0"/>
        <w:bidi w:val="0"/>
        <w:spacing w:before="98" w:line="220" w:lineRule="auto"/>
        <w:ind w:left="3338"/>
        <w:rPr>
          <w:rFonts w:hint="eastAsia" w:ascii="宋体" w:hAnsi="宋体" w:eastAsia="宋体" w:cs="宋体"/>
          <w:color w:val="000000" w:themeColor="text1"/>
          <w:spacing w:val="0"/>
          <w:sz w:val="30"/>
          <w:szCs w:val="30"/>
          <w:highlight w:val="none"/>
          <w14:textFill>
            <w14:solidFill>
              <w14:schemeClr w14:val="tx1"/>
            </w14:solidFill>
          </w14:textFill>
        </w:rPr>
      </w:pPr>
      <w:bookmarkStart w:id="257" w:name="bookmark157"/>
      <w:bookmarkEnd w:id="257"/>
      <w:r>
        <w:rPr>
          <w:rFonts w:hint="eastAsia" w:ascii="宋体" w:hAnsi="宋体" w:eastAsia="宋体" w:cs="宋体"/>
          <w:b/>
          <w:bCs/>
          <w:color w:val="000000" w:themeColor="text1"/>
          <w:spacing w:val="0"/>
          <w:sz w:val="30"/>
          <w:szCs w:val="30"/>
          <w:highlight w:val="none"/>
          <w14:textFill>
            <w14:solidFill>
              <w14:schemeClr w14:val="tx1"/>
            </w14:solidFill>
          </w14:textFill>
        </w:rPr>
        <w:t>项目经理任职声明</w:t>
      </w:r>
    </w:p>
    <w:p w14:paraId="532E6150">
      <w:pPr>
        <w:pStyle w:val="6"/>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5161A470">
      <w:pPr>
        <w:pStyle w:val="6"/>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641FA575">
      <w:pPr>
        <w:pStyle w:val="6"/>
        <w:keepNext w:val="0"/>
        <w:keepLines w:val="0"/>
        <w:pageBreakBefore w:val="0"/>
        <w:wordWrap w:val="0"/>
        <w:overflowPunct/>
        <w:topLinePunct w:val="0"/>
        <w:bidi w:val="0"/>
        <w:spacing w:line="251" w:lineRule="auto"/>
        <w:rPr>
          <w:rFonts w:hint="eastAsia" w:ascii="宋体" w:hAnsi="宋体" w:eastAsia="宋体" w:cs="宋体"/>
          <w:color w:val="000000" w:themeColor="text1"/>
          <w:spacing w:val="0"/>
          <w:highlight w:val="none"/>
          <w14:textFill>
            <w14:solidFill>
              <w14:schemeClr w14:val="tx1"/>
            </w14:solidFill>
          </w14:textFill>
        </w:rPr>
      </w:pPr>
    </w:p>
    <w:p w14:paraId="5A6A5383">
      <w:pPr>
        <w:keepNext w:val="0"/>
        <w:keepLines w:val="0"/>
        <w:pageBreakBefore w:val="0"/>
        <w:wordWrap w:val="0"/>
        <w:overflowPunct/>
        <w:topLinePunct w:val="0"/>
        <w:bidi w:val="0"/>
        <w:spacing w:before="78" w:line="221" w:lineRule="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致：</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（招标人名称）</w:t>
      </w:r>
    </w:p>
    <w:p w14:paraId="6DF111E3">
      <w:pPr>
        <w:keepNext w:val="0"/>
        <w:keepLines w:val="0"/>
        <w:pageBreakBefore w:val="0"/>
        <w:wordWrap w:val="0"/>
        <w:overflowPunct/>
        <w:topLinePunct w:val="0"/>
        <w:bidi w:val="0"/>
        <w:spacing w:before="155" w:line="324" w:lineRule="auto"/>
        <w:ind w:firstLine="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我方在此声明，我方拟派往</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（项目名称）的项目经理</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（项目经理姓名）现阶段没有担任任何在施（包括已中标未开工、已开工未竣工）建设工程项目的项目经理。</w:t>
      </w:r>
    </w:p>
    <w:p w14:paraId="30B4DC4A">
      <w:pPr>
        <w:keepNext w:val="0"/>
        <w:keepLines w:val="0"/>
        <w:pageBreakBefore w:val="0"/>
        <w:wordWrap w:val="0"/>
        <w:overflowPunct/>
        <w:topLinePunct w:val="0"/>
        <w:bidi w:val="0"/>
        <w:spacing w:before="35" w:line="326" w:lineRule="auto"/>
        <w:ind w:firstLine="48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我方保证上述信息的真实和准确，并愿意承担因我方就此弄虚作假所引起的一切法律后果。</w:t>
      </w:r>
    </w:p>
    <w:p w14:paraId="3FFEA1FE">
      <w:pPr>
        <w:pStyle w:val="6"/>
        <w:keepNext w:val="0"/>
        <w:keepLines w:val="0"/>
        <w:pageBreakBefore w:val="0"/>
        <w:wordWrap w:val="0"/>
        <w:overflowPunct/>
        <w:topLinePunct w:val="0"/>
        <w:bidi w:val="0"/>
        <w:spacing w:line="391" w:lineRule="auto"/>
        <w:rPr>
          <w:rFonts w:hint="eastAsia" w:ascii="宋体" w:hAnsi="宋体" w:eastAsia="宋体" w:cs="宋体"/>
          <w:color w:val="000000" w:themeColor="text1"/>
          <w:spacing w:val="0"/>
          <w:highlight w:val="none"/>
          <w14:textFill>
            <w14:solidFill>
              <w14:schemeClr w14:val="tx1"/>
            </w14:solidFill>
          </w14:textFill>
        </w:rPr>
      </w:pPr>
    </w:p>
    <w:p w14:paraId="2CFADE2D">
      <w:pPr>
        <w:keepNext w:val="0"/>
        <w:keepLines w:val="0"/>
        <w:pageBreakBefore w:val="0"/>
        <w:wordWrap w:val="0"/>
        <w:overflowPunct/>
        <w:topLinePunct w:val="0"/>
        <w:bidi w:val="0"/>
        <w:spacing w:before="78" w:line="220" w:lineRule="auto"/>
        <w:ind w:left="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特此承诺</w:t>
      </w:r>
    </w:p>
    <w:p w14:paraId="187690F7">
      <w:pPr>
        <w:pStyle w:val="6"/>
        <w:keepNext w:val="0"/>
        <w:keepLines w:val="0"/>
        <w:pageBreakBefore w:val="0"/>
        <w:wordWrap w:val="0"/>
        <w:overflowPunct/>
        <w:topLinePunct w:val="0"/>
        <w:bidi w:val="0"/>
        <w:spacing w:line="316" w:lineRule="auto"/>
        <w:rPr>
          <w:rFonts w:hint="eastAsia" w:ascii="宋体" w:hAnsi="宋体" w:eastAsia="宋体" w:cs="宋体"/>
          <w:color w:val="000000" w:themeColor="text1"/>
          <w:spacing w:val="0"/>
          <w:highlight w:val="none"/>
          <w14:textFill>
            <w14:solidFill>
              <w14:schemeClr w14:val="tx1"/>
            </w14:solidFill>
          </w14:textFill>
        </w:rPr>
      </w:pPr>
    </w:p>
    <w:p w14:paraId="5CA4FAA1">
      <w:pPr>
        <w:pStyle w:val="6"/>
        <w:keepNext w:val="0"/>
        <w:keepLines w:val="0"/>
        <w:pageBreakBefore w:val="0"/>
        <w:wordWrap w:val="0"/>
        <w:overflowPunct/>
        <w:topLinePunct w:val="0"/>
        <w:bidi w:val="0"/>
        <w:spacing w:line="317" w:lineRule="auto"/>
        <w:rPr>
          <w:rFonts w:hint="eastAsia" w:ascii="宋体" w:hAnsi="宋体" w:eastAsia="宋体" w:cs="宋体"/>
          <w:color w:val="000000" w:themeColor="text1"/>
          <w:spacing w:val="0"/>
          <w:highlight w:val="none"/>
          <w14:textFill>
            <w14:solidFill>
              <w14:schemeClr w14:val="tx1"/>
            </w14:solidFill>
          </w14:textFill>
        </w:rPr>
      </w:pPr>
    </w:p>
    <w:p w14:paraId="66166C76">
      <w:pPr>
        <w:pStyle w:val="6"/>
        <w:keepNext w:val="0"/>
        <w:keepLines w:val="0"/>
        <w:pageBreakBefore w:val="0"/>
        <w:wordWrap w:val="0"/>
        <w:overflowPunct/>
        <w:topLinePunct w:val="0"/>
        <w:bidi w:val="0"/>
        <w:spacing w:line="317" w:lineRule="auto"/>
        <w:rPr>
          <w:rFonts w:hint="eastAsia" w:ascii="宋体" w:hAnsi="宋体" w:eastAsia="宋体" w:cs="宋体"/>
          <w:color w:val="000000" w:themeColor="text1"/>
          <w:spacing w:val="0"/>
          <w:highlight w:val="none"/>
          <w14:textFill>
            <w14:solidFill>
              <w14:schemeClr w14:val="tx1"/>
            </w14:solidFill>
          </w14:textFill>
        </w:rPr>
      </w:pPr>
    </w:p>
    <w:p w14:paraId="07DB27C5">
      <w:pPr>
        <w:keepNext w:val="0"/>
        <w:keepLines w:val="0"/>
        <w:pageBreakBefore w:val="0"/>
        <w:wordWrap w:val="0"/>
        <w:overflowPunct/>
        <w:topLinePunct w:val="0"/>
        <w:bidi w:val="0"/>
        <w:spacing w:before="79" w:line="219"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1AF704E9">
      <w:pPr>
        <w:pStyle w:val="6"/>
        <w:keepNext w:val="0"/>
        <w:keepLines w:val="0"/>
        <w:pageBreakBefore w:val="0"/>
        <w:wordWrap w:val="0"/>
        <w:overflowPunct/>
        <w:topLinePunct w:val="0"/>
        <w:bidi w:val="0"/>
        <w:spacing w:line="317" w:lineRule="auto"/>
        <w:rPr>
          <w:rFonts w:hint="eastAsia" w:ascii="宋体" w:hAnsi="宋体" w:eastAsia="宋体" w:cs="宋体"/>
          <w:color w:val="000000" w:themeColor="text1"/>
          <w:spacing w:val="0"/>
          <w:highlight w:val="none"/>
          <w14:textFill>
            <w14:solidFill>
              <w14:schemeClr w14:val="tx1"/>
            </w14:solidFill>
          </w14:textFill>
        </w:rPr>
      </w:pPr>
    </w:p>
    <w:p w14:paraId="4421D560">
      <w:pPr>
        <w:pStyle w:val="6"/>
        <w:keepNext w:val="0"/>
        <w:keepLines w:val="0"/>
        <w:pageBreakBefore w:val="0"/>
        <w:wordWrap w:val="0"/>
        <w:overflowPunct/>
        <w:topLinePunct w:val="0"/>
        <w:bidi w:val="0"/>
        <w:spacing w:line="317" w:lineRule="auto"/>
        <w:rPr>
          <w:rFonts w:hint="eastAsia" w:ascii="宋体" w:hAnsi="宋体" w:eastAsia="宋体" w:cs="宋体"/>
          <w:color w:val="000000" w:themeColor="text1"/>
          <w:spacing w:val="0"/>
          <w:highlight w:val="none"/>
          <w14:textFill>
            <w14:solidFill>
              <w14:schemeClr w14:val="tx1"/>
            </w14:solidFill>
          </w14:textFill>
        </w:rPr>
      </w:pPr>
    </w:p>
    <w:p w14:paraId="7188D609">
      <w:pPr>
        <w:pStyle w:val="6"/>
        <w:keepNext w:val="0"/>
        <w:keepLines w:val="0"/>
        <w:pageBreakBefore w:val="0"/>
        <w:wordWrap w:val="0"/>
        <w:overflowPunct/>
        <w:topLinePunct w:val="0"/>
        <w:bidi w:val="0"/>
        <w:spacing w:line="317" w:lineRule="auto"/>
        <w:rPr>
          <w:rFonts w:hint="eastAsia" w:ascii="宋体" w:hAnsi="宋体" w:eastAsia="宋体" w:cs="宋体"/>
          <w:color w:val="000000" w:themeColor="text1"/>
          <w:spacing w:val="0"/>
          <w:highlight w:val="none"/>
          <w14:textFill>
            <w14:solidFill>
              <w14:schemeClr w14:val="tx1"/>
            </w14:solidFill>
          </w14:textFill>
        </w:rPr>
      </w:pPr>
    </w:p>
    <w:p w14:paraId="6A29B34B">
      <w:pPr>
        <w:keepNext w:val="0"/>
        <w:keepLines w:val="0"/>
        <w:pageBreakBefore w:val="0"/>
        <w:wordWrap w:val="0"/>
        <w:overflowPunct/>
        <w:topLinePunct w:val="0"/>
        <w:bidi w:val="0"/>
        <w:spacing w:before="78" w:line="219"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法定代表人或其委托代理人：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6AD94480">
      <w:pPr>
        <w:pStyle w:val="6"/>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234EACCA">
      <w:pPr>
        <w:pStyle w:val="6"/>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348EEA26">
      <w:pPr>
        <w:pStyle w:val="6"/>
        <w:keepNext w:val="0"/>
        <w:keepLines w:val="0"/>
        <w:pageBreakBefore w:val="0"/>
        <w:wordWrap w:val="0"/>
        <w:overflowPunct/>
        <w:topLinePunct w:val="0"/>
        <w:bidi w:val="0"/>
        <w:spacing w:line="254" w:lineRule="auto"/>
        <w:jc w:val="right"/>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2C2A7387">
      <w:pPr>
        <w:keepNext w:val="0"/>
        <w:keepLines w:val="0"/>
        <w:pageBreakBefore w:val="0"/>
        <w:wordWrap w:val="0"/>
        <w:overflowPunct/>
        <w:topLinePunct w:val="0"/>
        <w:bidi w:val="0"/>
        <w:spacing w:line="220" w:lineRule="auto"/>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22"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1E9C11AF">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58" w:name="_Toc10485"/>
      <w:r>
        <w:rPr>
          <w:rFonts w:hint="eastAsia" w:ascii="宋体" w:hAnsi="宋体" w:eastAsia="宋体" w:cs="宋体"/>
          <w:b/>
          <w:bCs/>
          <w:color w:val="000000" w:themeColor="text1"/>
          <w:spacing w:val="0"/>
          <w:sz w:val="24"/>
          <w:szCs w:val="24"/>
          <w:highlight w:val="none"/>
          <w14:textFill>
            <w14:solidFill>
              <w14:schemeClr w14:val="tx1"/>
            </w14:solidFill>
          </w14:textFill>
        </w:rPr>
        <w:t>格式十 项目技术负责人简历表</w:t>
      </w:r>
      <w:bookmarkEnd w:id="258"/>
    </w:p>
    <w:p w14:paraId="4A542C8B">
      <w:pPr>
        <w:pStyle w:val="6"/>
        <w:keepNext w:val="0"/>
        <w:keepLines w:val="0"/>
        <w:pageBreakBefore w:val="0"/>
        <w:wordWrap w:val="0"/>
        <w:overflowPunct/>
        <w:topLinePunct w:val="0"/>
        <w:bidi w:val="0"/>
        <w:spacing w:line="444" w:lineRule="auto"/>
        <w:rPr>
          <w:rFonts w:hint="eastAsia" w:ascii="宋体" w:hAnsi="宋体" w:eastAsia="宋体" w:cs="宋体"/>
          <w:color w:val="000000" w:themeColor="text1"/>
          <w:spacing w:val="0"/>
          <w:highlight w:val="none"/>
          <w14:textFill>
            <w14:solidFill>
              <w14:schemeClr w14:val="tx1"/>
            </w14:solidFill>
          </w14:textFill>
        </w:rPr>
      </w:pPr>
    </w:p>
    <w:p w14:paraId="19FD339A">
      <w:pPr>
        <w:keepNext w:val="0"/>
        <w:keepLines w:val="0"/>
        <w:pageBreakBefore w:val="0"/>
        <w:wordWrap w:val="0"/>
        <w:overflowPunct/>
        <w:topLinePunct w:val="0"/>
        <w:bidi w:val="0"/>
        <w:spacing w:before="97" w:line="219" w:lineRule="auto"/>
        <w:ind w:left="3087"/>
        <w:outlineLvl w:val="9"/>
        <w:rPr>
          <w:rFonts w:hint="eastAsia" w:ascii="宋体" w:hAnsi="宋体" w:eastAsia="宋体" w:cs="宋体"/>
          <w:color w:val="000000" w:themeColor="text1"/>
          <w:spacing w:val="0"/>
          <w:sz w:val="30"/>
          <w:szCs w:val="30"/>
          <w:highlight w:val="none"/>
          <w14:textFill>
            <w14:solidFill>
              <w14:schemeClr w14:val="tx1"/>
            </w14:solidFill>
          </w14:textFill>
        </w:rPr>
      </w:pPr>
      <w:bookmarkStart w:id="259" w:name="_Toc25712"/>
      <w:bookmarkStart w:id="260" w:name="_Toc1553"/>
      <w:r>
        <w:rPr>
          <w:rFonts w:hint="eastAsia" w:ascii="宋体" w:hAnsi="宋体" w:eastAsia="宋体" w:cs="宋体"/>
          <w:b/>
          <w:bCs/>
          <w:color w:val="000000" w:themeColor="text1"/>
          <w:spacing w:val="0"/>
          <w:sz w:val="30"/>
          <w:szCs w:val="30"/>
          <w:highlight w:val="none"/>
          <w14:textFill>
            <w14:solidFill>
              <w14:schemeClr w14:val="tx1"/>
            </w14:solidFill>
          </w14:textFill>
        </w:rPr>
        <w:t>项目技术负责人简历表</w:t>
      </w:r>
      <w:bookmarkEnd w:id="259"/>
      <w:bookmarkEnd w:id="260"/>
    </w:p>
    <w:p w14:paraId="76293364">
      <w:pPr>
        <w:keepNext w:val="0"/>
        <w:keepLines w:val="0"/>
        <w:pageBreakBefore w:val="0"/>
        <w:wordWrap w:val="0"/>
        <w:overflowPunct/>
        <w:topLinePunct w:val="0"/>
        <w:bidi w:val="0"/>
        <w:spacing w:line="240" w:lineRule="exact"/>
        <w:rPr>
          <w:rFonts w:hint="eastAsia" w:ascii="宋体" w:hAnsi="宋体" w:eastAsia="宋体" w:cs="宋体"/>
          <w:color w:val="000000" w:themeColor="text1"/>
          <w:spacing w:val="0"/>
          <w:highlight w:val="none"/>
          <w14:textFill>
            <w14:solidFill>
              <w14:schemeClr w14:val="tx1"/>
            </w14:solidFill>
          </w14:textFill>
        </w:rPr>
      </w:pPr>
    </w:p>
    <w:tbl>
      <w:tblPr>
        <w:tblStyle w:val="15"/>
        <w:tblW w:w="96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1003"/>
        <w:gridCol w:w="607"/>
        <w:gridCol w:w="675"/>
        <w:gridCol w:w="1346"/>
        <w:gridCol w:w="2047"/>
        <w:gridCol w:w="1783"/>
        <w:gridCol w:w="1386"/>
      </w:tblGrid>
      <w:tr w14:paraId="2EEC3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1813" w:type="dxa"/>
            <w:gridSpan w:val="2"/>
            <w:vAlign w:val="center"/>
          </w:tcPr>
          <w:p w14:paraId="202B1A61">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姓   名</w:t>
            </w:r>
          </w:p>
        </w:tc>
        <w:tc>
          <w:tcPr>
            <w:tcW w:w="1282" w:type="dxa"/>
            <w:gridSpan w:val="2"/>
            <w:vAlign w:val="center"/>
          </w:tcPr>
          <w:p w14:paraId="35180F15">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default" w:ascii="宋体" w:hAnsi="宋体" w:eastAsia="宋体" w:cs="宋体"/>
                <w:color w:val="000000" w:themeColor="text1"/>
                <w:spacing w:val="0"/>
                <w:sz w:val="24"/>
                <w:szCs w:val="24"/>
                <w:highlight w:val="none"/>
                <w:lang w:val="en-US" w:eastAsia="zh-CN"/>
                <w14:textFill>
                  <w14:solidFill>
                    <w14:schemeClr w14:val="tx1"/>
                  </w14:solidFill>
                </w14:textFill>
              </w:rPr>
            </w:pPr>
          </w:p>
        </w:tc>
        <w:tc>
          <w:tcPr>
            <w:tcW w:w="1346" w:type="dxa"/>
            <w:vAlign w:val="center"/>
          </w:tcPr>
          <w:p w14:paraId="411B9C93">
            <w:pPr>
              <w:keepNext w:val="0"/>
              <w:keepLines w:val="0"/>
              <w:pageBreakBefore w:val="0"/>
              <w:widowControl/>
              <w:kinsoku w:val="0"/>
              <w:wordWrap w:val="0"/>
              <w:overflowPunct/>
              <w:topLinePunct w:val="0"/>
              <w:autoSpaceDE w:val="0"/>
              <w:autoSpaceDN w:val="0"/>
              <w:bidi w:val="0"/>
              <w:adjustRightInd w:val="0"/>
              <w:snapToGrid w:val="0"/>
              <w:spacing w:before="177"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性  别</w:t>
            </w:r>
          </w:p>
        </w:tc>
        <w:tc>
          <w:tcPr>
            <w:tcW w:w="2047" w:type="dxa"/>
            <w:vAlign w:val="center"/>
          </w:tcPr>
          <w:p w14:paraId="2F452FFD">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2A711865">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年   龄</w:t>
            </w:r>
          </w:p>
        </w:tc>
        <w:tc>
          <w:tcPr>
            <w:tcW w:w="1386" w:type="dxa"/>
            <w:vAlign w:val="center"/>
          </w:tcPr>
          <w:p w14:paraId="5240B450">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6C2B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1813" w:type="dxa"/>
            <w:gridSpan w:val="2"/>
            <w:vAlign w:val="center"/>
          </w:tcPr>
          <w:p w14:paraId="29B76BC5">
            <w:pPr>
              <w:keepNext w:val="0"/>
              <w:keepLines w:val="0"/>
              <w:pageBreakBefore w:val="0"/>
              <w:widowControl/>
              <w:kinsoku w:val="0"/>
              <w:wordWrap w:val="0"/>
              <w:overflowPunct/>
              <w:topLinePunct w:val="0"/>
              <w:autoSpaceDE w:val="0"/>
              <w:autoSpaceDN w:val="0"/>
              <w:bidi w:val="0"/>
              <w:adjustRightInd w:val="0"/>
              <w:snapToGrid w:val="0"/>
              <w:spacing w:before="175"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职   务</w:t>
            </w:r>
          </w:p>
        </w:tc>
        <w:tc>
          <w:tcPr>
            <w:tcW w:w="1282" w:type="dxa"/>
            <w:gridSpan w:val="2"/>
            <w:vAlign w:val="center"/>
          </w:tcPr>
          <w:p w14:paraId="307065D1">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46" w:type="dxa"/>
            <w:vAlign w:val="center"/>
          </w:tcPr>
          <w:p w14:paraId="2E6461F1">
            <w:pPr>
              <w:keepNext w:val="0"/>
              <w:keepLines w:val="0"/>
              <w:pageBreakBefore w:val="0"/>
              <w:widowControl/>
              <w:kinsoku w:val="0"/>
              <w:wordWrap w:val="0"/>
              <w:overflowPunct/>
              <w:topLinePunct w:val="0"/>
              <w:autoSpaceDE w:val="0"/>
              <w:autoSpaceDN w:val="0"/>
              <w:bidi w:val="0"/>
              <w:adjustRightInd w:val="0"/>
              <w:snapToGrid w:val="0"/>
              <w:spacing w:before="174" w:line="231"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职  称</w:t>
            </w:r>
          </w:p>
        </w:tc>
        <w:tc>
          <w:tcPr>
            <w:tcW w:w="2047" w:type="dxa"/>
            <w:vAlign w:val="center"/>
          </w:tcPr>
          <w:p w14:paraId="59539D93">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1F83FFA8">
            <w:pPr>
              <w:keepNext w:val="0"/>
              <w:keepLines w:val="0"/>
              <w:pageBreakBefore w:val="0"/>
              <w:widowControl/>
              <w:kinsoku w:val="0"/>
              <w:wordWrap w:val="0"/>
              <w:overflowPunct/>
              <w:topLinePunct w:val="0"/>
              <w:autoSpaceDE w:val="0"/>
              <w:autoSpaceDN w:val="0"/>
              <w:bidi w:val="0"/>
              <w:adjustRightInd w:val="0"/>
              <w:snapToGrid w:val="0"/>
              <w:spacing w:before="175" w:line="230"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学   历</w:t>
            </w:r>
          </w:p>
        </w:tc>
        <w:tc>
          <w:tcPr>
            <w:tcW w:w="1386" w:type="dxa"/>
            <w:vAlign w:val="center"/>
          </w:tcPr>
          <w:p w14:paraId="46640CDA">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C17D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1813" w:type="dxa"/>
            <w:gridSpan w:val="2"/>
            <w:vAlign w:val="center"/>
          </w:tcPr>
          <w:p w14:paraId="2A561424">
            <w:pPr>
              <w:keepNext w:val="0"/>
              <w:keepLines w:val="0"/>
              <w:pageBreakBefore w:val="0"/>
              <w:widowControl/>
              <w:kinsoku w:val="0"/>
              <w:wordWrap w:val="0"/>
              <w:overflowPunct/>
              <w:topLinePunct w:val="0"/>
              <w:autoSpaceDE w:val="0"/>
              <w:autoSpaceDN w:val="0"/>
              <w:bidi w:val="0"/>
              <w:adjustRightInd w:val="0"/>
              <w:snapToGrid w:val="0"/>
              <w:spacing w:before="175"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参加工作时间</w:t>
            </w:r>
          </w:p>
        </w:tc>
        <w:tc>
          <w:tcPr>
            <w:tcW w:w="2628" w:type="dxa"/>
            <w:gridSpan w:val="3"/>
            <w:vAlign w:val="center"/>
          </w:tcPr>
          <w:p w14:paraId="14B00331">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3830" w:type="dxa"/>
            <w:gridSpan w:val="2"/>
            <w:vAlign w:val="center"/>
          </w:tcPr>
          <w:p w14:paraId="0B864845">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从事工程建设项目管理工作年限</w:t>
            </w:r>
          </w:p>
        </w:tc>
        <w:tc>
          <w:tcPr>
            <w:tcW w:w="1386" w:type="dxa"/>
            <w:vAlign w:val="center"/>
          </w:tcPr>
          <w:p w14:paraId="18B2FE92">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C727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9657" w:type="dxa"/>
            <w:gridSpan w:val="8"/>
            <w:vAlign w:val="center"/>
          </w:tcPr>
          <w:p w14:paraId="0F93C385">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以项目技术负责人身份参与过的主要业绩（已完工项目）</w:t>
            </w:r>
          </w:p>
        </w:tc>
      </w:tr>
      <w:tr w14:paraId="259C5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810" w:type="dxa"/>
            <w:vAlign w:val="center"/>
          </w:tcPr>
          <w:p w14:paraId="23B1418B">
            <w:pPr>
              <w:keepNext w:val="0"/>
              <w:keepLines w:val="0"/>
              <w:pageBreakBefore w:val="0"/>
              <w:widowControl/>
              <w:kinsoku w:val="0"/>
              <w:wordWrap w:val="0"/>
              <w:overflowPunct/>
              <w:topLinePunct w:val="0"/>
              <w:autoSpaceDE w:val="0"/>
              <w:autoSpaceDN w:val="0"/>
              <w:bidi w:val="0"/>
              <w:adjustRightInd w:val="0"/>
              <w:snapToGrid w:val="0"/>
              <w:spacing w:before="176" w:line="230"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序号</w:t>
            </w:r>
          </w:p>
        </w:tc>
        <w:tc>
          <w:tcPr>
            <w:tcW w:w="1610" w:type="dxa"/>
            <w:gridSpan w:val="2"/>
            <w:vAlign w:val="center"/>
          </w:tcPr>
          <w:p w14:paraId="7FF7FF79">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项目名称</w:t>
            </w:r>
          </w:p>
        </w:tc>
        <w:tc>
          <w:tcPr>
            <w:tcW w:w="2021" w:type="dxa"/>
            <w:gridSpan w:val="2"/>
            <w:vAlign w:val="center"/>
          </w:tcPr>
          <w:p w14:paraId="7075F8FD">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建设单位</w:t>
            </w:r>
          </w:p>
        </w:tc>
        <w:tc>
          <w:tcPr>
            <w:tcW w:w="2047" w:type="dxa"/>
            <w:vAlign w:val="center"/>
          </w:tcPr>
          <w:p w14:paraId="00179D26">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建设内容和规模</w:t>
            </w:r>
          </w:p>
        </w:tc>
        <w:tc>
          <w:tcPr>
            <w:tcW w:w="1783" w:type="dxa"/>
            <w:vAlign w:val="center"/>
          </w:tcPr>
          <w:p w14:paraId="236A707E">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开、竣工日期</w:t>
            </w:r>
          </w:p>
        </w:tc>
        <w:tc>
          <w:tcPr>
            <w:tcW w:w="1386" w:type="dxa"/>
            <w:vAlign w:val="center"/>
          </w:tcPr>
          <w:p w14:paraId="2BE768CF">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质量等级</w:t>
            </w:r>
          </w:p>
        </w:tc>
      </w:tr>
      <w:tr w14:paraId="042386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0F63873B">
            <w:pPr>
              <w:keepNext w:val="0"/>
              <w:keepLines w:val="0"/>
              <w:pageBreakBefore w:val="0"/>
              <w:widowControl/>
              <w:kinsoku w:val="0"/>
              <w:wordWrap w:val="0"/>
              <w:overflowPunct/>
              <w:topLinePunct w:val="0"/>
              <w:autoSpaceDE w:val="0"/>
              <w:autoSpaceDN w:val="0"/>
              <w:bidi w:val="0"/>
              <w:adjustRightInd w:val="0"/>
              <w:snapToGrid w:val="0"/>
              <w:spacing w:before="214"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p>
        </w:tc>
        <w:tc>
          <w:tcPr>
            <w:tcW w:w="1610" w:type="dxa"/>
            <w:gridSpan w:val="2"/>
            <w:vAlign w:val="center"/>
          </w:tcPr>
          <w:p w14:paraId="578F80B6">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21" w:type="dxa"/>
            <w:gridSpan w:val="2"/>
            <w:vAlign w:val="center"/>
          </w:tcPr>
          <w:p w14:paraId="6F99EC2B">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47" w:type="dxa"/>
            <w:vAlign w:val="center"/>
          </w:tcPr>
          <w:p w14:paraId="4631B1E5">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2230ED03">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86" w:type="dxa"/>
            <w:vAlign w:val="center"/>
          </w:tcPr>
          <w:p w14:paraId="01694071">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653F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810" w:type="dxa"/>
            <w:vAlign w:val="center"/>
          </w:tcPr>
          <w:p w14:paraId="7F39EB96">
            <w:pPr>
              <w:keepNext w:val="0"/>
              <w:keepLines w:val="0"/>
              <w:pageBreakBefore w:val="0"/>
              <w:widowControl/>
              <w:kinsoku w:val="0"/>
              <w:wordWrap w:val="0"/>
              <w:overflowPunct/>
              <w:topLinePunct w:val="0"/>
              <w:autoSpaceDE w:val="0"/>
              <w:autoSpaceDN w:val="0"/>
              <w:bidi w:val="0"/>
              <w:adjustRightInd w:val="0"/>
              <w:snapToGrid w:val="0"/>
              <w:spacing w:before="213"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w:t>
            </w:r>
          </w:p>
        </w:tc>
        <w:tc>
          <w:tcPr>
            <w:tcW w:w="1610" w:type="dxa"/>
            <w:gridSpan w:val="2"/>
            <w:vAlign w:val="center"/>
          </w:tcPr>
          <w:p w14:paraId="2429E204">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21" w:type="dxa"/>
            <w:gridSpan w:val="2"/>
            <w:vAlign w:val="center"/>
          </w:tcPr>
          <w:p w14:paraId="21F39687">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47" w:type="dxa"/>
            <w:vAlign w:val="center"/>
          </w:tcPr>
          <w:p w14:paraId="187647C5">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12E10BAB">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86" w:type="dxa"/>
            <w:vAlign w:val="center"/>
          </w:tcPr>
          <w:p w14:paraId="2CCF984C">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E2BD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4C3BEFDC">
            <w:pPr>
              <w:keepNext w:val="0"/>
              <w:keepLines w:val="0"/>
              <w:pageBreakBefore w:val="0"/>
              <w:widowControl/>
              <w:kinsoku w:val="0"/>
              <w:wordWrap w:val="0"/>
              <w:overflowPunct/>
              <w:topLinePunct w:val="0"/>
              <w:autoSpaceDE w:val="0"/>
              <w:autoSpaceDN w:val="0"/>
              <w:bidi w:val="0"/>
              <w:adjustRightInd w:val="0"/>
              <w:snapToGrid w:val="0"/>
              <w:spacing w:before="178" w:line="324" w:lineRule="exact"/>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3"/>
                <w:sz w:val="24"/>
                <w:szCs w:val="24"/>
                <w:highlight w:val="none"/>
                <w14:textFill>
                  <w14:solidFill>
                    <w14:schemeClr w14:val="tx1"/>
                  </w14:solidFill>
                </w14:textFill>
              </w:rPr>
              <w:t>……</w:t>
            </w:r>
          </w:p>
        </w:tc>
        <w:tc>
          <w:tcPr>
            <w:tcW w:w="1610" w:type="dxa"/>
            <w:gridSpan w:val="2"/>
            <w:vAlign w:val="center"/>
          </w:tcPr>
          <w:p w14:paraId="4CA19BCB">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21" w:type="dxa"/>
            <w:gridSpan w:val="2"/>
            <w:vAlign w:val="center"/>
          </w:tcPr>
          <w:p w14:paraId="3B5F7A6D">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47" w:type="dxa"/>
            <w:vAlign w:val="center"/>
          </w:tcPr>
          <w:p w14:paraId="2C82DE69">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1E92035E">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86" w:type="dxa"/>
            <w:vAlign w:val="center"/>
          </w:tcPr>
          <w:p w14:paraId="0264D791">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F7971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468DEEC3">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10" w:type="dxa"/>
            <w:gridSpan w:val="2"/>
            <w:vAlign w:val="center"/>
          </w:tcPr>
          <w:p w14:paraId="4D6AC80A">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21" w:type="dxa"/>
            <w:gridSpan w:val="2"/>
            <w:vAlign w:val="center"/>
          </w:tcPr>
          <w:p w14:paraId="477B4007">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47" w:type="dxa"/>
            <w:vAlign w:val="center"/>
          </w:tcPr>
          <w:p w14:paraId="1E64ACA0">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10A6E2C9">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86" w:type="dxa"/>
            <w:vAlign w:val="center"/>
          </w:tcPr>
          <w:p w14:paraId="262B31DB">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483FA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jc w:val="center"/>
        </w:trPr>
        <w:tc>
          <w:tcPr>
            <w:tcW w:w="810" w:type="dxa"/>
            <w:vAlign w:val="center"/>
          </w:tcPr>
          <w:p w14:paraId="46E95890">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10" w:type="dxa"/>
            <w:gridSpan w:val="2"/>
            <w:vAlign w:val="center"/>
          </w:tcPr>
          <w:p w14:paraId="6C7700FC">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21" w:type="dxa"/>
            <w:gridSpan w:val="2"/>
            <w:vAlign w:val="center"/>
          </w:tcPr>
          <w:p w14:paraId="7FB1A631">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47" w:type="dxa"/>
            <w:vAlign w:val="center"/>
          </w:tcPr>
          <w:p w14:paraId="748C3361">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47051D94">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86" w:type="dxa"/>
            <w:vAlign w:val="center"/>
          </w:tcPr>
          <w:p w14:paraId="5DDD3800">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bl>
    <w:p w14:paraId="65A12D51">
      <w:pPr>
        <w:pStyle w:val="6"/>
        <w:keepNext w:val="0"/>
        <w:keepLines w:val="0"/>
        <w:pageBreakBefore w:val="0"/>
        <w:wordWrap w:val="0"/>
        <w:overflowPunct/>
        <w:topLinePunct w:val="0"/>
        <w:bidi w:val="0"/>
        <w:spacing w:line="31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6CDD6A3">
      <w:pPr>
        <w:pStyle w:val="6"/>
        <w:keepNext w:val="0"/>
        <w:keepLines w:val="0"/>
        <w:pageBreakBefore w:val="0"/>
        <w:wordWrap w:val="0"/>
        <w:overflowPunct/>
        <w:topLinePunct w:val="0"/>
        <w:bidi w:val="0"/>
        <w:spacing w:line="31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3DA4F53">
      <w:pPr>
        <w:keepNext w:val="0"/>
        <w:keepLines w:val="0"/>
        <w:pageBreakBefore w:val="0"/>
        <w:wordWrap w:val="0"/>
        <w:overflowPunct/>
        <w:topLinePunct w:val="0"/>
        <w:bidi w:val="0"/>
        <w:spacing w:before="78" w:line="220" w:lineRule="auto"/>
        <w:ind w:left="5165"/>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项目技术负责人：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w:t>
      </w:r>
    </w:p>
    <w:p w14:paraId="765047AA">
      <w:pPr>
        <w:pStyle w:val="6"/>
        <w:keepNext w:val="0"/>
        <w:keepLines w:val="0"/>
        <w:pageBreakBefore w:val="0"/>
        <w:wordWrap w:val="0"/>
        <w:overflowPunct/>
        <w:topLinePunct w:val="0"/>
        <w:bidi w:val="0"/>
        <w:spacing w:line="256"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p>
    <w:p w14:paraId="48E9D4AF">
      <w:pPr>
        <w:pStyle w:val="6"/>
        <w:keepNext w:val="0"/>
        <w:keepLines w:val="0"/>
        <w:pageBreakBefore w:val="0"/>
        <w:wordWrap w:val="0"/>
        <w:overflowPunct/>
        <w:topLinePunct w:val="0"/>
        <w:bidi w:val="0"/>
        <w:spacing w:line="257"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p>
    <w:p w14:paraId="7AFA30EA">
      <w:pPr>
        <w:pStyle w:val="6"/>
        <w:keepNext w:val="0"/>
        <w:keepLines w:val="0"/>
        <w:pageBreakBefore w:val="0"/>
        <w:wordWrap w:val="0"/>
        <w:overflowPunct/>
        <w:topLinePunct w:val="0"/>
        <w:bidi w:val="0"/>
        <w:spacing w:line="254" w:lineRule="auto"/>
        <w:jc w:val="right"/>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6EF6B21B">
      <w:pPr>
        <w:keepNext w:val="0"/>
        <w:keepLines w:val="0"/>
        <w:pageBreakBefore w:val="0"/>
        <w:widowControl/>
        <w:kinsoku w:val="0"/>
        <w:wordWrap w:val="0"/>
        <w:overflowPunct/>
        <w:topLinePunct w:val="0"/>
        <w:autoSpaceDE w:val="0"/>
        <w:autoSpaceDN w:val="0"/>
        <w:bidi w:val="0"/>
        <w:adjustRightInd/>
        <w:snapToGrid/>
        <w:spacing w:before="65"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说明：《项目技术负责人简历表》后应附拟派项目技术负责人以下资料：</w:t>
      </w:r>
    </w:p>
    <w:p w14:paraId="5ED95DA0">
      <w:pPr>
        <w:keepNext w:val="0"/>
        <w:keepLines w:val="0"/>
        <w:pageBreakBefore w:val="0"/>
        <w:widowControl/>
        <w:kinsoku w:val="0"/>
        <w:wordWrap w:val="0"/>
        <w:overflowPunct/>
        <w:topLinePunct w:val="0"/>
        <w:autoSpaceDE w:val="0"/>
        <w:autoSpaceDN w:val="0"/>
        <w:bidi w:val="0"/>
        <w:adjustRightInd/>
        <w:snapToGrid/>
        <w:spacing w:before="155"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 ．身份证彩色扫描件；</w:t>
      </w:r>
    </w:p>
    <w:p w14:paraId="1DB79E91">
      <w:pPr>
        <w:keepNext w:val="0"/>
        <w:keepLines w:val="0"/>
        <w:pageBreakBefore w:val="0"/>
        <w:widowControl/>
        <w:kinsoku w:val="0"/>
        <w:wordWrap w:val="0"/>
        <w:overflowPunct/>
        <w:topLinePunct w:val="0"/>
        <w:autoSpaceDE w:val="0"/>
        <w:autoSpaceDN w:val="0"/>
        <w:bidi w:val="0"/>
        <w:adjustRightInd/>
        <w:snapToGrid/>
        <w:spacing w:before="151"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．职称证彩色扫描件</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或打印件</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21264357">
      <w:pPr>
        <w:keepNext w:val="0"/>
        <w:keepLines w:val="0"/>
        <w:pageBreakBefore w:val="0"/>
        <w:widowControl/>
        <w:kinsoku w:val="0"/>
        <w:wordWrap w:val="0"/>
        <w:overflowPunct/>
        <w:topLinePunct w:val="0"/>
        <w:autoSpaceDE w:val="0"/>
        <w:autoSpaceDN w:val="0"/>
        <w:bidi w:val="0"/>
        <w:adjustRightInd/>
        <w:snapToGrid/>
        <w:spacing w:before="153"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 ．在本单位缴纳社保的证明（</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至少</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个月</w:t>
      </w:r>
      <w:r>
        <w:rPr>
          <w:rFonts w:hint="eastAsia" w:ascii="宋体" w:hAnsi="宋体" w:eastAsia="宋体" w:cs="宋体"/>
          <w:color w:val="000000" w:themeColor="text1"/>
          <w:spacing w:val="0"/>
          <w:sz w:val="24"/>
          <w:szCs w:val="24"/>
          <w:highlight w:val="none"/>
          <w14:textFill>
            <w14:solidFill>
              <w14:schemeClr w14:val="tx1"/>
            </w14:solidFill>
          </w14:textFill>
        </w:rPr>
        <w:t>，其中必须有</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202</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pacing w:val="0"/>
          <w:sz w:val="24"/>
          <w:szCs w:val="24"/>
          <w:highlight w:val="none"/>
          <w14:textFill>
            <w14:solidFill>
              <w14:schemeClr w14:val="tx1"/>
            </w14:solidFill>
          </w14:textFill>
        </w:rPr>
        <w:t>年</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pacing w:val="0"/>
          <w:sz w:val="24"/>
          <w:szCs w:val="24"/>
          <w:highlight w:val="none"/>
          <w14:textFill>
            <w14:solidFill>
              <w14:schemeClr w14:val="tx1"/>
            </w14:solidFill>
          </w14:textFill>
        </w:rPr>
        <w:t>月）扫描件</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或打印件</w:t>
      </w:r>
      <w:r>
        <w:rPr>
          <w:rFonts w:hint="eastAsia" w:ascii="宋体" w:hAnsi="宋体" w:eastAsia="宋体" w:cs="宋体"/>
          <w:color w:val="000000" w:themeColor="text1"/>
          <w:spacing w:val="0"/>
          <w:sz w:val="24"/>
          <w:szCs w:val="24"/>
          <w:highlight w:val="none"/>
          <w14:textFill>
            <w14:solidFill>
              <w14:schemeClr w14:val="tx1"/>
            </w14:solidFill>
          </w14:textFill>
        </w:rPr>
        <w:t>。 拟派项目技术负责人为退休返聘人员无法提供社保证明的，提供退休证和劳动合同彩色扫描件。</w:t>
      </w:r>
    </w:p>
    <w:p w14:paraId="6422CCA0">
      <w:pPr>
        <w:keepNext w:val="0"/>
        <w:keepLines w:val="0"/>
        <w:pageBreakBefore w:val="0"/>
        <w:widowControl/>
        <w:kinsoku w:val="0"/>
        <w:wordWrap w:val="0"/>
        <w:overflowPunct/>
        <w:topLinePunct w:val="0"/>
        <w:autoSpaceDE w:val="0"/>
        <w:autoSpaceDN w:val="0"/>
        <w:bidi w:val="0"/>
        <w:adjustRightInd/>
        <w:snapToGrid/>
        <w:spacing w:before="153"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 ．“进粤企业和人员诚信信息登记平台 ”个人信息情况截图。（适用于省外建筑企业）</w:t>
      </w:r>
    </w:p>
    <w:p w14:paraId="2833B1E2">
      <w:pPr>
        <w:keepNext w:val="0"/>
        <w:keepLines w:val="0"/>
        <w:pageBreakBefore w:val="0"/>
        <w:wordWrap w:val="0"/>
        <w:overflowPunct/>
        <w:topLinePunct w:val="0"/>
        <w:bidi w:val="0"/>
        <w:spacing w:line="228" w:lineRule="auto"/>
        <w:rPr>
          <w:rFonts w:hint="eastAsia" w:ascii="宋体" w:hAnsi="宋体" w:eastAsia="宋体" w:cs="宋体"/>
          <w:color w:val="000000" w:themeColor="text1"/>
          <w:spacing w:val="0"/>
          <w:sz w:val="20"/>
          <w:szCs w:val="20"/>
          <w:highlight w:val="none"/>
          <w14:textFill>
            <w14:solidFill>
              <w14:schemeClr w14:val="tx1"/>
            </w14:solidFill>
          </w14:textFill>
        </w:rPr>
        <w:sectPr>
          <w:footerReference r:id="rId23"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40C4B517">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61" w:name="_Toc6725"/>
      <w:r>
        <w:rPr>
          <w:rFonts w:hint="eastAsia" w:ascii="宋体" w:hAnsi="宋体" w:eastAsia="宋体" w:cs="宋体"/>
          <w:b/>
          <w:bCs/>
          <w:color w:val="000000" w:themeColor="text1"/>
          <w:spacing w:val="0"/>
          <w:sz w:val="24"/>
          <w:szCs w:val="24"/>
          <w:highlight w:val="none"/>
          <w14:textFill>
            <w14:solidFill>
              <w14:schemeClr w14:val="tx1"/>
            </w14:solidFill>
          </w14:textFill>
        </w:rPr>
        <w:t>格式十一 项目管理机构组成表</w:t>
      </w:r>
      <w:bookmarkEnd w:id="261"/>
    </w:p>
    <w:p w14:paraId="3B084A82">
      <w:pPr>
        <w:pStyle w:val="6"/>
        <w:keepNext w:val="0"/>
        <w:keepLines w:val="0"/>
        <w:pageBreakBefore w:val="0"/>
        <w:wordWrap w:val="0"/>
        <w:overflowPunct/>
        <w:topLinePunct w:val="0"/>
        <w:bidi w:val="0"/>
        <w:spacing w:line="351" w:lineRule="auto"/>
        <w:rPr>
          <w:rFonts w:hint="eastAsia" w:ascii="宋体" w:hAnsi="宋体" w:eastAsia="宋体" w:cs="宋体"/>
          <w:color w:val="000000" w:themeColor="text1"/>
          <w:spacing w:val="0"/>
          <w:highlight w:val="none"/>
          <w14:textFill>
            <w14:solidFill>
              <w14:schemeClr w14:val="tx1"/>
            </w14:solidFill>
          </w14:textFill>
        </w:rPr>
      </w:pPr>
    </w:p>
    <w:p w14:paraId="25B0F7B1">
      <w:pPr>
        <w:pStyle w:val="6"/>
        <w:keepNext w:val="0"/>
        <w:keepLines w:val="0"/>
        <w:pageBreakBefore w:val="0"/>
        <w:wordWrap w:val="0"/>
        <w:overflowPunct/>
        <w:topLinePunct w:val="0"/>
        <w:bidi w:val="0"/>
        <w:spacing w:line="351" w:lineRule="auto"/>
        <w:rPr>
          <w:rFonts w:hint="eastAsia" w:ascii="宋体" w:hAnsi="宋体" w:eastAsia="宋体" w:cs="宋体"/>
          <w:color w:val="000000" w:themeColor="text1"/>
          <w:spacing w:val="0"/>
          <w:highlight w:val="none"/>
          <w14:textFill>
            <w14:solidFill>
              <w14:schemeClr w14:val="tx1"/>
            </w14:solidFill>
          </w14:textFill>
        </w:rPr>
      </w:pPr>
    </w:p>
    <w:p w14:paraId="4DF3D9BA">
      <w:pPr>
        <w:keepNext w:val="0"/>
        <w:keepLines w:val="0"/>
        <w:pageBreakBefore w:val="0"/>
        <w:wordWrap w:val="0"/>
        <w:overflowPunct/>
        <w:topLinePunct w:val="0"/>
        <w:bidi w:val="0"/>
        <w:spacing w:before="97" w:line="219" w:lineRule="auto"/>
        <w:ind w:left="3200"/>
        <w:outlineLvl w:val="9"/>
        <w:rPr>
          <w:rFonts w:hint="eastAsia" w:ascii="宋体" w:hAnsi="宋体" w:eastAsia="宋体" w:cs="宋体"/>
          <w:color w:val="000000" w:themeColor="text1"/>
          <w:spacing w:val="0"/>
          <w:sz w:val="30"/>
          <w:szCs w:val="30"/>
          <w:highlight w:val="none"/>
          <w14:textFill>
            <w14:solidFill>
              <w14:schemeClr w14:val="tx1"/>
            </w14:solidFill>
          </w14:textFill>
        </w:rPr>
      </w:pPr>
      <w:bookmarkStart w:id="262" w:name="bookmark158"/>
      <w:bookmarkEnd w:id="262"/>
      <w:bookmarkStart w:id="263" w:name="_Toc19973"/>
      <w:bookmarkStart w:id="264" w:name="_Toc28765"/>
      <w:r>
        <w:rPr>
          <w:rFonts w:hint="eastAsia" w:ascii="宋体" w:hAnsi="宋体" w:eastAsia="宋体" w:cs="宋体"/>
          <w:b/>
          <w:bCs/>
          <w:color w:val="000000" w:themeColor="text1"/>
          <w:spacing w:val="0"/>
          <w:sz w:val="30"/>
          <w:szCs w:val="30"/>
          <w:highlight w:val="none"/>
          <w14:textFill>
            <w14:solidFill>
              <w14:schemeClr w14:val="tx1"/>
            </w14:solidFill>
          </w14:textFill>
        </w:rPr>
        <w:t>项目管理机构组成表</w:t>
      </w:r>
      <w:bookmarkEnd w:id="263"/>
      <w:bookmarkEnd w:id="264"/>
    </w:p>
    <w:p w14:paraId="14B78991">
      <w:pPr>
        <w:keepNext w:val="0"/>
        <w:keepLines w:val="0"/>
        <w:pageBreakBefore w:val="0"/>
        <w:wordWrap w:val="0"/>
        <w:overflowPunct/>
        <w:topLinePunct w:val="0"/>
        <w:bidi w:val="0"/>
        <w:spacing w:before="7"/>
        <w:rPr>
          <w:rFonts w:hint="eastAsia" w:ascii="宋体" w:hAnsi="宋体" w:eastAsia="宋体" w:cs="宋体"/>
          <w:color w:val="000000" w:themeColor="text1"/>
          <w:spacing w:val="0"/>
          <w:highlight w:val="none"/>
          <w14:textFill>
            <w14:solidFill>
              <w14:schemeClr w14:val="tx1"/>
            </w14:solidFill>
          </w14:textFill>
        </w:rPr>
      </w:pPr>
    </w:p>
    <w:tbl>
      <w:tblPr>
        <w:tblStyle w:val="15"/>
        <w:tblW w:w="963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939"/>
        <w:gridCol w:w="1567"/>
        <w:gridCol w:w="1017"/>
        <w:gridCol w:w="1002"/>
        <w:gridCol w:w="1551"/>
        <w:gridCol w:w="1926"/>
      </w:tblGrid>
      <w:tr w14:paraId="503260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jc w:val="center"/>
        </w:trPr>
        <w:tc>
          <w:tcPr>
            <w:tcW w:w="634" w:type="dxa"/>
            <w:vAlign w:val="center"/>
          </w:tcPr>
          <w:p w14:paraId="60869D9E">
            <w:pPr>
              <w:keepNext w:val="0"/>
              <w:keepLines w:val="0"/>
              <w:pageBreakBefore w:val="0"/>
              <w:widowControl/>
              <w:kinsoku w:val="0"/>
              <w:wordWrap w:val="0"/>
              <w:overflowPunct/>
              <w:topLinePunct w:val="0"/>
              <w:autoSpaceDE w:val="0"/>
              <w:autoSpaceDN w:val="0"/>
              <w:bidi w:val="0"/>
              <w:adjustRightInd w:val="0"/>
              <w:snapToGrid w:val="0"/>
              <w:spacing w:before="229" w:line="231"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序号</w:t>
            </w:r>
          </w:p>
        </w:tc>
        <w:tc>
          <w:tcPr>
            <w:tcW w:w="1939" w:type="dxa"/>
            <w:vAlign w:val="center"/>
          </w:tcPr>
          <w:p w14:paraId="7439BD66">
            <w:pPr>
              <w:keepNext w:val="0"/>
              <w:keepLines w:val="0"/>
              <w:pageBreakBefore w:val="0"/>
              <w:widowControl/>
              <w:kinsoku w:val="0"/>
              <w:wordWrap w:val="0"/>
              <w:overflowPunct/>
              <w:topLinePunct w:val="0"/>
              <w:autoSpaceDE w:val="0"/>
              <w:autoSpaceDN w:val="0"/>
              <w:bidi w:val="0"/>
              <w:adjustRightInd w:val="0"/>
              <w:snapToGrid w:val="0"/>
              <w:spacing w:before="228" w:line="231"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岗位</w:t>
            </w:r>
          </w:p>
        </w:tc>
        <w:tc>
          <w:tcPr>
            <w:tcW w:w="1567" w:type="dxa"/>
            <w:vAlign w:val="center"/>
          </w:tcPr>
          <w:p w14:paraId="7EBB74F3">
            <w:pPr>
              <w:keepNext w:val="0"/>
              <w:keepLines w:val="0"/>
              <w:pageBreakBefore w:val="0"/>
              <w:widowControl/>
              <w:kinsoku w:val="0"/>
              <w:wordWrap w:val="0"/>
              <w:overflowPunct/>
              <w:topLinePunct w:val="0"/>
              <w:autoSpaceDE w:val="0"/>
              <w:autoSpaceDN w:val="0"/>
              <w:bidi w:val="0"/>
              <w:adjustRightInd w:val="0"/>
              <w:snapToGrid w:val="0"/>
              <w:spacing w:before="228" w:line="231"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姓名</w:t>
            </w:r>
          </w:p>
        </w:tc>
        <w:tc>
          <w:tcPr>
            <w:tcW w:w="1017" w:type="dxa"/>
            <w:vAlign w:val="center"/>
          </w:tcPr>
          <w:p w14:paraId="3DE10A85">
            <w:pPr>
              <w:keepNext w:val="0"/>
              <w:keepLines w:val="0"/>
              <w:pageBreakBefore w:val="0"/>
              <w:widowControl/>
              <w:kinsoku w:val="0"/>
              <w:wordWrap w:val="0"/>
              <w:overflowPunct/>
              <w:topLinePunct w:val="0"/>
              <w:autoSpaceDE w:val="0"/>
              <w:autoSpaceDN w:val="0"/>
              <w:bidi w:val="0"/>
              <w:adjustRightInd w:val="0"/>
              <w:snapToGrid w:val="0"/>
              <w:spacing w:before="228" w:line="230"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性别</w:t>
            </w:r>
          </w:p>
        </w:tc>
        <w:tc>
          <w:tcPr>
            <w:tcW w:w="1002" w:type="dxa"/>
            <w:vAlign w:val="center"/>
          </w:tcPr>
          <w:p w14:paraId="3050ABB3">
            <w:pPr>
              <w:keepNext w:val="0"/>
              <w:keepLines w:val="0"/>
              <w:pageBreakBefore w:val="0"/>
              <w:widowControl/>
              <w:kinsoku w:val="0"/>
              <w:wordWrap w:val="0"/>
              <w:overflowPunct/>
              <w:topLinePunct w:val="0"/>
              <w:autoSpaceDE w:val="0"/>
              <w:autoSpaceDN w:val="0"/>
              <w:bidi w:val="0"/>
              <w:adjustRightInd w:val="0"/>
              <w:snapToGrid w:val="0"/>
              <w:spacing w:before="229" w:line="231"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年龄</w:t>
            </w:r>
          </w:p>
        </w:tc>
        <w:tc>
          <w:tcPr>
            <w:tcW w:w="1551" w:type="dxa"/>
            <w:vAlign w:val="center"/>
          </w:tcPr>
          <w:p w14:paraId="59C156EA">
            <w:pPr>
              <w:keepNext w:val="0"/>
              <w:keepLines w:val="0"/>
              <w:pageBreakBefore w:val="0"/>
              <w:widowControl/>
              <w:kinsoku w:val="0"/>
              <w:wordWrap w:val="0"/>
              <w:overflowPunct/>
              <w:topLinePunct w:val="0"/>
              <w:autoSpaceDE w:val="0"/>
              <w:autoSpaceDN w:val="0"/>
              <w:bidi w:val="0"/>
              <w:adjustRightInd w:val="0"/>
              <w:snapToGrid w:val="0"/>
              <w:spacing w:before="228" w:line="230"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职称</w:t>
            </w:r>
          </w:p>
        </w:tc>
        <w:tc>
          <w:tcPr>
            <w:tcW w:w="1926" w:type="dxa"/>
            <w:vAlign w:val="center"/>
          </w:tcPr>
          <w:p w14:paraId="7FE3C975">
            <w:pPr>
              <w:keepNext w:val="0"/>
              <w:keepLines w:val="0"/>
              <w:pageBreakBefore w:val="0"/>
              <w:widowControl/>
              <w:kinsoku w:val="0"/>
              <w:wordWrap w:val="0"/>
              <w:overflowPunct/>
              <w:topLinePunct w:val="0"/>
              <w:autoSpaceDE w:val="0"/>
              <w:autoSpaceDN w:val="0"/>
              <w:bidi w:val="0"/>
              <w:adjustRightInd w:val="0"/>
              <w:snapToGrid w:val="0"/>
              <w:spacing w:before="228" w:line="230"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备注</w:t>
            </w:r>
          </w:p>
        </w:tc>
      </w:tr>
      <w:tr w14:paraId="1711D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36AB410A">
            <w:pPr>
              <w:keepNext w:val="0"/>
              <w:keepLines w:val="0"/>
              <w:pageBreakBefore w:val="0"/>
              <w:widowControl/>
              <w:kinsoku w:val="0"/>
              <w:wordWrap w:val="0"/>
              <w:overflowPunct/>
              <w:topLinePunct w:val="0"/>
              <w:autoSpaceDE w:val="0"/>
              <w:autoSpaceDN w:val="0"/>
              <w:bidi w:val="0"/>
              <w:adjustRightInd w:val="0"/>
              <w:snapToGrid w:val="0"/>
              <w:spacing w:before="185"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p>
        </w:tc>
        <w:tc>
          <w:tcPr>
            <w:tcW w:w="1939" w:type="dxa"/>
            <w:vAlign w:val="center"/>
          </w:tcPr>
          <w:p w14:paraId="1997300C">
            <w:pPr>
              <w:keepNext w:val="0"/>
              <w:keepLines w:val="0"/>
              <w:pageBreakBefore w:val="0"/>
              <w:widowControl/>
              <w:kinsoku w:val="0"/>
              <w:wordWrap w:val="0"/>
              <w:overflowPunct/>
              <w:topLinePunct w:val="0"/>
              <w:autoSpaceDE w:val="0"/>
              <w:autoSpaceDN w:val="0"/>
              <w:bidi w:val="0"/>
              <w:adjustRightInd w:val="0"/>
              <w:snapToGrid w:val="0"/>
              <w:spacing w:before="150"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项目经理</w:t>
            </w:r>
          </w:p>
        </w:tc>
        <w:tc>
          <w:tcPr>
            <w:tcW w:w="1567" w:type="dxa"/>
            <w:vAlign w:val="center"/>
          </w:tcPr>
          <w:p w14:paraId="05C54733">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57F30F4D">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0F1D6EB1">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41672C6D">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4DE9F02B">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165C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jc w:val="center"/>
        </w:trPr>
        <w:tc>
          <w:tcPr>
            <w:tcW w:w="634" w:type="dxa"/>
            <w:vAlign w:val="center"/>
          </w:tcPr>
          <w:p w14:paraId="31D50A1B">
            <w:pPr>
              <w:keepNext w:val="0"/>
              <w:keepLines w:val="0"/>
              <w:pageBreakBefore w:val="0"/>
              <w:widowControl/>
              <w:kinsoku w:val="0"/>
              <w:wordWrap w:val="0"/>
              <w:overflowPunct/>
              <w:topLinePunct w:val="0"/>
              <w:autoSpaceDE w:val="0"/>
              <w:autoSpaceDN w:val="0"/>
              <w:bidi w:val="0"/>
              <w:adjustRightInd w:val="0"/>
              <w:snapToGrid w:val="0"/>
              <w:spacing w:before="187"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w:t>
            </w:r>
          </w:p>
        </w:tc>
        <w:tc>
          <w:tcPr>
            <w:tcW w:w="1939" w:type="dxa"/>
            <w:vAlign w:val="center"/>
          </w:tcPr>
          <w:p w14:paraId="3A12DDFD">
            <w:pPr>
              <w:keepNext w:val="0"/>
              <w:keepLines w:val="0"/>
              <w:pageBreakBefore w:val="0"/>
              <w:widowControl/>
              <w:kinsoku w:val="0"/>
              <w:wordWrap w:val="0"/>
              <w:overflowPunct/>
              <w:topLinePunct w:val="0"/>
              <w:autoSpaceDE w:val="0"/>
              <w:autoSpaceDN w:val="0"/>
              <w:bidi w:val="0"/>
              <w:adjustRightInd w:val="0"/>
              <w:snapToGrid w:val="0"/>
              <w:spacing w:before="152"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项目技术负责人</w:t>
            </w:r>
          </w:p>
        </w:tc>
        <w:tc>
          <w:tcPr>
            <w:tcW w:w="1567" w:type="dxa"/>
            <w:vAlign w:val="center"/>
          </w:tcPr>
          <w:p w14:paraId="6A048FE5">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62616D65">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290403F3">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513D5740">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44350E5E">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C2BE2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7FC001D7">
            <w:pPr>
              <w:keepNext w:val="0"/>
              <w:keepLines w:val="0"/>
              <w:pageBreakBefore w:val="0"/>
              <w:widowControl/>
              <w:kinsoku w:val="0"/>
              <w:wordWrap w:val="0"/>
              <w:overflowPunct/>
              <w:topLinePunct w:val="0"/>
              <w:autoSpaceDE w:val="0"/>
              <w:autoSpaceDN w:val="0"/>
              <w:bidi w:val="0"/>
              <w:adjustRightInd w:val="0"/>
              <w:snapToGrid w:val="0"/>
              <w:spacing w:before="189" w:line="195" w:lineRule="auto"/>
              <w:ind w:left="0"/>
              <w:jc w:val="center"/>
              <w:textAlignment w:val="baseline"/>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3</w:t>
            </w:r>
          </w:p>
        </w:tc>
        <w:tc>
          <w:tcPr>
            <w:tcW w:w="1939" w:type="dxa"/>
            <w:vAlign w:val="center"/>
          </w:tcPr>
          <w:p w14:paraId="35920EAB">
            <w:pPr>
              <w:keepNext w:val="0"/>
              <w:keepLines w:val="0"/>
              <w:pageBreakBefore w:val="0"/>
              <w:widowControl/>
              <w:kinsoku w:val="0"/>
              <w:wordWrap w:val="0"/>
              <w:overflowPunct/>
              <w:topLinePunct w:val="0"/>
              <w:autoSpaceDE w:val="0"/>
              <w:autoSpaceDN w:val="0"/>
              <w:bidi w:val="0"/>
              <w:adjustRightInd w:val="0"/>
              <w:snapToGrid w:val="0"/>
              <w:spacing w:before="153"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专职安全员</w:t>
            </w:r>
          </w:p>
        </w:tc>
        <w:tc>
          <w:tcPr>
            <w:tcW w:w="1567" w:type="dxa"/>
            <w:vAlign w:val="center"/>
          </w:tcPr>
          <w:p w14:paraId="539D56FA">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106625F6">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1934B0B9">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733019E3">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2A7AA2AB">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0559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0773F671">
            <w:pPr>
              <w:keepNext w:val="0"/>
              <w:keepLines w:val="0"/>
              <w:pageBreakBefore w:val="0"/>
              <w:widowControl/>
              <w:kinsoku w:val="0"/>
              <w:wordWrap w:val="0"/>
              <w:overflowPunct/>
              <w:topLinePunct w:val="0"/>
              <w:autoSpaceDE w:val="0"/>
              <w:autoSpaceDN w:val="0"/>
              <w:bidi w:val="0"/>
              <w:adjustRightInd w:val="0"/>
              <w:snapToGrid w:val="0"/>
              <w:spacing w:before="188"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w:t>
            </w:r>
          </w:p>
        </w:tc>
        <w:tc>
          <w:tcPr>
            <w:tcW w:w="1939" w:type="dxa"/>
            <w:vAlign w:val="center"/>
          </w:tcPr>
          <w:p w14:paraId="30C10F88">
            <w:pPr>
              <w:keepNext w:val="0"/>
              <w:keepLines w:val="0"/>
              <w:pageBreakBefore w:val="0"/>
              <w:widowControl/>
              <w:kinsoku w:val="0"/>
              <w:wordWrap w:val="0"/>
              <w:overflowPunct/>
              <w:topLinePunct w:val="0"/>
              <w:autoSpaceDE w:val="0"/>
              <w:autoSpaceDN w:val="0"/>
              <w:bidi w:val="0"/>
              <w:adjustRightInd w:val="0"/>
              <w:snapToGrid w:val="0"/>
              <w:spacing w:before="152" w:line="230"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施工员</w:t>
            </w:r>
          </w:p>
        </w:tc>
        <w:tc>
          <w:tcPr>
            <w:tcW w:w="1567" w:type="dxa"/>
            <w:vAlign w:val="center"/>
          </w:tcPr>
          <w:p w14:paraId="05CA2BD4">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10108C0F">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34A0A4E6">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2D97556B">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48296E49">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31EE4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1C720381">
            <w:pPr>
              <w:keepNext w:val="0"/>
              <w:keepLines w:val="0"/>
              <w:pageBreakBefore w:val="0"/>
              <w:widowControl/>
              <w:kinsoku w:val="0"/>
              <w:wordWrap w:val="0"/>
              <w:overflowPunct/>
              <w:topLinePunct w:val="0"/>
              <w:autoSpaceDE w:val="0"/>
              <w:autoSpaceDN w:val="0"/>
              <w:bidi w:val="0"/>
              <w:adjustRightInd w:val="0"/>
              <w:snapToGrid w:val="0"/>
              <w:spacing w:before="193" w:line="192"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w:t>
            </w:r>
          </w:p>
        </w:tc>
        <w:tc>
          <w:tcPr>
            <w:tcW w:w="1939" w:type="dxa"/>
            <w:vAlign w:val="center"/>
          </w:tcPr>
          <w:p w14:paraId="3CAE22C0">
            <w:pPr>
              <w:keepNext w:val="0"/>
              <w:keepLines w:val="0"/>
              <w:pageBreakBefore w:val="0"/>
              <w:widowControl/>
              <w:kinsoku w:val="0"/>
              <w:wordWrap w:val="0"/>
              <w:overflowPunct/>
              <w:topLinePunct w:val="0"/>
              <w:autoSpaceDE w:val="0"/>
              <w:autoSpaceDN w:val="0"/>
              <w:bidi w:val="0"/>
              <w:adjustRightInd w:val="0"/>
              <w:snapToGrid w:val="0"/>
              <w:spacing w:before="154"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质量员</w:t>
            </w:r>
          </w:p>
        </w:tc>
        <w:tc>
          <w:tcPr>
            <w:tcW w:w="1567" w:type="dxa"/>
            <w:vAlign w:val="center"/>
          </w:tcPr>
          <w:p w14:paraId="16086B64">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203D9B6F">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465E5073">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1AC236B1">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1B74D74B">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A35A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2DD916FB">
            <w:pPr>
              <w:keepNext w:val="0"/>
              <w:keepLines w:val="0"/>
              <w:pageBreakBefore w:val="0"/>
              <w:widowControl/>
              <w:kinsoku w:val="0"/>
              <w:wordWrap w:val="0"/>
              <w:overflowPunct/>
              <w:topLinePunct w:val="0"/>
              <w:autoSpaceDE w:val="0"/>
              <w:autoSpaceDN w:val="0"/>
              <w:bidi w:val="0"/>
              <w:adjustRightInd w:val="0"/>
              <w:snapToGrid w:val="0"/>
              <w:spacing w:before="191"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w:t>
            </w:r>
          </w:p>
        </w:tc>
        <w:tc>
          <w:tcPr>
            <w:tcW w:w="1939" w:type="dxa"/>
            <w:vAlign w:val="center"/>
          </w:tcPr>
          <w:p w14:paraId="00D908A3">
            <w:pPr>
              <w:keepNext w:val="0"/>
              <w:keepLines w:val="0"/>
              <w:pageBreakBefore w:val="0"/>
              <w:widowControl/>
              <w:kinsoku w:val="0"/>
              <w:wordWrap w:val="0"/>
              <w:overflowPunct/>
              <w:topLinePunct w:val="0"/>
              <w:autoSpaceDE w:val="0"/>
              <w:autoSpaceDN w:val="0"/>
              <w:bidi w:val="0"/>
              <w:adjustRightInd w:val="0"/>
              <w:snapToGrid w:val="0"/>
              <w:spacing w:before="155"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材料员</w:t>
            </w:r>
          </w:p>
        </w:tc>
        <w:tc>
          <w:tcPr>
            <w:tcW w:w="1567" w:type="dxa"/>
            <w:vAlign w:val="center"/>
          </w:tcPr>
          <w:p w14:paraId="7A4124E4">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21B90CFC">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7429CA6B">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355EF2BE">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3D80AEAF">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96C3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4F1DC0C4">
            <w:pPr>
              <w:keepNext w:val="0"/>
              <w:keepLines w:val="0"/>
              <w:pageBreakBefore w:val="0"/>
              <w:widowControl/>
              <w:kinsoku w:val="0"/>
              <w:wordWrap w:val="0"/>
              <w:overflowPunct/>
              <w:topLinePunct w:val="0"/>
              <w:autoSpaceDE w:val="0"/>
              <w:autoSpaceDN w:val="0"/>
              <w:bidi w:val="0"/>
              <w:adjustRightInd w:val="0"/>
              <w:snapToGrid w:val="0"/>
              <w:spacing w:before="192" w:line="192"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w:t>
            </w:r>
          </w:p>
        </w:tc>
        <w:tc>
          <w:tcPr>
            <w:tcW w:w="1939" w:type="dxa"/>
            <w:vAlign w:val="center"/>
          </w:tcPr>
          <w:p w14:paraId="2B81E2B2">
            <w:pPr>
              <w:keepNext w:val="0"/>
              <w:keepLines w:val="0"/>
              <w:pageBreakBefore w:val="0"/>
              <w:widowControl/>
              <w:kinsoku w:val="0"/>
              <w:wordWrap w:val="0"/>
              <w:overflowPunct/>
              <w:topLinePunct w:val="0"/>
              <w:autoSpaceDE w:val="0"/>
              <w:autoSpaceDN w:val="0"/>
              <w:bidi w:val="0"/>
              <w:adjustRightInd w:val="0"/>
              <w:snapToGrid w:val="0"/>
              <w:spacing w:before="154"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资料员</w:t>
            </w:r>
          </w:p>
        </w:tc>
        <w:tc>
          <w:tcPr>
            <w:tcW w:w="1567" w:type="dxa"/>
            <w:vAlign w:val="center"/>
          </w:tcPr>
          <w:p w14:paraId="5830ACFC">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2BE2E7C7">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1AEE4D9D">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462B06F0">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75D8694A">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6E88A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jc w:val="center"/>
        </w:trPr>
        <w:tc>
          <w:tcPr>
            <w:tcW w:w="634" w:type="dxa"/>
            <w:vAlign w:val="center"/>
          </w:tcPr>
          <w:p w14:paraId="01C28551">
            <w:pPr>
              <w:keepNext w:val="0"/>
              <w:keepLines w:val="0"/>
              <w:pageBreakBefore w:val="0"/>
              <w:widowControl/>
              <w:kinsoku w:val="0"/>
              <w:wordWrap w:val="0"/>
              <w:overflowPunct/>
              <w:topLinePunct w:val="0"/>
              <w:autoSpaceDE w:val="0"/>
              <w:autoSpaceDN w:val="0"/>
              <w:bidi w:val="0"/>
              <w:adjustRightInd w:val="0"/>
              <w:snapToGrid w:val="0"/>
              <w:spacing w:before="154" w:line="325" w:lineRule="exact"/>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3"/>
                <w:sz w:val="24"/>
                <w:szCs w:val="24"/>
                <w:highlight w:val="none"/>
                <w14:textFill>
                  <w14:solidFill>
                    <w14:schemeClr w14:val="tx1"/>
                  </w14:solidFill>
                </w14:textFill>
              </w:rPr>
              <w:t>……</w:t>
            </w:r>
          </w:p>
        </w:tc>
        <w:tc>
          <w:tcPr>
            <w:tcW w:w="1939" w:type="dxa"/>
            <w:vAlign w:val="center"/>
          </w:tcPr>
          <w:p w14:paraId="40723A72">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67" w:type="dxa"/>
            <w:vAlign w:val="center"/>
          </w:tcPr>
          <w:p w14:paraId="7F1F6AE8">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77322F0D">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62FB4EA3">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2D6E46A7">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52450073">
            <w:pPr>
              <w:pStyle w:val="28"/>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bl>
    <w:p w14:paraId="1A2216AD">
      <w:pPr>
        <w:pStyle w:val="6"/>
        <w:keepNext w:val="0"/>
        <w:keepLines w:val="0"/>
        <w:pageBreakBefore w:val="0"/>
        <w:wordWrap w:val="0"/>
        <w:overflowPunct/>
        <w:topLinePunct w:val="0"/>
        <w:bidi w:val="0"/>
        <w:spacing w:line="3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469D01B">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说明：</w:t>
      </w:r>
    </w:p>
    <w:p w14:paraId="39CA077E">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jc w:val="lef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 ．《项目管理机构组成表》后应附表中拟派人员（项目经理、项目技术负责人除外）以下资料：</w:t>
      </w:r>
    </w:p>
    <w:p w14:paraId="0CE589C1">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jc w:val="lef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身份证彩色扫描件；</w:t>
      </w:r>
    </w:p>
    <w:p w14:paraId="02AA64CE">
      <w:pPr>
        <w:keepNext w:val="0"/>
        <w:keepLines w:val="0"/>
        <w:pageBreakBefore w:val="0"/>
        <w:widowControl/>
        <w:kinsoku w:val="0"/>
        <w:wordWrap w:val="0"/>
        <w:overflowPunct/>
        <w:topLinePunct w:val="0"/>
        <w:autoSpaceDE w:val="0"/>
        <w:autoSpaceDN w:val="0"/>
        <w:bidi w:val="0"/>
        <w:adjustRightInd/>
        <w:snapToGrid/>
        <w:spacing w:line="360" w:lineRule="auto"/>
        <w:ind w:left="0" w:leftChars="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专职安全员须提供C类安全生产考核合格证书扫描件或“建筑施工企业管理人员安全生产考核信息系统”考核合格信息扫描件；施工员、质量员、材料员、资料员附岗位证书或培训证书彩色扫描件或打印件；</w:t>
      </w:r>
    </w:p>
    <w:p w14:paraId="3CEAFCD3">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在本单位缴纳社保的证明（</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至少</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个月</w:t>
      </w:r>
      <w:r>
        <w:rPr>
          <w:rFonts w:hint="eastAsia" w:ascii="宋体" w:hAnsi="宋体" w:eastAsia="宋体" w:cs="宋体"/>
          <w:color w:val="000000" w:themeColor="text1"/>
          <w:spacing w:val="0"/>
          <w:sz w:val="24"/>
          <w:szCs w:val="24"/>
          <w:highlight w:val="none"/>
          <w14:textFill>
            <w14:solidFill>
              <w14:schemeClr w14:val="tx1"/>
            </w14:solidFill>
          </w14:textFill>
        </w:rPr>
        <w:t>，其中必须有</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202</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pacing w:val="0"/>
          <w:sz w:val="24"/>
          <w:szCs w:val="24"/>
          <w:highlight w:val="none"/>
          <w14:textFill>
            <w14:solidFill>
              <w14:schemeClr w14:val="tx1"/>
            </w14:solidFill>
          </w14:textFill>
        </w:rPr>
        <w:t>年</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pacing w:val="0"/>
          <w:sz w:val="24"/>
          <w:szCs w:val="24"/>
          <w:highlight w:val="none"/>
          <w14:textFill>
            <w14:solidFill>
              <w14:schemeClr w14:val="tx1"/>
            </w14:solidFill>
          </w14:textFill>
        </w:rPr>
        <w:t>月）扫描件</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或打印件</w:t>
      </w:r>
      <w:r>
        <w:rPr>
          <w:rFonts w:hint="eastAsia" w:ascii="宋体" w:hAnsi="宋体" w:eastAsia="宋体" w:cs="宋体"/>
          <w:color w:val="000000" w:themeColor="text1"/>
          <w:spacing w:val="0"/>
          <w:sz w:val="24"/>
          <w:szCs w:val="24"/>
          <w:highlight w:val="none"/>
          <w14:textFill>
            <w14:solidFill>
              <w14:schemeClr w14:val="tx1"/>
            </w14:solidFill>
          </w14:textFill>
        </w:rPr>
        <w:t>。拟派</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人员</w:t>
      </w:r>
      <w:r>
        <w:rPr>
          <w:rFonts w:hint="eastAsia" w:ascii="宋体" w:hAnsi="宋体" w:eastAsia="宋体" w:cs="宋体"/>
          <w:color w:val="000000" w:themeColor="text1"/>
          <w:spacing w:val="0"/>
          <w:sz w:val="24"/>
          <w:szCs w:val="24"/>
          <w:highlight w:val="none"/>
          <w14:textFill>
            <w14:solidFill>
              <w14:schemeClr w14:val="tx1"/>
            </w14:solidFill>
          </w14:textFill>
        </w:rPr>
        <w:t>为退休返聘人员无法提供社保证明的，提供退休证和劳动合同彩色扫描件。</w:t>
      </w:r>
    </w:p>
    <w:p w14:paraId="61E286EA">
      <w:pPr>
        <w:keepNext w:val="0"/>
        <w:keepLines w:val="0"/>
        <w:pageBreakBefore w:val="0"/>
        <w:widowControl/>
        <w:kinsoku w:val="0"/>
        <w:wordWrap w:val="0"/>
        <w:overflowPunct/>
        <w:topLinePunct w:val="0"/>
        <w:autoSpaceDE w:val="0"/>
        <w:autoSpaceDN w:val="0"/>
        <w:bidi w:val="0"/>
        <w:adjustRightInd/>
        <w:snapToGrid/>
        <w:spacing w:line="360" w:lineRule="auto"/>
        <w:ind w:left="0" w:leftChars="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（4）“进粤企业和人员诚信信息登记平台 ”个人信息情况截图。（适用于省外建筑企业）</w:t>
      </w:r>
    </w:p>
    <w:p w14:paraId="73BD7082">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pacing w:val="0"/>
          <w:sz w:val="24"/>
          <w:szCs w:val="24"/>
          <w:highlight w:val="none"/>
          <w14:textFill>
            <w14:solidFill>
              <w14:schemeClr w14:val="tx1"/>
            </w14:solidFill>
          </w14:textFill>
        </w:rPr>
        <w:t>联合体投标的，《项目管理机构组成表》应包括联合体成员单位参与项目管理机构的人员，并提供以上所需资料。</w:t>
      </w:r>
    </w:p>
    <w:p w14:paraId="487C8DAA">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65" w:name="_Toc8327"/>
      <w:r>
        <w:rPr>
          <w:rFonts w:hint="eastAsia" w:ascii="宋体" w:hAnsi="宋体" w:eastAsia="宋体" w:cs="宋体"/>
          <w:b/>
          <w:bCs/>
          <w:color w:val="000000" w:themeColor="text1"/>
          <w:spacing w:val="0"/>
          <w:sz w:val="24"/>
          <w:szCs w:val="24"/>
          <w:highlight w:val="none"/>
          <w14:textFill>
            <w14:solidFill>
              <w14:schemeClr w14:val="tx1"/>
            </w14:solidFill>
          </w14:textFill>
        </w:rPr>
        <w:t>格式十二 建造师查询页（有效期+建造师签字）</w:t>
      </w:r>
      <w:bookmarkEnd w:id="265"/>
    </w:p>
    <w:p w14:paraId="734EE390">
      <w:pPr>
        <w:keepNext w:val="0"/>
        <w:keepLines w:val="0"/>
        <w:pageBreakBefore w:val="0"/>
        <w:wordWrap w:val="0"/>
        <w:overflowPunct/>
        <w:topLinePunct w:val="0"/>
        <w:bidi w:val="0"/>
        <w:outlineLvl w:val="9"/>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position w:val="-235"/>
          <w:highlight w:val="none"/>
          <w14:textFill>
            <w14:solidFill>
              <w14:schemeClr w14:val="tx1"/>
            </w14:solidFill>
          </w14:textFill>
        </w:rPr>
        <w:drawing>
          <wp:inline distT="0" distB="0" distL="114300" distR="114300">
            <wp:extent cx="6239510" cy="8013700"/>
            <wp:effectExtent l="0" t="0" r="8890" b="6350"/>
            <wp:docPr id="6" name="图片 8"/>
            <wp:cNvGraphicFramePr/>
            <a:graphic xmlns:a="http://schemas.openxmlformats.org/drawingml/2006/main">
              <a:graphicData uri="http://schemas.openxmlformats.org/drawingml/2006/picture">
                <pic:pic xmlns:pic="http://schemas.openxmlformats.org/drawingml/2006/picture">
                  <pic:nvPicPr>
                    <pic:cNvPr id="6" name="图片 8"/>
                    <pic:cNvPicPr/>
                  </pic:nvPicPr>
                  <pic:blipFill>
                    <a:blip r:embed="rId58"/>
                    <a:stretch>
                      <a:fillRect/>
                    </a:stretch>
                  </pic:blipFill>
                  <pic:spPr>
                    <a:xfrm>
                      <a:off x="0" y="0"/>
                      <a:ext cx="6239510" cy="8013700"/>
                    </a:xfrm>
                    <a:prstGeom prst="rect">
                      <a:avLst/>
                    </a:prstGeom>
                    <a:noFill/>
                    <a:ln>
                      <a:noFill/>
                    </a:ln>
                  </pic:spPr>
                </pic:pic>
              </a:graphicData>
            </a:graphic>
          </wp:inline>
        </w:drawing>
      </w:r>
    </w:p>
    <w:p w14:paraId="64B4C367">
      <w:pPr>
        <w:keepNext w:val="0"/>
        <w:keepLines w:val="0"/>
        <w:pageBreakBefore w:val="0"/>
        <w:wordWrap w:val="0"/>
        <w:overflowPunct/>
        <w:topLinePunct w:val="0"/>
        <w:bidi w:val="0"/>
        <w:spacing w:line="220" w:lineRule="auto"/>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24"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1D37CFE7">
      <w:pPr>
        <w:keepNext w:val="0"/>
        <w:keepLines w:val="0"/>
        <w:pageBreakBefore w:val="0"/>
        <w:wordWrap w:val="0"/>
        <w:overflowPunct/>
        <w:topLinePunct w:val="0"/>
        <w:bidi w:val="0"/>
        <w:spacing w:line="10744" w:lineRule="exact"/>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position w:val="-214"/>
          <w:highlight w:val="none"/>
          <w14:textFill>
            <w14:solidFill>
              <w14:schemeClr w14:val="tx1"/>
            </w14:solidFill>
          </w14:textFill>
        </w:rPr>
        <w:drawing>
          <wp:inline distT="0" distB="0" distL="114300" distR="114300">
            <wp:extent cx="6285865" cy="6925310"/>
            <wp:effectExtent l="0" t="0" r="635" b="8890"/>
            <wp:docPr id="4" name="图片 9"/>
            <wp:cNvGraphicFramePr/>
            <a:graphic xmlns:a="http://schemas.openxmlformats.org/drawingml/2006/main">
              <a:graphicData uri="http://schemas.openxmlformats.org/drawingml/2006/picture">
                <pic:pic xmlns:pic="http://schemas.openxmlformats.org/drawingml/2006/picture">
                  <pic:nvPicPr>
                    <pic:cNvPr id="4" name="图片 9"/>
                    <pic:cNvPicPr/>
                  </pic:nvPicPr>
                  <pic:blipFill>
                    <a:blip r:embed="rId59"/>
                    <a:stretch>
                      <a:fillRect/>
                    </a:stretch>
                  </pic:blipFill>
                  <pic:spPr>
                    <a:xfrm>
                      <a:off x="0" y="0"/>
                      <a:ext cx="6285865" cy="6925310"/>
                    </a:xfrm>
                    <a:prstGeom prst="rect">
                      <a:avLst/>
                    </a:prstGeom>
                    <a:noFill/>
                    <a:ln>
                      <a:noFill/>
                    </a:ln>
                  </pic:spPr>
                </pic:pic>
              </a:graphicData>
            </a:graphic>
          </wp:inline>
        </w:drawing>
      </w:r>
    </w:p>
    <w:p w14:paraId="174F9627">
      <w:pPr>
        <w:keepNext w:val="0"/>
        <w:keepLines w:val="0"/>
        <w:pageBreakBefore w:val="0"/>
        <w:wordWrap w:val="0"/>
        <w:overflowPunct/>
        <w:topLinePunct w:val="0"/>
        <w:bidi w:val="0"/>
        <w:spacing w:line="10744" w:lineRule="exact"/>
        <w:rPr>
          <w:rFonts w:hint="eastAsia" w:ascii="宋体" w:hAnsi="宋体" w:eastAsia="宋体" w:cs="宋体"/>
          <w:color w:val="000000" w:themeColor="text1"/>
          <w:spacing w:val="0"/>
          <w:highlight w:val="none"/>
          <w14:textFill>
            <w14:solidFill>
              <w14:schemeClr w14:val="tx1"/>
            </w14:solidFill>
          </w14:textFill>
        </w:rPr>
        <w:sectPr>
          <w:footerReference r:id="rId25"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79F1B678">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66" w:name="_Toc10847"/>
      <w:r>
        <w:rPr>
          <w:rFonts w:hint="eastAsia" w:ascii="宋体" w:hAnsi="宋体" w:eastAsia="宋体" w:cs="宋体"/>
          <w:b/>
          <w:bCs/>
          <w:color w:val="000000" w:themeColor="text1"/>
          <w:spacing w:val="0"/>
          <w:sz w:val="24"/>
          <w:szCs w:val="24"/>
          <w:highlight w:val="none"/>
          <w14:textFill>
            <w14:solidFill>
              <w14:schemeClr w14:val="tx1"/>
            </w14:solidFill>
          </w14:textFill>
        </w:rPr>
        <w:t>格式十三</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pacing w:val="0"/>
          <w:sz w:val="22"/>
          <w:szCs w:val="22"/>
          <w:highlight w:val="none"/>
          <w14:textFill>
            <w14:solidFill>
              <w14:schemeClr w14:val="tx1"/>
            </w14:solidFill>
          </w14:textFill>
        </w:rPr>
        <w:t>危险性较大的分部分项工程清单及超过一定规模的危险性较大的分部分项工程清单</w:t>
      </w:r>
      <w:bookmarkEnd w:id="266"/>
    </w:p>
    <w:p w14:paraId="4E20E0E7">
      <w:pPr>
        <w:pStyle w:val="6"/>
        <w:keepNext w:val="0"/>
        <w:keepLines w:val="0"/>
        <w:pageBreakBefore w:val="0"/>
        <w:wordWrap w:val="0"/>
        <w:overflowPunct/>
        <w:topLinePunct w:val="0"/>
        <w:bidi w:val="0"/>
        <w:spacing w:line="269" w:lineRule="auto"/>
        <w:rPr>
          <w:rFonts w:hint="eastAsia" w:ascii="宋体" w:hAnsi="宋体" w:eastAsia="宋体" w:cs="宋体"/>
          <w:color w:val="000000" w:themeColor="text1"/>
          <w:spacing w:val="0"/>
          <w:highlight w:val="none"/>
          <w14:textFill>
            <w14:solidFill>
              <w14:schemeClr w14:val="tx1"/>
            </w14:solidFill>
          </w14:textFill>
        </w:rPr>
      </w:pPr>
    </w:p>
    <w:p w14:paraId="0DB6A583">
      <w:pPr>
        <w:keepNext w:val="0"/>
        <w:keepLines w:val="0"/>
        <w:pageBreakBefore w:val="0"/>
        <w:tabs>
          <w:tab w:val="left" w:pos="2940"/>
        </w:tabs>
        <w:wordWrap w:val="0"/>
        <w:overflowPunct/>
        <w:topLinePunct w:val="0"/>
        <w:bidi w:val="0"/>
        <w:spacing w:before="101" w:line="377" w:lineRule="auto"/>
        <w:ind w:left="3179" w:leftChars="0" w:right="41" w:hanging="3133" w:firstLineChars="0"/>
        <w:rPr>
          <w:rFonts w:hint="eastAsia" w:ascii="宋体" w:hAnsi="宋体" w:eastAsia="宋体" w:cs="宋体"/>
          <w:color w:val="000000" w:themeColor="text1"/>
          <w:spacing w:val="0"/>
          <w:sz w:val="31"/>
          <w:szCs w:val="31"/>
          <w:highlight w:val="none"/>
          <w14:textFill>
            <w14:solidFill>
              <w14:schemeClr w14:val="tx1"/>
            </w14:solidFill>
          </w14:textFill>
        </w:rPr>
      </w:pPr>
      <w:bookmarkStart w:id="267" w:name="bookmark160"/>
      <w:bookmarkEnd w:id="267"/>
      <w:bookmarkStart w:id="268" w:name="OLE_LINK41"/>
      <w:r>
        <w:rPr>
          <w:rFonts w:hint="eastAsia" w:ascii="宋体" w:hAnsi="宋体" w:eastAsia="宋体" w:cs="宋体"/>
          <w:b/>
          <w:bCs/>
          <w:color w:val="000000" w:themeColor="text1"/>
          <w:spacing w:val="0"/>
          <w:sz w:val="31"/>
          <w:szCs w:val="31"/>
          <w:highlight w:val="none"/>
          <w14:textFill>
            <w14:solidFill>
              <w14:schemeClr w14:val="tx1"/>
            </w14:solidFill>
          </w14:textFill>
        </w:rPr>
        <w:t>危险性较大的分部分项工程清单及超过一定规模的危险性较大的分部分项工程清单</w:t>
      </w:r>
    </w:p>
    <w:bookmarkEnd w:id="268"/>
    <w:p w14:paraId="5004DA81">
      <w:pPr>
        <w:keepNext w:val="0"/>
        <w:keepLines w:val="0"/>
        <w:pageBreakBefore w:val="0"/>
        <w:wordWrap w:val="0"/>
        <w:overflowPunct/>
        <w:topLinePunct w:val="0"/>
        <w:bidi w:val="0"/>
        <w:spacing w:before="6" w:line="326" w:lineRule="auto"/>
        <w:ind w:left="5" w:firstLine="4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1、根据中华人民共和国住房和城乡建设部令第37号《危险性较大的分部分项工程安全管理规定》（以下简称“37号文 ”），投标人在投标时须补充完善危大工程清单并明确相应的安全管理措施。</w:t>
      </w:r>
    </w:p>
    <w:p w14:paraId="39C98E84">
      <w:pPr>
        <w:keepNext w:val="0"/>
        <w:keepLines w:val="0"/>
        <w:pageBreakBefore w:val="0"/>
        <w:wordWrap w:val="0"/>
        <w:overflowPunct/>
        <w:topLinePunct w:val="0"/>
        <w:bidi w:val="0"/>
        <w:spacing w:before="208" w:line="326" w:lineRule="auto"/>
        <w:ind w:left="1" w:firstLine="48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2、招标人根据设计文件的要求及37号文、粤建规范〔2019〕2号文的规定列出“危险性较大的分部分项工程清单及超过一定规模的危险性较大的分部分项工程清单 ”中与本招标项目相关的清单项，具体详见第5点“打 √ ”标识。</w:t>
      </w:r>
    </w:p>
    <w:p w14:paraId="3676768B">
      <w:pPr>
        <w:keepNext w:val="0"/>
        <w:keepLines w:val="0"/>
        <w:pageBreakBefore w:val="0"/>
        <w:wordWrap w:val="0"/>
        <w:overflowPunct/>
        <w:topLinePunct w:val="0"/>
        <w:bidi w:val="0"/>
        <w:spacing w:before="209" w:line="299" w:lineRule="auto"/>
        <w:ind w:left="3" w:right="72" w:firstLine="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（1）投标单位同意建设单位在清单中标识的该项请在对应项打“ √ ”标识，并与投标文件中提供相应的安全管理措施。</w:t>
      </w:r>
    </w:p>
    <w:p w14:paraId="1C2AFCFC">
      <w:pPr>
        <w:keepNext w:val="0"/>
        <w:keepLines w:val="0"/>
        <w:pageBreakBefore w:val="0"/>
        <w:wordWrap w:val="0"/>
        <w:overflowPunct/>
        <w:topLinePunct w:val="0"/>
        <w:bidi w:val="0"/>
        <w:spacing w:before="208" w:line="299" w:lineRule="auto"/>
        <w:ind w:left="2" w:right="72"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（2）投标单位对清单中认为需要补充的该项请在对应项打“ √ ”标识，并与投标文件中提供相应的安全管理措施。</w:t>
      </w:r>
    </w:p>
    <w:p w14:paraId="2C57E579">
      <w:pPr>
        <w:keepNext w:val="0"/>
        <w:keepLines w:val="0"/>
        <w:pageBreakBefore w:val="0"/>
        <w:wordWrap w:val="0"/>
        <w:overflowPunct/>
        <w:topLinePunct w:val="0"/>
        <w:bidi w:val="0"/>
        <w:spacing w:before="210" w:line="300" w:lineRule="auto"/>
        <w:ind w:right="72" w:firstLine="4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（3）投标单位不同意建设单位在清单中标识的该项请在对应项打“ × ”标识，并在备注栏填上相关说明。</w:t>
      </w:r>
    </w:p>
    <w:p w14:paraId="14B36F6D">
      <w:pPr>
        <w:keepNext w:val="0"/>
        <w:keepLines w:val="0"/>
        <w:pageBreakBefore w:val="0"/>
        <w:wordWrap w:val="0"/>
        <w:overflowPunct/>
        <w:topLinePunct w:val="0"/>
        <w:bidi w:val="0"/>
        <w:spacing w:before="207" w:line="371" w:lineRule="auto"/>
        <w:ind w:firstLine="484"/>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u w:val="single"/>
          <w14:textFill>
            <w14:solidFill>
              <w14:schemeClr w14:val="tx1"/>
            </w14:solidFill>
          </w14:textFill>
        </w:rPr>
        <w:t>3、投标单位应当在投标时根据招标人提供的下述第5点清单，在投标施工组织中回应建设单位提供的危大工程清单，补充相应的安全管理措施。（为减轻标书编制的工作量，投标单位回应的危大工程清单该部分的页数应控制在3页内）</w:t>
      </w:r>
    </w:p>
    <w:p w14:paraId="74C7E91A">
      <w:pPr>
        <w:keepNext w:val="0"/>
        <w:keepLines w:val="0"/>
        <w:pageBreakBefore w:val="0"/>
        <w:wordWrap w:val="0"/>
        <w:overflowPunct/>
        <w:topLinePunct w:val="0"/>
        <w:bidi w:val="0"/>
        <w:spacing w:before="33" w:line="326" w:lineRule="auto"/>
        <w:ind w:left="1" w:firstLine="47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对于超过一定规模的危大工程，中标单位应当组织召开专家论证会对专项施工方案进行论证。实行施工总承包的，由施工总承包单位组织召开专家论证会。专家论证前专项施工方案应当通过施工总承包单位审核和总监理工程师审查。</w:t>
      </w:r>
    </w:p>
    <w:p w14:paraId="798FF3E3">
      <w:pPr>
        <w:keepNext w:val="0"/>
        <w:keepLines w:val="0"/>
        <w:pageBreakBefore w:val="0"/>
        <w:wordWrap w:val="0"/>
        <w:overflowPunct/>
        <w:topLinePunct w:val="0"/>
        <w:bidi w:val="0"/>
        <w:spacing w:before="208" w:line="301" w:lineRule="auto"/>
        <w:ind w:firstLine="484"/>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5、危险性较大的分部分项工程清单及超过一定规模的危险性较大的分部分项工程清单</w:t>
      </w:r>
    </w:p>
    <w:p w14:paraId="211A5215">
      <w:pPr>
        <w:keepNext w:val="0"/>
        <w:keepLines w:val="0"/>
        <w:pageBreakBefore w:val="0"/>
        <w:wordWrap w:val="0"/>
        <w:overflowPunct/>
        <w:topLinePunct w:val="0"/>
        <w:bidi w:val="0"/>
        <w:spacing w:before="40"/>
        <w:rPr>
          <w:rFonts w:hint="eastAsia" w:ascii="宋体" w:hAnsi="宋体" w:eastAsia="宋体" w:cs="宋体"/>
          <w:color w:val="000000" w:themeColor="text1"/>
          <w:spacing w:val="0"/>
          <w:highlight w:val="none"/>
          <w14:textFill>
            <w14:solidFill>
              <w14:schemeClr w14:val="tx1"/>
            </w14:solidFill>
          </w14:textFill>
        </w:rPr>
      </w:pPr>
    </w:p>
    <w:tbl>
      <w:tblPr>
        <w:tblStyle w:val="15"/>
        <w:tblW w:w="9947" w:type="dxa"/>
        <w:tblInd w:w="-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
        <w:gridCol w:w="4864"/>
        <w:gridCol w:w="1294"/>
        <w:gridCol w:w="1294"/>
        <w:gridCol w:w="2428"/>
      </w:tblGrid>
      <w:tr w14:paraId="1D6B37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2"/>
            <w:vAlign w:val="top"/>
          </w:tcPr>
          <w:p w14:paraId="1C0C1314">
            <w:pPr>
              <w:keepNext w:val="0"/>
              <w:keepLines w:val="0"/>
              <w:pageBreakBefore w:val="0"/>
              <w:wordWrap w:val="0"/>
              <w:overflowPunct/>
              <w:topLinePunct w:val="0"/>
              <w:bidi w:val="0"/>
              <w:spacing w:before="133" w:line="220" w:lineRule="auto"/>
              <w:ind w:firstLine="241" w:firstLineChars="1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一、危险性较大的分部分项工程清单</w:t>
            </w:r>
          </w:p>
        </w:tc>
        <w:tc>
          <w:tcPr>
            <w:tcW w:w="1294" w:type="dxa"/>
            <w:vAlign w:val="top"/>
          </w:tcPr>
          <w:p w14:paraId="786821EB">
            <w:pPr>
              <w:keepNext w:val="0"/>
              <w:keepLines w:val="0"/>
              <w:pageBreakBefore w:val="0"/>
              <w:wordWrap w:val="0"/>
              <w:overflowPunct/>
              <w:topLinePunct w:val="0"/>
              <w:bidi w:val="0"/>
              <w:spacing w:before="133" w:line="221" w:lineRule="auto"/>
              <w:ind w:left="206" w:leftChars="0"/>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建设单位</w:t>
            </w:r>
          </w:p>
        </w:tc>
        <w:tc>
          <w:tcPr>
            <w:tcW w:w="1294" w:type="dxa"/>
            <w:vAlign w:val="top"/>
          </w:tcPr>
          <w:p w14:paraId="088710BC">
            <w:pPr>
              <w:keepNext w:val="0"/>
              <w:keepLines w:val="0"/>
              <w:pageBreakBefore w:val="0"/>
              <w:wordWrap w:val="0"/>
              <w:overflowPunct/>
              <w:topLinePunct w:val="0"/>
              <w:bidi w:val="0"/>
              <w:spacing w:before="133" w:line="221" w:lineRule="auto"/>
              <w:ind w:left="205" w:leftChars="0"/>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投标单位</w:t>
            </w:r>
          </w:p>
        </w:tc>
        <w:tc>
          <w:tcPr>
            <w:tcW w:w="2428" w:type="dxa"/>
            <w:vAlign w:val="top"/>
          </w:tcPr>
          <w:p w14:paraId="5305F236">
            <w:pPr>
              <w:keepNext w:val="0"/>
              <w:keepLines w:val="0"/>
              <w:pageBreakBefore w:val="0"/>
              <w:wordWrap w:val="0"/>
              <w:overflowPunct/>
              <w:topLinePunct w:val="0"/>
              <w:bidi w:val="0"/>
              <w:spacing w:before="133" w:line="222" w:lineRule="auto"/>
              <w:ind w:left="360" w:leftChars="0"/>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备注</w:t>
            </w:r>
          </w:p>
        </w:tc>
      </w:tr>
      <w:tr w14:paraId="7851F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2"/>
            <w:vAlign w:val="top"/>
          </w:tcPr>
          <w:p w14:paraId="712B4333">
            <w:pPr>
              <w:keepNext w:val="0"/>
              <w:keepLines w:val="0"/>
              <w:pageBreakBefore w:val="0"/>
              <w:wordWrap w:val="0"/>
              <w:overflowPunct/>
              <w:topLinePunct w:val="0"/>
              <w:bidi w:val="0"/>
              <w:spacing w:before="128" w:line="221" w:lineRule="auto"/>
              <w:ind w:left="120" w:leftChars="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一、基坑支护</w:t>
            </w:r>
          </w:p>
        </w:tc>
        <w:tc>
          <w:tcPr>
            <w:tcW w:w="1294" w:type="dxa"/>
            <w:vAlign w:val="top"/>
          </w:tcPr>
          <w:p w14:paraId="40D210A2">
            <w:pPr>
              <w:keepNext w:val="0"/>
              <w:keepLines w:val="0"/>
              <w:pageBreakBefore w:val="0"/>
              <w:wordWrap w:val="0"/>
              <w:overflowPunct/>
              <w:topLinePunct w:val="0"/>
              <w:bidi w:val="0"/>
              <w:spacing w:before="128" w:line="223" w:lineRule="auto"/>
              <w:jc w:val="center"/>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bookmarkStart w:id="269" w:name="OLE_LINK39"/>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bookmarkEnd w:id="269"/>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790D24ED">
            <w:pPr>
              <w:keepNext w:val="0"/>
              <w:keepLines w:val="0"/>
              <w:pageBreakBefore w:val="0"/>
              <w:wordWrap w:val="0"/>
              <w:overflowPunct/>
              <w:topLinePunct w:val="0"/>
              <w:bidi w:val="0"/>
              <w:spacing w:before="128" w:line="223" w:lineRule="auto"/>
              <w:ind w:left="367" w:leftChars="0"/>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DE86A91">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17532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2"/>
            <w:vAlign w:val="top"/>
          </w:tcPr>
          <w:p w14:paraId="59197831">
            <w:pPr>
              <w:keepNext w:val="0"/>
              <w:keepLines w:val="0"/>
              <w:pageBreakBefore w:val="0"/>
              <w:wordWrap w:val="0"/>
              <w:overflowPunct/>
              <w:topLinePunct w:val="0"/>
              <w:bidi w:val="0"/>
              <w:spacing w:before="129" w:line="328" w:lineRule="auto"/>
              <w:ind w:left="135" w:leftChars="0" w:right="68" w:rightChars="0" w:hanging="8" w:firstLineChars="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（一）开挖深度超过 3m（含 3m）的基坑（槽） 的土方开挖、支护、降水工程。</w:t>
            </w:r>
          </w:p>
        </w:tc>
        <w:tc>
          <w:tcPr>
            <w:tcW w:w="1294" w:type="dxa"/>
            <w:vAlign w:val="top"/>
          </w:tcPr>
          <w:p w14:paraId="5B778EA3">
            <w:pPr>
              <w:pStyle w:val="28"/>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highlight w:val="none"/>
                <w14:textFill>
                  <w14:solidFill>
                    <w14:schemeClr w14:val="tx1"/>
                  </w14:solidFill>
                </w14:textFill>
              </w:rPr>
            </w:pPr>
          </w:p>
          <w:p w14:paraId="680472A7">
            <w:pPr>
              <w:keepNext w:val="0"/>
              <w:keepLines w:val="0"/>
              <w:pageBreakBefore w:val="0"/>
              <w:wordWrap w:val="0"/>
              <w:overflowPunct/>
              <w:topLinePunct w:val="0"/>
              <w:bidi w:val="0"/>
              <w:spacing w:before="78" w:line="223" w:lineRule="auto"/>
              <w:ind w:left="396" w:leftChars="0"/>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CF74172">
            <w:pPr>
              <w:pStyle w:val="28"/>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highlight w:val="none"/>
                <w14:textFill>
                  <w14:solidFill>
                    <w14:schemeClr w14:val="tx1"/>
                  </w14:solidFill>
                </w14:textFill>
              </w:rPr>
            </w:pPr>
          </w:p>
          <w:p w14:paraId="3E2C041A">
            <w:pPr>
              <w:keepNext w:val="0"/>
              <w:keepLines w:val="0"/>
              <w:pageBreakBefore w:val="0"/>
              <w:wordWrap w:val="0"/>
              <w:overflowPunct/>
              <w:topLinePunct w:val="0"/>
              <w:bidi w:val="0"/>
              <w:spacing w:before="78" w:line="223" w:lineRule="auto"/>
              <w:ind w:left="367" w:leftChars="0"/>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77920F0">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3C1807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2"/>
            <w:vAlign w:val="top"/>
          </w:tcPr>
          <w:p w14:paraId="75D2C12B">
            <w:pPr>
              <w:keepNext w:val="0"/>
              <w:keepLines w:val="0"/>
              <w:pageBreakBefore w:val="0"/>
              <w:wordWrap w:val="0"/>
              <w:overflowPunct/>
              <w:topLinePunct w:val="0"/>
              <w:bidi w:val="0"/>
              <w:spacing w:before="132" w:line="354" w:lineRule="auto"/>
              <w:ind w:left="116" w:right="108" w:firstLine="11"/>
              <w:jc w:val="both"/>
              <w:rPr>
                <w:rFonts w:hint="eastAsia" w:ascii="宋体" w:hAnsi="宋体" w:eastAsia="宋体" w:cs="宋体"/>
                <w:color w:val="000000" w:themeColor="text1"/>
                <w:spacing w:val="0"/>
                <w:sz w:val="24"/>
                <w:szCs w:val="24"/>
                <w:highlight w:val="none"/>
                <w14:textFill>
                  <w14:solidFill>
                    <w14:schemeClr w14:val="tx1"/>
                  </w14:solidFill>
                </w14:textFill>
              </w:rPr>
            </w:pPr>
            <w:bookmarkStart w:id="270" w:name="bookmark161"/>
            <w:bookmarkEnd w:id="270"/>
            <w:r>
              <w:rPr>
                <w:rFonts w:hint="eastAsia" w:ascii="宋体" w:hAnsi="宋体" w:eastAsia="宋体" w:cs="宋体"/>
                <w:color w:val="000000" w:themeColor="text1"/>
                <w:spacing w:val="0"/>
                <w:sz w:val="24"/>
                <w:szCs w:val="24"/>
                <w:highlight w:val="none"/>
                <w14:textFill>
                  <w14:solidFill>
                    <w14:schemeClr w14:val="tx1"/>
                  </w14:solidFill>
                </w14:textFill>
              </w:rPr>
              <w:t>（二）开挖深度虽未超过 3m，但地质条件、周 围环境和地下管线复杂，或影响毗邻建、构筑 物安全的基坑（槽）的土方开挖、支护、降水 工程。</w:t>
            </w:r>
          </w:p>
        </w:tc>
        <w:tc>
          <w:tcPr>
            <w:tcW w:w="1294" w:type="dxa"/>
            <w:vAlign w:val="top"/>
          </w:tcPr>
          <w:p w14:paraId="678E3335">
            <w:pPr>
              <w:pStyle w:val="28"/>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highlight w:val="none"/>
                <w14:textFill>
                  <w14:solidFill>
                    <w14:schemeClr w14:val="tx1"/>
                  </w14:solidFill>
                </w14:textFill>
              </w:rPr>
            </w:pPr>
          </w:p>
          <w:p w14:paraId="03E3E37B">
            <w:pPr>
              <w:pStyle w:val="28"/>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highlight w:val="none"/>
                <w14:textFill>
                  <w14:solidFill>
                    <w14:schemeClr w14:val="tx1"/>
                  </w14:solidFill>
                </w14:textFill>
              </w:rPr>
            </w:pPr>
          </w:p>
          <w:p w14:paraId="07B348AA">
            <w:pPr>
              <w:pStyle w:val="28"/>
              <w:keepNext w:val="0"/>
              <w:keepLines w:val="0"/>
              <w:pageBreakBefore w:val="0"/>
              <w:wordWrap w:val="0"/>
              <w:overflowPunct/>
              <w:topLinePunct w:val="0"/>
              <w:bidi w:val="0"/>
              <w:spacing w:line="264" w:lineRule="auto"/>
              <w:rPr>
                <w:rFonts w:hint="eastAsia" w:ascii="宋体" w:hAnsi="宋体" w:eastAsia="宋体" w:cs="宋体"/>
                <w:color w:val="000000" w:themeColor="text1"/>
                <w:spacing w:val="0"/>
                <w:highlight w:val="none"/>
                <w14:textFill>
                  <w14:solidFill>
                    <w14:schemeClr w14:val="tx1"/>
                  </w14:solidFill>
                </w14:textFill>
              </w:rPr>
            </w:pPr>
          </w:p>
          <w:p w14:paraId="09F5F156">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bookmarkStart w:id="271" w:name="OLE_LINK40"/>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bookmarkEnd w:id="271"/>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9FC468F">
            <w:pPr>
              <w:pStyle w:val="28"/>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highlight w:val="none"/>
                <w14:textFill>
                  <w14:solidFill>
                    <w14:schemeClr w14:val="tx1"/>
                  </w14:solidFill>
                </w14:textFill>
              </w:rPr>
            </w:pPr>
          </w:p>
          <w:p w14:paraId="573D6FDA">
            <w:pPr>
              <w:pStyle w:val="28"/>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highlight w:val="none"/>
                <w14:textFill>
                  <w14:solidFill>
                    <w14:schemeClr w14:val="tx1"/>
                  </w14:solidFill>
                </w14:textFill>
              </w:rPr>
            </w:pPr>
          </w:p>
          <w:p w14:paraId="4B2551ED">
            <w:pPr>
              <w:pStyle w:val="28"/>
              <w:keepNext w:val="0"/>
              <w:keepLines w:val="0"/>
              <w:pageBreakBefore w:val="0"/>
              <w:wordWrap w:val="0"/>
              <w:overflowPunct/>
              <w:topLinePunct w:val="0"/>
              <w:bidi w:val="0"/>
              <w:spacing w:line="264" w:lineRule="auto"/>
              <w:rPr>
                <w:rFonts w:hint="eastAsia" w:ascii="宋体" w:hAnsi="宋体" w:eastAsia="宋体" w:cs="宋体"/>
                <w:color w:val="000000" w:themeColor="text1"/>
                <w:spacing w:val="0"/>
                <w:highlight w:val="none"/>
                <w14:textFill>
                  <w14:solidFill>
                    <w14:schemeClr w14:val="tx1"/>
                  </w14:solidFill>
                </w14:textFill>
              </w:rPr>
            </w:pPr>
          </w:p>
          <w:p w14:paraId="036E5E26">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5D403E2">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04CB8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2"/>
            <w:vAlign w:val="top"/>
          </w:tcPr>
          <w:p w14:paraId="7FF3CCA3">
            <w:pPr>
              <w:keepNext w:val="0"/>
              <w:keepLines w:val="0"/>
              <w:pageBreakBefore w:val="0"/>
              <w:wordWrap w:val="0"/>
              <w:overflowPunct/>
              <w:topLinePunct w:val="0"/>
              <w:bidi w:val="0"/>
              <w:spacing w:before="128" w:line="219"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二、模板工程及支撑体系</w:t>
            </w:r>
          </w:p>
        </w:tc>
        <w:tc>
          <w:tcPr>
            <w:tcW w:w="1294" w:type="dxa"/>
            <w:vAlign w:val="top"/>
          </w:tcPr>
          <w:p w14:paraId="4F83F1A7">
            <w:pPr>
              <w:keepNext w:val="0"/>
              <w:keepLines w:val="0"/>
              <w:pageBreakBefore w:val="0"/>
              <w:wordWrap w:val="0"/>
              <w:overflowPunct/>
              <w:topLinePunct w:val="0"/>
              <w:bidi w:val="0"/>
              <w:spacing w:before="12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1DEA9D7">
            <w:pPr>
              <w:keepNext w:val="0"/>
              <w:keepLines w:val="0"/>
              <w:pageBreakBefore w:val="0"/>
              <w:wordWrap w:val="0"/>
              <w:overflowPunct/>
              <w:topLinePunct w:val="0"/>
              <w:bidi w:val="0"/>
              <w:spacing w:before="12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3E66751">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15F75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2"/>
            <w:vAlign w:val="top"/>
          </w:tcPr>
          <w:p w14:paraId="2B42EF94">
            <w:pPr>
              <w:keepNext w:val="0"/>
              <w:keepLines w:val="0"/>
              <w:pageBreakBefore w:val="0"/>
              <w:wordWrap w:val="0"/>
              <w:overflowPunct/>
              <w:topLinePunct w:val="0"/>
              <w:bidi w:val="0"/>
              <w:spacing w:before="128" w:line="328" w:lineRule="auto"/>
              <w:ind w:left="123" w:right="25" w:firstLine="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（一）各类工具式模板工程：包括滑模、爬模、 飞模、隧道模等工程。</w:t>
            </w:r>
          </w:p>
        </w:tc>
        <w:tc>
          <w:tcPr>
            <w:tcW w:w="1294" w:type="dxa"/>
            <w:vAlign w:val="top"/>
          </w:tcPr>
          <w:p w14:paraId="62BE616C">
            <w:pPr>
              <w:pStyle w:val="28"/>
              <w:keepNext w:val="0"/>
              <w:keepLines w:val="0"/>
              <w:pageBreakBefore w:val="0"/>
              <w:wordWrap w:val="0"/>
              <w:overflowPunct/>
              <w:topLinePunct w:val="0"/>
              <w:bidi w:val="0"/>
              <w:spacing w:line="293" w:lineRule="auto"/>
              <w:rPr>
                <w:rFonts w:hint="eastAsia" w:ascii="宋体" w:hAnsi="宋体" w:eastAsia="宋体" w:cs="宋体"/>
                <w:color w:val="000000" w:themeColor="text1"/>
                <w:spacing w:val="0"/>
                <w:highlight w:val="none"/>
                <w14:textFill>
                  <w14:solidFill>
                    <w14:schemeClr w14:val="tx1"/>
                  </w14:solidFill>
                </w14:textFill>
              </w:rPr>
            </w:pPr>
          </w:p>
          <w:p w14:paraId="20787877">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0A3A5B2">
            <w:pPr>
              <w:pStyle w:val="28"/>
              <w:keepNext w:val="0"/>
              <w:keepLines w:val="0"/>
              <w:pageBreakBefore w:val="0"/>
              <w:wordWrap w:val="0"/>
              <w:overflowPunct/>
              <w:topLinePunct w:val="0"/>
              <w:bidi w:val="0"/>
              <w:spacing w:line="293" w:lineRule="auto"/>
              <w:rPr>
                <w:rFonts w:hint="eastAsia" w:ascii="宋体" w:hAnsi="宋体" w:eastAsia="宋体" w:cs="宋体"/>
                <w:color w:val="000000" w:themeColor="text1"/>
                <w:spacing w:val="0"/>
                <w:highlight w:val="none"/>
                <w14:textFill>
                  <w14:solidFill>
                    <w14:schemeClr w14:val="tx1"/>
                  </w14:solidFill>
                </w14:textFill>
              </w:rPr>
            </w:pPr>
          </w:p>
          <w:p w14:paraId="4BAF713B">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76A6A71B">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41E755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2"/>
            <w:vAlign w:val="top"/>
          </w:tcPr>
          <w:p w14:paraId="6F44FF8A">
            <w:pPr>
              <w:keepNext w:val="0"/>
              <w:keepLines w:val="0"/>
              <w:pageBreakBefore w:val="0"/>
              <w:wordWrap w:val="0"/>
              <w:overflowPunct/>
              <w:topLinePunct w:val="0"/>
              <w:bidi w:val="0"/>
              <w:spacing w:before="131" w:line="362" w:lineRule="auto"/>
              <w:ind w:left="115" w:right="105" w:firstLine="1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（二）混凝土模板支撑工程：搭设高度 5m 及以 上，或搭设跨度 10m 及以上，或施工总荷载（荷 载效应基本组合的设计值，以下简称设计值） 10kN/m2 及以上，或集中线荷载（设计值）15kN/m 及以上，或高度大于支撑水平投影宽度且相对 独立无联系构件的混凝土模板支撑工程。</w:t>
            </w:r>
          </w:p>
        </w:tc>
        <w:tc>
          <w:tcPr>
            <w:tcW w:w="1294" w:type="dxa"/>
            <w:vAlign w:val="top"/>
          </w:tcPr>
          <w:p w14:paraId="06D081D3">
            <w:pPr>
              <w:pStyle w:val="28"/>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highlight w:val="none"/>
                <w14:textFill>
                  <w14:solidFill>
                    <w14:schemeClr w14:val="tx1"/>
                  </w14:solidFill>
                </w14:textFill>
              </w:rPr>
            </w:pPr>
          </w:p>
          <w:p w14:paraId="4A16BFFE">
            <w:pPr>
              <w:pStyle w:val="28"/>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highlight w:val="none"/>
                <w14:textFill>
                  <w14:solidFill>
                    <w14:schemeClr w14:val="tx1"/>
                  </w14:solidFill>
                </w14:textFill>
              </w:rPr>
            </w:pPr>
          </w:p>
          <w:p w14:paraId="3A0F5923">
            <w:pPr>
              <w:pStyle w:val="28"/>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highlight w:val="none"/>
                <w14:textFill>
                  <w14:solidFill>
                    <w14:schemeClr w14:val="tx1"/>
                  </w14:solidFill>
                </w14:textFill>
              </w:rPr>
            </w:pPr>
          </w:p>
          <w:p w14:paraId="0E04FF9F">
            <w:pPr>
              <w:pStyle w:val="28"/>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highlight w:val="none"/>
                <w14:textFill>
                  <w14:solidFill>
                    <w14:schemeClr w14:val="tx1"/>
                  </w14:solidFill>
                </w14:textFill>
              </w:rPr>
            </w:pPr>
          </w:p>
          <w:p w14:paraId="14B37184">
            <w:pPr>
              <w:pStyle w:val="28"/>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highlight w:val="none"/>
                <w14:textFill>
                  <w14:solidFill>
                    <w14:schemeClr w14:val="tx1"/>
                  </w14:solidFill>
                </w14:textFill>
              </w:rPr>
            </w:pPr>
          </w:p>
          <w:p w14:paraId="5A4F6FF6">
            <w:pPr>
              <w:keepNext w:val="0"/>
              <w:keepLines w:val="0"/>
              <w:pageBreakBefore w:val="0"/>
              <w:wordWrap w:val="0"/>
              <w:overflowPunct/>
              <w:topLinePunct w:val="0"/>
              <w:bidi w:val="0"/>
              <w:spacing w:before="78" w:line="223" w:lineRule="auto"/>
              <w:ind w:left="42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BC45176">
            <w:pPr>
              <w:pStyle w:val="28"/>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highlight w:val="none"/>
                <w14:textFill>
                  <w14:solidFill>
                    <w14:schemeClr w14:val="tx1"/>
                  </w14:solidFill>
                </w14:textFill>
              </w:rPr>
            </w:pPr>
          </w:p>
          <w:p w14:paraId="6D487157">
            <w:pPr>
              <w:pStyle w:val="28"/>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highlight w:val="none"/>
                <w14:textFill>
                  <w14:solidFill>
                    <w14:schemeClr w14:val="tx1"/>
                  </w14:solidFill>
                </w14:textFill>
              </w:rPr>
            </w:pPr>
          </w:p>
          <w:p w14:paraId="3E1CE66E">
            <w:pPr>
              <w:pStyle w:val="28"/>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highlight w:val="none"/>
                <w14:textFill>
                  <w14:solidFill>
                    <w14:schemeClr w14:val="tx1"/>
                  </w14:solidFill>
                </w14:textFill>
              </w:rPr>
            </w:pPr>
          </w:p>
          <w:p w14:paraId="6A7FA7A1">
            <w:pPr>
              <w:pStyle w:val="28"/>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highlight w:val="none"/>
                <w14:textFill>
                  <w14:solidFill>
                    <w14:schemeClr w14:val="tx1"/>
                  </w14:solidFill>
                </w14:textFill>
              </w:rPr>
            </w:pPr>
          </w:p>
          <w:p w14:paraId="12434D3D">
            <w:pPr>
              <w:pStyle w:val="28"/>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highlight w:val="none"/>
                <w14:textFill>
                  <w14:solidFill>
                    <w14:schemeClr w14:val="tx1"/>
                  </w14:solidFill>
                </w14:textFill>
              </w:rPr>
            </w:pPr>
          </w:p>
          <w:p w14:paraId="1980D964">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456E965">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4EC0E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2"/>
            <w:vAlign w:val="top"/>
          </w:tcPr>
          <w:p w14:paraId="3F43D72D">
            <w:pPr>
              <w:keepNext w:val="0"/>
              <w:keepLines w:val="0"/>
              <w:pageBreakBefore w:val="0"/>
              <w:wordWrap w:val="0"/>
              <w:overflowPunct/>
              <w:topLinePunct w:val="0"/>
              <w:bidi w:val="0"/>
              <w:spacing w:before="130" w:line="327" w:lineRule="auto"/>
              <w:ind w:left="117" w:right="168" w:firstLine="1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（三）承重支撑体系：用于钢结构安装等满堂 支撑体系。</w:t>
            </w:r>
          </w:p>
        </w:tc>
        <w:tc>
          <w:tcPr>
            <w:tcW w:w="1294" w:type="dxa"/>
            <w:vAlign w:val="top"/>
          </w:tcPr>
          <w:p w14:paraId="511D615D">
            <w:pPr>
              <w:pStyle w:val="28"/>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highlight w:val="none"/>
                <w14:textFill>
                  <w14:solidFill>
                    <w14:schemeClr w14:val="tx1"/>
                  </w14:solidFill>
                </w14:textFill>
              </w:rPr>
            </w:pPr>
          </w:p>
          <w:p w14:paraId="65F0F42D">
            <w:pPr>
              <w:keepNext w:val="0"/>
              <w:keepLines w:val="0"/>
              <w:pageBreakBefore w:val="0"/>
              <w:wordWrap w:val="0"/>
              <w:overflowPunct/>
              <w:topLinePunct w:val="0"/>
              <w:bidi w:val="0"/>
              <w:spacing w:before="78"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33D5358">
            <w:pPr>
              <w:pStyle w:val="28"/>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highlight w:val="none"/>
                <w14:textFill>
                  <w14:solidFill>
                    <w14:schemeClr w14:val="tx1"/>
                  </w14:solidFill>
                </w14:textFill>
              </w:rPr>
            </w:pPr>
          </w:p>
          <w:p w14:paraId="0B3D0D91">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DF9CE6A">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3A4563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2"/>
            <w:vAlign w:val="top"/>
          </w:tcPr>
          <w:p w14:paraId="0E79A01C">
            <w:pPr>
              <w:keepNext w:val="0"/>
              <w:keepLines w:val="0"/>
              <w:pageBreakBefore w:val="0"/>
              <w:wordWrap w:val="0"/>
              <w:overflowPunct/>
              <w:topLinePunct w:val="0"/>
              <w:bidi w:val="0"/>
              <w:spacing w:before="130" w:line="219" w:lineRule="auto"/>
              <w:ind w:left="3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三、起重吊装及起重机械安装拆卸工程</w:t>
            </w:r>
          </w:p>
        </w:tc>
        <w:tc>
          <w:tcPr>
            <w:tcW w:w="1294" w:type="dxa"/>
            <w:vAlign w:val="top"/>
          </w:tcPr>
          <w:p w14:paraId="76D8EB27">
            <w:pPr>
              <w:keepNext w:val="0"/>
              <w:keepLines w:val="0"/>
              <w:pageBreakBefore w:val="0"/>
              <w:wordWrap w:val="0"/>
              <w:overflowPunct/>
              <w:topLinePunct w:val="0"/>
              <w:bidi w:val="0"/>
              <w:spacing w:before="129"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84F6761">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AB0041E">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1C2E0F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2"/>
            <w:vAlign w:val="top"/>
          </w:tcPr>
          <w:p w14:paraId="7CDD2F61">
            <w:pPr>
              <w:keepNext w:val="0"/>
              <w:keepLines w:val="0"/>
              <w:pageBreakBefore w:val="0"/>
              <w:wordWrap w:val="0"/>
              <w:overflowPunct/>
              <w:topLinePunct w:val="0"/>
              <w:bidi w:val="0"/>
              <w:spacing w:before="131" w:line="327" w:lineRule="auto"/>
              <w:ind w:left="144" w:right="168" w:hanging="1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（一）采用非常规起重设备、方法，且单件起 吊重量在 10kN 及以上的起重吊装工程。</w:t>
            </w:r>
          </w:p>
        </w:tc>
        <w:tc>
          <w:tcPr>
            <w:tcW w:w="1294" w:type="dxa"/>
            <w:vAlign w:val="top"/>
          </w:tcPr>
          <w:p w14:paraId="29DAD9F8">
            <w:pPr>
              <w:pStyle w:val="28"/>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highlight w:val="none"/>
                <w14:textFill>
                  <w14:solidFill>
                    <w14:schemeClr w14:val="tx1"/>
                  </w14:solidFill>
                </w14:textFill>
              </w:rPr>
            </w:pPr>
          </w:p>
          <w:p w14:paraId="399CF0AA">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537BA4B">
            <w:pPr>
              <w:pStyle w:val="28"/>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highlight w:val="none"/>
                <w14:textFill>
                  <w14:solidFill>
                    <w14:schemeClr w14:val="tx1"/>
                  </w14:solidFill>
                </w14:textFill>
              </w:rPr>
            </w:pPr>
          </w:p>
          <w:p w14:paraId="4107995C">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189630F">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0CF08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2"/>
            <w:vAlign w:val="top"/>
          </w:tcPr>
          <w:p w14:paraId="00DA6BEA">
            <w:pPr>
              <w:keepNext w:val="0"/>
              <w:keepLines w:val="0"/>
              <w:pageBreakBefore w:val="0"/>
              <w:wordWrap w:val="0"/>
              <w:overflowPunct/>
              <w:topLinePunct w:val="0"/>
              <w:bidi w:val="0"/>
              <w:spacing w:before="132"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（二）采用起重机械进行安装的工程。</w:t>
            </w:r>
          </w:p>
        </w:tc>
        <w:tc>
          <w:tcPr>
            <w:tcW w:w="1294" w:type="dxa"/>
            <w:vAlign w:val="top"/>
          </w:tcPr>
          <w:p w14:paraId="05D8A463">
            <w:pPr>
              <w:keepNext w:val="0"/>
              <w:keepLines w:val="0"/>
              <w:pageBreakBefore w:val="0"/>
              <w:wordWrap w:val="0"/>
              <w:overflowPunct/>
              <w:topLinePunct w:val="0"/>
              <w:bidi w:val="0"/>
              <w:spacing w:before="131"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902B328">
            <w:pPr>
              <w:keepNext w:val="0"/>
              <w:keepLines w:val="0"/>
              <w:pageBreakBefore w:val="0"/>
              <w:wordWrap w:val="0"/>
              <w:overflowPunct/>
              <w:topLinePunct w:val="0"/>
              <w:bidi w:val="0"/>
              <w:spacing w:before="131"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363D3528">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1DB15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2"/>
            <w:vAlign w:val="top"/>
          </w:tcPr>
          <w:p w14:paraId="12F4B30C">
            <w:pPr>
              <w:keepNext w:val="0"/>
              <w:keepLines w:val="0"/>
              <w:pageBreakBefore w:val="0"/>
              <w:wordWrap w:val="0"/>
              <w:overflowPunct/>
              <w:topLinePunct w:val="0"/>
              <w:bidi w:val="0"/>
              <w:spacing w:before="130"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（三）起重机械安装和拆卸工程。</w:t>
            </w:r>
          </w:p>
        </w:tc>
        <w:tc>
          <w:tcPr>
            <w:tcW w:w="1294" w:type="dxa"/>
            <w:vAlign w:val="top"/>
          </w:tcPr>
          <w:p w14:paraId="429C4D99">
            <w:pPr>
              <w:keepNext w:val="0"/>
              <w:keepLines w:val="0"/>
              <w:pageBreakBefore w:val="0"/>
              <w:wordWrap w:val="0"/>
              <w:overflowPunct/>
              <w:topLinePunct w:val="0"/>
              <w:bidi w:val="0"/>
              <w:spacing w:before="129"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E377759">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D68036D">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09A8E6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2"/>
            <w:vAlign w:val="top"/>
          </w:tcPr>
          <w:p w14:paraId="13B4E193">
            <w:pPr>
              <w:keepNext w:val="0"/>
              <w:keepLines w:val="0"/>
              <w:pageBreakBefore w:val="0"/>
              <w:wordWrap w:val="0"/>
              <w:overflowPunct/>
              <w:topLinePunct w:val="0"/>
              <w:bidi w:val="0"/>
              <w:spacing w:before="131" w:line="219" w:lineRule="auto"/>
              <w:ind w:left="13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四、脚手架工程</w:t>
            </w:r>
          </w:p>
        </w:tc>
        <w:tc>
          <w:tcPr>
            <w:tcW w:w="1294" w:type="dxa"/>
            <w:vAlign w:val="top"/>
          </w:tcPr>
          <w:p w14:paraId="4B0E76C9">
            <w:pPr>
              <w:keepNext w:val="0"/>
              <w:keepLines w:val="0"/>
              <w:pageBreakBefore w:val="0"/>
              <w:wordWrap w:val="0"/>
              <w:overflowPunct/>
              <w:topLinePunct w:val="0"/>
              <w:bidi w:val="0"/>
              <w:spacing w:before="130" w:line="223" w:lineRule="auto"/>
              <w:ind w:left="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5E1DB8D">
            <w:pPr>
              <w:keepNext w:val="0"/>
              <w:keepLines w:val="0"/>
              <w:pageBreakBefore w:val="0"/>
              <w:wordWrap w:val="0"/>
              <w:overflowPunct/>
              <w:topLinePunct w:val="0"/>
              <w:bidi w:val="0"/>
              <w:spacing w:before="130"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596A5DC">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50A15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2"/>
            <w:vAlign w:val="top"/>
          </w:tcPr>
          <w:p w14:paraId="615C7215">
            <w:pPr>
              <w:keepNext w:val="0"/>
              <w:keepLines w:val="0"/>
              <w:pageBreakBefore w:val="0"/>
              <w:wordWrap w:val="0"/>
              <w:overflowPunct/>
              <w:topLinePunct w:val="0"/>
              <w:bidi w:val="0"/>
              <w:spacing w:before="130" w:line="327" w:lineRule="auto"/>
              <w:ind w:left="117" w:right="168" w:firstLine="1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（一）搭设高度 24m 及以上的落地式钢管脚手 架工程（包括采光井、电梯井脚手架）。</w:t>
            </w:r>
          </w:p>
        </w:tc>
        <w:tc>
          <w:tcPr>
            <w:tcW w:w="1294" w:type="dxa"/>
            <w:vAlign w:val="top"/>
          </w:tcPr>
          <w:p w14:paraId="321FD4AD">
            <w:pPr>
              <w:pStyle w:val="28"/>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highlight w:val="none"/>
                <w14:textFill>
                  <w14:solidFill>
                    <w14:schemeClr w14:val="tx1"/>
                  </w14:solidFill>
                </w14:textFill>
              </w:rPr>
            </w:pPr>
          </w:p>
          <w:p w14:paraId="679F5793">
            <w:pPr>
              <w:keepNext w:val="0"/>
              <w:keepLines w:val="0"/>
              <w:pageBreakBefore w:val="0"/>
              <w:wordWrap w:val="0"/>
              <w:overflowPunct/>
              <w:topLinePunct w:val="0"/>
              <w:bidi w:val="0"/>
              <w:spacing w:before="78" w:line="223" w:lineRule="auto"/>
              <w:ind w:left="42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CD0218D">
            <w:pPr>
              <w:pStyle w:val="28"/>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highlight w:val="none"/>
                <w14:textFill>
                  <w14:solidFill>
                    <w14:schemeClr w14:val="tx1"/>
                  </w14:solidFill>
                </w14:textFill>
              </w:rPr>
            </w:pPr>
          </w:p>
          <w:p w14:paraId="634A98EC">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D925227">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09B470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2"/>
            <w:vAlign w:val="top"/>
          </w:tcPr>
          <w:p w14:paraId="079A4E32">
            <w:pPr>
              <w:keepNext w:val="0"/>
              <w:keepLines w:val="0"/>
              <w:pageBreakBefore w:val="0"/>
              <w:wordWrap w:val="0"/>
              <w:overflowPunct/>
              <w:topLinePunct w:val="0"/>
              <w:bidi w:val="0"/>
              <w:spacing w:before="131"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（二）附着式升降脚手架工程。</w:t>
            </w:r>
          </w:p>
        </w:tc>
        <w:tc>
          <w:tcPr>
            <w:tcW w:w="1294" w:type="dxa"/>
            <w:vAlign w:val="top"/>
          </w:tcPr>
          <w:p w14:paraId="2834041E">
            <w:pPr>
              <w:keepNext w:val="0"/>
              <w:keepLines w:val="0"/>
              <w:pageBreakBefore w:val="0"/>
              <w:wordWrap w:val="0"/>
              <w:overflowPunct/>
              <w:topLinePunct w:val="0"/>
              <w:bidi w:val="0"/>
              <w:spacing w:before="130" w:line="223" w:lineRule="auto"/>
              <w:ind w:left="24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19E1B740">
            <w:pPr>
              <w:keepNext w:val="0"/>
              <w:keepLines w:val="0"/>
              <w:pageBreakBefore w:val="0"/>
              <w:wordWrap w:val="0"/>
              <w:overflowPunct/>
              <w:topLinePunct w:val="0"/>
              <w:bidi w:val="0"/>
              <w:spacing w:before="130"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CAC225D">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236F1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2"/>
            <w:vAlign w:val="top"/>
          </w:tcPr>
          <w:p w14:paraId="474FFC9B">
            <w:pPr>
              <w:keepNext w:val="0"/>
              <w:keepLines w:val="0"/>
              <w:pageBreakBefore w:val="0"/>
              <w:wordWrap w:val="0"/>
              <w:overflowPunct/>
              <w:topLinePunct w:val="0"/>
              <w:bidi w:val="0"/>
              <w:spacing w:before="132"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（三）悬挑式脚手架工程。</w:t>
            </w:r>
          </w:p>
        </w:tc>
        <w:tc>
          <w:tcPr>
            <w:tcW w:w="1294" w:type="dxa"/>
            <w:vAlign w:val="top"/>
          </w:tcPr>
          <w:p w14:paraId="5E7432E5">
            <w:pPr>
              <w:keepNext w:val="0"/>
              <w:keepLines w:val="0"/>
              <w:pageBreakBefore w:val="0"/>
              <w:wordWrap w:val="0"/>
              <w:overflowPunct/>
              <w:topLinePunct w:val="0"/>
              <w:bidi w:val="0"/>
              <w:spacing w:before="131" w:line="223" w:lineRule="auto"/>
              <w:ind w:left="24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7D49CBE">
            <w:pPr>
              <w:keepNext w:val="0"/>
              <w:keepLines w:val="0"/>
              <w:pageBreakBefore w:val="0"/>
              <w:wordWrap w:val="0"/>
              <w:overflowPunct/>
              <w:topLinePunct w:val="0"/>
              <w:bidi w:val="0"/>
              <w:spacing w:before="131"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6E687F2">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5EB78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2"/>
            <w:vAlign w:val="top"/>
          </w:tcPr>
          <w:p w14:paraId="40A65585">
            <w:pPr>
              <w:keepNext w:val="0"/>
              <w:keepLines w:val="0"/>
              <w:pageBreakBefore w:val="0"/>
              <w:wordWrap w:val="0"/>
              <w:overflowPunct/>
              <w:topLinePunct w:val="0"/>
              <w:bidi w:val="0"/>
              <w:spacing w:before="131"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（四）高处作业吊篮。</w:t>
            </w:r>
          </w:p>
        </w:tc>
        <w:tc>
          <w:tcPr>
            <w:tcW w:w="1294" w:type="dxa"/>
            <w:vAlign w:val="top"/>
          </w:tcPr>
          <w:p w14:paraId="14F1C253">
            <w:pPr>
              <w:keepNext w:val="0"/>
              <w:keepLines w:val="0"/>
              <w:pageBreakBefore w:val="0"/>
              <w:wordWrap w:val="0"/>
              <w:overflowPunct/>
              <w:topLinePunct w:val="0"/>
              <w:bidi w:val="0"/>
              <w:spacing w:before="131"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55D4A21">
            <w:pPr>
              <w:keepNext w:val="0"/>
              <w:keepLines w:val="0"/>
              <w:pageBreakBefore w:val="0"/>
              <w:wordWrap w:val="0"/>
              <w:overflowPunct/>
              <w:topLinePunct w:val="0"/>
              <w:bidi w:val="0"/>
              <w:spacing w:before="131"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71AEFFD">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5BFCB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2"/>
            <w:vAlign w:val="top"/>
          </w:tcPr>
          <w:p w14:paraId="36D85820">
            <w:pPr>
              <w:keepNext w:val="0"/>
              <w:keepLines w:val="0"/>
              <w:pageBreakBefore w:val="0"/>
              <w:wordWrap w:val="0"/>
              <w:overflowPunct/>
              <w:topLinePunct w:val="0"/>
              <w:bidi w:val="0"/>
              <w:spacing w:before="132"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（五）卸料平台、操作平台工程。</w:t>
            </w:r>
          </w:p>
        </w:tc>
        <w:tc>
          <w:tcPr>
            <w:tcW w:w="1294" w:type="dxa"/>
            <w:vAlign w:val="top"/>
          </w:tcPr>
          <w:p w14:paraId="24DA6B96">
            <w:pPr>
              <w:keepNext w:val="0"/>
              <w:keepLines w:val="0"/>
              <w:pageBreakBefore w:val="0"/>
              <w:wordWrap w:val="0"/>
              <w:overflowPunct/>
              <w:topLinePunct w:val="0"/>
              <w:bidi w:val="0"/>
              <w:spacing w:before="132" w:line="223" w:lineRule="auto"/>
              <w:ind w:left="24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5972CBB8">
            <w:pPr>
              <w:keepNext w:val="0"/>
              <w:keepLines w:val="0"/>
              <w:pageBreakBefore w:val="0"/>
              <w:wordWrap w:val="0"/>
              <w:overflowPunct/>
              <w:topLinePunct w:val="0"/>
              <w:bidi w:val="0"/>
              <w:spacing w:before="132"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3D335B2E">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19049B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2"/>
            <w:vAlign w:val="top"/>
          </w:tcPr>
          <w:p w14:paraId="3C96EB0E">
            <w:pPr>
              <w:keepNext w:val="0"/>
              <w:keepLines w:val="0"/>
              <w:pageBreakBefore w:val="0"/>
              <w:wordWrap w:val="0"/>
              <w:overflowPunct/>
              <w:topLinePunct w:val="0"/>
              <w:bidi w:val="0"/>
              <w:spacing w:before="133"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（六）异型脚手架工程。</w:t>
            </w:r>
          </w:p>
        </w:tc>
        <w:tc>
          <w:tcPr>
            <w:tcW w:w="1294" w:type="dxa"/>
            <w:vAlign w:val="top"/>
          </w:tcPr>
          <w:p w14:paraId="2920519C">
            <w:pPr>
              <w:keepNext w:val="0"/>
              <w:keepLines w:val="0"/>
              <w:pageBreakBefore w:val="0"/>
              <w:wordWrap w:val="0"/>
              <w:overflowPunct/>
              <w:topLinePunct w:val="0"/>
              <w:bidi w:val="0"/>
              <w:spacing w:before="132"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6F0ED25">
            <w:pPr>
              <w:keepNext w:val="0"/>
              <w:keepLines w:val="0"/>
              <w:pageBreakBefore w:val="0"/>
              <w:wordWrap w:val="0"/>
              <w:overflowPunct/>
              <w:topLinePunct w:val="0"/>
              <w:bidi w:val="0"/>
              <w:spacing w:before="132"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16F9989">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7684BF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1DB2BD6B">
            <w:pPr>
              <w:keepNext w:val="0"/>
              <w:keepLines w:val="0"/>
              <w:pageBreakBefore w:val="0"/>
              <w:wordWrap w:val="0"/>
              <w:overflowPunct/>
              <w:topLinePunct w:val="0"/>
              <w:bidi w:val="0"/>
              <w:spacing w:before="131" w:line="220"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bookmarkStart w:id="272" w:name="bookmark162"/>
            <w:bookmarkEnd w:id="272"/>
            <w:r>
              <w:rPr>
                <w:rFonts w:hint="eastAsia" w:ascii="宋体" w:hAnsi="宋体" w:eastAsia="宋体" w:cs="宋体"/>
                <w:color w:val="000000" w:themeColor="text1"/>
                <w:spacing w:val="0"/>
                <w:sz w:val="24"/>
                <w:szCs w:val="24"/>
                <w:highlight w:val="none"/>
                <w14:textFill>
                  <w14:solidFill>
                    <w14:schemeClr w14:val="tx1"/>
                  </w14:solidFill>
                </w14:textFill>
              </w:rPr>
              <w:t>五、拆除工程</w:t>
            </w:r>
          </w:p>
        </w:tc>
        <w:tc>
          <w:tcPr>
            <w:tcW w:w="1294" w:type="dxa"/>
            <w:vAlign w:val="top"/>
          </w:tcPr>
          <w:p w14:paraId="1F592663">
            <w:pPr>
              <w:keepNext w:val="0"/>
              <w:keepLines w:val="0"/>
              <w:pageBreakBefore w:val="0"/>
              <w:wordWrap w:val="0"/>
              <w:overflowPunct/>
              <w:topLinePunct w:val="0"/>
              <w:bidi w:val="0"/>
              <w:spacing w:before="131" w:line="223" w:lineRule="auto"/>
              <w:ind w:left="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97AE92B">
            <w:pPr>
              <w:keepNext w:val="0"/>
              <w:keepLines w:val="0"/>
              <w:pageBreakBefore w:val="0"/>
              <w:wordWrap w:val="0"/>
              <w:overflowPunct/>
              <w:topLinePunct w:val="0"/>
              <w:bidi w:val="0"/>
              <w:spacing w:before="131"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B23CF5F">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4E835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3355B08F">
            <w:pPr>
              <w:keepNext w:val="0"/>
              <w:keepLines w:val="0"/>
              <w:pageBreakBefore w:val="0"/>
              <w:wordWrap w:val="0"/>
              <w:overflowPunct/>
              <w:topLinePunct w:val="0"/>
              <w:bidi w:val="0"/>
              <w:spacing w:before="126" w:line="329" w:lineRule="auto"/>
              <w:ind w:left="117" w:right="1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可能影响行人、交通、电力设施、通讯设施或 其它建、构筑物安全的拆除工程。</w:t>
            </w:r>
          </w:p>
        </w:tc>
        <w:tc>
          <w:tcPr>
            <w:tcW w:w="1294" w:type="dxa"/>
            <w:vAlign w:val="top"/>
          </w:tcPr>
          <w:p w14:paraId="0A9FAFF7">
            <w:pPr>
              <w:pStyle w:val="28"/>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highlight w:val="none"/>
                <w14:textFill>
                  <w14:solidFill>
                    <w14:schemeClr w14:val="tx1"/>
                  </w14:solidFill>
                </w14:textFill>
              </w:rPr>
            </w:pPr>
          </w:p>
          <w:p w14:paraId="34B3FB96">
            <w:pPr>
              <w:keepNext w:val="0"/>
              <w:keepLines w:val="0"/>
              <w:pageBreakBefore w:val="0"/>
              <w:wordWrap w:val="0"/>
              <w:overflowPunct/>
              <w:topLinePunct w:val="0"/>
              <w:bidi w:val="0"/>
              <w:spacing w:before="78"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D9904E6">
            <w:pPr>
              <w:pStyle w:val="28"/>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highlight w:val="none"/>
                <w14:textFill>
                  <w14:solidFill>
                    <w14:schemeClr w14:val="tx1"/>
                  </w14:solidFill>
                </w14:textFill>
              </w:rPr>
            </w:pPr>
          </w:p>
          <w:p w14:paraId="4D0D520C">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50FEA8A">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66C11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30BEE0B8">
            <w:pPr>
              <w:keepNext w:val="0"/>
              <w:keepLines w:val="0"/>
              <w:pageBreakBefore w:val="0"/>
              <w:wordWrap w:val="0"/>
              <w:overflowPunct/>
              <w:topLinePunct w:val="0"/>
              <w:bidi w:val="0"/>
              <w:spacing w:before="126" w:line="221" w:lineRule="auto"/>
              <w:ind w:left="3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六、暗挖工程</w:t>
            </w:r>
          </w:p>
        </w:tc>
        <w:tc>
          <w:tcPr>
            <w:tcW w:w="1294" w:type="dxa"/>
            <w:vAlign w:val="top"/>
          </w:tcPr>
          <w:p w14:paraId="096738AD">
            <w:pPr>
              <w:keepNext w:val="0"/>
              <w:keepLines w:val="0"/>
              <w:pageBreakBefore w:val="0"/>
              <w:wordWrap w:val="0"/>
              <w:overflowPunct/>
              <w:topLinePunct w:val="0"/>
              <w:bidi w:val="0"/>
              <w:spacing w:before="126"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2FCEA97">
            <w:pPr>
              <w:keepNext w:val="0"/>
              <w:keepLines w:val="0"/>
              <w:pageBreakBefore w:val="0"/>
              <w:wordWrap w:val="0"/>
              <w:overflowPunct/>
              <w:topLinePunct w:val="0"/>
              <w:bidi w:val="0"/>
              <w:spacing w:before="126"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EFB7B18">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050D5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0DD12E32">
            <w:pPr>
              <w:keepNext w:val="0"/>
              <w:keepLines w:val="0"/>
              <w:pageBreakBefore w:val="0"/>
              <w:wordWrap w:val="0"/>
              <w:overflowPunct/>
              <w:topLinePunct w:val="0"/>
              <w:bidi w:val="0"/>
              <w:spacing w:before="128" w:line="328" w:lineRule="auto"/>
              <w:ind w:left="119" w:right="168" w:hanging="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采用矿山法、盾构法、顶管法施工的隧道、洞 室工程。</w:t>
            </w:r>
          </w:p>
        </w:tc>
        <w:tc>
          <w:tcPr>
            <w:tcW w:w="1294" w:type="dxa"/>
            <w:vAlign w:val="top"/>
          </w:tcPr>
          <w:p w14:paraId="41A2393E">
            <w:pPr>
              <w:pStyle w:val="28"/>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highlight w:val="none"/>
                <w14:textFill>
                  <w14:solidFill>
                    <w14:schemeClr w14:val="tx1"/>
                  </w14:solidFill>
                </w14:textFill>
              </w:rPr>
            </w:pPr>
          </w:p>
          <w:p w14:paraId="3183CE4F">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B4F68CC">
            <w:pPr>
              <w:pStyle w:val="28"/>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highlight w:val="none"/>
                <w14:textFill>
                  <w14:solidFill>
                    <w14:schemeClr w14:val="tx1"/>
                  </w14:solidFill>
                </w14:textFill>
              </w:rPr>
            </w:pPr>
          </w:p>
          <w:p w14:paraId="1E79BD64">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A19A2ED">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5B294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1FE7E493">
            <w:pPr>
              <w:keepNext w:val="0"/>
              <w:keepLines w:val="0"/>
              <w:pageBreakBefore w:val="0"/>
              <w:wordWrap w:val="0"/>
              <w:overflowPunct/>
              <w:topLinePunct w:val="0"/>
              <w:bidi w:val="0"/>
              <w:spacing w:before="129" w:line="222" w:lineRule="auto"/>
              <w:ind w:left="11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七、其它</w:t>
            </w:r>
          </w:p>
        </w:tc>
        <w:tc>
          <w:tcPr>
            <w:tcW w:w="1294" w:type="dxa"/>
            <w:vAlign w:val="top"/>
          </w:tcPr>
          <w:p w14:paraId="277DB7A9">
            <w:pPr>
              <w:keepNext w:val="0"/>
              <w:keepLines w:val="0"/>
              <w:pageBreakBefore w:val="0"/>
              <w:wordWrap w:val="0"/>
              <w:overflowPunct/>
              <w:topLinePunct w:val="0"/>
              <w:bidi w:val="0"/>
              <w:spacing w:before="129"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5BBDAB4">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9140078">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08706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6247EBC8">
            <w:pPr>
              <w:keepNext w:val="0"/>
              <w:keepLines w:val="0"/>
              <w:pageBreakBefore w:val="0"/>
              <w:wordWrap w:val="0"/>
              <w:overflowPunct/>
              <w:topLinePunct w:val="0"/>
              <w:bidi w:val="0"/>
              <w:spacing w:before="128"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（一）建筑幕墙安装工程。</w:t>
            </w:r>
          </w:p>
        </w:tc>
        <w:tc>
          <w:tcPr>
            <w:tcW w:w="1294" w:type="dxa"/>
            <w:vAlign w:val="top"/>
          </w:tcPr>
          <w:p w14:paraId="594F7240">
            <w:pPr>
              <w:keepNext w:val="0"/>
              <w:keepLines w:val="0"/>
              <w:pageBreakBefore w:val="0"/>
              <w:wordWrap w:val="0"/>
              <w:overflowPunct/>
              <w:topLinePunct w:val="0"/>
              <w:bidi w:val="0"/>
              <w:spacing w:before="127"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3358343">
            <w:pPr>
              <w:keepNext w:val="0"/>
              <w:keepLines w:val="0"/>
              <w:pageBreakBefore w:val="0"/>
              <w:wordWrap w:val="0"/>
              <w:overflowPunct/>
              <w:topLinePunct w:val="0"/>
              <w:bidi w:val="0"/>
              <w:spacing w:before="127"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A6B694E">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40834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76116876">
            <w:pPr>
              <w:keepNext w:val="0"/>
              <w:keepLines w:val="0"/>
              <w:pageBreakBefore w:val="0"/>
              <w:wordWrap w:val="0"/>
              <w:overflowPunct/>
              <w:topLinePunct w:val="0"/>
              <w:bidi w:val="0"/>
              <w:spacing w:before="128" w:line="221"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（二）钢结构、网架和索膜结构安装工程。</w:t>
            </w:r>
          </w:p>
        </w:tc>
        <w:tc>
          <w:tcPr>
            <w:tcW w:w="1294" w:type="dxa"/>
            <w:vAlign w:val="top"/>
          </w:tcPr>
          <w:p w14:paraId="571DD0F6">
            <w:pPr>
              <w:keepNext w:val="0"/>
              <w:keepLines w:val="0"/>
              <w:pageBreakBefore w:val="0"/>
              <w:wordWrap w:val="0"/>
              <w:overflowPunct/>
              <w:topLinePunct w:val="0"/>
              <w:bidi w:val="0"/>
              <w:spacing w:before="12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7B1AA7CA">
            <w:pPr>
              <w:keepNext w:val="0"/>
              <w:keepLines w:val="0"/>
              <w:pageBreakBefore w:val="0"/>
              <w:wordWrap w:val="0"/>
              <w:overflowPunct/>
              <w:topLinePunct w:val="0"/>
              <w:bidi w:val="0"/>
              <w:spacing w:before="12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6810C91">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2E9BE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70279A1D">
            <w:pPr>
              <w:keepNext w:val="0"/>
              <w:keepLines w:val="0"/>
              <w:pageBreakBefore w:val="0"/>
              <w:wordWrap w:val="0"/>
              <w:overflowPunct/>
              <w:topLinePunct w:val="0"/>
              <w:bidi w:val="0"/>
              <w:spacing w:before="128"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（三）人工挖孔桩工程。</w:t>
            </w:r>
          </w:p>
        </w:tc>
        <w:tc>
          <w:tcPr>
            <w:tcW w:w="1294" w:type="dxa"/>
            <w:vAlign w:val="top"/>
          </w:tcPr>
          <w:p w14:paraId="68A4C3FD">
            <w:pPr>
              <w:keepNext w:val="0"/>
              <w:keepLines w:val="0"/>
              <w:pageBreakBefore w:val="0"/>
              <w:wordWrap w:val="0"/>
              <w:overflowPunct/>
              <w:topLinePunct w:val="0"/>
              <w:bidi w:val="0"/>
              <w:spacing w:before="12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D9EDFFA">
            <w:pPr>
              <w:keepNext w:val="0"/>
              <w:keepLines w:val="0"/>
              <w:pageBreakBefore w:val="0"/>
              <w:wordWrap w:val="0"/>
              <w:overflowPunct/>
              <w:topLinePunct w:val="0"/>
              <w:bidi w:val="0"/>
              <w:spacing w:before="12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28B0F19">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38173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67968F35">
            <w:pPr>
              <w:keepNext w:val="0"/>
              <w:keepLines w:val="0"/>
              <w:pageBreakBefore w:val="0"/>
              <w:wordWrap w:val="0"/>
              <w:overflowPunct/>
              <w:topLinePunct w:val="0"/>
              <w:bidi w:val="0"/>
              <w:spacing w:before="129"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（四）水下作业工程。</w:t>
            </w:r>
          </w:p>
        </w:tc>
        <w:tc>
          <w:tcPr>
            <w:tcW w:w="1294" w:type="dxa"/>
            <w:vAlign w:val="top"/>
          </w:tcPr>
          <w:p w14:paraId="5BBFC845">
            <w:pPr>
              <w:keepNext w:val="0"/>
              <w:keepLines w:val="0"/>
              <w:pageBreakBefore w:val="0"/>
              <w:wordWrap w:val="0"/>
              <w:overflowPunct/>
              <w:topLinePunct w:val="0"/>
              <w:bidi w:val="0"/>
              <w:spacing w:before="129"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11E41E3">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287899C">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6CE42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3E2EB51E">
            <w:pPr>
              <w:keepNext w:val="0"/>
              <w:keepLines w:val="0"/>
              <w:pageBreakBefore w:val="0"/>
              <w:wordWrap w:val="0"/>
              <w:overflowPunct/>
              <w:topLinePunct w:val="0"/>
              <w:bidi w:val="0"/>
              <w:spacing w:before="129"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（五）装配式建筑混凝土预制构件安装工程。</w:t>
            </w:r>
          </w:p>
        </w:tc>
        <w:tc>
          <w:tcPr>
            <w:tcW w:w="1294" w:type="dxa"/>
            <w:vAlign w:val="top"/>
          </w:tcPr>
          <w:p w14:paraId="0335193E">
            <w:pPr>
              <w:keepNext w:val="0"/>
              <w:keepLines w:val="0"/>
              <w:pageBreakBefore w:val="0"/>
              <w:wordWrap w:val="0"/>
              <w:overflowPunct/>
              <w:topLinePunct w:val="0"/>
              <w:bidi w:val="0"/>
              <w:spacing w:before="129"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88C26DB">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AE26D27">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60BACE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242918A5">
            <w:pPr>
              <w:keepNext w:val="0"/>
              <w:keepLines w:val="0"/>
              <w:pageBreakBefore w:val="0"/>
              <w:wordWrap w:val="0"/>
              <w:overflowPunct/>
              <w:topLinePunct w:val="0"/>
              <w:bidi w:val="0"/>
              <w:spacing w:before="129" w:line="345" w:lineRule="auto"/>
              <w:ind w:left="117" w:right="168" w:firstLine="1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（六）采用新技术、新工艺、新材料、新设备 可能影响工程施工安全，尚无国家、行业及地 方技术标准的分部分项工程。</w:t>
            </w:r>
          </w:p>
        </w:tc>
        <w:tc>
          <w:tcPr>
            <w:tcW w:w="1294" w:type="dxa"/>
            <w:vAlign w:val="top"/>
          </w:tcPr>
          <w:p w14:paraId="496F222B">
            <w:pPr>
              <w:pStyle w:val="28"/>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highlight w:val="none"/>
                <w14:textFill>
                  <w14:solidFill>
                    <w14:schemeClr w14:val="tx1"/>
                  </w14:solidFill>
                </w14:textFill>
              </w:rPr>
            </w:pPr>
          </w:p>
          <w:p w14:paraId="4BE76F41">
            <w:pPr>
              <w:pStyle w:val="28"/>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highlight w:val="none"/>
                <w14:textFill>
                  <w14:solidFill>
                    <w14:schemeClr w14:val="tx1"/>
                  </w14:solidFill>
                </w14:textFill>
              </w:rPr>
            </w:pPr>
          </w:p>
          <w:p w14:paraId="239AC87B">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82C1EFD">
            <w:pPr>
              <w:pStyle w:val="28"/>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highlight w:val="none"/>
                <w14:textFill>
                  <w14:solidFill>
                    <w14:schemeClr w14:val="tx1"/>
                  </w14:solidFill>
                </w14:textFill>
              </w:rPr>
            </w:pPr>
          </w:p>
          <w:p w14:paraId="7FBE4FE4">
            <w:pPr>
              <w:pStyle w:val="28"/>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highlight w:val="none"/>
                <w14:textFill>
                  <w14:solidFill>
                    <w14:schemeClr w14:val="tx1"/>
                  </w14:solidFill>
                </w14:textFill>
              </w:rPr>
            </w:pPr>
          </w:p>
          <w:p w14:paraId="232EE85F">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D9EE8AB">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113E8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4264981E">
            <w:pPr>
              <w:keepNext w:val="0"/>
              <w:keepLines w:val="0"/>
              <w:pageBreakBefore w:val="0"/>
              <w:wordWrap w:val="0"/>
              <w:overflowPunct/>
              <w:topLinePunct w:val="0"/>
              <w:bidi w:val="0"/>
              <w:spacing w:before="129" w:line="328" w:lineRule="auto"/>
              <w:ind w:left="115" w:right="108" w:firstLine="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二、超过一定规模的危险性较大的分部分项工程清单</w:t>
            </w:r>
          </w:p>
        </w:tc>
        <w:tc>
          <w:tcPr>
            <w:tcW w:w="1294" w:type="dxa"/>
            <w:vAlign w:val="top"/>
          </w:tcPr>
          <w:p w14:paraId="52EDDCE6">
            <w:pPr>
              <w:pStyle w:val="28"/>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highlight w:val="none"/>
                <w14:textFill>
                  <w14:solidFill>
                    <w14:schemeClr w14:val="tx1"/>
                  </w14:solidFill>
                </w14:textFill>
              </w:rPr>
            </w:pPr>
          </w:p>
          <w:p w14:paraId="45015D35">
            <w:pPr>
              <w:keepNext w:val="0"/>
              <w:keepLines w:val="0"/>
              <w:pageBreakBefore w:val="0"/>
              <w:wordWrap w:val="0"/>
              <w:overflowPunct/>
              <w:topLinePunct w:val="0"/>
              <w:bidi w:val="0"/>
              <w:spacing w:before="78" w:line="221" w:lineRule="auto"/>
              <w:ind w:left="20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建设单位</w:t>
            </w:r>
          </w:p>
        </w:tc>
        <w:tc>
          <w:tcPr>
            <w:tcW w:w="1294" w:type="dxa"/>
            <w:vAlign w:val="top"/>
          </w:tcPr>
          <w:p w14:paraId="7D2CDEE2">
            <w:pPr>
              <w:pStyle w:val="28"/>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highlight w:val="none"/>
                <w14:textFill>
                  <w14:solidFill>
                    <w14:schemeClr w14:val="tx1"/>
                  </w14:solidFill>
                </w14:textFill>
              </w:rPr>
            </w:pPr>
          </w:p>
          <w:p w14:paraId="09D2C904">
            <w:pPr>
              <w:keepNext w:val="0"/>
              <w:keepLines w:val="0"/>
              <w:pageBreakBefore w:val="0"/>
              <w:wordWrap w:val="0"/>
              <w:overflowPunct/>
              <w:topLinePunct w:val="0"/>
              <w:bidi w:val="0"/>
              <w:spacing w:before="78" w:line="221" w:lineRule="auto"/>
              <w:ind w:left="11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投标单位</w:t>
            </w:r>
          </w:p>
        </w:tc>
        <w:tc>
          <w:tcPr>
            <w:tcW w:w="2428" w:type="dxa"/>
            <w:vAlign w:val="top"/>
          </w:tcPr>
          <w:p w14:paraId="0E9BBCA9">
            <w:pPr>
              <w:pStyle w:val="28"/>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highlight w:val="none"/>
                <w14:textFill>
                  <w14:solidFill>
                    <w14:schemeClr w14:val="tx1"/>
                  </w14:solidFill>
                </w14:textFill>
              </w:rPr>
            </w:pPr>
          </w:p>
          <w:p w14:paraId="562A97E9">
            <w:pPr>
              <w:keepNext w:val="0"/>
              <w:keepLines w:val="0"/>
              <w:pageBreakBefore w:val="0"/>
              <w:wordWrap w:val="0"/>
              <w:overflowPunct/>
              <w:topLinePunct w:val="0"/>
              <w:bidi w:val="0"/>
              <w:spacing w:before="78" w:line="222" w:lineRule="auto"/>
              <w:ind w:left="3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备注</w:t>
            </w:r>
          </w:p>
        </w:tc>
      </w:tr>
      <w:tr w14:paraId="09383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02FC6A74">
            <w:pPr>
              <w:keepNext w:val="0"/>
              <w:keepLines w:val="0"/>
              <w:pageBreakBefore w:val="0"/>
              <w:wordWrap w:val="0"/>
              <w:overflowPunct/>
              <w:topLinePunct w:val="0"/>
              <w:bidi w:val="0"/>
              <w:spacing w:before="129" w:line="221"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一、深基坑工程</w:t>
            </w:r>
          </w:p>
        </w:tc>
        <w:tc>
          <w:tcPr>
            <w:tcW w:w="1294" w:type="dxa"/>
            <w:vAlign w:val="top"/>
          </w:tcPr>
          <w:p w14:paraId="0FD5C757">
            <w:pPr>
              <w:keepNext w:val="0"/>
              <w:keepLines w:val="0"/>
              <w:pageBreakBefore w:val="0"/>
              <w:wordWrap w:val="0"/>
              <w:overflowPunct/>
              <w:topLinePunct w:val="0"/>
              <w:bidi w:val="0"/>
              <w:spacing w:before="129"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15D0C9B">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CBB58B3">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73503D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6045EE0E">
            <w:pPr>
              <w:keepNext w:val="0"/>
              <w:keepLines w:val="0"/>
              <w:pageBreakBefore w:val="0"/>
              <w:wordWrap w:val="0"/>
              <w:overflowPunct/>
              <w:topLinePunct w:val="0"/>
              <w:bidi w:val="0"/>
              <w:spacing w:before="131" w:line="327" w:lineRule="auto"/>
              <w:ind w:left="117" w:right="1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开挖深度超过 5m（含 5m）的基坑（槽）的土方 开挖、支护、降水工程。</w:t>
            </w:r>
          </w:p>
        </w:tc>
        <w:tc>
          <w:tcPr>
            <w:tcW w:w="1294" w:type="dxa"/>
            <w:vAlign w:val="top"/>
          </w:tcPr>
          <w:p w14:paraId="507AE1DC">
            <w:pPr>
              <w:pStyle w:val="28"/>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highlight w:val="none"/>
                <w14:textFill>
                  <w14:solidFill>
                    <w14:schemeClr w14:val="tx1"/>
                  </w14:solidFill>
                </w14:textFill>
              </w:rPr>
            </w:pPr>
          </w:p>
          <w:p w14:paraId="3F469623">
            <w:pPr>
              <w:keepNext w:val="0"/>
              <w:keepLines w:val="0"/>
              <w:pageBreakBefore w:val="0"/>
              <w:wordWrap w:val="0"/>
              <w:overflowPunct/>
              <w:topLinePunct w:val="0"/>
              <w:bidi w:val="0"/>
              <w:spacing w:before="78"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21BD327">
            <w:pPr>
              <w:pStyle w:val="28"/>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highlight w:val="none"/>
                <w14:textFill>
                  <w14:solidFill>
                    <w14:schemeClr w14:val="tx1"/>
                  </w14:solidFill>
                </w14:textFill>
              </w:rPr>
            </w:pPr>
          </w:p>
          <w:p w14:paraId="51AD1680">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FCDD85F">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0328A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0627481A">
            <w:pPr>
              <w:keepNext w:val="0"/>
              <w:keepLines w:val="0"/>
              <w:pageBreakBefore w:val="0"/>
              <w:wordWrap w:val="0"/>
              <w:overflowPunct/>
              <w:topLinePunct w:val="0"/>
              <w:bidi w:val="0"/>
              <w:spacing w:before="130" w:line="219"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二、模板工程及支撑体系</w:t>
            </w:r>
          </w:p>
        </w:tc>
        <w:tc>
          <w:tcPr>
            <w:tcW w:w="1294" w:type="dxa"/>
            <w:vAlign w:val="top"/>
          </w:tcPr>
          <w:p w14:paraId="4297BDAC">
            <w:pPr>
              <w:keepNext w:val="0"/>
              <w:keepLines w:val="0"/>
              <w:pageBreakBefore w:val="0"/>
              <w:wordWrap w:val="0"/>
              <w:overflowPunct/>
              <w:topLinePunct w:val="0"/>
              <w:bidi w:val="0"/>
              <w:spacing w:before="129"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default" w:ascii="宋体" w:hAnsi="宋体" w:eastAsia="宋体" w:cs="宋体"/>
                <w:color w:val="000000" w:themeColor="text1"/>
                <w:spacing w:val="0"/>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1E5FCAEB">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3E9C002">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41D0B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2D300C9C">
            <w:pPr>
              <w:keepNext w:val="0"/>
              <w:keepLines w:val="0"/>
              <w:pageBreakBefore w:val="0"/>
              <w:wordWrap w:val="0"/>
              <w:overflowPunct/>
              <w:topLinePunct w:val="0"/>
              <w:bidi w:val="0"/>
              <w:spacing w:before="130" w:line="327" w:lineRule="auto"/>
              <w:ind w:left="123" w:right="25" w:firstLine="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（一）各类工具式模板工程：包括滑模、爬模、 飞模、隧道模等工程。</w:t>
            </w:r>
          </w:p>
        </w:tc>
        <w:tc>
          <w:tcPr>
            <w:tcW w:w="1294" w:type="dxa"/>
            <w:vAlign w:val="top"/>
          </w:tcPr>
          <w:p w14:paraId="01D661E1">
            <w:pPr>
              <w:pStyle w:val="28"/>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highlight w:val="none"/>
                <w14:textFill>
                  <w14:solidFill>
                    <w14:schemeClr w14:val="tx1"/>
                  </w14:solidFill>
                </w14:textFill>
              </w:rPr>
            </w:pPr>
          </w:p>
          <w:p w14:paraId="1DDA3CCD">
            <w:pPr>
              <w:keepNext w:val="0"/>
              <w:keepLines w:val="0"/>
              <w:pageBreakBefore w:val="0"/>
              <w:wordWrap w:val="0"/>
              <w:overflowPunct/>
              <w:topLinePunct w:val="0"/>
              <w:bidi w:val="0"/>
              <w:spacing w:before="78"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4A02DEB">
            <w:pPr>
              <w:pStyle w:val="28"/>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highlight w:val="none"/>
                <w14:textFill>
                  <w14:solidFill>
                    <w14:schemeClr w14:val="tx1"/>
                  </w14:solidFill>
                </w14:textFill>
              </w:rPr>
            </w:pPr>
          </w:p>
          <w:p w14:paraId="514A516E">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E381ED2">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5FC89D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792E50BC">
            <w:pPr>
              <w:keepNext w:val="0"/>
              <w:keepLines w:val="0"/>
              <w:pageBreakBefore w:val="0"/>
              <w:wordWrap w:val="0"/>
              <w:overflowPunct/>
              <w:topLinePunct w:val="0"/>
              <w:bidi w:val="0"/>
              <w:spacing w:before="132" w:line="353" w:lineRule="auto"/>
              <w:ind w:left="116" w:right="6" w:firstLine="11"/>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（二）混凝土模板支撑工程：搭设高度8m 及以 上，或搭设跨度 18m 及以上，或施工总荷载（设计值）15kN/m2 及以上，或集中线荷载（设计值） 20kN/m 及以上。</w:t>
            </w:r>
          </w:p>
        </w:tc>
        <w:tc>
          <w:tcPr>
            <w:tcW w:w="1294" w:type="dxa"/>
            <w:vAlign w:val="top"/>
          </w:tcPr>
          <w:p w14:paraId="6C626011">
            <w:pPr>
              <w:pStyle w:val="28"/>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highlight w:val="none"/>
                <w14:textFill>
                  <w14:solidFill>
                    <w14:schemeClr w14:val="tx1"/>
                  </w14:solidFill>
                </w14:textFill>
              </w:rPr>
            </w:pPr>
          </w:p>
          <w:p w14:paraId="63B16BE2">
            <w:pPr>
              <w:pStyle w:val="28"/>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highlight w:val="none"/>
                <w14:textFill>
                  <w14:solidFill>
                    <w14:schemeClr w14:val="tx1"/>
                  </w14:solidFill>
                </w14:textFill>
              </w:rPr>
            </w:pPr>
          </w:p>
          <w:p w14:paraId="2DC2A742">
            <w:pPr>
              <w:pStyle w:val="28"/>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highlight w:val="none"/>
                <w14:textFill>
                  <w14:solidFill>
                    <w14:schemeClr w14:val="tx1"/>
                  </w14:solidFill>
                </w14:textFill>
              </w:rPr>
            </w:pPr>
          </w:p>
          <w:p w14:paraId="2401A348">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7D4918F3">
            <w:pPr>
              <w:pStyle w:val="28"/>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highlight w:val="none"/>
                <w14:textFill>
                  <w14:solidFill>
                    <w14:schemeClr w14:val="tx1"/>
                  </w14:solidFill>
                </w14:textFill>
              </w:rPr>
            </w:pPr>
          </w:p>
          <w:p w14:paraId="22A75233">
            <w:pPr>
              <w:pStyle w:val="28"/>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highlight w:val="none"/>
                <w14:textFill>
                  <w14:solidFill>
                    <w14:schemeClr w14:val="tx1"/>
                  </w14:solidFill>
                </w14:textFill>
              </w:rPr>
            </w:pPr>
          </w:p>
          <w:p w14:paraId="6835FC2C">
            <w:pPr>
              <w:pStyle w:val="28"/>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highlight w:val="none"/>
                <w14:textFill>
                  <w14:solidFill>
                    <w14:schemeClr w14:val="tx1"/>
                  </w14:solidFill>
                </w14:textFill>
              </w:rPr>
            </w:pPr>
          </w:p>
          <w:p w14:paraId="065FF7AF">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7B509C14">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218BD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817" w:hRule="atLeast"/>
          <w:jc w:val="center"/>
        </w:trPr>
        <w:tc>
          <w:tcPr>
            <w:tcW w:w="4864" w:type="dxa"/>
            <w:vAlign w:val="top"/>
          </w:tcPr>
          <w:p w14:paraId="49E32F9C">
            <w:pPr>
              <w:keepNext w:val="0"/>
              <w:keepLines w:val="0"/>
              <w:pageBreakBefore w:val="0"/>
              <w:wordWrap w:val="0"/>
              <w:overflowPunct/>
              <w:topLinePunct w:val="0"/>
              <w:bidi w:val="0"/>
              <w:spacing w:before="131"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（三）承重支撑体系：用于钢结构安装等满堂</w:t>
            </w:r>
          </w:p>
          <w:p w14:paraId="056895D1">
            <w:pPr>
              <w:keepNext w:val="0"/>
              <w:keepLines w:val="0"/>
              <w:pageBreakBefore w:val="0"/>
              <w:wordWrap w:val="0"/>
              <w:overflowPunct/>
              <w:topLinePunct w:val="0"/>
              <w:bidi w:val="0"/>
              <w:spacing w:before="131" w:line="220" w:lineRule="auto"/>
              <w:ind w:left="11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支撑体系，承受单点集中荷载 7kN 及以上。</w:t>
            </w:r>
          </w:p>
        </w:tc>
        <w:tc>
          <w:tcPr>
            <w:tcW w:w="1294" w:type="dxa"/>
            <w:vAlign w:val="top"/>
          </w:tcPr>
          <w:p w14:paraId="553E2DF0">
            <w:pPr>
              <w:keepNext w:val="0"/>
              <w:keepLines w:val="0"/>
              <w:pageBreakBefore w:val="0"/>
              <w:wordWrap w:val="0"/>
              <w:overflowPunct/>
              <w:topLinePunct w:val="0"/>
              <w:bidi w:val="0"/>
              <w:spacing w:before="131"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1C72B68A">
            <w:pPr>
              <w:keepNext w:val="0"/>
              <w:keepLines w:val="0"/>
              <w:pageBreakBefore w:val="0"/>
              <w:wordWrap w:val="0"/>
              <w:overflowPunct/>
              <w:topLinePunct w:val="0"/>
              <w:bidi w:val="0"/>
              <w:spacing w:before="131"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BCEDFE2">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12615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543B4A7F">
            <w:pPr>
              <w:keepNext w:val="0"/>
              <w:keepLines w:val="0"/>
              <w:pageBreakBefore w:val="0"/>
              <w:wordWrap w:val="0"/>
              <w:overflowPunct/>
              <w:topLinePunct w:val="0"/>
              <w:bidi w:val="0"/>
              <w:spacing w:before="128" w:line="219" w:lineRule="auto"/>
              <w:ind w:left="3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三、起重吊装及起重机械安装拆卸工程</w:t>
            </w:r>
          </w:p>
        </w:tc>
        <w:tc>
          <w:tcPr>
            <w:tcW w:w="1294" w:type="dxa"/>
            <w:vAlign w:val="top"/>
          </w:tcPr>
          <w:p w14:paraId="7C46839F">
            <w:pPr>
              <w:keepNext w:val="0"/>
              <w:keepLines w:val="0"/>
              <w:pageBreakBefore w:val="0"/>
              <w:wordWrap w:val="0"/>
              <w:overflowPunct/>
              <w:topLinePunct w:val="0"/>
              <w:bidi w:val="0"/>
              <w:spacing w:before="127" w:line="223" w:lineRule="auto"/>
              <w:ind w:left="42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1E954BA4">
            <w:pPr>
              <w:keepNext w:val="0"/>
              <w:keepLines w:val="0"/>
              <w:pageBreakBefore w:val="0"/>
              <w:wordWrap w:val="0"/>
              <w:overflowPunct/>
              <w:topLinePunct w:val="0"/>
              <w:bidi w:val="0"/>
              <w:spacing w:before="127"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3BEF426E">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48715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68715B81">
            <w:pPr>
              <w:keepNext w:val="0"/>
              <w:keepLines w:val="0"/>
              <w:pageBreakBefore w:val="0"/>
              <w:wordWrap w:val="0"/>
              <w:overflowPunct/>
              <w:topLinePunct w:val="0"/>
              <w:bidi w:val="0"/>
              <w:spacing w:before="129" w:line="328" w:lineRule="auto"/>
              <w:ind w:left="144" w:right="168" w:hanging="1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（一）采用非常规起重设备、方法，且单件起 吊重量在 100kN 及以上的起重吊装工程。</w:t>
            </w:r>
          </w:p>
        </w:tc>
        <w:tc>
          <w:tcPr>
            <w:tcW w:w="1294" w:type="dxa"/>
            <w:vAlign w:val="top"/>
          </w:tcPr>
          <w:p w14:paraId="62176862">
            <w:pPr>
              <w:pStyle w:val="28"/>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highlight w:val="none"/>
                <w14:textFill>
                  <w14:solidFill>
                    <w14:schemeClr w14:val="tx1"/>
                  </w14:solidFill>
                </w14:textFill>
              </w:rPr>
            </w:pPr>
          </w:p>
          <w:p w14:paraId="48EFCFE9">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23FF28E">
            <w:pPr>
              <w:pStyle w:val="28"/>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highlight w:val="none"/>
                <w14:textFill>
                  <w14:solidFill>
                    <w14:schemeClr w14:val="tx1"/>
                  </w14:solidFill>
                </w14:textFill>
              </w:rPr>
            </w:pPr>
          </w:p>
          <w:p w14:paraId="3385602F">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778E792E">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3819C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732EB0C9">
            <w:pPr>
              <w:keepNext w:val="0"/>
              <w:keepLines w:val="0"/>
              <w:pageBreakBefore w:val="0"/>
              <w:wordWrap w:val="0"/>
              <w:overflowPunct/>
              <w:topLinePunct w:val="0"/>
              <w:bidi w:val="0"/>
              <w:spacing w:before="129" w:line="345" w:lineRule="auto"/>
              <w:ind w:left="115" w:right="105" w:firstLine="1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（二）起重量 300kN 及以上，或搭设总高度 200m 及以上，或搭设基础标高在 200m 及以上的起重 机械安装和拆卸工程。</w:t>
            </w:r>
          </w:p>
        </w:tc>
        <w:tc>
          <w:tcPr>
            <w:tcW w:w="1294" w:type="dxa"/>
            <w:vAlign w:val="top"/>
          </w:tcPr>
          <w:p w14:paraId="5762D0E9">
            <w:pPr>
              <w:pStyle w:val="28"/>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highlight w:val="none"/>
                <w14:textFill>
                  <w14:solidFill>
                    <w14:schemeClr w14:val="tx1"/>
                  </w14:solidFill>
                </w14:textFill>
              </w:rPr>
            </w:pPr>
          </w:p>
          <w:p w14:paraId="640C634B">
            <w:pPr>
              <w:pStyle w:val="28"/>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highlight w:val="none"/>
                <w14:textFill>
                  <w14:solidFill>
                    <w14:schemeClr w14:val="tx1"/>
                  </w14:solidFill>
                </w14:textFill>
              </w:rPr>
            </w:pPr>
          </w:p>
          <w:p w14:paraId="685B83EE">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529E055E">
            <w:pPr>
              <w:pStyle w:val="28"/>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highlight w:val="none"/>
                <w14:textFill>
                  <w14:solidFill>
                    <w14:schemeClr w14:val="tx1"/>
                  </w14:solidFill>
                </w14:textFill>
              </w:rPr>
            </w:pPr>
          </w:p>
          <w:p w14:paraId="292B70A0">
            <w:pPr>
              <w:pStyle w:val="28"/>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highlight w:val="none"/>
                <w14:textFill>
                  <w14:solidFill>
                    <w14:schemeClr w14:val="tx1"/>
                  </w14:solidFill>
                </w14:textFill>
              </w:rPr>
            </w:pPr>
          </w:p>
          <w:p w14:paraId="06C60C1D">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7ACFA6F">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11C3B0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4F30D083">
            <w:pPr>
              <w:keepNext w:val="0"/>
              <w:keepLines w:val="0"/>
              <w:pageBreakBefore w:val="0"/>
              <w:wordWrap w:val="0"/>
              <w:overflowPunct/>
              <w:topLinePunct w:val="0"/>
              <w:bidi w:val="0"/>
              <w:spacing w:before="128" w:line="219" w:lineRule="auto"/>
              <w:ind w:left="13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四、脚手架工程</w:t>
            </w:r>
          </w:p>
        </w:tc>
        <w:tc>
          <w:tcPr>
            <w:tcW w:w="1294" w:type="dxa"/>
            <w:vAlign w:val="top"/>
          </w:tcPr>
          <w:p w14:paraId="2881CCAF">
            <w:pPr>
              <w:keepNext w:val="0"/>
              <w:keepLines w:val="0"/>
              <w:pageBreakBefore w:val="0"/>
              <w:wordWrap w:val="0"/>
              <w:overflowPunct/>
              <w:topLinePunct w:val="0"/>
              <w:bidi w:val="0"/>
              <w:spacing w:before="127"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7B9B1B91">
            <w:pPr>
              <w:keepNext w:val="0"/>
              <w:keepLines w:val="0"/>
              <w:pageBreakBefore w:val="0"/>
              <w:wordWrap w:val="0"/>
              <w:overflowPunct/>
              <w:topLinePunct w:val="0"/>
              <w:bidi w:val="0"/>
              <w:spacing w:before="127"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0DC304E">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0B14B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28AA96E6">
            <w:pPr>
              <w:keepNext w:val="0"/>
              <w:keepLines w:val="0"/>
              <w:pageBreakBefore w:val="0"/>
              <w:wordWrap w:val="0"/>
              <w:overflowPunct/>
              <w:topLinePunct w:val="0"/>
              <w:bidi w:val="0"/>
              <w:spacing w:before="128" w:line="328" w:lineRule="auto"/>
              <w:ind w:left="117" w:right="168" w:firstLine="1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（一）搭设高度 50m 及以上的落地式钢管脚手 架工程。</w:t>
            </w:r>
          </w:p>
        </w:tc>
        <w:tc>
          <w:tcPr>
            <w:tcW w:w="1294" w:type="dxa"/>
            <w:vAlign w:val="top"/>
          </w:tcPr>
          <w:p w14:paraId="38CA0E74">
            <w:pPr>
              <w:pStyle w:val="28"/>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highlight w:val="none"/>
                <w14:textFill>
                  <w14:solidFill>
                    <w14:schemeClr w14:val="tx1"/>
                  </w14:solidFill>
                </w14:textFill>
              </w:rPr>
            </w:pPr>
          </w:p>
          <w:p w14:paraId="14F42D08">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486B799">
            <w:pPr>
              <w:pStyle w:val="28"/>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highlight w:val="none"/>
                <w14:textFill>
                  <w14:solidFill>
                    <w14:schemeClr w14:val="tx1"/>
                  </w14:solidFill>
                </w14:textFill>
              </w:rPr>
            </w:pPr>
          </w:p>
          <w:p w14:paraId="69F43BD7">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DCFD441">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5FA034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0DA8149A">
            <w:pPr>
              <w:keepNext w:val="0"/>
              <w:keepLines w:val="0"/>
              <w:pageBreakBefore w:val="0"/>
              <w:wordWrap w:val="0"/>
              <w:overflowPunct/>
              <w:topLinePunct w:val="0"/>
              <w:bidi w:val="0"/>
              <w:spacing w:before="131" w:line="327" w:lineRule="auto"/>
              <w:ind w:left="116" w:right="105" w:firstLine="1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（二）提升高度在 </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450</w:t>
            </w:r>
            <w:r>
              <w:rPr>
                <w:rFonts w:hint="eastAsia" w:ascii="宋体" w:hAnsi="宋体" w:eastAsia="宋体" w:cs="宋体"/>
                <w:color w:val="000000" w:themeColor="text1"/>
                <w:spacing w:val="0"/>
                <w:sz w:val="24"/>
                <w:szCs w:val="24"/>
                <w:highlight w:val="none"/>
                <w14:textFill>
                  <w14:solidFill>
                    <w14:schemeClr w14:val="tx1"/>
                  </w14:solidFill>
                </w14:textFill>
              </w:rPr>
              <w:t>m 及以上的附着式升降脚 手架工程或附着式升降操作平台工程。</w:t>
            </w:r>
          </w:p>
        </w:tc>
        <w:tc>
          <w:tcPr>
            <w:tcW w:w="1294" w:type="dxa"/>
            <w:vAlign w:val="top"/>
          </w:tcPr>
          <w:p w14:paraId="6C44A919">
            <w:pPr>
              <w:pStyle w:val="28"/>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highlight w:val="none"/>
                <w14:textFill>
                  <w14:solidFill>
                    <w14:schemeClr w14:val="tx1"/>
                  </w14:solidFill>
                </w14:textFill>
              </w:rPr>
            </w:pPr>
          </w:p>
          <w:p w14:paraId="65C3F305">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14626CA">
            <w:pPr>
              <w:pStyle w:val="28"/>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highlight w:val="none"/>
                <w14:textFill>
                  <w14:solidFill>
                    <w14:schemeClr w14:val="tx1"/>
                  </w14:solidFill>
                </w14:textFill>
              </w:rPr>
            </w:pPr>
          </w:p>
          <w:p w14:paraId="77E009AF">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D109652">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5BD5D6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5B1E5B3D">
            <w:pPr>
              <w:keepNext w:val="0"/>
              <w:keepLines w:val="0"/>
              <w:pageBreakBefore w:val="0"/>
              <w:wordWrap w:val="0"/>
              <w:overflowPunct/>
              <w:topLinePunct w:val="0"/>
              <w:bidi w:val="0"/>
              <w:spacing w:before="129" w:line="328" w:lineRule="auto"/>
              <w:ind w:left="115" w:right="168" w:firstLine="1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（三）分段架体搭设高度 20m 及以上的悬挑式 脚手架工程。</w:t>
            </w:r>
          </w:p>
        </w:tc>
        <w:tc>
          <w:tcPr>
            <w:tcW w:w="1294" w:type="dxa"/>
            <w:vAlign w:val="top"/>
          </w:tcPr>
          <w:p w14:paraId="4AB79A12">
            <w:pPr>
              <w:pStyle w:val="28"/>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highlight w:val="none"/>
                <w14:textFill>
                  <w14:solidFill>
                    <w14:schemeClr w14:val="tx1"/>
                  </w14:solidFill>
                </w14:textFill>
              </w:rPr>
            </w:pPr>
          </w:p>
          <w:p w14:paraId="37005039">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ACFD169">
            <w:pPr>
              <w:pStyle w:val="28"/>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highlight w:val="none"/>
                <w14:textFill>
                  <w14:solidFill>
                    <w14:schemeClr w14:val="tx1"/>
                  </w14:solidFill>
                </w14:textFill>
              </w:rPr>
            </w:pPr>
          </w:p>
          <w:p w14:paraId="0F5EF920">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62CF69C">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04E8E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0C785A81">
            <w:pPr>
              <w:keepNext w:val="0"/>
              <w:keepLines w:val="0"/>
              <w:pageBreakBefore w:val="0"/>
              <w:wordWrap w:val="0"/>
              <w:overflowPunct/>
              <w:topLinePunct w:val="0"/>
              <w:bidi w:val="0"/>
              <w:spacing w:before="131" w:line="220"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五、拆除工程</w:t>
            </w:r>
          </w:p>
        </w:tc>
        <w:tc>
          <w:tcPr>
            <w:tcW w:w="1294" w:type="dxa"/>
            <w:vAlign w:val="top"/>
          </w:tcPr>
          <w:p w14:paraId="2B410AE1">
            <w:pPr>
              <w:keepNext w:val="0"/>
              <w:keepLines w:val="0"/>
              <w:pageBreakBefore w:val="0"/>
              <w:wordWrap w:val="0"/>
              <w:overflowPunct/>
              <w:topLinePunct w:val="0"/>
              <w:bidi w:val="0"/>
              <w:spacing w:before="158" w:line="223" w:lineRule="auto"/>
              <w:ind w:left="42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57B38F25">
            <w:pPr>
              <w:keepNext w:val="0"/>
              <w:keepLines w:val="0"/>
              <w:pageBreakBefore w:val="0"/>
              <w:wordWrap w:val="0"/>
              <w:overflowPunct/>
              <w:topLinePunct w:val="0"/>
              <w:bidi w:val="0"/>
              <w:spacing w:before="15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8E3645D">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331985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2D620B92">
            <w:pPr>
              <w:keepNext w:val="0"/>
              <w:keepLines w:val="0"/>
              <w:pageBreakBefore w:val="0"/>
              <w:wordWrap w:val="0"/>
              <w:overflowPunct/>
              <w:topLinePunct w:val="0"/>
              <w:bidi w:val="0"/>
              <w:spacing w:before="132" w:line="353" w:lineRule="auto"/>
              <w:ind w:left="115" w:right="168" w:firstLine="1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（一）码头、桥梁、高架、烟囱、水塔或拆除 中容易引起有毒有害气（液）体或粉尘扩散、 易燃易爆事故发生的特殊建、构筑物的拆除工 程。</w:t>
            </w:r>
          </w:p>
        </w:tc>
        <w:tc>
          <w:tcPr>
            <w:tcW w:w="1294" w:type="dxa"/>
            <w:vAlign w:val="top"/>
          </w:tcPr>
          <w:p w14:paraId="62837129">
            <w:pPr>
              <w:pStyle w:val="28"/>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highlight w:val="none"/>
                <w14:textFill>
                  <w14:solidFill>
                    <w14:schemeClr w14:val="tx1"/>
                  </w14:solidFill>
                </w14:textFill>
              </w:rPr>
            </w:pPr>
          </w:p>
          <w:p w14:paraId="5E2C6B65">
            <w:pPr>
              <w:pStyle w:val="28"/>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highlight w:val="none"/>
                <w14:textFill>
                  <w14:solidFill>
                    <w14:schemeClr w14:val="tx1"/>
                  </w14:solidFill>
                </w14:textFill>
              </w:rPr>
            </w:pPr>
          </w:p>
          <w:p w14:paraId="4237685B">
            <w:pPr>
              <w:pStyle w:val="28"/>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highlight w:val="none"/>
                <w14:textFill>
                  <w14:solidFill>
                    <w14:schemeClr w14:val="tx1"/>
                  </w14:solidFill>
                </w14:textFill>
              </w:rPr>
            </w:pPr>
          </w:p>
          <w:p w14:paraId="5E1C9159">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2F70B0D">
            <w:pPr>
              <w:pStyle w:val="28"/>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highlight w:val="none"/>
                <w14:textFill>
                  <w14:solidFill>
                    <w14:schemeClr w14:val="tx1"/>
                  </w14:solidFill>
                </w14:textFill>
              </w:rPr>
            </w:pPr>
          </w:p>
          <w:p w14:paraId="1459CE9C">
            <w:pPr>
              <w:pStyle w:val="28"/>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highlight w:val="none"/>
                <w14:textFill>
                  <w14:solidFill>
                    <w14:schemeClr w14:val="tx1"/>
                  </w14:solidFill>
                </w14:textFill>
              </w:rPr>
            </w:pPr>
          </w:p>
          <w:p w14:paraId="7D26B224">
            <w:pPr>
              <w:pStyle w:val="28"/>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highlight w:val="none"/>
                <w14:textFill>
                  <w14:solidFill>
                    <w14:schemeClr w14:val="tx1"/>
                  </w14:solidFill>
                </w14:textFill>
              </w:rPr>
            </w:pPr>
          </w:p>
          <w:p w14:paraId="2ABE716F">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E13D582">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47EF3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6250F9E3">
            <w:pPr>
              <w:keepNext w:val="0"/>
              <w:keepLines w:val="0"/>
              <w:pageBreakBefore w:val="0"/>
              <w:wordWrap w:val="0"/>
              <w:overflowPunct/>
              <w:topLinePunct w:val="0"/>
              <w:bidi w:val="0"/>
              <w:spacing w:before="131" w:line="327" w:lineRule="auto"/>
              <w:ind w:left="117" w:right="168" w:firstLine="1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（二）文物保护建筑、优秀历史建筑或历史文 化风貌区影响范围内的拆除工程。</w:t>
            </w:r>
          </w:p>
        </w:tc>
        <w:tc>
          <w:tcPr>
            <w:tcW w:w="1294" w:type="dxa"/>
            <w:vAlign w:val="top"/>
          </w:tcPr>
          <w:p w14:paraId="1D4EC9B1">
            <w:pPr>
              <w:pStyle w:val="28"/>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highlight w:val="none"/>
                <w14:textFill>
                  <w14:solidFill>
                    <w14:schemeClr w14:val="tx1"/>
                  </w14:solidFill>
                </w14:textFill>
              </w:rPr>
            </w:pPr>
          </w:p>
          <w:p w14:paraId="63A03CFE">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2888C22">
            <w:pPr>
              <w:pStyle w:val="28"/>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highlight w:val="none"/>
                <w14:textFill>
                  <w14:solidFill>
                    <w14:schemeClr w14:val="tx1"/>
                  </w14:solidFill>
                </w14:textFill>
              </w:rPr>
            </w:pPr>
          </w:p>
          <w:p w14:paraId="1B856F29">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3226493">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4AB33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3FB23701">
            <w:pPr>
              <w:keepNext w:val="0"/>
              <w:keepLines w:val="0"/>
              <w:pageBreakBefore w:val="0"/>
              <w:wordWrap w:val="0"/>
              <w:overflowPunct/>
              <w:topLinePunct w:val="0"/>
              <w:bidi w:val="0"/>
              <w:spacing w:before="131" w:line="221" w:lineRule="auto"/>
              <w:ind w:left="11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六、暗挖工程</w:t>
            </w:r>
          </w:p>
        </w:tc>
        <w:tc>
          <w:tcPr>
            <w:tcW w:w="1294" w:type="dxa"/>
            <w:vAlign w:val="top"/>
          </w:tcPr>
          <w:p w14:paraId="3B13018B">
            <w:pPr>
              <w:keepNext w:val="0"/>
              <w:keepLines w:val="0"/>
              <w:pageBreakBefore w:val="0"/>
              <w:wordWrap w:val="0"/>
              <w:overflowPunct/>
              <w:topLinePunct w:val="0"/>
              <w:bidi w:val="0"/>
              <w:spacing w:before="140"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51E32A96">
            <w:pPr>
              <w:keepNext w:val="0"/>
              <w:keepLines w:val="0"/>
              <w:pageBreakBefore w:val="0"/>
              <w:wordWrap w:val="0"/>
              <w:overflowPunct/>
              <w:topLinePunct w:val="0"/>
              <w:bidi w:val="0"/>
              <w:spacing w:before="140"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BEFE76D">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25277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1C421DB8">
            <w:pPr>
              <w:keepNext w:val="0"/>
              <w:keepLines w:val="0"/>
              <w:pageBreakBefore w:val="0"/>
              <w:wordWrap w:val="0"/>
              <w:overflowPunct/>
              <w:topLinePunct w:val="0"/>
              <w:bidi w:val="0"/>
              <w:spacing w:before="131" w:line="327" w:lineRule="auto"/>
              <w:ind w:left="119" w:right="168" w:hanging="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采用矿山法、盾构法、顶管法施工的隧道、洞 室工程。</w:t>
            </w:r>
          </w:p>
        </w:tc>
        <w:tc>
          <w:tcPr>
            <w:tcW w:w="1294" w:type="dxa"/>
            <w:vAlign w:val="top"/>
          </w:tcPr>
          <w:p w14:paraId="2955C1FF">
            <w:pPr>
              <w:pStyle w:val="28"/>
              <w:keepNext w:val="0"/>
              <w:keepLines w:val="0"/>
              <w:pageBreakBefore w:val="0"/>
              <w:wordWrap w:val="0"/>
              <w:overflowPunct/>
              <w:topLinePunct w:val="0"/>
              <w:bidi w:val="0"/>
              <w:spacing w:line="298" w:lineRule="auto"/>
              <w:rPr>
                <w:rFonts w:hint="eastAsia" w:ascii="宋体" w:hAnsi="宋体" w:eastAsia="宋体" w:cs="宋体"/>
                <w:color w:val="000000" w:themeColor="text1"/>
                <w:spacing w:val="0"/>
                <w:highlight w:val="none"/>
                <w14:textFill>
                  <w14:solidFill>
                    <w14:schemeClr w14:val="tx1"/>
                  </w14:solidFill>
                </w14:textFill>
              </w:rPr>
            </w:pPr>
          </w:p>
          <w:p w14:paraId="4C4C9825">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37FC5FC">
            <w:pPr>
              <w:pStyle w:val="28"/>
              <w:keepNext w:val="0"/>
              <w:keepLines w:val="0"/>
              <w:pageBreakBefore w:val="0"/>
              <w:wordWrap w:val="0"/>
              <w:overflowPunct/>
              <w:topLinePunct w:val="0"/>
              <w:bidi w:val="0"/>
              <w:spacing w:line="298" w:lineRule="auto"/>
              <w:rPr>
                <w:rFonts w:hint="eastAsia" w:ascii="宋体" w:hAnsi="宋体" w:eastAsia="宋体" w:cs="宋体"/>
                <w:color w:val="000000" w:themeColor="text1"/>
                <w:spacing w:val="0"/>
                <w:highlight w:val="none"/>
                <w14:textFill>
                  <w14:solidFill>
                    <w14:schemeClr w14:val="tx1"/>
                  </w14:solidFill>
                </w14:textFill>
              </w:rPr>
            </w:pPr>
          </w:p>
          <w:p w14:paraId="7873351B">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739747C">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23CBE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7F3B8926">
            <w:pPr>
              <w:keepNext w:val="0"/>
              <w:keepLines w:val="0"/>
              <w:pageBreakBefore w:val="0"/>
              <w:wordWrap w:val="0"/>
              <w:overflowPunct/>
              <w:topLinePunct w:val="0"/>
              <w:bidi w:val="0"/>
              <w:spacing w:before="130" w:line="222" w:lineRule="auto"/>
              <w:ind w:left="11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七、其它</w:t>
            </w:r>
          </w:p>
        </w:tc>
        <w:tc>
          <w:tcPr>
            <w:tcW w:w="1294" w:type="dxa"/>
            <w:vAlign w:val="top"/>
          </w:tcPr>
          <w:p w14:paraId="4D77A95B">
            <w:pPr>
              <w:keepNext w:val="0"/>
              <w:keepLines w:val="0"/>
              <w:pageBreakBefore w:val="0"/>
              <w:wordWrap w:val="0"/>
              <w:overflowPunct/>
              <w:topLinePunct w:val="0"/>
              <w:bidi w:val="0"/>
              <w:spacing w:before="130"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185F8E5">
            <w:pPr>
              <w:keepNext w:val="0"/>
              <w:keepLines w:val="0"/>
              <w:pageBreakBefore w:val="0"/>
              <w:wordWrap w:val="0"/>
              <w:overflowPunct/>
              <w:topLinePunct w:val="0"/>
              <w:bidi w:val="0"/>
              <w:spacing w:before="130"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8A326B1">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36214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1FF8FAEC">
            <w:pPr>
              <w:keepNext w:val="0"/>
              <w:keepLines w:val="0"/>
              <w:pageBreakBefore w:val="0"/>
              <w:wordWrap w:val="0"/>
              <w:overflowPunct/>
              <w:topLinePunct w:val="0"/>
              <w:bidi w:val="0"/>
              <w:spacing w:before="130" w:line="327" w:lineRule="auto"/>
              <w:ind w:left="115" w:right="168" w:firstLine="1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（一）施工高度 50m 及以上的建筑幕墙安装工 程。</w:t>
            </w:r>
          </w:p>
        </w:tc>
        <w:tc>
          <w:tcPr>
            <w:tcW w:w="1294" w:type="dxa"/>
            <w:vAlign w:val="top"/>
          </w:tcPr>
          <w:p w14:paraId="79731486">
            <w:pPr>
              <w:pStyle w:val="28"/>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highlight w:val="none"/>
                <w14:textFill>
                  <w14:solidFill>
                    <w14:schemeClr w14:val="tx1"/>
                  </w14:solidFill>
                </w14:textFill>
              </w:rPr>
            </w:pPr>
          </w:p>
          <w:p w14:paraId="06B1EF7E">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F023B34">
            <w:pPr>
              <w:pStyle w:val="28"/>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highlight w:val="none"/>
                <w14:textFill>
                  <w14:solidFill>
                    <w14:schemeClr w14:val="tx1"/>
                  </w14:solidFill>
                </w14:textFill>
              </w:rPr>
            </w:pPr>
          </w:p>
          <w:p w14:paraId="0642A23D">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39FC3417">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3255E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65A9370B">
            <w:pPr>
              <w:keepNext w:val="0"/>
              <w:keepLines w:val="0"/>
              <w:pageBreakBefore w:val="0"/>
              <w:wordWrap w:val="0"/>
              <w:overflowPunct/>
              <w:topLinePunct w:val="0"/>
              <w:bidi w:val="0"/>
              <w:spacing w:before="130" w:line="221"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（二）跨度 36m 及以上的钢结构安装工程，或</w:t>
            </w:r>
          </w:p>
        </w:tc>
        <w:tc>
          <w:tcPr>
            <w:tcW w:w="1294" w:type="dxa"/>
            <w:vAlign w:val="top"/>
          </w:tcPr>
          <w:p w14:paraId="0E28B8BF">
            <w:pPr>
              <w:keepNext w:val="0"/>
              <w:keepLines w:val="0"/>
              <w:pageBreakBefore w:val="0"/>
              <w:wordWrap w:val="0"/>
              <w:overflowPunct/>
              <w:topLinePunct w:val="0"/>
              <w:bidi w:val="0"/>
              <w:spacing w:before="130"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5DB057B">
            <w:pPr>
              <w:keepNext w:val="0"/>
              <w:keepLines w:val="0"/>
              <w:pageBreakBefore w:val="0"/>
              <w:wordWrap w:val="0"/>
              <w:overflowPunct/>
              <w:topLinePunct w:val="0"/>
              <w:bidi w:val="0"/>
              <w:spacing w:before="130"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3DB903A">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648D89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741E2AF4">
            <w:pPr>
              <w:keepNext w:val="0"/>
              <w:keepLines w:val="0"/>
              <w:pageBreakBefore w:val="0"/>
              <w:wordWrap w:val="0"/>
              <w:overflowPunct/>
              <w:topLinePunct w:val="0"/>
              <w:bidi w:val="0"/>
              <w:spacing w:before="131" w:line="221" w:lineRule="auto"/>
              <w:ind w:left="11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跨度 60m 及以上的网架和索膜结构安装工程。</w:t>
            </w:r>
          </w:p>
        </w:tc>
        <w:tc>
          <w:tcPr>
            <w:tcW w:w="1294" w:type="dxa"/>
            <w:vAlign w:val="top"/>
          </w:tcPr>
          <w:p w14:paraId="64B97050">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c>
          <w:tcPr>
            <w:tcW w:w="1294" w:type="dxa"/>
            <w:vAlign w:val="top"/>
          </w:tcPr>
          <w:p w14:paraId="002E0645">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c>
          <w:tcPr>
            <w:tcW w:w="2428" w:type="dxa"/>
            <w:vAlign w:val="top"/>
          </w:tcPr>
          <w:p w14:paraId="044C4BAC">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6EB4F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11B8FBFF">
            <w:pPr>
              <w:keepNext w:val="0"/>
              <w:keepLines w:val="0"/>
              <w:pageBreakBefore w:val="0"/>
              <w:wordWrap w:val="0"/>
              <w:overflowPunct/>
              <w:topLinePunct w:val="0"/>
              <w:bidi w:val="0"/>
              <w:spacing w:before="127" w:line="220"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（三）开挖深度 16m 及以上的人工挖孔桩工程。</w:t>
            </w:r>
          </w:p>
        </w:tc>
        <w:tc>
          <w:tcPr>
            <w:tcW w:w="1294" w:type="dxa"/>
            <w:vAlign w:val="top"/>
          </w:tcPr>
          <w:p w14:paraId="62C02099">
            <w:pPr>
              <w:keepNext w:val="0"/>
              <w:keepLines w:val="0"/>
              <w:pageBreakBefore w:val="0"/>
              <w:wordWrap w:val="0"/>
              <w:overflowPunct/>
              <w:topLinePunct w:val="0"/>
              <w:bidi w:val="0"/>
              <w:spacing w:before="127"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41BE568">
            <w:pPr>
              <w:keepNext w:val="0"/>
              <w:keepLines w:val="0"/>
              <w:pageBreakBefore w:val="0"/>
              <w:wordWrap w:val="0"/>
              <w:overflowPunct/>
              <w:topLinePunct w:val="0"/>
              <w:bidi w:val="0"/>
              <w:spacing w:before="127"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B3ECDA4">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0A9F4D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4C8AFDA4">
            <w:pPr>
              <w:keepNext w:val="0"/>
              <w:keepLines w:val="0"/>
              <w:pageBreakBefore w:val="0"/>
              <w:wordWrap w:val="0"/>
              <w:overflowPunct/>
              <w:topLinePunct w:val="0"/>
              <w:bidi w:val="0"/>
              <w:spacing w:before="129"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（四）水下作业工程。</w:t>
            </w:r>
          </w:p>
        </w:tc>
        <w:tc>
          <w:tcPr>
            <w:tcW w:w="1294" w:type="dxa"/>
            <w:vAlign w:val="top"/>
          </w:tcPr>
          <w:p w14:paraId="3067C02F">
            <w:pPr>
              <w:keepNext w:val="0"/>
              <w:keepLines w:val="0"/>
              <w:pageBreakBefore w:val="0"/>
              <w:wordWrap w:val="0"/>
              <w:overflowPunct/>
              <w:topLinePunct w:val="0"/>
              <w:bidi w:val="0"/>
              <w:spacing w:before="163"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52CEF54C">
            <w:pPr>
              <w:keepNext w:val="0"/>
              <w:keepLines w:val="0"/>
              <w:pageBreakBefore w:val="0"/>
              <w:wordWrap w:val="0"/>
              <w:overflowPunct/>
              <w:topLinePunct w:val="0"/>
              <w:bidi w:val="0"/>
              <w:spacing w:before="163"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B56A100">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7A1F8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1BCC59C5">
            <w:pPr>
              <w:keepNext w:val="0"/>
              <w:keepLines w:val="0"/>
              <w:pageBreakBefore w:val="0"/>
              <w:wordWrap w:val="0"/>
              <w:overflowPunct/>
              <w:topLinePunct w:val="0"/>
              <w:bidi w:val="0"/>
              <w:spacing w:before="130" w:line="327" w:lineRule="auto"/>
              <w:ind w:left="115" w:right="25" w:firstLine="1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（五）重量 1000kN及以上的大型结构整体顶升、 平移、转体等施工工艺。</w:t>
            </w:r>
          </w:p>
        </w:tc>
        <w:tc>
          <w:tcPr>
            <w:tcW w:w="1294" w:type="dxa"/>
            <w:vAlign w:val="top"/>
          </w:tcPr>
          <w:p w14:paraId="3F86B10F">
            <w:pPr>
              <w:pStyle w:val="28"/>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highlight w:val="none"/>
                <w14:textFill>
                  <w14:solidFill>
                    <w14:schemeClr w14:val="tx1"/>
                  </w14:solidFill>
                </w14:textFill>
              </w:rPr>
            </w:pPr>
          </w:p>
          <w:p w14:paraId="3DAFD05C">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77CFDEAB">
            <w:pPr>
              <w:pStyle w:val="28"/>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highlight w:val="none"/>
                <w14:textFill>
                  <w14:solidFill>
                    <w14:schemeClr w14:val="tx1"/>
                  </w14:solidFill>
                </w14:textFill>
              </w:rPr>
            </w:pPr>
          </w:p>
          <w:p w14:paraId="283652C7">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FC5E233">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r w14:paraId="06CCF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vAlign w:val="top"/>
          </w:tcPr>
          <w:p w14:paraId="79C5CBEE">
            <w:pPr>
              <w:keepNext w:val="0"/>
              <w:keepLines w:val="0"/>
              <w:pageBreakBefore w:val="0"/>
              <w:wordWrap w:val="0"/>
              <w:overflowPunct/>
              <w:topLinePunct w:val="0"/>
              <w:bidi w:val="0"/>
              <w:spacing w:before="129" w:line="346" w:lineRule="auto"/>
              <w:ind w:left="117" w:right="168" w:firstLine="1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（六）采用新技术、新工艺、新材料、新设备 可能影响工程施工安全，尚无国家、行业及地 方技术标准的分部分项工程。</w:t>
            </w:r>
          </w:p>
        </w:tc>
        <w:tc>
          <w:tcPr>
            <w:tcW w:w="1294" w:type="dxa"/>
            <w:vAlign w:val="top"/>
          </w:tcPr>
          <w:p w14:paraId="7BFE5A71">
            <w:pPr>
              <w:pStyle w:val="28"/>
              <w:keepNext w:val="0"/>
              <w:keepLines w:val="0"/>
              <w:pageBreakBefore w:val="0"/>
              <w:wordWrap w:val="0"/>
              <w:overflowPunct/>
              <w:topLinePunct w:val="0"/>
              <w:bidi w:val="0"/>
              <w:spacing w:line="272" w:lineRule="auto"/>
              <w:rPr>
                <w:rFonts w:hint="eastAsia" w:ascii="宋体" w:hAnsi="宋体" w:eastAsia="宋体" w:cs="宋体"/>
                <w:color w:val="000000" w:themeColor="text1"/>
                <w:spacing w:val="0"/>
                <w:highlight w:val="none"/>
                <w14:textFill>
                  <w14:solidFill>
                    <w14:schemeClr w14:val="tx1"/>
                  </w14:solidFill>
                </w14:textFill>
              </w:rPr>
            </w:pPr>
          </w:p>
          <w:p w14:paraId="56661FE2">
            <w:pPr>
              <w:pStyle w:val="28"/>
              <w:keepNext w:val="0"/>
              <w:keepLines w:val="0"/>
              <w:pageBreakBefore w:val="0"/>
              <w:wordWrap w:val="0"/>
              <w:overflowPunct/>
              <w:topLinePunct w:val="0"/>
              <w:bidi w:val="0"/>
              <w:spacing w:line="272" w:lineRule="auto"/>
              <w:rPr>
                <w:rFonts w:hint="eastAsia" w:ascii="宋体" w:hAnsi="宋体" w:eastAsia="宋体" w:cs="宋体"/>
                <w:color w:val="000000" w:themeColor="text1"/>
                <w:spacing w:val="0"/>
                <w:highlight w:val="none"/>
                <w14:textFill>
                  <w14:solidFill>
                    <w14:schemeClr w14:val="tx1"/>
                  </w14:solidFill>
                </w14:textFill>
              </w:rPr>
            </w:pPr>
          </w:p>
          <w:p w14:paraId="41A5B130">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094A60A">
            <w:pPr>
              <w:pStyle w:val="28"/>
              <w:keepNext w:val="0"/>
              <w:keepLines w:val="0"/>
              <w:pageBreakBefore w:val="0"/>
              <w:wordWrap w:val="0"/>
              <w:overflowPunct/>
              <w:topLinePunct w:val="0"/>
              <w:bidi w:val="0"/>
              <w:spacing w:line="272" w:lineRule="auto"/>
              <w:rPr>
                <w:rFonts w:hint="eastAsia" w:ascii="宋体" w:hAnsi="宋体" w:eastAsia="宋体" w:cs="宋体"/>
                <w:color w:val="000000" w:themeColor="text1"/>
                <w:spacing w:val="0"/>
                <w:highlight w:val="none"/>
                <w14:textFill>
                  <w14:solidFill>
                    <w14:schemeClr w14:val="tx1"/>
                  </w14:solidFill>
                </w14:textFill>
              </w:rPr>
            </w:pPr>
          </w:p>
          <w:p w14:paraId="38F5358C">
            <w:pPr>
              <w:pStyle w:val="28"/>
              <w:keepNext w:val="0"/>
              <w:keepLines w:val="0"/>
              <w:pageBreakBefore w:val="0"/>
              <w:wordWrap w:val="0"/>
              <w:overflowPunct/>
              <w:topLinePunct w:val="0"/>
              <w:bidi w:val="0"/>
              <w:spacing w:line="272" w:lineRule="auto"/>
              <w:rPr>
                <w:rFonts w:hint="eastAsia" w:ascii="宋体" w:hAnsi="宋体" w:eastAsia="宋体" w:cs="宋体"/>
                <w:color w:val="000000" w:themeColor="text1"/>
                <w:spacing w:val="0"/>
                <w:highlight w:val="none"/>
                <w14:textFill>
                  <w14:solidFill>
                    <w14:schemeClr w14:val="tx1"/>
                  </w14:solidFill>
                </w14:textFill>
              </w:rPr>
            </w:pPr>
          </w:p>
          <w:p w14:paraId="133F0501">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B0949F0">
            <w:pPr>
              <w:pStyle w:val="28"/>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c>
      </w:tr>
    </w:tbl>
    <w:p w14:paraId="6E7F6BBB">
      <w:pPr>
        <w:pStyle w:val="6"/>
        <w:keepNext w:val="0"/>
        <w:keepLines w:val="0"/>
        <w:pageBreakBefore w:val="0"/>
        <w:wordWrap w:val="0"/>
        <w:overflowPunct/>
        <w:topLinePunct w:val="0"/>
        <w:bidi w:val="0"/>
        <w:spacing w:line="288" w:lineRule="auto"/>
        <w:rPr>
          <w:rFonts w:hint="eastAsia" w:ascii="宋体" w:hAnsi="宋体" w:eastAsia="宋体" w:cs="宋体"/>
          <w:color w:val="000000" w:themeColor="text1"/>
          <w:spacing w:val="0"/>
          <w:highlight w:val="none"/>
          <w14:textFill>
            <w14:solidFill>
              <w14:schemeClr w14:val="tx1"/>
            </w14:solidFill>
          </w14:textFill>
        </w:rPr>
      </w:pPr>
    </w:p>
    <w:p w14:paraId="548C332F">
      <w:pPr>
        <w:pStyle w:val="6"/>
        <w:keepNext w:val="0"/>
        <w:keepLines w:val="0"/>
        <w:pageBreakBefore w:val="0"/>
        <w:wordWrap w:val="0"/>
        <w:overflowPunct/>
        <w:topLinePunct w:val="0"/>
        <w:bidi w:val="0"/>
        <w:spacing w:line="288" w:lineRule="auto"/>
        <w:rPr>
          <w:rFonts w:hint="eastAsia" w:ascii="宋体" w:hAnsi="宋体" w:eastAsia="宋体" w:cs="宋体"/>
          <w:color w:val="000000" w:themeColor="text1"/>
          <w:spacing w:val="0"/>
          <w:highlight w:val="none"/>
          <w14:textFill>
            <w14:solidFill>
              <w14:schemeClr w14:val="tx1"/>
            </w14:solidFill>
          </w14:textFill>
        </w:rPr>
      </w:pPr>
    </w:p>
    <w:p w14:paraId="4D9ADF52">
      <w:pPr>
        <w:keepNext w:val="0"/>
        <w:keepLines w:val="0"/>
        <w:pageBreakBefore w:val="0"/>
        <w:wordWrap w:val="0"/>
        <w:overflowPunct/>
        <w:topLinePunct w:val="0"/>
        <w:bidi w:val="0"/>
        <w:spacing w:before="21" w:line="360" w:lineRule="auto"/>
        <w:ind w:firstLine="420" w:firstLineChars="200"/>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备注：1.根据《危险性较大的分部分项工程安全管理规定》，该《危险性较大的分部分项工程清单及超过一定规模的危险性较大的分部分项工程清单》</w:t>
      </w:r>
      <w:r>
        <w:rPr>
          <w:rFonts w:hint="eastAsia" w:ascii="宋体" w:hAnsi="宋体" w:eastAsia="宋体" w:cs="宋体"/>
          <w:color w:val="000000" w:themeColor="text1"/>
          <w:spacing w:val="0"/>
          <w:sz w:val="21"/>
          <w:szCs w:val="21"/>
          <w:highlight w:val="none"/>
          <w:lang w:eastAsia="zh-CN"/>
          <w14:textFill>
            <w14:solidFill>
              <w14:schemeClr w14:val="tx1"/>
            </w14:solidFill>
          </w14:textFill>
        </w:rPr>
        <w:t>应由建设单位组织勘察、设计等单位在招标文件中“勾选（对应项打“√”标识”危险性较大的分部分项工程。</w:t>
      </w:r>
    </w:p>
    <w:p w14:paraId="0C4D1AF6">
      <w:pPr>
        <w:keepNext w:val="0"/>
        <w:keepLines w:val="0"/>
        <w:pageBreakBefore w:val="0"/>
        <w:wordWrap w:val="0"/>
        <w:overflowPunct/>
        <w:topLinePunct w:val="0"/>
        <w:bidi w:val="0"/>
        <w:spacing w:before="21" w:line="360" w:lineRule="auto"/>
        <w:ind w:firstLine="420" w:firstLineChars="200"/>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该《危险性较大的分部分项工程清单及超过一定规模的危险性较大的分部分项工程清单》在办理建设项目施工许可时必须提供，且各地建设行政主管部门可按照《广东省建设工程项目招标中标后监督检查办法》相关规定开展检查。</w:t>
      </w:r>
    </w:p>
    <w:p w14:paraId="631FDCC1">
      <w:pPr>
        <w:keepNext w:val="0"/>
        <w:keepLines w:val="0"/>
        <w:pageBreakBefore w:val="0"/>
        <w:wordWrap w:val="0"/>
        <w:overflowPunct/>
        <w:topLinePunct w:val="0"/>
        <w:bidi w:val="0"/>
        <w:spacing w:before="28" w:line="360" w:lineRule="auto"/>
        <w:ind w:left="545" w:leftChars="244" w:hanging="33" w:hangingChars="16"/>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3.如果需要（如需要通过计算编制专项方案，或者需要专家论证），可中标后提供</w:t>
      </w:r>
      <w:r>
        <w:rPr>
          <w:rFonts w:hint="eastAsia" w:ascii="宋体" w:hAnsi="宋体" w:eastAsia="宋体" w:cs="宋体"/>
          <w:color w:val="000000" w:themeColor="text1"/>
          <w:spacing w:val="0"/>
          <w:sz w:val="21"/>
          <w:szCs w:val="21"/>
          <w:highlight w:val="none"/>
          <w:lang w:eastAsia="zh-CN"/>
          <w14:textFill>
            <w14:solidFill>
              <w14:schemeClr w14:val="tx1"/>
            </w14:solidFill>
          </w14:textFill>
        </w:rPr>
        <w:t>详细版。</w:t>
      </w:r>
    </w:p>
    <w:p w14:paraId="4F0F2A5C">
      <w:pPr>
        <w:keepNext w:val="0"/>
        <w:keepLines w:val="0"/>
        <w:pageBreakBefore w:val="0"/>
        <w:wordWrap w:val="0"/>
        <w:overflowPunct/>
        <w:topLinePunct w:val="0"/>
        <w:bidi w:val="0"/>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749D726F">
      <w:pPr>
        <w:keepNext w:val="0"/>
        <w:keepLines w:val="0"/>
        <w:pageBreakBefore w:val="0"/>
        <w:wordWrap w:val="0"/>
        <w:overflowPunct/>
        <w:topLinePunct w:val="0"/>
        <w:bidi w:val="0"/>
        <w:spacing w:before="78" w:line="220" w:lineRule="auto"/>
        <w:jc w:val="both"/>
        <w:outlineLvl w:val="2"/>
        <w:rPr>
          <w:rFonts w:hint="default" w:ascii="宋体" w:hAnsi="宋体" w:eastAsia="宋体" w:cs="宋体"/>
          <w:b/>
          <w:bCs/>
          <w:color w:val="000000" w:themeColor="text1"/>
          <w:spacing w:val="0"/>
          <w:sz w:val="24"/>
          <w:szCs w:val="24"/>
          <w:highlight w:val="none"/>
          <w:lang w:val="en-US" w:eastAsia="zh-CN"/>
          <w14:textFill>
            <w14:solidFill>
              <w14:schemeClr w14:val="tx1"/>
            </w14:solidFill>
          </w14:textFill>
        </w:rPr>
      </w:pPr>
      <w:bookmarkStart w:id="273" w:name="_Toc30063"/>
      <w:r>
        <w:rPr>
          <w:rFonts w:hint="eastAsia" w:ascii="宋体" w:hAnsi="宋体" w:eastAsia="宋体" w:cs="宋体"/>
          <w:b/>
          <w:bCs/>
          <w:color w:val="000000" w:themeColor="text1"/>
          <w:spacing w:val="0"/>
          <w:sz w:val="24"/>
          <w:szCs w:val="24"/>
          <w:highlight w:val="none"/>
          <w14:textFill>
            <w14:solidFill>
              <w14:schemeClr w14:val="tx1"/>
            </w14:solidFill>
          </w14:textFill>
        </w:rPr>
        <w:t>格式十四</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pacing w:val="0"/>
          <w:position w:val="3"/>
          <w:sz w:val="21"/>
          <w:szCs w:val="21"/>
          <w:highlight w:val="none"/>
          <w14:textFill>
            <w14:solidFill>
              <w14:schemeClr w14:val="tx1"/>
            </w14:solidFill>
          </w14:textFill>
        </w:rPr>
        <w:t>投标保证金信用承诺函</w:t>
      </w:r>
      <w:bookmarkEnd w:id="273"/>
    </w:p>
    <w:p w14:paraId="0C4BB798">
      <w:pPr>
        <w:keepNext w:val="0"/>
        <w:keepLines w:val="0"/>
        <w:pageBreakBefore w:val="0"/>
        <w:wordWrap w:val="0"/>
        <w:overflowPunct/>
        <w:topLinePunct w:val="0"/>
        <w:bidi w:val="0"/>
        <w:spacing w:before="140" w:line="604" w:lineRule="exact"/>
        <w:jc w:val="center"/>
        <w:rPr>
          <w:rFonts w:hint="eastAsia" w:ascii="宋体" w:hAnsi="宋体" w:eastAsia="宋体" w:cs="宋体"/>
          <w:color w:val="000000" w:themeColor="text1"/>
          <w:spacing w:val="0"/>
          <w:sz w:val="28"/>
          <w:szCs w:val="28"/>
          <w:highlight w:val="none"/>
          <w14:textFill>
            <w14:solidFill>
              <w14:schemeClr w14:val="tx1"/>
            </w14:solidFill>
          </w14:textFill>
        </w:rPr>
      </w:pPr>
      <w:r>
        <w:rPr>
          <w:rFonts w:hint="eastAsia" w:ascii="宋体" w:hAnsi="宋体" w:eastAsia="宋体" w:cs="宋体"/>
          <w:b/>
          <w:bCs/>
          <w:color w:val="000000" w:themeColor="text1"/>
          <w:spacing w:val="0"/>
          <w:position w:val="3"/>
          <w:sz w:val="28"/>
          <w:szCs w:val="28"/>
          <w:highlight w:val="none"/>
          <w14:textFill>
            <w14:solidFill>
              <w14:schemeClr w14:val="tx1"/>
            </w14:solidFill>
          </w14:textFill>
        </w:rPr>
        <w:t>投标保证金信用承诺函</w:t>
      </w:r>
    </w:p>
    <w:p w14:paraId="63DA26AC">
      <w:pPr>
        <w:pStyle w:val="6"/>
        <w:keepNext w:val="0"/>
        <w:keepLines w:val="0"/>
        <w:pageBreakBefore w:val="0"/>
        <w:wordWrap w:val="0"/>
        <w:overflowPunct/>
        <w:topLinePunct w:val="0"/>
        <w:bidi w:val="0"/>
        <w:spacing w:line="408" w:lineRule="auto"/>
        <w:rPr>
          <w:rFonts w:hint="eastAsia" w:ascii="宋体" w:hAnsi="宋体" w:eastAsia="宋体" w:cs="宋体"/>
          <w:color w:val="000000" w:themeColor="text1"/>
          <w:spacing w:val="0"/>
          <w:highlight w:val="none"/>
          <w14:textFill>
            <w14:solidFill>
              <w14:schemeClr w14:val="tx1"/>
            </w14:solidFill>
          </w14:textFill>
        </w:rPr>
      </w:pPr>
    </w:p>
    <w:p w14:paraId="2318544C">
      <w:pPr>
        <w:keepNext w:val="0"/>
        <w:keepLines w:val="0"/>
        <w:pageBreakBefore w:val="0"/>
        <w:wordWrap w:val="0"/>
        <w:overflowPunct/>
        <w:topLinePunct w:val="0"/>
        <w:bidi w:val="0"/>
        <w:spacing w:before="101" w:line="257" w:lineRule="auto"/>
        <w:ind w:left="3" w:firstLine="965"/>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一、</w:t>
      </w:r>
      <w:r>
        <w:rPr>
          <w:rFonts w:hint="eastAsia" w:ascii="宋体" w:hAnsi="宋体" w:eastAsia="宋体" w:cs="宋体"/>
          <w:color w:val="000000" w:themeColor="text1"/>
          <w:spacing w:val="0"/>
          <w:sz w:val="24"/>
          <w:szCs w:val="24"/>
          <w:highlight w:val="none"/>
          <w14:textFill>
            <w14:solidFill>
              <w14:schemeClr w14:val="tx1"/>
            </w14:solidFill>
          </w14:textFill>
        </w:rPr>
        <w:t>我单位参加</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（工程项目名称）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的投标活动，现承诺：将严格按照法律法规规定参与交易活动，按照招标文件要求 依法履行投标人义务；我方若出现违反《中华人民共和国招标投标法》、《中华人民共和国招标投标法实施条例》、《电子招标投标办法》等有关法律法规的行为，将于投标有效期内全额付清 招标文件规定的投标保证金 </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元。</w:t>
      </w:r>
    </w:p>
    <w:p w14:paraId="2B9D0EA5">
      <w:pPr>
        <w:keepNext w:val="0"/>
        <w:keepLines w:val="0"/>
        <w:pageBreakBefore w:val="0"/>
        <w:wordWrap w:val="0"/>
        <w:overflowPunct/>
        <w:topLinePunct w:val="0"/>
        <w:bidi w:val="0"/>
        <w:spacing w:before="48" w:line="252" w:lineRule="auto"/>
        <w:ind w:left="1" w:firstLine="647"/>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二、至投标文件提交当天，本公司无严重不良信用记录或存在曾作出虚假承诺的情形，且不属于韶关市建筑市场信用管理平 台公布的信用等级为 B 级、C 级、D 级的企业。</w:t>
      </w:r>
    </w:p>
    <w:p w14:paraId="1EFDE8F2">
      <w:pPr>
        <w:keepNext w:val="0"/>
        <w:keepLines w:val="0"/>
        <w:pageBreakBefore w:val="0"/>
        <w:wordWrap w:val="0"/>
        <w:overflowPunct/>
        <w:topLinePunct w:val="0"/>
        <w:bidi w:val="0"/>
        <w:spacing w:before="52" w:line="247" w:lineRule="auto"/>
        <w:ind w:left="6" w:right="2" w:firstLine="63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本企业对以上承诺和声明负责。如有虚假，愿接受行政主管部门作出的处罚，并承担以下后果：</w:t>
      </w:r>
    </w:p>
    <w:p w14:paraId="28F04F87">
      <w:pPr>
        <w:keepNext w:val="0"/>
        <w:keepLines w:val="0"/>
        <w:pageBreakBefore w:val="0"/>
        <w:wordWrap w:val="0"/>
        <w:overflowPunct/>
        <w:topLinePunct w:val="0"/>
        <w:bidi w:val="0"/>
        <w:spacing w:before="48" w:line="225" w:lineRule="auto"/>
        <w:ind w:left="6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（一）取消本单位在本项目中的投标资格或中标资格；</w:t>
      </w:r>
    </w:p>
    <w:p w14:paraId="64420808">
      <w:pPr>
        <w:keepNext w:val="0"/>
        <w:keepLines w:val="0"/>
        <w:pageBreakBefore w:val="0"/>
        <w:wordWrap w:val="0"/>
        <w:overflowPunct/>
        <w:topLinePunct w:val="0"/>
        <w:bidi w:val="0"/>
        <w:spacing w:before="64" w:line="225" w:lineRule="auto"/>
        <w:ind w:left="6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（二）将本单位不良行为纳入信用信息管理系统；</w:t>
      </w:r>
    </w:p>
    <w:p w14:paraId="30729E54">
      <w:pPr>
        <w:keepNext w:val="0"/>
        <w:keepLines w:val="0"/>
        <w:pageBreakBefore w:val="0"/>
        <w:wordWrap w:val="0"/>
        <w:overflowPunct/>
        <w:topLinePunct w:val="0"/>
        <w:bidi w:val="0"/>
        <w:spacing w:before="60" w:line="244" w:lineRule="auto"/>
        <w:ind w:left="41" w:right="2" w:firstLine="61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（三）主动在产生不良行为所在的各县（市、区）行政区域内不参加房建市政工程项目的投标活动一年；</w:t>
      </w:r>
    </w:p>
    <w:p w14:paraId="0761697F">
      <w:pPr>
        <w:keepNext w:val="0"/>
        <w:keepLines w:val="0"/>
        <w:pageBreakBefore w:val="0"/>
        <w:wordWrap w:val="0"/>
        <w:overflowPunct/>
        <w:topLinePunct w:val="0"/>
        <w:bidi w:val="0"/>
        <w:spacing w:before="63" w:line="225" w:lineRule="auto"/>
        <w:ind w:left="6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（四）应付的赔偿责任和相应法律责任。</w:t>
      </w:r>
    </w:p>
    <w:p w14:paraId="71665105">
      <w:pPr>
        <w:pStyle w:val="6"/>
        <w:keepNext w:val="0"/>
        <w:keepLines w:val="0"/>
        <w:pageBreakBefore w:val="0"/>
        <w:wordWrap w:val="0"/>
        <w:overflowPunct/>
        <w:topLinePunct w:val="0"/>
        <w:bidi w:val="0"/>
        <w:spacing w:line="329"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01930B0">
      <w:pPr>
        <w:keepNext w:val="0"/>
        <w:keepLines w:val="0"/>
        <w:pageBreakBefore w:val="0"/>
        <w:wordWrap w:val="0"/>
        <w:overflowPunct/>
        <w:topLinePunct w:val="0"/>
        <w:bidi w:val="0"/>
        <w:spacing w:before="102" w:line="225" w:lineRule="auto"/>
        <w:ind w:left="84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单位名称（公章）：</w:t>
      </w:r>
    </w:p>
    <w:p w14:paraId="2C853675">
      <w:pPr>
        <w:pStyle w:val="6"/>
        <w:keepNext w:val="0"/>
        <w:keepLines w:val="0"/>
        <w:pageBreakBefore w:val="0"/>
        <w:wordWrap w:val="0"/>
        <w:overflowPunct/>
        <w:topLinePunct w:val="0"/>
        <w:bidi w:val="0"/>
        <w:spacing w:line="45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304A271">
      <w:pPr>
        <w:keepNext w:val="0"/>
        <w:keepLines w:val="0"/>
        <w:pageBreakBefore w:val="0"/>
        <w:wordWrap w:val="0"/>
        <w:overflowPunct/>
        <w:topLinePunct w:val="0"/>
        <w:bidi w:val="0"/>
        <w:spacing w:before="100" w:line="225" w:lineRule="auto"/>
        <w:ind w:left="85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统一社会信用代码：</w:t>
      </w:r>
    </w:p>
    <w:p w14:paraId="1892BA66">
      <w:pPr>
        <w:pStyle w:val="6"/>
        <w:keepNext w:val="0"/>
        <w:keepLines w:val="0"/>
        <w:pageBreakBefore w:val="0"/>
        <w:wordWrap w:val="0"/>
        <w:overflowPunct/>
        <w:topLinePunct w:val="0"/>
        <w:bidi w:val="0"/>
        <w:spacing w:line="45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DBB6F71">
      <w:pPr>
        <w:keepNext w:val="0"/>
        <w:keepLines w:val="0"/>
        <w:pageBreakBefore w:val="0"/>
        <w:wordWrap w:val="0"/>
        <w:overflowPunct/>
        <w:topLinePunct w:val="0"/>
        <w:bidi w:val="0"/>
        <w:spacing w:before="102" w:line="543" w:lineRule="auto"/>
        <w:ind w:left="844" w:right="50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法定代表人（签字）：</w:t>
      </w:r>
    </w:p>
    <w:p w14:paraId="2D5FF0AE">
      <w:pPr>
        <w:keepNext w:val="0"/>
        <w:keepLines w:val="0"/>
        <w:pageBreakBefore w:val="0"/>
        <w:wordWrap w:val="0"/>
        <w:overflowPunct/>
        <w:topLinePunct w:val="0"/>
        <w:bidi w:val="0"/>
        <w:spacing w:before="102" w:line="543" w:lineRule="auto"/>
        <w:ind w:left="844" w:right="50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 年   月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日</w:t>
      </w:r>
    </w:p>
    <w:p w14:paraId="0CF3EB86">
      <w:pPr>
        <w:pStyle w:val="14"/>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352EA194">
      <w:pPr>
        <w:pStyle w:val="14"/>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lang w:eastAsia="zh-CN"/>
          <w14:textFill>
            <w14:solidFill>
              <w14:schemeClr w14:val="tx1"/>
            </w14:solidFill>
          </w14:textFill>
        </w:rPr>
        <w:sectPr>
          <w:footerReference r:id="rId26"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5367075C">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74" w:name="_Toc24356"/>
      <w:r>
        <w:rPr>
          <w:rFonts w:hint="eastAsia" w:ascii="宋体" w:hAnsi="宋体" w:eastAsia="宋体" w:cs="宋体"/>
          <w:b/>
          <w:bCs/>
          <w:color w:val="000000" w:themeColor="text1"/>
          <w:spacing w:val="0"/>
          <w:sz w:val="24"/>
          <w:szCs w:val="24"/>
          <w:highlight w:val="none"/>
          <w14:textFill>
            <w14:solidFill>
              <w14:schemeClr w14:val="tx1"/>
            </w14:solidFill>
          </w14:textFill>
        </w:rPr>
        <w:t>格式十</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五</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原件一览表</w:t>
      </w:r>
      <w:bookmarkEnd w:id="274"/>
    </w:p>
    <w:tbl>
      <w:tblPr>
        <w:tblStyle w:val="15"/>
        <w:tblW w:w="9440" w:type="dxa"/>
        <w:tblInd w:w="1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1896"/>
        <w:gridCol w:w="1725"/>
        <w:gridCol w:w="964"/>
        <w:gridCol w:w="719"/>
        <w:gridCol w:w="780"/>
        <w:gridCol w:w="991"/>
        <w:gridCol w:w="1637"/>
      </w:tblGrid>
      <w:tr w14:paraId="5F244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9440" w:type="dxa"/>
            <w:gridSpan w:val="8"/>
            <w:vAlign w:val="top"/>
          </w:tcPr>
          <w:p w14:paraId="2B40EF1C">
            <w:pPr>
              <w:keepNext w:val="0"/>
              <w:keepLines w:val="0"/>
              <w:pageBreakBefore w:val="0"/>
              <w:wordWrap w:val="0"/>
              <w:overflowPunct/>
              <w:topLinePunct w:val="0"/>
              <w:bidi w:val="0"/>
              <w:spacing w:before="132" w:line="220" w:lineRule="auto"/>
              <w:ind w:left="39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原件一览表</w:t>
            </w:r>
          </w:p>
        </w:tc>
      </w:tr>
      <w:tr w14:paraId="6C17C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624" w:type="dxa"/>
            <w:gridSpan w:val="2"/>
            <w:vAlign w:val="center"/>
          </w:tcPr>
          <w:p w14:paraId="03FBA86E">
            <w:pPr>
              <w:keepNext w:val="0"/>
              <w:keepLines w:val="0"/>
              <w:pageBreakBefore w:val="0"/>
              <w:wordWrap w:val="0"/>
              <w:overflowPunct/>
              <w:topLinePunct w:val="0"/>
              <w:bidi w:val="0"/>
              <w:spacing w:before="62" w:line="230" w:lineRule="auto"/>
              <w:jc w:val="center"/>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工程名称</w:t>
            </w:r>
          </w:p>
        </w:tc>
        <w:tc>
          <w:tcPr>
            <w:tcW w:w="6816" w:type="dxa"/>
            <w:gridSpan w:val="6"/>
            <w:vAlign w:val="top"/>
          </w:tcPr>
          <w:p w14:paraId="5F792F2C">
            <w:pPr>
              <w:pStyle w:val="28"/>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87BE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2624" w:type="dxa"/>
            <w:gridSpan w:val="2"/>
            <w:vAlign w:val="top"/>
          </w:tcPr>
          <w:p w14:paraId="254D3CCA">
            <w:pPr>
              <w:keepNext w:val="0"/>
              <w:keepLines w:val="0"/>
              <w:pageBreakBefore w:val="0"/>
              <w:wordWrap w:val="0"/>
              <w:overflowPunct/>
              <w:topLinePunct w:val="0"/>
              <w:bidi w:val="0"/>
              <w:spacing w:before="150" w:line="230" w:lineRule="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投标人名称(请务必填写单位全称)</w:t>
            </w:r>
          </w:p>
        </w:tc>
        <w:tc>
          <w:tcPr>
            <w:tcW w:w="6816" w:type="dxa"/>
            <w:gridSpan w:val="6"/>
            <w:vAlign w:val="top"/>
          </w:tcPr>
          <w:p w14:paraId="0F353D01">
            <w:pPr>
              <w:pStyle w:val="28"/>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2EC7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624" w:type="dxa"/>
            <w:gridSpan w:val="2"/>
            <w:vAlign w:val="top"/>
          </w:tcPr>
          <w:p w14:paraId="6683BB0E">
            <w:pPr>
              <w:keepNext w:val="0"/>
              <w:keepLines w:val="0"/>
              <w:pageBreakBefore w:val="0"/>
              <w:wordWrap w:val="0"/>
              <w:overflowPunct/>
              <w:topLinePunct w:val="0"/>
              <w:bidi w:val="0"/>
              <w:spacing w:before="151"/>
              <w:ind w:right="14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投标人法定代表人或其委托代理人签名</w:t>
            </w:r>
          </w:p>
        </w:tc>
        <w:tc>
          <w:tcPr>
            <w:tcW w:w="2689" w:type="dxa"/>
            <w:gridSpan w:val="2"/>
            <w:vAlign w:val="top"/>
          </w:tcPr>
          <w:p w14:paraId="79697200">
            <w:pPr>
              <w:pStyle w:val="28"/>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499" w:type="dxa"/>
            <w:gridSpan w:val="2"/>
            <w:vAlign w:val="top"/>
          </w:tcPr>
          <w:p w14:paraId="58C1E63A">
            <w:pPr>
              <w:keepNext w:val="0"/>
              <w:keepLines w:val="0"/>
              <w:pageBreakBefore w:val="0"/>
              <w:wordWrap w:val="0"/>
              <w:overflowPunct/>
              <w:topLinePunct w:val="0"/>
              <w:bidi w:val="0"/>
              <w:spacing w:before="151" w:line="312" w:lineRule="auto"/>
              <w:ind w:right="17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手机号码</w:t>
            </w:r>
          </w:p>
        </w:tc>
        <w:tc>
          <w:tcPr>
            <w:tcW w:w="2628" w:type="dxa"/>
            <w:gridSpan w:val="2"/>
            <w:vAlign w:val="top"/>
          </w:tcPr>
          <w:p w14:paraId="460A230E">
            <w:pPr>
              <w:pStyle w:val="28"/>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064F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9440" w:type="dxa"/>
            <w:gridSpan w:val="8"/>
            <w:vAlign w:val="top"/>
          </w:tcPr>
          <w:p w14:paraId="5B16BEA7">
            <w:pPr>
              <w:keepNext w:val="0"/>
              <w:keepLines w:val="0"/>
              <w:pageBreakBefore w:val="0"/>
              <w:wordWrap w:val="0"/>
              <w:overflowPunct/>
              <w:topLinePunct w:val="0"/>
              <w:bidi w:val="0"/>
              <w:spacing w:before="62" w:line="228" w:lineRule="auto"/>
              <w:ind w:left="336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递交的证明材料原件如下：</w:t>
            </w:r>
          </w:p>
        </w:tc>
      </w:tr>
      <w:tr w14:paraId="6562FA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728" w:type="dxa"/>
            <w:vAlign w:val="top"/>
          </w:tcPr>
          <w:p w14:paraId="47F8E8A8">
            <w:pPr>
              <w:pStyle w:val="28"/>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022230E">
            <w:pPr>
              <w:keepNext w:val="0"/>
              <w:keepLines w:val="0"/>
              <w:pageBreakBefore w:val="0"/>
              <w:wordWrap w:val="0"/>
              <w:overflowPunct/>
              <w:topLinePunct w:val="0"/>
              <w:bidi w:val="0"/>
              <w:spacing w:before="62" w:line="230" w:lineRule="auto"/>
              <w:ind w:left="15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序号</w:t>
            </w:r>
          </w:p>
        </w:tc>
        <w:tc>
          <w:tcPr>
            <w:tcW w:w="5304" w:type="dxa"/>
            <w:gridSpan w:val="4"/>
            <w:vAlign w:val="top"/>
          </w:tcPr>
          <w:p w14:paraId="35D769FC">
            <w:pPr>
              <w:pStyle w:val="28"/>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EEA02B2">
            <w:pPr>
              <w:keepNext w:val="0"/>
              <w:keepLines w:val="0"/>
              <w:pageBreakBefore w:val="0"/>
              <w:wordWrap w:val="0"/>
              <w:overflowPunct/>
              <w:topLinePunct w:val="0"/>
              <w:bidi w:val="0"/>
              <w:spacing w:before="61" w:line="228" w:lineRule="auto"/>
              <w:ind w:left="17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证明材料原件名称</w:t>
            </w:r>
          </w:p>
        </w:tc>
        <w:tc>
          <w:tcPr>
            <w:tcW w:w="1771" w:type="dxa"/>
            <w:gridSpan w:val="2"/>
            <w:vAlign w:val="top"/>
          </w:tcPr>
          <w:p w14:paraId="66A03B25">
            <w:pPr>
              <w:pStyle w:val="28"/>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92559B5">
            <w:pPr>
              <w:keepNext w:val="0"/>
              <w:keepLines w:val="0"/>
              <w:pageBreakBefore w:val="0"/>
              <w:wordWrap w:val="0"/>
              <w:overflowPunct/>
              <w:topLinePunct w:val="0"/>
              <w:bidi w:val="0"/>
              <w:spacing w:before="62" w:line="230" w:lineRule="auto"/>
              <w:ind w:left="66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单位</w:t>
            </w:r>
          </w:p>
        </w:tc>
        <w:tc>
          <w:tcPr>
            <w:tcW w:w="1637" w:type="dxa"/>
            <w:vAlign w:val="top"/>
          </w:tcPr>
          <w:p w14:paraId="3BEEA542">
            <w:pPr>
              <w:pStyle w:val="28"/>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CE3B1D0">
            <w:pPr>
              <w:keepNext w:val="0"/>
              <w:keepLines w:val="0"/>
              <w:pageBreakBefore w:val="0"/>
              <w:wordWrap w:val="0"/>
              <w:overflowPunct/>
              <w:topLinePunct w:val="0"/>
              <w:bidi w:val="0"/>
              <w:spacing w:before="62" w:line="229" w:lineRule="auto"/>
              <w:ind w:left="5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数量</w:t>
            </w:r>
          </w:p>
        </w:tc>
      </w:tr>
      <w:tr w14:paraId="4F82D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3BE58E00">
            <w:pPr>
              <w:keepNext w:val="0"/>
              <w:keepLines w:val="0"/>
              <w:pageBreakBefore w:val="0"/>
              <w:wordWrap w:val="0"/>
              <w:overflowPunct/>
              <w:topLinePunct w:val="0"/>
              <w:bidi w:val="0"/>
              <w:spacing w:before="287" w:line="184" w:lineRule="auto"/>
              <w:ind w:left="31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p>
        </w:tc>
        <w:tc>
          <w:tcPr>
            <w:tcW w:w="5304" w:type="dxa"/>
            <w:gridSpan w:val="4"/>
            <w:vAlign w:val="top"/>
          </w:tcPr>
          <w:p w14:paraId="48BEE8B0">
            <w:pPr>
              <w:pStyle w:val="28"/>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71" w:type="dxa"/>
            <w:gridSpan w:val="2"/>
            <w:vAlign w:val="top"/>
          </w:tcPr>
          <w:p w14:paraId="69FF32C9">
            <w:pPr>
              <w:pStyle w:val="28"/>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37" w:type="dxa"/>
            <w:vAlign w:val="top"/>
          </w:tcPr>
          <w:p w14:paraId="23FE9655">
            <w:pPr>
              <w:pStyle w:val="28"/>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DB2F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439F9AE2">
            <w:pPr>
              <w:keepNext w:val="0"/>
              <w:keepLines w:val="0"/>
              <w:pageBreakBefore w:val="0"/>
              <w:wordWrap w:val="0"/>
              <w:overflowPunct/>
              <w:topLinePunct w:val="0"/>
              <w:bidi w:val="0"/>
              <w:spacing w:before="288" w:line="183" w:lineRule="auto"/>
              <w:ind w:left="30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w:t>
            </w:r>
          </w:p>
        </w:tc>
        <w:tc>
          <w:tcPr>
            <w:tcW w:w="5304" w:type="dxa"/>
            <w:gridSpan w:val="4"/>
            <w:vAlign w:val="top"/>
          </w:tcPr>
          <w:p w14:paraId="4F70EA65">
            <w:pPr>
              <w:pStyle w:val="28"/>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71" w:type="dxa"/>
            <w:gridSpan w:val="2"/>
            <w:vAlign w:val="top"/>
          </w:tcPr>
          <w:p w14:paraId="72C3C76C">
            <w:pPr>
              <w:pStyle w:val="28"/>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37" w:type="dxa"/>
            <w:vAlign w:val="top"/>
          </w:tcPr>
          <w:p w14:paraId="1969C218">
            <w:pPr>
              <w:pStyle w:val="28"/>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3152E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4F34003A">
            <w:pPr>
              <w:keepNext w:val="0"/>
              <w:keepLines w:val="0"/>
              <w:pageBreakBefore w:val="0"/>
              <w:wordWrap w:val="0"/>
              <w:overflowPunct/>
              <w:topLinePunct w:val="0"/>
              <w:bidi w:val="0"/>
              <w:spacing w:before="287" w:line="183" w:lineRule="auto"/>
              <w:ind w:left="30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w:t>
            </w:r>
          </w:p>
        </w:tc>
        <w:tc>
          <w:tcPr>
            <w:tcW w:w="5304" w:type="dxa"/>
            <w:gridSpan w:val="4"/>
            <w:vAlign w:val="top"/>
          </w:tcPr>
          <w:p w14:paraId="32F8469F">
            <w:pPr>
              <w:pStyle w:val="28"/>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71" w:type="dxa"/>
            <w:gridSpan w:val="2"/>
            <w:vAlign w:val="top"/>
          </w:tcPr>
          <w:p w14:paraId="7AD8029B">
            <w:pPr>
              <w:pStyle w:val="28"/>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37" w:type="dxa"/>
            <w:vAlign w:val="top"/>
          </w:tcPr>
          <w:p w14:paraId="6E7CE753">
            <w:pPr>
              <w:pStyle w:val="28"/>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0948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336DFC70">
            <w:pPr>
              <w:pStyle w:val="28"/>
              <w:keepNext w:val="0"/>
              <w:keepLines w:val="0"/>
              <w:pageBreakBefore w:val="0"/>
              <w:wordWrap w:val="0"/>
              <w:overflowPunct/>
              <w:topLinePunct w:val="0"/>
              <w:bidi w:val="0"/>
              <w:spacing w:line="348"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EBABEED">
            <w:pPr>
              <w:keepNext w:val="0"/>
              <w:keepLines w:val="0"/>
              <w:pageBreakBefore w:val="0"/>
              <w:wordWrap w:val="0"/>
              <w:overflowPunct/>
              <w:topLinePunct w:val="0"/>
              <w:bidi w:val="0"/>
              <w:spacing w:before="78" w:line="99" w:lineRule="exact"/>
              <w:ind w:left="18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1"/>
                <w:sz w:val="24"/>
                <w:szCs w:val="24"/>
                <w:highlight w:val="none"/>
                <w14:textFill>
                  <w14:solidFill>
                    <w14:schemeClr w14:val="tx1"/>
                  </w14:solidFill>
                </w14:textFill>
              </w:rPr>
              <w:t>...</w:t>
            </w:r>
          </w:p>
        </w:tc>
        <w:tc>
          <w:tcPr>
            <w:tcW w:w="5304" w:type="dxa"/>
            <w:gridSpan w:val="4"/>
            <w:vAlign w:val="top"/>
          </w:tcPr>
          <w:p w14:paraId="78AEE5FA">
            <w:pPr>
              <w:pStyle w:val="28"/>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71" w:type="dxa"/>
            <w:gridSpan w:val="2"/>
            <w:vAlign w:val="top"/>
          </w:tcPr>
          <w:p w14:paraId="56A6BE9F">
            <w:pPr>
              <w:pStyle w:val="28"/>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37" w:type="dxa"/>
            <w:vAlign w:val="top"/>
          </w:tcPr>
          <w:p w14:paraId="15AD4B06">
            <w:pPr>
              <w:pStyle w:val="28"/>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4067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7" w:hRule="atLeast"/>
        </w:trPr>
        <w:tc>
          <w:tcPr>
            <w:tcW w:w="728" w:type="dxa"/>
            <w:vAlign w:val="top"/>
          </w:tcPr>
          <w:p w14:paraId="5E70F2C3">
            <w:pPr>
              <w:pStyle w:val="28"/>
              <w:keepNext w:val="0"/>
              <w:keepLines w:val="0"/>
              <w:pageBreakBefore w:val="0"/>
              <w:wordWrap w:val="0"/>
              <w:overflowPunct/>
              <w:topLinePunct w:val="0"/>
              <w:bidi w:val="0"/>
              <w:spacing w:line="27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2A84F17">
            <w:pPr>
              <w:pStyle w:val="28"/>
              <w:keepNext w:val="0"/>
              <w:keepLines w:val="0"/>
              <w:pageBreakBefore w:val="0"/>
              <w:wordWrap w:val="0"/>
              <w:overflowPunct/>
              <w:topLinePunct w:val="0"/>
              <w:bidi w:val="0"/>
              <w:spacing w:line="27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DCB2179">
            <w:pPr>
              <w:pStyle w:val="28"/>
              <w:keepNext w:val="0"/>
              <w:keepLines w:val="0"/>
              <w:pageBreakBefore w:val="0"/>
              <w:wordWrap w:val="0"/>
              <w:overflowPunct/>
              <w:topLinePunct w:val="0"/>
              <w:bidi w:val="0"/>
              <w:spacing w:line="27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A613965">
            <w:pPr>
              <w:keepNext w:val="0"/>
              <w:keepLines w:val="0"/>
              <w:pageBreakBefore w:val="0"/>
              <w:wordWrap w:val="0"/>
              <w:overflowPunct/>
              <w:topLinePunct w:val="0"/>
              <w:bidi w:val="0"/>
              <w:spacing w:before="62" w:line="233" w:lineRule="auto"/>
              <w:ind w:left="2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注意：</w:t>
            </w:r>
          </w:p>
        </w:tc>
        <w:tc>
          <w:tcPr>
            <w:tcW w:w="8712" w:type="dxa"/>
            <w:gridSpan w:val="7"/>
            <w:vAlign w:val="top"/>
          </w:tcPr>
          <w:p w14:paraId="04434907">
            <w:pPr>
              <w:keepNext w:val="0"/>
              <w:keepLines w:val="0"/>
              <w:pageBreakBefore w:val="0"/>
              <w:wordWrap w:val="0"/>
              <w:overflowPunct/>
              <w:topLinePunct w:val="0"/>
              <w:bidi w:val="0"/>
              <w:spacing w:before="148"/>
              <w:ind w:left="111" w:right="107" w:firstLine="483"/>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 内容及真实性负责。</w:t>
            </w:r>
          </w:p>
        </w:tc>
      </w:tr>
      <w:tr w14:paraId="1CF26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2624" w:type="dxa"/>
            <w:gridSpan w:val="2"/>
            <w:vAlign w:val="top"/>
          </w:tcPr>
          <w:p w14:paraId="761E9651">
            <w:pPr>
              <w:pStyle w:val="28"/>
              <w:keepNext w:val="0"/>
              <w:keepLines w:val="0"/>
              <w:pageBreakBefore w:val="0"/>
              <w:wordWrap w:val="0"/>
              <w:overflowPunct/>
              <w:topLinePunct w:val="0"/>
              <w:bidi w:val="0"/>
              <w:spacing w:line="24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A419AAE">
            <w:pPr>
              <w:keepNext w:val="0"/>
              <w:keepLines w:val="0"/>
              <w:pageBreakBefore w:val="0"/>
              <w:wordWrap w:val="0"/>
              <w:overflowPunct/>
              <w:topLinePunct w:val="0"/>
              <w:bidi w:val="0"/>
              <w:spacing w:before="61" w:line="240" w:lineRule="auto"/>
              <w:ind w:left="760" w:right="153" w:hanging="6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接收原件经办人</w:t>
            </w:r>
          </w:p>
          <w:p w14:paraId="1690E6DB">
            <w:pPr>
              <w:keepNext w:val="0"/>
              <w:keepLines w:val="0"/>
              <w:pageBreakBefore w:val="0"/>
              <w:wordWrap w:val="0"/>
              <w:overflowPunct/>
              <w:topLinePunct w:val="0"/>
              <w:bidi w:val="0"/>
              <w:spacing w:before="61" w:line="240" w:lineRule="auto"/>
              <w:ind w:left="760" w:right="153" w:hanging="6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(招标代理)：</w:t>
            </w:r>
          </w:p>
        </w:tc>
        <w:tc>
          <w:tcPr>
            <w:tcW w:w="1725" w:type="dxa"/>
            <w:vAlign w:val="top"/>
          </w:tcPr>
          <w:p w14:paraId="275A8985">
            <w:pPr>
              <w:pStyle w:val="28"/>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83" w:type="dxa"/>
            <w:gridSpan w:val="2"/>
            <w:vAlign w:val="top"/>
          </w:tcPr>
          <w:p w14:paraId="1474D634">
            <w:pPr>
              <w:pStyle w:val="28"/>
              <w:keepNext w:val="0"/>
              <w:keepLines w:val="0"/>
              <w:pageBreakBefore w:val="0"/>
              <w:wordWrap w:val="0"/>
              <w:overflowPunct/>
              <w:topLinePunct w:val="0"/>
              <w:bidi w:val="0"/>
              <w:spacing w:line="288"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DC3DCF2">
            <w:pPr>
              <w:pStyle w:val="28"/>
              <w:keepNext w:val="0"/>
              <w:keepLines w:val="0"/>
              <w:pageBreakBefore w:val="0"/>
              <w:wordWrap w:val="0"/>
              <w:overflowPunct/>
              <w:topLinePunct w:val="0"/>
              <w:bidi w:val="0"/>
              <w:spacing w:line="289"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674EC6F">
            <w:pPr>
              <w:keepNext w:val="0"/>
              <w:keepLines w:val="0"/>
              <w:pageBreakBefore w:val="0"/>
              <w:wordWrap w:val="0"/>
              <w:overflowPunct/>
              <w:topLinePunct w:val="0"/>
              <w:bidi w:val="0"/>
              <w:spacing w:before="62" w:line="229" w:lineRule="auto"/>
              <w:ind w:left="31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接收时间：</w:t>
            </w:r>
          </w:p>
        </w:tc>
        <w:tc>
          <w:tcPr>
            <w:tcW w:w="3408" w:type="dxa"/>
            <w:gridSpan w:val="3"/>
            <w:vAlign w:val="top"/>
          </w:tcPr>
          <w:p w14:paraId="14CF6FE5">
            <w:pPr>
              <w:pStyle w:val="28"/>
              <w:keepNext w:val="0"/>
              <w:keepLines w:val="0"/>
              <w:pageBreakBefore w:val="0"/>
              <w:wordWrap w:val="0"/>
              <w:overflowPunct/>
              <w:topLinePunct w:val="0"/>
              <w:bidi w:val="0"/>
              <w:spacing w:line="288"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D2D58A7">
            <w:pPr>
              <w:pStyle w:val="28"/>
              <w:keepNext w:val="0"/>
              <w:keepLines w:val="0"/>
              <w:pageBreakBefore w:val="0"/>
              <w:wordWrap w:val="0"/>
              <w:overflowPunct/>
              <w:topLinePunct w:val="0"/>
              <w:bidi w:val="0"/>
              <w:spacing w:line="289"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705600D0">
            <w:pPr>
              <w:keepNext w:val="0"/>
              <w:keepLines w:val="0"/>
              <w:pageBreakBefore w:val="0"/>
              <w:wordWrap w:val="0"/>
              <w:overflowPunct/>
              <w:topLinePunct w:val="0"/>
              <w:bidi w:val="0"/>
              <w:spacing w:before="62" w:line="229" w:lineRule="auto"/>
              <w:ind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年   月   日   时  分</w:t>
            </w:r>
          </w:p>
        </w:tc>
      </w:tr>
      <w:tr w14:paraId="25E6C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2624" w:type="dxa"/>
            <w:gridSpan w:val="2"/>
            <w:vAlign w:val="top"/>
          </w:tcPr>
          <w:p w14:paraId="2EB55666">
            <w:pPr>
              <w:keepNext w:val="0"/>
              <w:keepLines w:val="0"/>
              <w:pageBreakBefore w:val="0"/>
              <w:wordWrap w:val="0"/>
              <w:overflowPunct/>
              <w:topLinePunct w:val="0"/>
              <w:bidi w:val="0"/>
              <w:spacing w:before="155" w:line="240" w:lineRule="auto"/>
              <w:ind w:left="861" w:right="153" w:hanging="69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退还原件接收人</w:t>
            </w:r>
          </w:p>
          <w:p w14:paraId="1CDD5251">
            <w:pPr>
              <w:keepNext w:val="0"/>
              <w:keepLines w:val="0"/>
              <w:pageBreakBefore w:val="0"/>
              <w:wordWrap w:val="0"/>
              <w:overflowPunct/>
              <w:topLinePunct w:val="0"/>
              <w:bidi w:val="0"/>
              <w:spacing w:before="155" w:line="240" w:lineRule="auto"/>
              <w:ind w:left="861" w:right="153" w:hanging="69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w:t>
            </w:r>
          </w:p>
        </w:tc>
        <w:tc>
          <w:tcPr>
            <w:tcW w:w="1725" w:type="dxa"/>
            <w:vAlign w:val="top"/>
          </w:tcPr>
          <w:p w14:paraId="66FA3EB1">
            <w:pPr>
              <w:pStyle w:val="28"/>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83" w:type="dxa"/>
            <w:gridSpan w:val="2"/>
            <w:vAlign w:val="top"/>
          </w:tcPr>
          <w:p w14:paraId="37AC43BC">
            <w:pPr>
              <w:pStyle w:val="28"/>
              <w:keepNext w:val="0"/>
              <w:keepLines w:val="0"/>
              <w:pageBreakBefore w:val="0"/>
              <w:wordWrap w:val="0"/>
              <w:overflowPunct/>
              <w:topLinePunct w:val="0"/>
              <w:bidi w:val="0"/>
              <w:spacing w:line="33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C24FA50">
            <w:pPr>
              <w:keepNext w:val="0"/>
              <w:keepLines w:val="0"/>
              <w:pageBreakBefore w:val="0"/>
              <w:wordWrap w:val="0"/>
              <w:overflowPunct/>
              <w:topLinePunct w:val="0"/>
              <w:bidi w:val="0"/>
              <w:spacing w:before="61" w:line="231" w:lineRule="auto"/>
              <w:ind w:left="31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退还时间：</w:t>
            </w:r>
          </w:p>
        </w:tc>
        <w:tc>
          <w:tcPr>
            <w:tcW w:w="3408" w:type="dxa"/>
            <w:gridSpan w:val="3"/>
            <w:vAlign w:val="top"/>
          </w:tcPr>
          <w:p w14:paraId="7DD435CD">
            <w:pPr>
              <w:pStyle w:val="28"/>
              <w:keepNext w:val="0"/>
              <w:keepLines w:val="0"/>
              <w:pageBreakBefore w:val="0"/>
              <w:wordWrap w:val="0"/>
              <w:overflowPunct/>
              <w:topLinePunct w:val="0"/>
              <w:bidi w:val="0"/>
              <w:spacing w:line="33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83946A7">
            <w:pPr>
              <w:keepNext w:val="0"/>
              <w:keepLines w:val="0"/>
              <w:pageBreakBefore w:val="0"/>
              <w:wordWrap w:val="0"/>
              <w:overflowPunct/>
              <w:topLinePunct w:val="0"/>
              <w:bidi w:val="0"/>
              <w:spacing w:before="62" w:line="229" w:lineRule="auto"/>
              <w:ind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年   月   日  时   分</w:t>
            </w:r>
          </w:p>
        </w:tc>
      </w:tr>
    </w:tbl>
    <w:p w14:paraId="7FF2268B">
      <w:pPr>
        <w:keepNext w:val="0"/>
        <w:keepLines w:val="0"/>
        <w:pageBreakBefore w:val="0"/>
        <w:wordWrap w:val="0"/>
        <w:overflowPunct/>
        <w:topLinePunct w:val="0"/>
        <w:bidi w:val="0"/>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75" w:name="bookmark107"/>
      <w:bookmarkEnd w:id="275"/>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4B71295E">
      <w:pPr>
        <w:pStyle w:val="53"/>
        <w:snapToGrid w:val="0"/>
        <w:spacing w:line="440" w:lineRule="exact"/>
        <w:ind w:left="0" w:leftChars="0" w:firstLine="0" w:firstLineChars="0"/>
        <w:outlineLvl w:val="2"/>
        <w:rPr>
          <w:rStyle w:val="27"/>
          <w:rFonts w:hint="eastAsia" w:ascii="Times New Roman" w:hAnsi="宋体" w:eastAsia="宋体" w:cs="Times New Roman"/>
          <w:b/>
          <w:bCs/>
          <w:color w:val="000000" w:themeColor="text1"/>
          <w:sz w:val="21"/>
          <w:szCs w:val="21"/>
          <w:highlight w:val="none"/>
          <w:lang w:val="en-US" w:eastAsia="zh-CN"/>
          <w14:textFill>
            <w14:solidFill>
              <w14:schemeClr w14:val="tx1"/>
            </w14:solidFill>
          </w14:textFill>
        </w:rPr>
      </w:pPr>
      <w:bookmarkStart w:id="276" w:name="_Toc29514"/>
      <w:bookmarkStart w:id="277" w:name="_Toc26133"/>
      <w:bookmarkStart w:id="278" w:name="_Toc26911"/>
      <w:r>
        <w:rPr>
          <w:rStyle w:val="27"/>
          <w:rFonts w:hint="eastAsia" w:ascii="Times New Roman" w:hAnsi="宋体" w:eastAsia="宋体" w:cs="Times New Roman"/>
          <w:b/>
          <w:bCs/>
          <w:snapToGrid w:val="0"/>
          <w:color w:val="000000" w:themeColor="text1"/>
          <w:kern w:val="2"/>
          <w:sz w:val="21"/>
          <w:szCs w:val="21"/>
          <w:highlight w:val="none"/>
          <w:lang w:eastAsia="zh-CN"/>
          <w14:textFill>
            <w14:solidFill>
              <w14:schemeClr w14:val="tx1"/>
            </w14:solidFill>
          </w14:textFill>
        </w:rPr>
        <w:t>格式十</w:t>
      </w:r>
      <w:r>
        <w:rPr>
          <w:rStyle w:val="27"/>
          <w:rFonts w:hint="eastAsia" w:ascii="Times New Roman" w:hAnsi="宋体" w:eastAsia="宋体" w:cs="Times New Roman"/>
          <w:b/>
          <w:bCs/>
          <w:snapToGrid w:val="0"/>
          <w:color w:val="000000" w:themeColor="text1"/>
          <w:kern w:val="2"/>
          <w:sz w:val="21"/>
          <w:szCs w:val="21"/>
          <w:highlight w:val="none"/>
          <w:lang w:val="en-US" w:eastAsia="zh-CN"/>
          <w14:textFill>
            <w14:solidFill>
              <w14:schemeClr w14:val="tx1"/>
            </w14:solidFill>
          </w14:textFill>
        </w:rPr>
        <w:t>六 定标因素评审资料</w:t>
      </w:r>
      <w:bookmarkEnd w:id="276"/>
      <w:bookmarkEnd w:id="277"/>
      <w:bookmarkEnd w:id="278"/>
    </w:p>
    <w:p w14:paraId="4AACD548">
      <w:pPr>
        <w:kinsoku/>
        <w:autoSpaceDE/>
        <w:autoSpaceDN/>
        <w:adjustRightInd/>
        <w:snapToGrid/>
        <w:spacing w:line="500" w:lineRule="exact"/>
        <w:jc w:val="center"/>
        <w:rPr>
          <w:rFonts w:hint="eastAsia" w:ascii="宋体" w:hAnsi="宋体" w:eastAsia="宋体" w:cs="宋体"/>
          <w:b/>
          <w:bCs/>
          <w:snapToGrid/>
          <w:color w:val="000000" w:themeColor="text1"/>
          <w:kern w:val="2"/>
          <w:sz w:val="30"/>
          <w:szCs w:val="30"/>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定标因素评审资料</w:t>
      </w:r>
    </w:p>
    <w:p w14:paraId="78C747A0">
      <w:pPr>
        <w:kinsoku/>
        <w:autoSpaceDE/>
        <w:autoSpaceDN/>
        <w:adjustRightInd/>
        <w:snapToGrid/>
        <w:spacing w:line="360" w:lineRule="auto"/>
        <w:jc w:val="left"/>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p>
    <w:p w14:paraId="7DC38287">
      <w:pPr>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SA"/>
          <w14:textFill>
            <w14:solidFill>
              <w14:schemeClr w14:val="tx1"/>
            </w14:solidFill>
          </w14:textFill>
        </w:rPr>
        <w:t>投标人根据“第一章 第五节 定标规定及细则”载明的定标因素，提交评审资料。</w:t>
      </w:r>
    </w:p>
    <w:p w14:paraId="78B6297A">
      <w:pPr>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3E438A30">
      <w:pPr>
        <w:keepNext w:val="0"/>
        <w:keepLines w:val="0"/>
        <w:pageBreakBefore w:val="0"/>
        <w:wordWrap w:val="0"/>
        <w:overflowPunct/>
        <w:topLinePunct w:val="0"/>
        <w:bidi w:val="0"/>
        <w:spacing w:before="78" w:line="219" w:lineRule="auto"/>
        <w:jc w:val="center"/>
        <w:outlineLvl w:val="1"/>
        <w:rPr>
          <w:rFonts w:hint="eastAsia" w:ascii="宋体" w:hAnsi="宋体" w:eastAsia="宋体" w:cs="宋体"/>
          <w:color w:val="000000" w:themeColor="text1"/>
          <w:spacing w:val="0"/>
          <w:highlight w:val="none"/>
          <w14:textFill>
            <w14:solidFill>
              <w14:schemeClr w14:val="tx1"/>
            </w14:solidFill>
          </w14:textFill>
        </w:rPr>
      </w:pPr>
      <w:bookmarkStart w:id="279" w:name="_Toc27962"/>
      <w:r>
        <w:rPr>
          <w:rFonts w:hint="eastAsia" w:ascii="宋体" w:hAnsi="宋体" w:eastAsia="宋体" w:cs="宋体"/>
          <w:b/>
          <w:bCs/>
          <w:color w:val="000000" w:themeColor="text1"/>
          <w:spacing w:val="0"/>
          <w:sz w:val="24"/>
          <w:szCs w:val="24"/>
          <w:highlight w:val="none"/>
          <w14:textFill>
            <w14:solidFill>
              <w14:schemeClr w14:val="tx1"/>
            </w14:solidFill>
          </w14:textFill>
        </w:rPr>
        <w:t>第七章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建设工程施工合同</w:t>
      </w:r>
      <w:bookmarkEnd w:id="279"/>
    </w:p>
    <w:p w14:paraId="0F14ACDF">
      <w:pPr>
        <w:pStyle w:val="6"/>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151CC36E">
      <w:pPr>
        <w:keepNext w:val="0"/>
        <w:keepLines w:val="0"/>
        <w:pageBreakBefore w:val="0"/>
        <w:wordWrap w:val="0"/>
        <w:overflowPunct/>
        <w:topLinePunct w:val="0"/>
        <w:bidi w:val="0"/>
        <w:spacing w:before="78" w:line="324" w:lineRule="auto"/>
        <w:ind w:firstLine="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（略），按</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韶关市武江区住房和城乡建设局</w:t>
      </w:r>
      <w:r>
        <w:rPr>
          <w:rFonts w:hint="eastAsia" w:ascii="宋体" w:hAnsi="宋体" w:eastAsia="宋体" w:cs="宋体"/>
          <w:color w:val="000000" w:themeColor="text1"/>
          <w:spacing w:val="0"/>
          <w:sz w:val="24"/>
          <w:szCs w:val="24"/>
          <w:highlight w:val="none"/>
          <w14:textFill>
            <w14:solidFill>
              <w14:schemeClr w14:val="tx1"/>
            </w14:solidFill>
          </w14:textFill>
        </w:rPr>
        <w:t>《建设工程施工合同示范文本（房屋建筑和市政工程）》（WJ-2026-0227）执行。</w:t>
      </w:r>
    </w:p>
    <w:p w14:paraId="01801F5B">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sectPr>
      <w:footerReference r:id="rId27"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7F"/>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KSOF6B657194">
    <w:panose1 w:val="02020500000000000000"/>
    <w:charset w:val="88"/>
    <w:family w:val="auto"/>
    <w:pitch w:val="default"/>
    <w:sig w:usb0="00000001" w:usb1="00000000"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0A288">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6E4AF">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0A77C8">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0A77C8">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A2642">
    <w:pPr>
      <w:spacing w:line="179" w:lineRule="auto"/>
      <w:ind w:left="4353"/>
      <w:rPr>
        <w:rFonts w:ascii="宋体" w:hAnsi="宋体" w:eastAsia="宋体" w:cs="宋体"/>
        <w:sz w:val="19"/>
        <w:szCs w:val="19"/>
      </w:rPr>
    </w:pPr>
    <w:r>
      <w:rPr>
        <w:sz w:val="19"/>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53644F">
                          <w:pPr>
                            <w:pStyle w:val="9"/>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B53644F">
                    <w:pPr>
                      <w:pStyle w:val="9"/>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ascii="宋体" w:hAnsi="宋体" w:eastAsia="宋体" w:cs="宋体"/>
        <w:sz w:val="19"/>
        <w:szCs w:val="19"/>
        <w:lang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6D71C">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4F71FC">
                          <w:pPr>
                            <w:pStyle w:val="9"/>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D4F71FC">
                    <w:pPr>
                      <w:pStyle w:val="9"/>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83137">
    <w:pPr>
      <w:pStyle w:val="9"/>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B65B2D">
                          <w:pPr>
                            <w:pStyle w:val="9"/>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2B65B2D">
                    <w:pPr>
                      <w:pStyle w:val="9"/>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1E147">
    <w:pPr>
      <w:pStyle w:val="9"/>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0DBAC9">
                          <w:pPr>
                            <w:pStyle w:val="9"/>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40DBAC9">
                    <w:pPr>
                      <w:pStyle w:val="9"/>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BFC2D">
    <w:pPr>
      <w:pStyle w:val="9"/>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091286">
                          <w:pPr>
                            <w:pStyle w:val="9"/>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F091286">
                    <w:pPr>
                      <w:pStyle w:val="9"/>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DF844">
    <w:pPr>
      <w:pStyle w:val="9"/>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DB81C9">
                          <w:pPr>
                            <w:pStyle w:val="9"/>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8DB81C9">
                    <w:pPr>
                      <w:pStyle w:val="9"/>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40724">
    <w:pPr>
      <w:pStyle w:val="9"/>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285931">
                          <w:pPr>
                            <w:pStyle w:val="9"/>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5285931">
                    <w:pPr>
                      <w:pStyle w:val="9"/>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67EE6">
    <w:pPr>
      <w:pStyle w:val="9"/>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B08799">
                          <w:pPr>
                            <w:pStyle w:val="9"/>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3B08799">
                    <w:pPr>
                      <w:pStyle w:val="9"/>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111AF">
    <w:pPr>
      <w:pStyle w:val="9"/>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EB88D6">
                          <w:pPr>
                            <w:pStyle w:val="9"/>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AEB88D6">
                    <w:pPr>
                      <w:pStyle w:val="9"/>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B3D4B">
    <w:pPr>
      <w:pStyle w:val="9"/>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C9540B">
                          <w:pPr>
                            <w:pStyle w:val="9"/>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5C9540B">
                    <w:pPr>
                      <w:pStyle w:val="9"/>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CA7E8">
    <w:pPr>
      <w:pStyle w:val="9"/>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FA68BB">
                          <w:pPr>
                            <w:pStyle w:val="9"/>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BFA68BB">
                    <w:pPr>
                      <w:pStyle w:val="9"/>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B6E0A">
    <w:pPr>
      <w:pStyle w:val="9"/>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5CEF52">
                          <w:pPr>
                            <w:pStyle w:val="9"/>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755CEF52">
                    <w:pPr>
                      <w:pStyle w:val="9"/>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D6CBA">
    <w:pPr>
      <w:pStyle w:val="9"/>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393DF6">
                          <w:pPr>
                            <w:pStyle w:val="9"/>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4C393DF6">
                    <w:pPr>
                      <w:pStyle w:val="9"/>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4F25A">
    <w:pPr>
      <w:pStyle w:val="9"/>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158473">
                          <w:pPr>
                            <w:pStyle w:val="9"/>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15158473">
                    <w:pPr>
                      <w:pStyle w:val="9"/>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3A765">
    <w:pPr>
      <w:pStyle w:val="9"/>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68E82C">
                          <w:pPr>
                            <w:pStyle w:val="9"/>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4A68E82C">
                    <w:pPr>
                      <w:pStyle w:val="9"/>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0510">
    <w:pPr>
      <w:pStyle w:val="9"/>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235F8D">
                          <w:pPr>
                            <w:pStyle w:val="9"/>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16235F8D">
                    <w:pPr>
                      <w:pStyle w:val="9"/>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0073A">
    <w:pPr>
      <w:pStyle w:val="9"/>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16AC4E">
                          <w:pPr>
                            <w:pStyle w:val="9"/>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3B16AC4E">
                    <w:pPr>
                      <w:pStyle w:val="9"/>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FF30B">
    <w:pPr>
      <w:pStyle w:val="9"/>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8FFB92">
                          <w:pPr>
                            <w:pStyle w:val="9"/>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388FFB92">
                    <w:pPr>
                      <w:pStyle w:val="9"/>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4F5C4">
    <w:pPr>
      <w:pStyle w:val="9"/>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40A844">
                          <w:pPr>
                            <w:pStyle w:val="9"/>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7F40A844">
                    <w:pPr>
                      <w:pStyle w:val="9"/>
                    </w:pPr>
                    <w:r>
                      <w:fldChar w:fldCharType="begin"/>
                    </w:r>
                    <w:r>
                      <w:instrText xml:space="preserve"> PAGE  \* MERGEFORMAT </w:instrText>
                    </w:r>
                    <w:r>
                      <w:fldChar w:fldCharType="separate"/>
                    </w:r>
                    <w:r>
                      <w:t>80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2A64E">
    <w:pPr>
      <w:pStyle w:val="6"/>
      <w:spacing w:line="50"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A3C7A">
    <w:pPr>
      <w:pStyle w:val="6"/>
      <w:spacing w:line="50"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2D440">
    <w:pPr>
      <w:pStyle w:val="6"/>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978D7">
    <w:pPr>
      <w:pStyle w:val="6"/>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C9BDCA"/>
    <w:multiLevelType w:val="singleLevel"/>
    <w:tmpl w:val="E6C9BDC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kZmUxYzUwZTk0YWQ4OWIxZDY5YjRhZmIwMjUzNzMifQ=="/>
  </w:docVars>
  <w:rsids>
    <w:rsidRoot w:val="4F582EF7"/>
    <w:rsid w:val="000D6A89"/>
    <w:rsid w:val="0012211A"/>
    <w:rsid w:val="00473031"/>
    <w:rsid w:val="008E2A0E"/>
    <w:rsid w:val="00914CB2"/>
    <w:rsid w:val="00D61DC8"/>
    <w:rsid w:val="00DE2BE3"/>
    <w:rsid w:val="00F661CB"/>
    <w:rsid w:val="01203FAE"/>
    <w:rsid w:val="012A2737"/>
    <w:rsid w:val="012D699E"/>
    <w:rsid w:val="013F0365"/>
    <w:rsid w:val="013F232E"/>
    <w:rsid w:val="014B09BB"/>
    <w:rsid w:val="014C6B51"/>
    <w:rsid w:val="016471F9"/>
    <w:rsid w:val="018C1643"/>
    <w:rsid w:val="01916C5A"/>
    <w:rsid w:val="01B841E6"/>
    <w:rsid w:val="01B97F5E"/>
    <w:rsid w:val="01D67722"/>
    <w:rsid w:val="01D95F0B"/>
    <w:rsid w:val="021F7DC1"/>
    <w:rsid w:val="02337D11"/>
    <w:rsid w:val="026E699E"/>
    <w:rsid w:val="0273635F"/>
    <w:rsid w:val="02AA30B8"/>
    <w:rsid w:val="02B7625C"/>
    <w:rsid w:val="02BF0C55"/>
    <w:rsid w:val="02EF1E8A"/>
    <w:rsid w:val="03091250"/>
    <w:rsid w:val="032C4E8C"/>
    <w:rsid w:val="0358304C"/>
    <w:rsid w:val="03696A9E"/>
    <w:rsid w:val="037C563F"/>
    <w:rsid w:val="039E06FB"/>
    <w:rsid w:val="03A5079A"/>
    <w:rsid w:val="03A52548"/>
    <w:rsid w:val="03B07149"/>
    <w:rsid w:val="03B16239"/>
    <w:rsid w:val="03B524C9"/>
    <w:rsid w:val="03BA6178"/>
    <w:rsid w:val="03C5042E"/>
    <w:rsid w:val="03D80876"/>
    <w:rsid w:val="04003C23"/>
    <w:rsid w:val="04021749"/>
    <w:rsid w:val="040C05F0"/>
    <w:rsid w:val="04131BA8"/>
    <w:rsid w:val="04200D92"/>
    <w:rsid w:val="043C0BB8"/>
    <w:rsid w:val="04540333"/>
    <w:rsid w:val="048719B2"/>
    <w:rsid w:val="04A50EEC"/>
    <w:rsid w:val="04AE7B23"/>
    <w:rsid w:val="04B67F25"/>
    <w:rsid w:val="04BF763A"/>
    <w:rsid w:val="04C93D12"/>
    <w:rsid w:val="05311766"/>
    <w:rsid w:val="05654685"/>
    <w:rsid w:val="05CA6E66"/>
    <w:rsid w:val="05CB7F04"/>
    <w:rsid w:val="05E732EC"/>
    <w:rsid w:val="05EC614B"/>
    <w:rsid w:val="063C112F"/>
    <w:rsid w:val="066642EF"/>
    <w:rsid w:val="066C1D20"/>
    <w:rsid w:val="066E18CA"/>
    <w:rsid w:val="069B537E"/>
    <w:rsid w:val="06AD62E4"/>
    <w:rsid w:val="06B156A8"/>
    <w:rsid w:val="06C70A28"/>
    <w:rsid w:val="06C929F2"/>
    <w:rsid w:val="06EE2458"/>
    <w:rsid w:val="06F909A4"/>
    <w:rsid w:val="07133987"/>
    <w:rsid w:val="071C4121"/>
    <w:rsid w:val="073360BD"/>
    <w:rsid w:val="076467EA"/>
    <w:rsid w:val="079D5546"/>
    <w:rsid w:val="07A1396F"/>
    <w:rsid w:val="07A71DAB"/>
    <w:rsid w:val="07B90CB8"/>
    <w:rsid w:val="07EC510E"/>
    <w:rsid w:val="082A5712"/>
    <w:rsid w:val="083D3697"/>
    <w:rsid w:val="08752E31"/>
    <w:rsid w:val="087A397A"/>
    <w:rsid w:val="08CD7283"/>
    <w:rsid w:val="08D15B8E"/>
    <w:rsid w:val="08DB07BA"/>
    <w:rsid w:val="08EB6C4F"/>
    <w:rsid w:val="092D5890"/>
    <w:rsid w:val="093E733B"/>
    <w:rsid w:val="09861D3A"/>
    <w:rsid w:val="09F06AB0"/>
    <w:rsid w:val="09FA34EB"/>
    <w:rsid w:val="0A182626"/>
    <w:rsid w:val="0A2763AD"/>
    <w:rsid w:val="0A62467A"/>
    <w:rsid w:val="0A7D4664"/>
    <w:rsid w:val="0A880123"/>
    <w:rsid w:val="0A951569"/>
    <w:rsid w:val="0A9A2CCF"/>
    <w:rsid w:val="0ABA2D7D"/>
    <w:rsid w:val="0AD33307"/>
    <w:rsid w:val="0AEE3BCC"/>
    <w:rsid w:val="0B146B03"/>
    <w:rsid w:val="0B3866B7"/>
    <w:rsid w:val="0B3B5F5C"/>
    <w:rsid w:val="0B644CDF"/>
    <w:rsid w:val="0B6E1962"/>
    <w:rsid w:val="0B84410E"/>
    <w:rsid w:val="0B991B8D"/>
    <w:rsid w:val="0BD240F7"/>
    <w:rsid w:val="0C120997"/>
    <w:rsid w:val="0C2C7CAB"/>
    <w:rsid w:val="0C2D2A4E"/>
    <w:rsid w:val="0C350433"/>
    <w:rsid w:val="0C360B29"/>
    <w:rsid w:val="0C3B1C9C"/>
    <w:rsid w:val="0C3D67FB"/>
    <w:rsid w:val="0C4153D2"/>
    <w:rsid w:val="0C470FE2"/>
    <w:rsid w:val="0C596A89"/>
    <w:rsid w:val="0CA07D76"/>
    <w:rsid w:val="0CA247B5"/>
    <w:rsid w:val="0CA331A2"/>
    <w:rsid w:val="0CC51EAD"/>
    <w:rsid w:val="0CEB3524"/>
    <w:rsid w:val="0CEE4F60"/>
    <w:rsid w:val="0CFE2CC9"/>
    <w:rsid w:val="0D03679A"/>
    <w:rsid w:val="0D2B3600"/>
    <w:rsid w:val="0D3A5224"/>
    <w:rsid w:val="0D410E67"/>
    <w:rsid w:val="0D786450"/>
    <w:rsid w:val="0DB97443"/>
    <w:rsid w:val="0DCB0DFD"/>
    <w:rsid w:val="0DD1536E"/>
    <w:rsid w:val="0DD203DE"/>
    <w:rsid w:val="0DDC125D"/>
    <w:rsid w:val="0DE10058"/>
    <w:rsid w:val="0DF525DE"/>
    <w:rsid w:val="0DF61CE0"/>
    <w:rsid w:val="0E021EEE"/>
    <w:rsid w:val="0E122ED0"/>
    <w:rsid w:val="0E1E1875"/>
    <w:rsid w:val="0E2944A5"/>
    <w:rsid w:val="0E372937"/>
    <w:rsid w:val="0E6E7EA8"/>
    <w:rsid w:val="0E8E37ED"/>
    <w:rsid w:val="0EAF2E14"/>
    <w:rsid w:val="0EAF4BC3"/>
    <w:rsid w:val="0ED95707"/>
    <w:rsid w:val="0EDB59B8"/>
    <w:rsid w:val="0EF30E7F"/>
    <w:rsid w:val="0F0D5446"/>
    <w:rsid w:val="0F154082"/>
    <w:rsid w:val="0F1B4006"/>
    <w:rsid w:val="0F312AB7"/>
    <w:rsid w:val="0F8B118C"/>
    <w:rsid w:val="0F9574F1"/>
    <w:rsid w:val="0FB775B8"/>
    <w:rsid w:val="0FE32D76"/>
    <w:rsid w:val="0FF44D8A"/>
    <w:rsid w:val="10433815"/>
    <w:rsid w:val="10573290"/>
    <w:rsid w:val="105858FC"/>
    <w:rsid w:val="108403E2"/>
    <w:rsid w:val="109275A9"/>
    <w:rsid w:val="10C15734"/>
    <w:rsid w:val="10D07C36"/>
    <w:rsid w:val="10DE7343"/>
    <w:rsid w:val="1102547E"/>
    <w:rsid w:val="110D36CE"/>
    <w:rsid w:val="11124F95"/>
    <w:rsid w:val="11163DD2"/>
    <w:rsid w:val="11183B29"/>
    <w:rsid w:val="11533574"/>
    <w:rsid w:val="11785740"/>
    <w:rsid w:val="117B25C5"/>
    <w:rsid w:val="11862732"/>
    <w:rsid w:val="118E7EDA"/>
    <w:rsid w:val="118F278E"/>
    <w:rsid w:val="119105B0"/>
    <w:rsid w:val="119231B4"/>
    <w:rsid w:val="11994D85"/>
    <w:rsid w:val="11A47985"/>
    <w:rsid w:val="11BE23F6"/>
    <w:rsid w:val="11D80D88"/>
    <w:rsid w:val="11F50B3F"/>
    <w:rsid w:val="12073247"/>
    <w:rsid w:val="122C2F50"/>
    <w:rsid w:val="124D44D7"/>
    <w:rsid w:val="12514BDA"/>
    <w:rsid w:val="12791770"/>
    <w:rsid w:val="12906AB9"/>
    <w:rsid w:val="129822D6"/>
    <w:rsid w:val="12B154EC"/>
    <w:rsid w:val="12B46AE6"/>
    <w:rsid w:val="12BE7183"/>
    <w:rsid w:val="12C7072D"/>
    <w:rsid w:val="12D83402"/>
    <w:rsid w:val="12E7492B"/>
    <w:rsid w:val="12E74FC1"/>
    <w:rsid w:val="12F27F6E"/>
    <w:rsid w:val="12F53397"/>
    <w:rsid w:val="131A26A8"/>
    <w:rsid w:val="13237098"/>
    <w:rsid w:val="132A4818"/>
    <w:rsid w:val="13321D51"/>
    <w:rsid w:val="13394A5B"/>
    <w:rsid w:val="133D279D"/>
    <w:rsid w:val="1385172F"/>
    <w:rsid w:val="13B36C86"/>
    <w:rsid w:val="13C16461"/>
    <w:rsid w:val="13C438FA"/>
    <w:rsid w:val="13CC1D73"/>
    <w:rsid w:val="13E34C75"/>
    <w:rsid w:val="13EC7D20"/>
    <w:rsid w:val="14141B79"/>
    <w:rsid w:val="1444633F"/>
    <w:rsid w:val="148650F4"/>
    <w:rsid w:val="14933FC5"/>
    <w:rsid w:val="1505553D"/>
    <w:rsid w:val="150D2643"/>
    <w:rsid w:val="15192D96"/>
    <w:rsid w:val="15542020"/>
    <w:rsid w:val="155663AB"/>
    <w:rsid w:val="15712BD2"/>
    <w:rsid w:val="15A10CF5"/>
    <w:rsid w:val="15B8435D"/>
    <w:rsid w:val="15C40F54"/>
    <w:rsid w:val="15DC13FE"/>
    <w:rsid w:val="15F3699E"/>
    <w:rsid w:val="15F5110D"/>
    <w:rsid w:val="16005D04"/>
    <w:rsid w:val="16223ECC"/>
    <w:rsid w:val="162714E3"/>
    <w:rsid w:val="16351E52"/>
    <w:rsid w:val="165B4EA8"/>
    <w:rsid w:val="16737FC1"/>
    <w:rsid w:val="16862113"/>
    <w:rsid w:val="16BA5F31"/>
    <w:rsid w:val="16C60CFC"/>
    <w:rsid w:val="16DE1BA1"/>
    <w:rsid w:val="16DF591A"/>
    <w:rsid w:val="1722468F"/>
    <w:rsid w:val="172A3039"/>
    <w:rsid w:val="172C4685"/>
    <w:rsid w:val="17451158"/>
    <w:rsid w:val="1767428D"/>
    <w:rsid w:val="1776627E"/>
    <w:rsid w:val="17C23271"/>
    <w:rsid w:val="17C50FB3"/>
    <w:rsid w:val="18226406"/>
    <w:rsid w:val="182A472E"/>
    <w:rsid w:val="183D1F26"/>
    <w:rsid w:val="18506ACF"/>
    <w:rsid w:val="18562DAE"/>
    <w:rsid w:val="1862610F"/>
    <w:rsid w:val="18700F1F"/>
    <w:rsid w:val="18710487"/>
    <w:rsid w:val="18B6056A"/>
    <w:rsid w:val="18C06D07"/>
    <w:rsid w:val="18ED2570"/>
    <w:rsid w:val="19042D57"/>
    <w:rsid w:val="190B3062"/>
    <w:rsid w:val="190C05EB"/>
    <w:rsid w:val="191E3E7B"/>
    <w:rsid w:val="192D6E10"/>
    <w:rsid w:val="192E77AB"/>
    <w:rsid w:val="19461C80"/>
    <w:rsid w:val="19597C05"/>
    <w:rsid w:val="195F015E"/>
    <w:rsid w:val="1963464B"/>
    <w:rsid w:val="197764F6"/>
    <w:rsid w:val="19805192"/>
    <w:rsid w:val="19974BAF"/>
    <w:rsid w:val="19C31523"/>
    <w:rsid w:val="19D63004"/>
    <w:rsid w:val="19DD2996"/>
    <w:rsid w:val="19DD63F3"/>
    <w:rsid w:val="1A200723"/>
    <w:rsid w:val="1A2C70C8"/>
    <w:rsid w:val="1A3A6836"/>
    <w:rsid w:val="1A4A3FE0"/>
    <w:rsid w:val="1A5B5BFF"/>
    <w:rsid w:val="1A6040D2"/>
    <w:rsid w:val="1AE57555"/>
    <w:rsid w:val="1B197004"/>
    <w:rsid w:val="1B375D24"/>
    <w:rsid w:val="1B530684"/>
    <w:rsid w:val="1BAD2DBB"/>
    <w:rsid w:val="1BB32838"/>
    <w:rsid w:val="1BC25F36"/>
    <w:rsid w:val="1BCD48DA"/>
    <w:rsid w:val="1C116575"/>
    <w:rsid w:val="1C16412A"/>
    <w:rsid w:val="1C2A3ADB"/>
    <w:rsid w:val="1C324211"/>
    <w:rsid w:val="1C623275"/>
    <w:rsid w:val="1C7F3E27"/>
    <w:rsid w:val="1C931680"/>
    <w:rsid w:val="1C977356"/>
    <w:rsid w:val="1C9E3BBC"/>
    <w:rsid w:val="1CC7132A"/>
    <w:rsid w:val="1CEE68B6"/>
    <w:rsid w:val="1CF16241"/>
    <w:rsid w:val="1CFE11EF"/>
    <w:rsid w:val="1D07309F"/>
    <w:rsid w:val="1D1C4C74"/>
    <w:rsid w:val="1DED3012"/>
    <w:rsid w:val="1DED6D0F"/>
    <w:rsid w:val="1E2A6014"/>
    <w:rsid w:val="1E3B5065"/>
    <w:rsid w:val="1E3B5B2B"/>
    <w:rsid w:val="1E491296"/>
    <w:rsid w:val="1E4A0464"/>
    <w:rsid w:val="1E4E6662"/>
    <w:rsid w:val="1E504393"/>
    <w:rsid w:val="1E5D49E3"/>
    <w:rsid w:val="1E6432D4"/>
    <w:rsid w:val="1E7121EE"/>
    <w:rsid w:val="1E9F430C"/>
    <w:rsid w:val="1EB53B18"/>
    <w:rsid w:val="1EBD4792"/>
    <w:rsid w:val="1EE461C3"/>
    <w:rsid w:val="1F2962CC"/>
    <w:rsid w:val="1F297E9B"/>
    <w:rsid w:val="1F3C3740"/>
    <w:rsid w:val="1F487665"/>
    <w:rsid w:val="1F4E5D32"/>
    <w:rsid w:val="1F683A66"/>
    <w:rsid w:val="1F780DC2"/>
    <w:rsid w:val="1F792D48"/>
    <w:rsid w:val="1FA6791C"/>
    <w:rsid w:val="1FA8483E"/>
    <w:rsid w:val="1FB65DB1"/>
    <w:rsid w:val="1FC06E59"/>
    <w:rsid w:val="1FDA1374"/>
    <w:rsid w:val="1FEB3581"/>
    <w:rsid w:val="20020FF7"/>
    <w:rsid w:val="20210F16"/>
    <w:rsid w:val="206770AC"/>
    <w:rsid w:val="208714FC"/>
    <w:rsid w:val="20B41F4E"/>
    <w:rsid w:val="20B73CE8"/>
    <w:rsid w:val="20CB1F07"/>
    <w:rsid w:val="20E76E0C"/>
    <w:rsid w:val="21052421"/>
    <w:rsid w:val="21244F9D"/>
    <w:rsid w:val="21517A59"/>
    <w:rsid w:val="216E1E9C"/>
    <w:rsid w:val="217615B5"/>
    <w:rsid w:val="21917E66"/>
    <w:rsid w:val="21AF0D0A"/>
    <w:rsid w:val="21FA5CFD"/>
    <w:rsid w:val="22247AC2"/>
    <w:rsid w:val="222C2B90"/>
    <w:rsid w:val="22457E73"/>
    <w:rsid w:val="2248233E"/>
    <w:rsid w:val="227D2BB6"/>
    <w:rsid w:val="229E3272"/>
    <w:rsid w:val="22E70030"/>
    <w:rsid w:val="22F866E1"/>
    <w:rsid w:val="231A178A"/>
    <w:rsid w:val="23260E04"/>
    <w:rsid w:val="233953DA"/>
    <w:rsid w:val="234A73BC"/>
    <w:rsid w:val="234F2844"/>
    <w:rsid w:val="23515DF1"/>
    <w:rsid w:val="23790749"/>
    <w:rsid w:val="237B4B25"/>
    <w:rsid w:val="23931F66"/>
    <w:rsid w:val="23CD6C05"/>
    <w:rsid w:val="23D8337E"/>
    <w:rsid w:val="23E40381"/>
    <w:rsid w:val="23E66539"/>
    <w:rsid w:val="23EF4E6F"/>
    <w:rsid w:val="23F67F1C"/>
    <w:rsid w:val="240C1237"/>
    <w:rsid w:val="245C4A4D"/>
    <w:rsid w:val="24613E12"/>
    <w:rsid w:val="24782AD4"/>
    <w:rsid w:val="249C3951"/>
    <w:rsid w:val="249F17D3"/>
    <w:rsid w:val="24A10C0D"/>
    <w:rsid w:val="24CC572F"/>
    <w:rsid w:val="251E59E0"/>
    <w:rsid w:val="251F7F55"/>
    <w:rsid w:val="2542460B"/>
    <w:rsid w:val="254479BB"/>
    <w:rsid w:val="254C2D14"/>
    <w:rsid w:val="256D06AE"/>
    <w:rsid w:val="2582242A"/>
    <w:rsid w:val="259077D0"/>
    <w:rsid w:val="259D531E"/>
    <w:rsid w:val="25AD01C7"/>
    <w:rsid w:val="25AF7A72"/>
    <w:rsid w:val="25B20381"/>
    <w:rsid w:val="25F25669"/>
    <w:rsid w:val="260357AC"/>
    <w:rsid w:val="260B6FC2"/>
    <w:rsid w:val="264763B7"/>
    <w:rsid w:val="267300F1"/>
    <w:rsid w:val="267C4F33"/>
    <w:rsid w:val="268B2A3A"/>
    <w:rsid w:val="268B3DAD"/>
    <w:rsid w:val="26A61FB0"/>
    <w:rsid w:val="26AA1AA0"/>
    <w:rsid w:val="26B13700"/>
    <w:rsid w:val="26E1530D"/>
    <w:rsid w:val="26FC7CDF"/>
    <w:rsid w:val="27197093"/>
    <w:rsid w:val="275131CB"/>
    <w:rsid w:val="2753659C"/>
    <w:rsid w:val="277025E4"/>
    <w:rsid w:val="27734537"/>
    <w:rsid w:val="279B1E5B"/>
    <w:rsid w:val="27C8417C"/>
    <w:rsid w:val="27E70AD2"/>
    <w:rsid w:val="282B4E63"/>
    <w:rsid w:val="282B6C11"/>
    <w:rsid w:val="282D666B"/>
    <w:rsid w:val="28496233"/>
    <w:rsid w:val="28541BD2"/>
    <w:rsid w:val="2873044C"/>
    <w:rsid w:val="28884FF7"/>
    <w:rsid w:val="28B60B0F"/>
    <w:rsid w:val="28BD7BFD"/>
    <w:rsid w:val="28E16404"/>
    <w:rsid w:val="28F60FCD"/>
    <w:rsid w:val="290F389D"/>
    <w:rsid w:val="293033DF"/>
    <w:rsid w:val="293D2CA4"/>
    <w:rsid w:val="293E21D3"/>
    <w:rsid w:val="29567CBD"/>
    <w:rsid w:val="2962542C"/>
    <w:rsid w:val="29686BF8"/>
    <w:rsid w:val="297B3BC8"/>
    <w:rsid w:val="29A9794B"/>
    <w:rsid w:val="29AE5C47"/>
    <w:rsid w:val="29C966E1"/>
    <w:rsid w:val="2A6D4BE6"/>
    <w:rsid w:val="2A7228D5"/>
    <w:rsid w:val="2A8645D2"/>
    <w:rsid w:val="2A975C19"/>
    <w:rsid w:val="2ACF7D27"/>
    <w:rsid w:val="2AD73080"/>
    <w:rsid w:val="2ADC41F2"/>
    <w:rsid w:val="2AF97E66"/>
    <w:rsid w:val="2B160E6F"/>
    <w:rsid w:val="2B2A31B0"/>
    <w:rsid w:val="2B351DFD"/>
    <w:rsid w:val="2B367172"/>
    <w:rsid w:val="2B5126A9"/>
    <w:rsid w:val="2B784A6E"/>
    <w:rsid w:val="2B9A7B07"/>
    <w:rsid w:val="2BA3310C"/>
    <w:rsid w:val="2BAE2033"/>
    <w:rsid w:val="2BB37649"/>
    <w:rsid w:val="2BB82A63"/>
    <w:rsid w:val="2BC730F4"/>
    <w:rsid w:val="2BDC10FF"/>
    <w:rsid w:val="2BE42462"/>
    <w:rsid w:val="2BFA2F81"/>
    <w:rsid w:val="2BFD3113"/>
    <w:rsid w:val="2BFD6B16"/>
    <w:rsid w:val="2C0003B4"/>
    <w:rsid w:val="2C15160E"/>
    <w:rsid w:val="2C3920EC"/>
    <w:rsid w:val="2C3A068B"/>
    <w:rsid w:val="2C8B1F1F"/>
    <w:rsid w:val="2CA13945"/>
    <w:rsid w:val="2CA156F3"/>
    <w:rsid w:val="2D12214D"/>
    <w:rsid w:val="2D236108"/>
    <w:rsid w:val="2D474F25"/>
    <w:rsid w:val="2D906B09"/>
    <w:rsid w:val="2D9C5EBB"/>
    <w:rsid w:val="2DAC0A59"/>
    <w:rsid w:val="2DE51610"/>
    <w:rsid w:val="2E034C51"/>
    <w:rsid w:val="2E0D054D"/>
    <w:rsid w:val="2E374FF2"/>
    <w:rsid w:val="2E642E7C"/>
    <w:rsid w:val="2E7F3812"/>
    <w:rsid w:val="2E977FF2"/>
    <w:rsid w:val="2E9A689E"/>
    <w:rsid w:val="2ED7388A"/>
    <w:rsid w:val="2EDD4BB1"/>
    <w:rsid w:val="2EE212D0"/>
    <w:rsid w:val="2EE8585B"/>
    <w:rsid w:val="2F2729AC"/>
    <w:rsid w:val="2F3C0F4C"/>
    <w:rsid w:val="2F5A6566"/>
    <w:rsid w:val="2F822251"/>
    <w:rsid w:val="2F9108B6"/>
    <w:rsid w:val="2F995D8A"/>
    <w:rsid w:val="2FB40CBC"/>
    <w:rsid w:val="2FB82F9F"/>
    <w:rsid w:val="2FDE7A72"/>
    <w:rsid w:val="2FE5383E"/>
    <w:rsid w:val="2FF92384"/>
    <w:rsid w:val="2FFF76FC"/>
    <w:rsid w:val="300F506A"/>
    <w:rsid w:val="301F52AD"/>
    <w:rsid w:val="30562C99"/>
    <w:rsid w:val="30AC4667"/>
    <w:rsid w:val="30B345DC"/>
    <w:rsid w:val="30D14AC9"/>
    <w:rsid w:val="30DF67EA"/>
    <w:rsid w:val="30E67B79"/>
    <w:rsid w:val="30EF4FA7"/>
    <w:rsid w:val="30F860E0"/>
    <w:rsid w:val="312C49B4"/>
    <w:rsid w:val="313C778B"/>
    <w:rsid w:val="318C486E"/>
    <w:rsid w:val="31973123"/>
    <w:rsid w:val="319C13AD"/>
    <w:rsid w:val="31CC3212"/>
    <w:rsid w:val="31D9592F"/>
    <w:rsid w:val="32105FF7"/>
    <w:rsid w:val="321A2D0F"/>
    <w:rsid w:val="321B09ED"/>
    <w:rsid w:val="322E1126"/>
    <w:rsid w:val="32422005"/>
    <w:rsid w:val="324D664C"/>
    <w:rsid w:val="32504AC8"/>
    <w:rsid w:val="32A8036C"/>
    <w:rsid w:val="32BE6EB2"/>
    <w:rsid w:val="32C616FD"/>
    <w:rsid w:val="32C7154E"/>
    <w:rsid w:val="32D46E8A"/>
    <w:rsid w:val="32DF7712"/>
    <w:rsid w:val="3317207A"/>
    <w:rsid w:val="331A6B7B"/>
    <w:rsid w:val="33204F95"/>
    <w:rsid w:val="33396D39"/>
    <w:rsid w:val="33643EF5"/>
    <w:rsid w:val="33705242"/>
    <w:rsid w:val="33896EEB"/>
    <w:rsid w:val="33945FB2"/>
    <w:rsid w:val="339E473B"/>
    <w:rsid w:val="33A74CB8"/>
    <w:rsid w:val="33B479F7"/>
    <w:rsid w:val="33D80BF4"/>
    <w:rsid w:val="33E57C5B"/>
    <w:rsid w:val="34124B0B"/>
    <w:rsid w:val="34207846"/>
    <w:rsid w:val="344A6670"/>
    <w:rsid w:val="34675E29"/>
    <w:rsid w:val="346D235F"/>
    <w:rsid w:val="346F60D7"/>
    <w:rsid w:val="348F605A"/>
    <w:rsid w:val="34A357B5"/>
    <w:rsid w:val="34AA1521"/>
    <w:rsid w:val="34BF60DF"/>
    <w:rsid w:val="34C22379"/>
    <w:rsid w:val="34C7718F"/>
    <w:rsid w:val="34F51A33"/>
    <w:rsid w:val="35233259"/>
    <w:rsid w:val="355B006D"/>
    <w:rsid w:val="357E4769"/>
    <w:rsid w:val="35AF7A0E"/>
    <w:rsid w:val="35B20971"/>
    <w:rsid w:val="35E11256"/>
    <w:rsid w:val="35F03248"/>
    <w:rsid w:val="364C66D0"/>
    <w:rsid w:val="365D08DD"/>
    <w:rsid w:val="368A369C"/>
    <w:rsid w:val="369F27CF"/>
    <w:rsid w:val="36A302BA"/>
    <w:rsid w:val="36AA789A"/>
    <w:rsid w:val="36B60605"/>
    <w:rsid w:val="36C73FA8"/>
    <w:rsid w:val="36DB3EF8"/>
    <w:rsid w:val="36EA7C97"/>
    <w:rsid w:val="3701395E"/>
    <w:rsid w:val="37015FBC"/>
    <w:rsid w:val="37024E0F"/>
    <w:rsid w:val="3727713D"/>
    <w:rsid w:val="37704A11"/>
    <w:rsid w:val="37751C56"/>
    <w:rsid w:val="37A136E5"/>
    <w:rsid w:val="37B502A5"/>
    <w:rsid w:val="37C45ACE"/>
    <w:rsid w:val="37C71875"/>
    <w:rsid w:val="37E335F2"/>
    <w:rsid w:val="37E76AA3"/>
    <w:rsid w:val="3805122C"/>
    <w:rsid w:val="38194CD8"/>
    <w:rsid w:val="3835053A"/>
    <w:rsid w:val="383E568D"/>
    <w:rsid w:val="387463B2"/>
    <w:rsid w:val="387D65FD"/>
    <w:rsid w:val="388F6D48"/>
    <w:rsid w:val="38A24CCD"/>
    <w:rsid w:val="38BA426C"/>
    <w:rsid w:val="38BE1535"/>
    <w:rsid w:val="38F6599A"/>
    <w:rsid w:val="39070FD4"/>
    <w:rsid w:val="39210B7D"/>
    <w:rsid w:val="395A2DA3"/>
    <w:rsid w:val="395B57B8"/>
    <w:rsid w:val="396E7AF5"/>
    <w:rsid w:val="397A7B42"/>
    <w:rsid w:val="397D01C6"/>
    <w:rsid w:val="39B4157B"/>
    <w:rsid w:val="39DF785B"/>
    <w:rsid w:val="39E44C95"/>
    <w:rsid w:val="3A1A0893"/>
    <w:rsid w:val="3A3F7873"/>
    <w:rsid w:val="3A5C534F"/>
    <w:rsid w:val="3A5E69D2"/>
    <w:rsid w:val="3A60099C"/>
    <w:rsid w:val="3A82511E"/>
    <w:rsid w:val="3A8B1791"/>
    <w:rsid w:val="3AA16B06"/>
    <w:rsid w:val="3ACD1DA9"/>
    <w:rsid w:val="3AD969A0"/>
    <w:rsid w:val="3ADB2718"/>
    <w:rsid w:val="3AED7C86"/>
    <w:rsid w:val="3B2C2F74"/>
    <w:rsid w:val="3B351E28"/>
    <w:rsid w:val="3B53405D"/>
    <w:rsid w:val="3B7116F3"/>
    <w:rsid w:val="3B78218B"/>
    <w:rsid w:val="3B800B35"/>
    <w:rsid w:val="3B817161"/>
    <w:rsid w:val="3B8B205B"/>
    <w:rsid w:val="3BA174BE"/>
    <w:rsid w:val="3BAE1FDB"/>
    <w:rsid w:val="3BAE3989"/>
    <w:rsid w:val="3BC05FBD"/>
    <w:rsid w:val="3BD258C9"/>
    <w:rsid w:val="3C0738F2"/>
    <w:rsid w:val="3C123FA5"/>
    <w:rsid w:val="3C242530"/>
    <w:rsid w:val="3C5F2ED5"/>
    <w:rsid w:val="3C607CD7"/>
    <w:rsid w:val="3C6A6406"/>
    <w:rsid w:val="3C731F7D"/>
    <w:rsid w:val="3C822F4C"/>
    <w:rsid w:val="3C8B7826"/>
    <w:rsid w:val="3CA06A7F"/>
    <w:rsid w:val="3CA078D1"/>
    <w:rsid w:val="3CCA02B2"/>
    <w:rsid w:val="3CDE3DFA"/>
    <w:rsid w:val="3CE62383"/>
    <w:rsid w:val="3CEC7A2A"/>
    <w:rsid w:val="3CEE7AE0"/>
    <w:rsid w:val="3D0433A8"/>
    <w:rsid w:val="3D15699B"/>
    <w:rsid w:val="3D29776B"/>
    <w:rsid w:val="3D6A66B2"/>
    <w:rsid w:val="3D867B10"/>
    <w:rsid w:val="3DA07301"/>
    <w:rsid w:val="3DBF44D4"/>
    <w:rsid w:val="3DC37216"/>
    <w:rsid w:val="3DCE35B6"/>
    <w:rsid w:val="3DD136B5"/>
    <w:rsid w:val="3DE64B7C"/>
    <w:rsid w:val="3DF14E3C"/>
    <w:rsid w:val="3DFC6C2D"/>
    <w:rsid w:val="3E0A3EC6"/>
    <w:rsid w:val="3E0D6740"/>
    <w:rsid w:val="3E0E6961"/>
    <w:rsid w:val="3E112752"/>
    <w:rsid w:val="3E210D7A"/>
    <w:rsid w:val="3E2609B2"/>
    <w:rsid w:val="3E467DCB"/>
    <w:rsid w:val="3E66479B"/>
    <w:rsid w:val="3E7F6463"/>
    <w:rsid w:val="3EAF459C"/>
    <w:rsid w:val="3EC6723B"/>
    <w:rsid w:val="3ECB4852"/>
    <w:rsid w:val="3EEB0292"/>
    <w:rsid w:val="3EED2A1A"/>
    <w:rsid w:val="3EF142B8"/>
    <w:rsid w:val="3EF313C9"/>
    <w:rsid w:val="3F035D9A"/>
    <w:rsid w:val="3F281B00"/>
    <w:rsid w:val="3F49270E"/>
    <w:rsid w:val="3F4D76DD"/>
    <w:rsid w:val="3F930BE9"/>
    <w:rsid w:val="3F952DC8"/>
    <w:rsid w:val="3FE15005"/>
    <w:rsid w:val="3FE77469"/>
    <w:rsid w:val="3FF676AC"/>
    <w:rsid w:val="400E2C48"/>
    <w:rsid w:val="40324B88"/>
    <w:rsid w:val="403D2804"/>
    <w:rsid w:val="406B3BF6"/>
    <w:rsid w:val="40B21825"/>
    <w:rsid w:val="40B36A8B"/>
    <w:rsid w:val="40C14BE6"/>
    <w:rsid w:val="40C17CBA"/>
    <w:rsid w:val="40CB711D"/>
    <w:rsid w:val="40E85E9C"/>
    <w:rsid w:val="41173D7E"/>
    <w:rsid w:val="412615F7"/>
    <w:rsid w:val="417778B2"/>
    <w:rsid w:val="419F644D"/>
    <w:rsid w:val="41D8350E"/>
    <w:rsid w:val="41FF0A9A"/>
    <w:rsid w:val="424B0183"/>
    <w:rsid w:val="42823FFC"/>
    <w:rsid w:val="428D039F"/>
    <w:rsid w:val="42A31D6D"/>
    <w:rsid w:val="42C3190B"/>
    <w:rsid w:val="42D77BC6"/>
    <w:rsid w:val="42FC0E58"/>
    <w:rsid w:val="43100A85"/>
    <w:rsid w:val="431379ED"/>
    <w:rsid w:val="4315253F"/>
    <w:rsid w:val="437454B8"/>
    <w:rsid w:val="43947908"/>
    <w:rsid w:val="43AA0EDA"/>
    <w:rsid w:val="43CB46B0"/>
    <w:rsid w:val="43CC2BFE"/>
    <w:rsid w:val="43D25E53"/>
    <w:rsid w:val="43E10667"/>
    <w:rsid w:val="440138A0"/>
    <w:rsid w:val="44186C1E"/>
    <w:rsid w:val="44246EDE"/>
    <w:rsid w:val="44384737"/>
    <w:rsid w:val="44692B43"/>
    <w:rsid w:val="44740E09"/>
    <w:rsid w:val="44817A85"/>
    <w:rsid w:val="44872AD4"/>
    <w:rsid w:val="44983428"/>
    <w:rsid w:val="44C47D79"/>
    <w:rsid w:val="44D85BF2"/>
    <w:rsid w:val="451A208F"/>
    <w:rsid w:val="453170D2"/>
    <w:rsid w:val="45340E09"/>
    <w:rsid w:val="45464C32"/>
    <w:rsid w:val="459D4F70"/>
    <w:rsid w:val="45AD2F03"/>
    <w:rsid w:val="45B85B30"/>
    <w:rsid w:val="45BE2A1A"/>
    <w:rsid w:val="45D60635"/>
    <w:rsid w:val="45F65CF5"/>
    <w:rsid w:val="460B7B64"/>
    <w:rsid w:val="46116FEE"/>
    <w:rsid w:val="4612476D"/>
    <w:rsid w:val="46276812"/>
    <w:rsid w:val="462F50FB"/>
    <w:rsid w:val="466162F1"/>
    <w:rsid w:val="46617E0B"/>
    <w:rsid w:val="46674E60"/>
    <w:rsid w:val="468F5CB4"/>
    <w:rsid w:val="46953618"/>
    <w:rsid w:val="46C027C2"/>
    <w:rsid w:val="46E75FA1"/>
    <w:rsid w:val="472554C4"/>
    <w:rsid w:val="472B62F5"/>
    <w:rsid w:val="474820C5"/>
    <w:rsid w:val="475B13E7"/>
    <w:rsid w:val="476B2262"/>
    <w:rsid w:val="477342B7"/>
    <w:rsid w:val="477A7EE5"/>
    <w:rsid w:val="479003E6"/>
    <w:rsid w:val="47A53E92"/>
    <w:rsid w:val="47DD7AD0"/>
    <w:rsid w:val="47F51E94"/>
    <w:rsid w:val="48141018"/>
    <w:rsid w:val="481D611E"/>
    <w:rsid w:val="48205C0E"/>
    <w:rsid w:val="48392258"/>
    <w:rsid w:val="485D476D"/>
    <w:rsid w:val="48653621"/>
    <w:rsid w:val="48665BDE"/>
    <w:rsid w:val="488206B9"/>
    <w:rsid w:val="488978FA"/>
    <w:rsid w:val="488C3754"/>
    <w:rsid w:val="48B545A9"/>
    <w:rsid w:val="48B979EC"/>
    <w:rsid w:val="48C47F1B"/>
    <w:rsid w:val="48D34790"/>
    <w:rsid w:val="494D6EBA"/>
    <w:rsid w:val="49557B3A"/>
    <w:rsid w:val="49591C7C"/>
    <w:rsid w:val="495A6EB8"/>
    <w:rsid w:val="49855479"/>
    <w:rsid w:val="498C348F"/>
    <w:rsid w:val="49A5384E"/>
    <w:rsid w:val="49BA4655"/>
    <w:rsid w:val="49CD757C"/>
    <w:rsid w:val="49D979FF"/>
    <w:rsid w:val="49DA3B9B"/>
    <w:rsid w:val="49FA5FEB"/>
    <w:rsid w:val="4A3C6BE3"/>
    <w:rsid w:val="4A62606A"/>
    <w:rsid w:val="4A6F0787"/>
    <w:rsid w:val="4A7638C4"/>
    <w:rsid w:val="4A8E3303"/>
    <w:rsid w:val="4AAC4A05"/>
    <w:rsid w:val="4AAE1013"/>
    <w:rsid w:val="4ADE1878"/>
    <w:rsid w:val="4ADE2E23"/>
    <w:rsid w:val="4AE64EED"/>
    <w:rsid w:val="4AFD2237"/>
    <w:rsid w:val="4B0B5ECF"/>
    <w:rsid w:val="4B166E55"/>
    <w:rsid w:val="4B380D6F"/>
    <w:rsid w:val="4B3F0159"/>
    <w:rsid w:val="4B766704"/>
    <w:rsid w:val="4BA47B1F"/>
    <w:rsid w:val="4BBC29D4"/>
    <w:rsid w:val="4BE807F1"/>
    <w:rsid w:val="4C0F6FA6"/>
    <w:rsid w:val="4C542222"/>
    <w:rsid w:val="4C560DCF"/>
    <w:rsid w:val="4CA73452"/>
    <w:rsid w:val="4CBE77A4"/>
    <w:rsid w:val="4CC32763"/>
    <w:rsid w:val="4CEA0588"/>
    <w:rsid w:val="4CFA1B21"/>
    <w:rsid w:val="4D0F1621"/>
    <w:rsid w:val="4D24354A"/>
    <w:rsid w:val="4D4E6D7A"/>
    <w:rsid w:val="4D76426D"/>
    <w:rsid w:val="4D785BA5"/>
    <w:rsid w:val="4DE40D73"/>
    <w:rsid w:val="4DE66771"/>
    <w:rsid w:val="4DEA1F48"/>
    <w:rsid w:val="4DF97234"/>
    <w:rsid w:val="4E1423FE"/>
    <w:rsid w:val="4E437F61"/>
    <w:rsid w:val="4E4C36AA"/>
    <w:rsid w:val="4E5959D6"/>
    <w:rsid w:val="4E872543"/>
    <w:rsid w:val="4E881E17"/>
    <w:rsid w:val="4E9B368D"/>
    <w:rsid w:val="4EAF34D1"/>
    <w:rsid w:val="4EB7021F"/>
    <w:rsid w:val="4ECA0682"/>
    <w:rsid w:val="4EFD45B3"/>
    <w:rsid w:val="4F2C30EB"/>
    <w:rsid w:val="4F377967"/>
    <w:rsid w:val="4F411EB6"/>
    <w:rsid w:val="4F42646A"/>
    <w:rsid w:val="4F582EF7"/>
    <w:rsid w:val="4F5F63A7"/>
    <w:rsid w:val="4F791532"/>
    <w:rsid w:val="4FBA24A4"/>
    <w:rsid w:val="4FCD042A"/>
    <w:rsid w:val="4FDA6E22"/>
    <w:rsid w:val="4FE34983"/>
    <w:rsid w:val="4FE43D8C"/>
    <w:rsid w:val="4FFD0EF1"/>
    <w:rsid w:val="50277BC9"/>
    <w:rsid w:val="502F4C40"/>
    <w:rsid w:val="50353716"/>
    <w:rsid w:val="512C28E0"/>
    <w:rsid w:val="5135755A"/>
    <w:rsid w:val="513B6066"/>
    <w:rsid w:val="513D338D"/>
    <w:rsid w:val="514F12D7"/>
    <w:rsid w:val="51754B1B"/>
    <w:rsid w:val="517B73AD"/>
    <w:rsid w:val="518A5306"/>
    <w:rsid w:val="519D5BDA"/>
    <w:rsid w:val="51A37E3C"/>
    <w:rsid w:val="51A406B5"/>
    <w:rsid w:val="51B66656"/>
    <w:rsid w:val="51C94C21"/>
    <w:rsid w:val="51CF675A"/>
    <w:rsid w:val="51D16F4E"/>
    <w:rsid w:val="51D610EC"/>
    <w:rsid w:val="51F11080"/>
    <w:rsid w:val="52040914"/>
    <w:rsid w:val="520D4383"/>
    <w:rsid w:val="521045FE"/>
    <w:rsid w:val="52534816"/>
    <w:rsid w:val="52634928"/>
    <w:rsid w:val="52926B40"/>
    <w:rsid w:val="529638F6"/>
    <w:rsid w:val="52A32603"/>
    <w:rsid w:val="52AB07CA"/>
    <w:rsid w:val="52AF6D7C"/>
    <w:rsid w:val="52C44581"/>
    <w:rsid w:val="52CA6EEF"/>
    <w:rsid w:val="52E2243E"/>
    <w:rsid w:val="52EC7111"/>
    <w:rsid w:val="52F362FD"/>
    <w:rsid w:val="53277999"/>
    <w:rsid w:val="53311071"/>
    <w:rsid w:val="53353269"/>
    <w:rsid w:val="536746F1"/>
    <w:rsid w:val="536D64A5"/>
    <w:rsid w:val="53764934"/>
    <w:rsid w:val="538E6122"/>
    <w:rsid w:val="53A35FB7"/>
    <w:rsid w:val="53AD37B8"/>
    <w:rsid w:val="53C80FD0"/>
    <w:rsid w:val="53E30294"/>
    <w:rsid w:val="54104D89"/>
    <w:rsid w:val="5415414D"/>
    <w:rsid w:val="54442C85"/>
    <w:rsid w:val="544B3A05"/>
    <w:rsid w:val="54501629"/>
    <w:rsid w:val="5472334E"/>
    <w:rsid w:val="547846DC"/>
    <w:rsid w:val="549269FE"/>
    <w:rsid w:val="54A86D6F"/>
    <w:rsid w:val="54D55676"/>
    <w:rsid w:val="54E10031"/>
    <w:rsid w:val="550A5C7C"/>
    <w:rsid w:val="550F1330"/>
    <w:rsid w:val="555E1B24"/>
    <w:rsid w:val="556829A3"/>
    <w:rsid w:val="55782BE6"/>
    <w:rsid w:val="557E5D22"/>
    <w:rsid w:val="559519EA"/>
    <w:rsid w:val="559F4616"/>
    <w:rsid w:val="55B01A24"/>
    <w:rsid w:val="55B160F8"/>
    <w:rsid w:val="55B415BA"/>
    <w:rsid w:val="55D46448"/>
    <w:rsid w:val="55E02539"/>
    <w:rsid w:val="55FB7373"/>
    <w:rsid w:val="560E3442"/>
    <w:rsid w:val="56111251"/>
    <w:rsid w:val="56193729"/>
    <w:rsid w:val="56252ADC"/>
    <w:rsid w:val="56327239"/>
    <w:rsid w:val="56426E9F"/>
    <w:rsid w:val="564725B8"/>
    <w:rsid w:val="56652099"/>
    <w:rsid w:val="56680EAC"/>
    <w:rsid w:val="566D353C"/>
    <w:rsid w:val="569B3338"/>
    <w:rsid w:val="569F5FA6"/>
    <w:rsid w:val="56E542AB"/>
    <w:rsid w:val="56F269C8"/>
    <w:rsid w:val="574E777D"/>
    <w:rsid w:val="576176AA"/>
    <w:rsid w:val="5765355C"/>
    <w:rsid w:val="57690BD0"/>
    <w:rsid w:val="57CA1153"/>
    <w:rsid w:val="58460B49"/>
    <w:rsid w:val="584A495B"/>
    <w:rsid w:val="585C6B9F"/>
    <w:rsid w:val="586675E4"/>
    <w:rsid w:val="58821851"/>
    <w:rsid w:val="58947716"/>
    <w:rsid w:val="58B66C06"/>
    <w:rsid w:val="58D345D7"/>
    <w:rsid w:val="58D42829"/>
    <w:rsid w:val="58E11CEA"/>
    <w:rsid w:val="58FE1654"/>
    <w:rsid w:val="59103135"/>
    <w:rsid w:val="59152645"/>
    <w:rsid w:val="591F4A55"/>
    <w:rsid w:val="59225782"/>
    <w:rsid w:val="59407EBE"/>
    <w:rsid w:val="59495785"/>
    <w:rsid w:val="59816B33"/>
    <w:rsid w:val="598A113A"/>
    <w:rsid w:val="5991071A"/>
    <w:rsid w:val="59BE5287"/>
    <w:rsid w:val="59BF67D8"/>
    <w:rsid w:val="59BF6E54"/>
    <w:rsid w:val="59C96098"/>
    <w:rsid w:val="59CD22DC"/>
    <w:rsid w:val="5A132EDD"/>
    <w:rsid w:val="5A2F2D66"/>
    <w:rsid w:val="5A402C59"/>
    <w:rsid w:val="5A470DD9"/>
    <w:rsid w:val="5A9467BF"/>
    <w:rsid w:val="5A985AD8"/>
    <w:rsid w:val="5AAE69DB"/>
    <w:rsid w:val="5AC261B4"/>
    <w:rsid w:val="5AE605F2"/>
    <w:rsid w:val="5AEC0684"/>
    <w:rsid w:val="5AF0582F"/>
    <w:rsid w:val="5B1B6AA6"/>
    <w:rsid w:val="5B2179FC"/>
    <w:rsid w:val="5B224E28"/>
    <w:rsid w:val="5B283B50"/>
    <w:rsid w:val="5B336962"/>
    <w:rsid w:val="5B85620A"/>
    <w:rsid w:val="5B9C02BE"/>
    <w:rsid w:val="5BA069F2"/>
    <w:rsid w:val="5BA529F7"/>
    <w:rsid w:val="5BAD110F"/>
    <w:rsid w:val="5BAF7B56"/>
    <w:rsid w:val="5BE2525D"/>
    <w:rsid w:val="5BF611E3"/>
    <w:rsid w:val="5C0E6052"/>
    <w:rsid w:val="5C313AEE"/>
    <w:rsid w:val="5C34538D"/>
    <w:rsid w:val="5C6A5252"/>
    <w:rsid w:val="5C7D4F86"/>
    <w:rsid w:val="5C86208C"/>
    <w:rsid w:val="5CAC7619"/>
    <w:rsid w:val="5CEB2603"/>
    <w:rsid w:val="5CEC5C67"/>
    <w:rsid w:val="5CFB4864"/>
    <w:rsid w:val="5CFD5BBA"/>
    <w:rsid w:val="5D072AA1"/>
    <w:rsid w:val="5D211242"/>
    <w:rsid w:val="5D2B49E2"/>
    <w:rsid w:val="5D52665C"/>
    <w:rsid w:val="5D6B5D58"/>
    <w:rsid w:val="5D6D7849"/>
    <w:rsid w:val="5D7C18C6"/>
    <w:rsid w:val="5D902A97"/>
    <w:rsid w:val="5D916BB6"/>
    <w:rsid w:val="5DC32E6C"/>
    <w:rsid w:val="5DD230AF"/>
    <w:rsid w:val="5DE3467B"/>
    <w:rsid w:val="5E000678"/>
    <w:rsid w:val="5E122343"/>
    <w:rsid w:val="5E443FAD"/>
    <w:rsid w:val="5E46467A"/>
    <w:rsid w:val="5EA031AD"/>
    <w:rsid w:val="5EB639EA"/>
    <w:rsid w:val="5ECA3D86"/>
    <w:rsid w:val="5EFA4773"/>
    <w:rsid w:val="5F0537AA"/>
    <w:rsid w:val="5F1267B5"/>
    <w:rsid w:val="5F2B3E04"/>
    <w:rsid w:val="5F2D005F"/>
    <w:rsid w:val="5F4A1A8C"/>
    <w:rsid w:val="5F760F40"/>
    <w:rsid w:val="5F9920D6"/>
    <w:rsid w:val="5F9D55F5"/>
    <w:rsid w:val="5FB011CE"/>
    <w:rsid w:val="5FC92290"/>
    <w:rsid w:val="5FD9212E"/>
    <w:rsid w:val="5FE13A7D"/>
    <w:rsid w:val="5FFF5CB2"/>
    <w:rsid w:val="600532C8"/>
    <w:rsid w:val="60136E57"/>
    <w:rsid w:val="60593AF3"/>
    <w:rsid w:val="606242F6"/>
    <w:rsid w:val="60673F83"/>
    <w:rsid w:val="60675196"/>
    <w:rsid w:val="606E1F64"/>
    <w:rsid w:val="60CE0B25"/>
    <w:rsid w:val="61113EEE"/>
    <w:rsid w:val="611A5C9C"/>
    <w:rsid w:val="613320B7"/>
    <w:rsid w:val="61452DED"/>
    <w:rsid w:val="61555832"/>
    <w:rsid w:val="6194560C"/>
    <w:rsid w:val="619C4100"/>
    <w:rsid w:val="61A30FEA"/>
    <w:rsid w:val="61CC1C6F"/>
    <w:rsid w:val="61D36977"/>
    <w:rsid w:val="61D5316E"/>
    <w:rsid w:val="61DB6D9C"/>
    <w:rsid w:val="61EB2991"/>
    <w:rsid w:val="61F55EDE"/>
    <w:rsid w:val="61FD7BF9"/>
    <w:rsid w:val="622765CB"/>
    <w:rsid w:val="623C3CCB"/>
    <w:rsid w:val="624C78D4"/>
    <w:rsid w:val="626E3587"/>
    <w:rsid w:val="6277131B"/>
    <w:rsid w:val="62894736"/>
    <w:rsid w:val="62912A31"/>
    <w:rsid w:val="62A274F4"/>
    <w:rsid w:val="62A72D5C"/>
    <w:rsid w:val="62BA7FE2"/>
    <w:rsid w:val="62DC02C2"/>
    <w:rsid w:val="62F82466"/>
    <w:rsid w:val="63161C90"/>
    <w:rsid w:val="632E6FDA"/>
    <w:rsid w:val="6348404C"/>
    <w:rsid w:val="6350377B"/>
    <w:rsid w:val="635D5082"/>
    <w:rsid w:val="63964B41"/>
    <w:rsid w:val="63CD05A1"/>
    <w:rsid w:val="63E63410"/>
    <w:rsid w:val="640A50B9"/>
    <w:rsid w:val="6410048D"/>
    <w:rsid w:val="642D0164"/>
    <w:rsid w:val="64487C27"/>
    <w:rsid w:val="647C3D75"/>
    <w:rsid w:val="648570CD"/>
    <w:rsid w:val="64A37553"/>
    <w:rsid w:val="64AD03D2"/>
    <w:rsid w:val="64B66E59"/>
    <w:rsid w:val="64CC5E52"/>
    <w:rsid w:val="650F4B9B"/>
    <w:rsid w:val="6516356E"/>
    <w:rsid w:val="654C3B1D"/>
    <w:rsid w:val="654E657D"/>
    <w:rsid w:val="6563453B"/>
    <w:rsid w:val="657C753B"/>
    <w:rsid w:val="65864EAB"/>
    <w:rsid w:val="65A72C25"/>
    <w:rsid w:val="65A9444D"/>
    <w:rsid w:val="65AC2438"/>
    <w:rsid w:val="65B12E03"/>
    <w:rsid w:val="65B768E4"/>
    <w:rsid w:val="65BF216B"/>
    <w:rsid w:val="65C57872"/>
    <w:rsid w:val="65DA0D53"/>
    <w:rsid w:val="66042274"/>
    <w:rsid w:val="66043DF1"/>
    <w:rsid w:val="6614083B"/>
    <w:rsid w:val="661D46CA"/>
    <w:rsid w:val="667B0788"/>
    <w:rsid w:val="6683390E"/>
    <w:rsid w:val="66887A48"/>
    <w:rsid w:val="66B94E0C"/>
    <w:rsid w:val="66BB1AFB"/>
    <w:rsid w:val="66C8643E"/>
    <w:rsid w:val="66CA0DC7"/>
    <w:rsid w:val="66CB5116"/>
    <w:rsid w:val="66F0707E"/>
    <w:rsid w:val="66F95B50"/>
    <w:rsid w:val="67140294"/>
    <w:rsid w:val="673D6A15"/>
    <w:rsid w:val="67564D51"/>
    <w:rsid w:val="6759039D"/>
    <w:rsid w:val="676B07FC"/>
    <w:rsid w:val="67700EDC"/>
    <w:rsid w:val="67874F0A"/>
    <w:rsid w:val="67960780"/>
    <w:rsid w:val="67B304D6"/>
    <w:rsid w:val="67BB2DBB"/>
    <w:rsid w:val="67E87B2D"/>
    <w:rsid w:val="682E5386"/>
    <w:rsid w:val="683F57E5"/>
    <w:rsid w:val="688D47A2"/>
    <w:rsid w:val="689340DA"/>
    <w:rsid w:val="68CD623B"/>
    <w:rsid w:val="68FD36D6"/>
    <w:rsid w:val="690507DD"/>
    <w:rsid w:val="69390F60"/>
    <w:rsid w:val="69414B7B"/>
    <w:rsid w:val="694D7A8E"/>
    <w:rsid w:val="69562DE6"/>
    <w:rsid w:val="69575FEB"/>
    <w:rsid w:val="696012B6"/>
    <w:rsid w:val="69642093"/>
    <w:rsid w:val="69794D27"/>
    <w:rsid w:val="69AA610E"/>
    <w:rsid w:val="69BD2E65"/>
    <w:rsid w:val="69CA6B08"/>
    <w:rsid w:val="69E95A08"/>
    <w:rsid w:val="6A042666"/>
    <w:rsid w:val="6A9736F0"/>
    <w:rsid w:val="6A995680"/>
    <w:rsid w:val="6AB26742"/>
    <w:rsid w:val="6AD00976"/>
    <w:rsid w:val="6AEA7C8A"/>
    <w:rsid w:val="6AF01018"/>
    <w:rsid w:val="6AF97ECD"/>
    <w:rsid w:val="6B0D1BCA"/>
    <w:rsid w:val="6B61630B"/>
    <w:rsid w:val="6B680BAF"/>
    <w:rsid w:val="6B6C68F1"/>
    <w:rsid w:val="6BA17D14"/>
    <w:rsid w:val="6BC54253"/>
    <w:rsid w:val="6BCC55E2"/>
    <w:rsid w:val="6BD93AF0"/>
    <w:rsid w:val="6BE41292"/>
    <w:rsid w:val="6BF43D6E"/>
    <w:rsid w:val="6BFC52C3"/>
    <w:rsid w:val="6C181BE1"/>
    <w:rsid w:val="6C3A781B"/>
    <w:rsid w:val="6C4D7FF6"/>
    <w:rsid w:val="6C5F6456"/>
    <w:rsid w:val="6C7964CA"/>
    <w:rsid w:val="6C7D068A"/>
    <w:rsid w:val="6C7E2847"/>
    <w:rsid w:val="6C830396"/>
    <w:rsid w:val="6C884442"/>
    <w:rsid w:val="6CD1044F"/>
    <w:rsid w:val="6CE54BAD"/>
    <w:rsid w:val="6CF25FA0"/>
    <w:rsid w:val="6CF3436B"/>
    <w:rsid w:val="6CF51DF9"/>
    <w:rsid w:val="6CFC61C3"/>
    <w:rsid w:val="6D482980"/>
    <w:rsid w:val="6D5B6316"/>
    <w:rsid w:val="6D77157D"/>
    <w:rsid w:val="6D805125"/>
    <w:rsid w:val="6D9143ED"/>
    <w:rsid w:val="6D920165"/>
    <w:rsid w:val="6DA274AF"/>
    <w:rsid w:val="6DC40A12"/>
    <w:rsid w:val="6DC74A88"/>
    <w:rsid w:val="6DDD7C5D"/>
    <w:rsid w:val="6DEA2117"/>
    <w:rsid w:val="6DF30C1B"/>
    <w:rsid w:val="6E113780"/>
    <w:rsid w:val="6E2178BF"/>
    <w:rsid w:val="6E2F6525"/>
    <w:rsid w:val="6E510B93"/>
    <w:rsid w:val="6E6C4C84"/>
    <w:rsid w:val="6E830070"/>
    <w:rsid w:val="6E8C1058"/>
    <w:rsid w:val="6E9E14B7"/>
    <w:rsid w:val="6EA75E92"/>
    <w:rsid w:val="6EB41B81"/>
    <w:rsid w:val="6EBF142E"/>
    <w:rsid w:val="6ED04F08"/>
    <w:rsid w:val="6EFC4430"/>
    <w:rsid w:val="6F0F5F11"/>
    <w:rsid w:val="6F120DB6"/>
    <w:rsid w:val="6F145E11"/>
    <w:rsid w:val="6F1C1CA6"/>
    <w:rsid w:val="6F2946DA"/>
    <w:rsid w:val="6F3C2F1C"/>
    <w:rsid w:val="6F550DE0"/>
    <w:rsid w:val="6F7915DC"/>
    <w:rsid w:val="6F7944CA"/>
    <w:rsid w:val="6FBC7DD6"/>
    <w:rsid w:val="6FD1766A"/>
    <w:rsid w:val="6FDD7DBD"/>
    <w:rsid w:val="70294E19"/>
    <w:rsid w:val="70455963"/>
    <w:rsid w:val="70651B61"/>
    <w:rsid w:val="70700C31"/>
    <w:rsid w:val="707443AD"/>
    <w:rsid w:val="707F0E75"/>
    <w:rsid w:val="70990122"/>
    <w:rsid w:val="70AD603D"/>
    <w:rsid w:val="70C60851"/>
    <w:rsid w:val="70D00980"/>
    <w:rsid w:val="70E51DA8"/>
    <w:rsid w:val="710E21F8"/>
    <w:rsid w:val="71213150"/>
    <w:rsid w:val="71222A2F"/>
    <w:rsid w:val="712D267F"/>
    <w:rsid w:val="712F47EA"/>
    <w:rsid w:val="713C6679"/>
    <w:rsid w:val="7145658E"/>
    <w:rsid w:val="714802B0"/>
    <w:rsid w:val="71812600"/>
    <w:rsid w:val="7185314E"/>
    <w:rsid w:val="718F3339"/>
    <w:rsid w:val="71946BA2"/>
    <w:rsid w:val="719C15B2"/>
    <w:rsid w:val="719E2F30"/>
    <w:rsid w:val="71A843FB"/>
    <w:rsid w:val="71AB132F"/>
    <w:rsid w:val="71AB214F"/>
    <w:rsid w:val="71BF3A88"/>
    <w:rsid w:val="71D82792"/>
    <w:rsid w:val="71E611A4"/>
    <w:rsid w:val="71F94EA8"/>
    <w:rsid w:val="721E450C"/>
    <w:rsid w:val="7262278F"/>
    <w:rsid w:val="72AB5F51"/>
    <w:rsid w:val="72EF6671"/>
    <w:rsid w:val="730C2768"/>
    <w:rsid w:val="7329331A"/>
    <w:rsid w:val="732A300A"/>
    <w:rsid w:val="734939BC"/>
    <w:rsid w:val="73530396"/>
    <w:rsid w:val="73A429A0"/>
    <w:rsid w:val="73AB029C"/>
    <w:rsid w:val="73BE1CB4"/>
    <w:rsid w:val="73BE3A62"/>
    <w:rsid w:val="73D74B24"/>
    <w:rsid w:val="73D85A6B"/>
    <w:rsid w:val="73F12089"/>
    <w:rsid w:val="74003100"/>
    <w:rsid w:val="745D771F"/>
    <w:rsid w:val="748051BB"/>
    <w:rsid w:val="74AE1D28"/>
    <w:rsid w:val="74C2331D"/>
    <w:rsid w:val="74C257D4"/>
    <w:rsid w:val="74CF1255"/>
    <w:rsid w:val="74D05A6E"/>
    <w:rsid w:val="74D30172"/>
    <w:rsid w:val="74D341E9"/>
    <w:rsid w:val="74E7523A"/>
    <w:rsid w:val="74FB54A4"/>
    <w:rsid w:val="751610E2"/>
    <w:rsid w:val="751A7B05"/>
    <w:rsid w:val="751C63E4"/>
    <w:rsid w:val="75491A51"/>
    <w:rsid w:val="75611CC1"/>
    <w:rsid w:val="757100A2"/>
    <w:rsid w:val="759233F8"/>
    <w:rsid w:val="759622C6"/>
    <w:rsid w:val="75B9544D"/>
    <w:rsid w:val="75BA5FEB"/>
    <w:rsid w:val="75D25EEA"/>
    <w:rsid w:val="75DD731F"/>
    <w:rsid w:val="75E17719"/>
    <w:rsid w:val="766641C7"/>
    <w:rsid w:val="766656C3"/>
    <w:rsid w:val="766823AB"/>
    <w:rsid w:val="767B1280"/>
    <w:rsid w:val="767B3E8C"/>
    <w:rsid w:val="768014A2"/>
    <w:rsid w:val="768D4B1F"/>
    <w:rsid w:val="76B352F7"/>
    <w:rsid w:val="76B61368"/>
    <w:rsid w:val="76C22210"/>
    <w:rsid w:val="770726C6"/>
    <w:rsid w:val="77120FDD"/>
    <w:rsid w:val="774011C0"/>
    <w:rsid w:val="775C2950"/>
    <w:rsid w:val="775D3592"/>
    <w:rsid w:val="77610F13"/>
    <w:rsid w:val="776B3787"/>
    <w:rsid w:val="778C37F8"/>
    <w:rsid w:val="77903967"/>
    <w:rsid w:val="779D7E32"/>
    <w:rsid w:val="77B12E34"/>
    <w:rsid w:val="77C11D73"/>
    <w:rsid w:val="77C24432"/>
    <w:rsid w:val="77CA451A"/>
    <w:rsid w:val="77D46CD2"/>
    <w:rsid w:val="77D83D50"/>
    <w:rsid w:val="77F50340"/>
    <w:rsid w:val="78056103"/>
    <w:rsid w:val="780F6F82"/>
    <w:rsid w:val="781D0CC1"/>
    <w:rsid w:val="7823193A"/>
    <w:rsid w:val="782E61C7"/>
    <w:rsid w:val="7836235A"/>
    <w:rsid w:val="783B33E4"/>
    <w:rsid w:val="78534B66"/>
    <w:rsid w:val="787B0197"/>
    <w:rsid w:val="787E1A12"/>
    <w:rsid w:val="788334CC"/>
    <w:rsid w:val="78A00DCC"/>
    <w:rsid w:val="78BE10F6"/>
    <w:rsid w:val="78BF6934"/>
    <w:rsid w:val="78C25DA2"/>
    <w:rsid w:val="78D43D28"/>
    <w:rsid w:val="78D51E71"/>
    <w:rsid w:val="78F7033D"/>
    <w:rsid w:val="78FD502C"/>
    <w:rsid w:val="792275BE"/>
    <w:rsid w:val="794672BF"/>
    <w:rsid w:val="79532E9E"/>
    <w:rsid w:val="797A5F8B"/>
    <w:rsid w:val="798412AA"/>
    <w:rsid w:val="7A3C1D44"/>
    <w:rsid w:val="7A48596E"/>
    <w:rsid w:val="7A717A45"/>
    <w:rsid w:val="7A8B158A"/>
    <w:rsid w:val="7A8F7A54"/>
    <w:rsid w:val="7AA7568D"/>
    <w:rsid w:val="7AB16DBD"/>
    <w:rsid w:val="7ABF2542"/>
    <w:rsid w:val="7ADD5362"/>
    <w:rsid w:val="7ADE7065"/>
    <w:rsid w:val="7AF4510C"/>
    <w:rsid w:val="7B1A0118"/>
    <w:rsid w:val="7B1A6E02"/>
    <w:rsid w:val="7B580C40"/>
    <w:rsid w:val="7B6205F9"/>
    <w:rsid w:val="7B62386D"/>
    <w:rsid w:val="7B6E2211"/>
    <w:rsid w:val="7BD217F3"/>
    <w:rsid w:val="7BD51572"/>
    <w:rsid w:val="7BD53ACF"/>
    <w:rsid w:val="7BDE3C02"/>
    <w:rsid w:val="7C1E55AD"/>
    <w:rsid w:val="7C277454"/>
    <w:rsid w:val="7C384F6E"/>
    <w:rsid w:val="7C3A79B4"/>
    <w:rsid w:val="7C594C70"/>
    <w:rsid w:val="7C7C270C"/>
    <w:rsid w:val="7C85264B"/>
    <w:rsid w:val="7CB63E70"/>
    <w:rsid w:val="7CBE2D25"/>
    <w:rsid w:val="7CC266CE"/>
    <w:rsid w:val="7CC76395"/>
    <w:rsid w:val="7D00333D"/>
    <w:rsid w:val="7D006E99"/>
    <w:rsid w:val="7D3426D0"/>
    <w:rsid w:val="7D361D71"/>
    <w:rsid w:val="7D3F0613"/>
    <w:rsid w:val="7D5471E5"/>
    <w:rsid w:val="7D7A30EF"/>
    <w:rsid w:val="7D906276"/>
    <w:rsid w:val="7D9D293A"/>
    <w:rsid w:val="7DB41364"/>
    <w:rsid w:val="7E1E7F1F"/>
    <w:rsid w:val="7E2A0056"/>
    <w:rsid w:val="7E2F667A"/>
    <w:rsid w:val="7E321E60"/>
    <w:rsid w:val="7E493D4F"/>
    <w:rsid w:val="7E4E5ABF"/>
    <w:rsid w:val="7E5356EF"/>
    <w:rsid w:val="7E7F7577"/>
    <w:rsid w:val="7E916B3D"/>
    <w:rsid w:val="7E9B65C0"/>
    <w:rsid w:val="7EA95725"/>
    <w:rsid w:val="7F1205F3"/>
    <w:rsid w:val="7F5F640D"/>
    <w:rsid w:val="7F69341C"/>
    <w:rsid w:val="7F6B3277"/>
    <w:rsid w:val="7F7C3A97"/>
    <w:rsid w:val="7F8F2756"/>
    <w:rsid w:val="7FE36660"/>
    <w:rsid w:val="7FFA67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4"/>
    <w:basedOn w:val="1"/>
    <w:next w:val="1"/>
    <w:qFormat/>
    <w:uiPriority w:val="0"/>
    <w:pPr>
      <w:keepNext/>
      <w:keepLines/>
      <w:spacing w:line="374" w:lineRule="auto"/>
      <w:outlineLvl w:val="3"/>
    </w:pPr>
    <w:rPr>
      <w:rFonts w:ascii="Arial" w:hAnsi="Arial"/>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adjustRightInd w:val="0"/>
      <w:spacing w:line="360" w:lineRule="atLeast"/>
      <w:jc w:val="left"/>
      <w:textAlignment w:val="baseline"/>
    </w:pPr>
    <w:rPr>
      <w:kern w:val="0"/>
    </w:rPr>
  </w:style>
  <w:style w:type="paragraph" w:styleId="6">
    <w:name w:val="Body Text"/>
    <w:basedOn w:val="1"/>
    <w:semiHidden/>
    <w:qFormat/>
    <w:uiPriority w:val="0"/>
    <w:rPr>
      <w:rFonts w:ascii="Arial" w:hAnsi="Arial" w:eastAsia="Arial" w:cs="Arial"/>
      <w:sz w:val="21"/>
      <w:szCs w:val="21"/>
      <w:lang w:val="en-US" w:eastAsia="en-US" w:bidi="ar-SA"/>
    </w:rPr>
  </w:style>
  <w:style w:type="paragraph" w:styleId="7">
    <w:name w:val="toc 3"/>
    <w:basedOn w:val="1"/>
    <w:next w:val="1"/>
    <w:qFormat/>
    <w:uiPriority w:val="0"/>
    <w:pPr>
      <w:ind w:left="840" w:leftChars="400"/>
    </w:pPr>
  </w:style>
  <w:style w:type="paragraph" w:styleId="8">
    <w:name w:val="Plain Text"/>
    <w:basedOn w:val="1"/>
    <w:qFormat/>
    <w:uiPriority w:val="0"/>
    <w:rPr>
      <w:rFonts w:ascii="宋体" w:hAnsi="Courier New"/>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paragraph" w:styleId="12">
    <w:name w:val="Body Text 2"/>
    <w:basedOn w:val="1"/>
    <w:next w:val="6"/>
    <w:qFormat/>
    <w:uiPriority w:val="0"/>
    <w:pPr>
      <w:spacing w:line="500" w:lineRule="exact"/>
    </w:pPr>
    <w:rPr>
      <w:rFonts w:ascii="宋体"/>
      <w:sz w:val="24"/>
    </w:rPr>
  </w:style>
  <w:style w:type="paragraph" w:styleId="13">
    <w:name w:val="Normal (Web)"/>
    <w:basedOn w:val="1"/>
    <w:qFormat/>
    <w:uiPriority w:val="0"/>
    <w:pPr>
      <w:spacing w:beforeAutospacing="1" w:afterAutospacing="1"/>
      <w:jc w:val="left"/>
    </w:pPr>
    <w:rPr>
      <w:rFonts w:cs="Times New Roman"/>
      <w:kern w:val="0"/>
      <w:sz w:val="24"/>
    </w:rPr>
  </w:style>
  <w:style w:type="paragraph" w:styleId="14">
    <w:name w:val="Body Text First Indent"/>
    <w:basedOn w:val="6"/>
    <w:qFormat/>
    <w:uiPriority w:val="99"/>
    <w:pPr>
      <w:spacing w:line="240" w:lineRule="auto"/>
      <w:ind w:firstLine="420" w:firstLineChars="100"/>
    </w:pPr>
    <w:rPr>
      <w:rFonts w:ascii="Times New Roman" w:cs="Times New Roman"/>
      <w:sz w:val="20"/>
      <w:szCs w:val="20"/>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FollowedHyperlink"/>
    <w:basedOn w:val="17"/>
    <w:qFormat/>
    <w:uiPriority w:val="0"/>
    <w:rPr>
      <w:color w:val="333333"/>
      <w:u w:val="none"/>
    </w:rPr>
  </w:style>
  <w:style w:type="character" w:styleId="20">
    <w:name w:val="Emphasis"/>
    <w:basedOn w:val="17"/>
    <w:qFormat/>
    <w:uiPriority w:val="0"/>
    <w:rPr>
      <w:i/>
    </w:rPr>
  </w:style>
  <w:style w:type="character" w:styleId="21">
    <w:name w:val="HTML Variable"/>
    <w:basedOn w:val="17"/>
    <w:qFormat/>
    <w:uiPriority w:val="0"/>
    <w:rPr>
      <w:i/>
    </w:rPr>
  </w:style>
  <w:style w:type="character" w:styleId="22">
    <w:name w:val="Hyperlink"/>
    <w:basedOn w:val="17"/>
    <w:qFormat/>
    <w:uiPriority w:val="0"/>
    <w:rPr>
      <w:color w:val="333333"/>
      <w:u w:val="none"/>
    </w:rPr>
  </w:style>
  <w:style w:type="character" w:styleId="23">
    <w:name w:val="HTML Code"/>
    <w:basedOn w:val="17"/>
    <w:qFormat/>
    <w:uiPriority w:val="0"/>
    <w:rPr>
      <w:rFonts w:ascii="Courier New" w:hAnsi="Courier New"/>
      <w:sz w:val="20"/>
    </w:rPr>
  </w:style>
  <w:style w:type="character" w:styleId="24">
    <w:name w:val="HTML Cite"/>
    <w:basedOn w:val="17"/>
    <w:qFormat/>
    <w:uiPriority w:val="0"/>
    <w:rPr>
      <w:i/>
    </w:rPr>
  </w:style>
  <w:style w:type="paragraph" w:customStyle="1" w:styleId="25">
    <w:name w:val="样式 宋体 行距: 1.5 倍行距"/>
    <w:next w:val="1"/>
    <w:qFormat/>
    <w:uiPriority w:val="99"/>
    <w:pPr>
      <w:widowControl w:val="0"/>
      <w:jc w:val="center"/>
    </w:pPr>
    <w:rPr>
      <w:rFonts w:ascii="Times New Roman" w:hAnsi="Calibri" w:eastAsia="宋体" w:cs="Times New Roman"/>
      <w:b/>
      <w:bCs/>
      <w:kern w:val="2"/>
      <w:sz w:val="21"/>
      <w:szCs w:val="24"/>
      <w:lang w:val="en-US" w:eastAsia="zh-CN" w:bidi="ar-SA"/>
    </w:rPr>
  </w:style>
  <w:style w:type="paragraph" w:customStyle="1" w:styleId="26">
    <w:name w:val="UserStyle_4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character" w:customStyle="1" w:styleId="27">
    <w:name w:val="NormalCharacter"/>
    <w:qFormat/>
    <w:uiPriority w:val="99"/>
  </w:style>
  <w:style w:type="paragraph" w:customStyle="1" w:styleId="28">
    <w:name w:val="Table Text"/>
    <w:basedOn w:val="1"/>
    <w:semiHidden/>
    <w:qFormat/>
    <w:uiPriority w:val="0"/>
    <w:rPr>
      <w:rFonts w:ascii="Arial" w:hAnsi="Arial" w:eastAsia="Arial" w:cs="Arial"/>
      <w:sz w:val="21"/>
      <w:szCs w:val="21"/>
      <w:lang w:val="en-US" w:eastAsia="en-US" w:bidi="ar-SA"/>
    </w:rPr>
  </w:style>
  <w:style w:type="paragraph" w:customStyle="1" w:styleId="29">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
    <w:name w:val="正文缩进1"/>
    <w:basedOn w:val="1"/>
    <w:qFormat/>
    <w:uiPriority w:val="0"/>
    <w:pPr>
      <w:widowControl/>
      <w:ind w:firstLine="420"/>
      <w:jc w:val="left"/>
    </w:pPr>
    <w:rPr>
      <w:kern w:val="0"/>
    </w:rPr>
  </w:style>
  <w:style w:type="paragraph" w:customStyle="1" w:styleId="31">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2">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3">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4">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5">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6">
    <w:name w:val="Heading2"/>
    <w:basedOn w:val="1"/>
    <w:next w:val="1"/>
    <w:qFormat/>
    <w:uiPriority w:val="99"/>
    <w:pPr>
      <w:jc w:val="left"/>
    </w:pPr>
    <w:rPr>
      <w:kern w:val="0"/>
    </w:rPr>
  </w:style>
  <w:style w:type="paragraph" w:customStyle="1" w:styleId="37">
    <w:name w:val="AnnotationText"/>
    <w:basedOn w:val="1"/>
    <w:qFormat/>
    <w:uiPriority w:val="99"/>
    <w:pPr>
      <w:spacing w:line="360" w:lineRule="atLeast"/>
      <w:jc w:val="left"/>
    </w:pPr>
    <w:rPr>
      <w:kern w:val="0"/>
    </w:rPr>
  </w:style>
  <w:style w:type="paragraph" w:customStyle="1" w:styleId="38">
    <w:name w:val="UserStyle_44"/>
    <w:basedOn w:val="39"/>
    <w:qFormat/>
    <w:uiPriority w:val="99"/>
    <w:rPr>
      <w:sz w:val="24"/>
      <w:szCs w:val="24"/>
    </w:rPr>
  </w:style>
  <w:style w:type="paragraph" w:customStyle="1" w:styleId="39">
    <w:name w:val="UserStyle_33"/>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40">
    <w:name w:val="UserStyle_4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41">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42">
    <w:name w:val="文一"/>
    <w:basedOn w:val="1"/>
    <w:qFormat/>
    <w:uiPriority w:val="0"/>
    <w:pPr>
      <w:topLinePunct/>
      <w:adjustRightInd w:val="0"/>
      <w:snapToGrid w:val="0"/>
      <w:ind w:firstLine="200" w:firstLineChars="200"/>
    </w:pPr>
    <w:rPr>
      <w:rFonts w:ascii="Calibri" w:hAnsi="Calibri"/>
      <w:snapToGrid w:val="0"/>
      <w:spacing w:val="4"/>
      <w:kern w:val="0"/>
      <w:szCs w:val="22"/>
    </w:rPr>
  </w:style>
  <w:style w:type="paragraph" w:customStyle="1" w:styleId="43">
    <w:name w:val="BodyText"/>
    <w:basedOn w:val="1"/>
    <w:next w:val="44"/>
    <w:qFormat/>
    <w:uiPriority w:val="99"/>
    <w:pPr>
      <w:spacing w:after="120"/>
    </w:pPr>
  </w:style>
  <w:style w:type="paragraph" w:customStyle="1" w:styleId="44">
    <w:name w:val="BodyText2"/>
    <w:basedOn w:val="1"/>
    <w:qFormat/>
    <w:uiPriority w:val="99"/>
    <w:pPr>
      <w:spacing w:line="500" w:lineRule="exact"/>
    </w:pPr>
  </w:style>
  <w:style w:type="paragraph" w:customStyle="1" w:styleId="45">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6">
    <w:name w:val="正文缩进 New"/>
    <w:basedOn w:val="47"/>
    <w:qFormat/>
    <w:uiPriority w:val="0"/>
    <w:pPr>
      <w:widowControl/>
      <w:ind w:firstLine="420"/>
      <w:jc w:val="left"/>
    </w:pPr>
    <w:rPr>
      <w:kern w:val="0"/>
      <w:sz w:val="20"/>
    </w:rPr>
  </w:style>
  <w:style w:type="paragraph" w:customStyle="1" w:styleId="47">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character" w:customStyle="1" w:styleId="48">
    <w:name w:val="正文文本 (2) + 间距 0 pt3"/>
    <w:basedOn w:val="17"/>
    <w:qFormat/>
    <w:uiPriority w:val="0"/>
    <w:rPr>
      <w:rFonts w:ascii="MingLiU" w:hAnsi="Times New Roman" w:eastAsia="MingLiU" w:cs="MingLiU"/>
      <w:spacing w:val="0"/>
      <w:sz w:val="22"/>
      <w:szCs w:val="22"/>
      <w:u w:val="none"/>
    </w:rPr>
  </w:style>
  <w:style w:type="character" w:customStyle="1" w:styleId="49">
    <w:name w:val="hover21"/>
    <w:basedOn w:val="17"/>
    <w:qFormat/>
    <w:uiPriority w:val="0"/>
    <w:rPr>
      <w:color w:val="5FB878"/>
    </w:rPr>
  </w:style>
  <w:style w:type="character" w:customStyle="1" w:styleId="50">
    <w:name w:val="hover22"/>
    <w:basedOn w:val="17"/>
    <w:qFormat/>
    <w:uiPriority w:val="0"/>
    <w:rPr>
      <w:color w:val="FFFFFF"/>
    </w:rPr>
  </w:style>
  <w:style w:type="character" w:customStyle="1" w:styleId="51">
    <w:name w:val="hover23"/>
    <w:basedOn w:val="17"/>
    <w:qFormat/>
    <w:uiPriority w:val="0"/>
    <w:rPr>
      <w:color w:val="5FB878"/>
    </w:rPr>
  </w:style>
  <w:style w:type="paragraph" w:customStyle="1" w:styleId="52">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25"/>
    <w:qFormat/>
    <w:uiPriority w:val="0"/>
    <w:pPr>
      <w:widowControl w:val="0"/>
      <w:jc w:val="both"/>
    </w:pPr>
    <w:rPr>
      <w:rFonts w:ascii="Calibri" w:hAnsi="Calibri" w:eastAsia="宋体" w:cs="黑体"/>
      <w:kern w:val="2"/>
      <w:sz w:val="21"/>
      <w:szCs w:val="24"/>
      <w:lang w:val="en-US" w:eastAsia="zh-CN" w:bidi="ar-SA"/>
    </w:rPr>
  </w:style>
  <w:style w:type="paragraph" w:customStyle="1" w:styleId="53">
    <w:name w:val="UserStyle_76"/>
    <w:qFormat/>
    <w:uiPriority w:val="99"/>
    <w:pPr>
      <w:spacing w:line="360" w:lineRule="auto"/>
      <w:ind w:firstLine="420"/>
      <w:jc w:val="left"/>
      <w:textAlignment w:val="baseline"/>
    </w:pPr>
    <w:rPr>
      <w:rFonts w:ascii="宋体" w:hAnsi="Times New Roman" w:eastAsia="宋体" w:cs="宋体"/>
      <w:kern w:val="0"/>
      <w:sz w:val="20"/>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2" Type="http://schemas.openxmlformats.org/officeDocument/2006/relationships/fontTable" Target="fontTable.xml"/><Relationship Id="rId61" Type="http://schemas.openxmlformats.org/officeDocument/2006/relationships/numbering" Target="numbering.xml"/><Relationship Id="rId60" Type="http://schemas.openxmlformats.org/officeDocument/2006/relationships/customXml" Target="../customXml/item1.xml"/><Relationship Id="rId6" Type="http://schemas.openxmlformats.org/officeDocument/2006/relationships/footer" Target="footer2.xml"/><Relationship Id="rId59" Type="http://schemas.openxmlformats.org/officeDocument/2006/relationships/image" Target="media/image19.png"/><Relationship Id="rId58" Type="http://schemas.openxmlformats.org/officeDocument/2006/relationships/image" Target="media/image18.jpeg"/><Relationship Id="rId57" Type="http://schemas.openxmlformats.org/officeDocument/2006/relationships/image" Target="media/image17.png"/><Relationship Id="rId56" Type="http://schemas.openxmlformats.org/officeDocument/2006/relationships/image" Target="media/image16.png"/><Relationship Id="rId55" Type="http://schemas.openxmlformats.org/officeDocument/2006/relationships/image" Target="media/image15.wmf"/><Relationship Id="rId54" Type="http://schemas.openxmlformats.org/officeDocument/2006/relationships/oleObject" Target="embeddings/oleObject12.bin"/><Relationship Id="rId53" Type="http://schemas.openxmlformats.org/officeDocument/2006/relationships/image" Target="media/image14.wmf"/><Relationship Id="rId52" Type="http://schemas.openxmlformats.org/officeDocument/2006/relationships/oleObject" Target="embeddings/oleObject11.bin"/><Relationship Id="rId51" Type="http://schemas.openxmlformats.org/officeDocument/2006/relationships/image" Target="media/image13.wmf"/><Relationship Id="rId50" Type="http://schemas.openxmlformats.org/officeDocument/2006/relationships/oleObject" Target="embeddings/oleObject10.bin"/><Relationship Id="rId5" Type="http://schemas.openxmlformats.org/officeDocument/2006/relationships/footer" Target="footer1.xml"/><Relationship Id="rId49" Type="http://schemas.openxmlformats.org/officeDocument/2006/relationships/image" Target="media/image12.wmf"/><Relationship Id="rId48" Type="http://schemas.openxmlformats.org/officeDocument/2006/relationships/oleObject" Target="embeddings/oleObject9.bin"/><Relationship Id="rId47" Type="http://schemas.openxmlformats.org/officeDocument/2006/relationships/image" Target="media/image11.wmf"/><Relationship Id="rId46" Type="http://schemas.openxmlformats.org/officeDocument/2006/relationships/oleObject" Target="embeddings/oleObject8.bin"/><Relationship Id="rId45" Type="http://schemas.openxmlformats.org/officeDocument/2006/relationships/image" Target="media/image10.wmf"/><Relationship Id="rId44" Type="http://schemas.openxmlformats.org/officeDocument/2006/relationships/oleObject" Target="embeddings/oleObject7.bin"/><Relationship Id="rId43" Type="http://schemas.openxmlformats.org/officeDocument/2006/relationships/image" Target="media/image9.wmf"/><Relationship Id="rId42" Type="http://schemas.openxmlformats.org/officeDocument/2006/relationships/oleObject" Target="embeddings/oleObject6.bin"/><Relationship Id="rId41" Type="http://schemas.openxmlformats.org/officeDocument/2006/relationships/image" Target="media/image8.wmf"/><Relationship Id="rId40" Type="http://schemas.openxmlformats.org/officeDocument/2006/relationships/oleObject" Target="embeddings/oleObject5.bin"/><Relationship Id="rId4" Type="http://schemas.openxmlformats.org/officeDocument/2006/relationships/header" Target="header2.xml"/><Relationship Id="rId39" Type="http://schemas.openxmlformats.org/officeDocument/2006/relationships/image" Target="media/image7.wmf"/><Relationship Id="rId38" Type="http://schemas.openxmlformats.org/officeDocument/2006/relationships/oleObject" Target="embeddings/oleObject4.bin"/><Relationship Id="rId37" Type="http://schemas.openxmlformats.org/officeDocument/2006/relationships/image" Target="media/image6.wmf"/><Relationship Id="rId36" Type="http://schemas.openxmlformats.org/officeDocument/2006/relationships/oleObject" Target="embeddings/oleObject3.bin"/><Relationship Id="rId35" Type="http://schemas.openxmlformats.org/officeDocument/2006/relationships/image" Target="media/image5.wmf"/><Relationship Id="rId34" Type="http://schemas.openxmlformats.org/officeDocument/2006/relationships/oleObject" Target="embeddings/oleObject2.bin"/><Relationship Id="rId33" Type="http://schemas.openxmlformats.org/officeDocument/2006/relationships/image" Target="media/image4.wmf"/><Relationship Id="rId32" Type="http://schemas.openxmlformats.org/officeDocument/2006/relationships/oleObject" Target="embeddings/oleObject1.bin"/><Relationship Id="rId31" Type="http://schemas.openxmlformats.org/officeDocument/2006/relationships/image" Target="media/image3.png"/><Relationship Id="rId30" Type="http://schemas.openxmlformats.org/officeDocument/2006/relationships/image" Target="media/image2.png"/><Relationship Id="rId3" Type="http://schemas.openxmlformats.org/officeDocument/2006/relationships/header" Target="header1.xml"/><Relationship Id="rId29" Type="http://schemas.openxmlformats.org/officeDocument/2006/relationships/image" Target="media/image1.png"/><Relationship Id="rId28" Type="http://schemas.openxmlformats.org/officeDocument/2006/relationships/theme" Target="theme/theme1.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91</Pages>
  <Words>15638</Words>
  <Characters>17132</Characters>
  <Lines>0</Lines>
  <Paragraphs>0</Paragraphs>
  <TotalTime>2</TotalTime>
  <ScaleCrop>false</ScaleCrop>
  <LinksUpToDate>false</LinksUpToDate>
  <CharactersWithSpaces>17624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2024-09-28T04:36:00Z</dcterms:created>
  <dc:creator>Administrator</dc:creator>
  <cp:lastModifiedBy>琼楼笑望</cp:lastModifiedBy>
  <cp:lastPrinted>2024-09-29T01:33:00Z</cp:lastPrinted>
  <dcterms:modified xsi:type="dcterms:W3CDTF">2026-05-29T08:04:15Z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FA6F3D7CC40442FEA48298AF602B2B63_11</vt:lpwstr>
  </property>
  <property fmtid="{D5CDD505-2E9C-101B-9397-08002B2CF9AE}" pid="4" name="KSOTemplateDocerSaveRecord">
    <vt:lpwstr>eyJoZGlkIjoiMjUwNTI0NDYxZjI1YTM1OTc0YmRhZjI0YTk3MzBhOTIiLCJ1c2VySWQiOiI1NTkzMzQ0ODMifQ==</vt:lpwstr>
  </property>
</Properties>
</file>