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shd w:val="clear" w:color="auto" w:fill="auto"/>
        <w:wordWrap w:val="0"/>
        <w:adjustRightInd w:val="0"/>
        <w:snapToGrid w:val="0"/>
        <w:spacing w:line="360" w:lineRule="auto"/>
        <w:jc w:val="center"/>
        <w:rPr>
          <w:rFonts w:hint="default" w:ascii="宋体" w:hAnsi="宋体" w:eastAsia="宋体" w:cs="宋体"/>
          <w:b/>
          <w:bCs/>
          <w:snapToGrid w:val="0"/>
          <w:color w:val="auto"/>
          <w:kern w:val="0"/>
          <w:sz w:val="46"/>
          <w:szCs w:val="46"/>
          <w:highlight w:val="none"/>
          <w:lang w:val="en-US"/>
        </w:rPr>
      </w:pPr>
      <w:r>
        <w:rPr>
          <w:rFonts w:hint="eastAsia" w:ascii="宋体" w:hAnsi="宋体" w:eastAsia="宋体" w:cs="宋体"/>
          <w:b/>
          <w:snapToGrid w:val="0"/>
          <w:color w:val="auto"/>
          <w:kern w:val="0"/>
          <w:sz w:val="46"/>
          <w:szCs w:val="46"/>
          <w:highlight w:val="none"/>
          <w:lang w:val="en-US" w:eastAsia="zh-CN"/>
        </w:rPr>
        <w:t>韶关市武江区西河镇2025年农业产业基础设施建设项目监理</w:t>
      </w:r>
    </w:p>
    <w:p>
      <w:pPr>
        <w:pStyle w:val="85"/>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pPr>
        <w:pStyle w:val="85"/>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pPr>
        <w:pStyle w:val="85"/>
        <w:shd w:val="clear" w:color="auto" w:fill="auto"/>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rPr>
      </w:pPr>
      <w:r>
        <w:rPr>
          <w:rFonts w:hint="eastAsia" w:ascii="宋体" w:hAnsi="宋体" w:eastAsia="宋体" w:cs="宋体"/>
          <w:b/>
          <w:bCs/>
          <w:snapToGrid w:val="0"/>
          <w:color w:val="auto"/>
          <w:kern w:val="0"/>
          <w:sz w:val="72"/>
          <w:szCs w:val="72"/>
          <w:highlight w:val="none"/>
        </w:rPr>
        <w:t>招标文件</w:t>
      </w:r>
    </w:p>
    <w:p>
      <w:pPr>
        <w:shd w:val="clear" w:color="auto" w:fill="auto"/>
        <w:wordWrap w:val="0"/>
        <w:adjustRightInd w:val="0"/>
        <w:snapToGrid w:val="0"/>
        <w:jc w:val="center"/>
        <w:rPr>
          <w:rFonts w:hint="eastAsia" w:ascii="宋体" w:hAnsi="宋体" w:eastAsia="宋体" w:cs="宋体"/>
          <w:b/>
          <w:bCs/>
          <w:snapToGrid w:val="0"/>
          <w:color w:val="auto"/>
          <w:kern w:val="0"/>
          <w:sz w:val="48"/>
          <w:szCs w:val="48"/>
          <w:highlight w:val="none"/>
        </w:rPr>
      </w:pPr>
    </w:p>
    <w:p>
      <w:pPr>
        <w:pStyle w:val="2"/>
        <w:shd w:val="clear" w:color="auto" w:fill="auto"/>
        <w:rPr>
          <w:rFonts w:hint="eastAsia" w:hAnsi="宋体" w:eastAsia="宋体" w:cs="宋体"/>
          <w:color w:val="auto"/>
          <w:highlight w:val="none"/>
        </w:rPr>
      </w:pPr>
    </w:p>
    <w:tbl>
      <w:tblPr>
        <w:tblStyle w:val="23"/>
        <w:tblW w:w="9899" w:type="dxa"/>
        <w:tblInd w:w="-100" w:type="dxa"/>
        <w:tblLayout w:type="fixed"/>
        <w:tblCellMar>
          <w:top w:w="0" w:type="dxa"/>
          <w:left w:w="0" w:type="dxa"/>
          <w:bottom w:w="0" w:type="dxa"/>
          <w:right w:w="0" w:type="dxa"/>
        </w:tblCellMar>
      </w:tblPr>
      <w:tblGrid>
        <w:gridCol w:w="4694"/>
        <w:gridCol w:w="5205"/>
      </w:tblGrid>
      <w:tr>
        <w:tblPrEx>
          <w:tblCellMar>
            <w:top w:w="0" w:type="dxa"/>
            <w:left w:w="0" w:type="dxa"/>
            <w:bottom w:w="0" w:type="dxa"/>
            <w:right w:w="0" w:type="dxa"/>
          </w:tblCellMar>
        </w:tblPrEx>
        <w:trPr>
          <w:trHeight w:val="1021" w:hRule="atLeast"/>
        </w:trPr>
        <w:tc>
          <w:tcPr>
            <w:tcW w:w="4694" w:type="dxa"/>
            <w:noWrap w:val="0"/>
            <w:vAlign w:val="center"/>
          </w:tcPr>
          <w:p>
            <w:pPr>
              <w:pStyle w:val="86"/>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人（盖单位章）：</w:t>
            </w:r>
          </w:p>
        </w:tc>
        <w:tc>
          <w:tcPr>
            <w:tcW w:w="5205" w:type="dxa"/>
            <w:noWrap w:val="0"/>
            <w:vAlign w:val="center"/>
          </w:tcPr>
          <w:p>
            <w:pPr>
              <w:pStyle w:val="86"/>
              <w:shd w:val="clear" w:color="auto" w:fill="auto"/>
              <w:wordWrap w:val="0"/>
              <w:adjustRightInd w:val="0"/>
              <w:snapToGrid w:val="0"/>
              <w:spacing w:line="240" w:lineRule="auto"/>
              <w:ind w:firstLine="280" w:firstLineChars="100"/>
              <w:rPr>
                <w:rFonts w:hint="eastAsia" w:ascii="宋体" w:hAnsi="宋体" w:eastAsia="宋体" w:cs="宋体"/>
                <w:snapToGrid w:val="0"/>
                <w:color w:val="auto"/>
                <w:kern w:val="0"/>
                <w:sz w:val="28"/>
                <w:szCs w:val="28"/>
                <w:highlight w:val="none"/>
                <w:lang w:eastAsia="zh-CN"/>
              </w:rPr>
            </w:pPr>
            <w:r>
              <w:rPr>
                <w:rFonts w:hint="eastAsia" w:hAnsi="宋体" w:eastAsia="宋体" w:cs="宋体"/>
                <w:color w:val="auto"/>
                <w:sz w:val="28"/>
                <w:szCs w:val="28"/>
                <w:highlight w:val="none"/>
                <w:lang w:eastAsia="zh-CN"/>
              </w:rPr>
              <w:t>韶关市武江区西河镇人民政府</w:t>
            </w:r>
          </w:p>
        </w:tc>
      </w:tr>
      <w:tr>
        <w:tblPrEx>
          <w:tblCellMar>
            <w:top w:w="0" w:type="dxa"/>
            <w:left w:w="0" w:type="dxa"/>
            <w:bottom w:w="0" w:type="dxa"/>
            <w:right w:w="0" w:type="dxa"/>
          </w:tblCellMar>
        </w:tblPrEx>
        <w:trPr>
          <w:trHeight w:val="957" w:hRule="atLeast"/>
        </w:trPr>
        <w:tc>
          <w:tcPr>
            <w:tcW w:w="4694" w:type="dxa"/>
            <w:noWrap w:val="0"/>
            <w:vAlign w:val="center"/>
          </w:tcPr>
          <w:p>
            <w:pPr>
              <w:pStyle w:val="86"/>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招标人工作领导小组负责人（签字）：</w:t>
            </w:r>
          </w:p>
        </w:tc>
        <w:tc>
          <w:tcPr>
            <w:tcW w:w="5205" w:type="dxa"/>
            <w:noWrap w:val="0"/>
            <w:vAlign w:val="center"/>
          </w:tcPr>
          <w:p>
            <w:pPr>
              <w:pStyle w:val="86"/>
              <w:shd w:val="clear" w:color="auto" w:fill="auto"/>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tblPrEx>
          <w:tblCellMar>
            <w:top w:w="0" w:type="dxa"/>
            <w:left w:w="0" w:type="dxa"/>
            <w:bottom w:w="0" w:type="dxa"/>
            <w:right w:w="0" w:type="dxa"/>
          </w:tblCellMar>
        </w:tblPrEx>
        <w:trPr>
          <w:trHeight w:val="1008" w:hRule="atLeast"/>
        </w:trPr>
        <w:tc>
          <w:tcPr>
            <w:tcW w:w="4694" w:type="dxa"/>
            <w:noWrap w:val="0"/>
            <w:vAlign w:val="center"/>
          </w:tcPr>
          <w:p>
            <w:pPr>
              <w:pStyle w:val="86"/>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代 理 机 构 （盖单位章）：</w:t>
            </w:r>
          </w:p>
        </w:tc>
        <w:tc>
          <w:tcPr>
            <w:tcW w:w="5205" w:type="dxa"/>
            <w:noWrap w:val="0"/>
            <w:vAlign w:val="center"/>
          </w:tcPr>
          <w:p>
            <w:pPr>
              <w:pStyle w:val="86"/>
              <w:shd w:val="clear" w:color="auto" w:fill="auto"/>
              <w:wordWrap w:val="0"/>
              <w:adjustRightInd w:val="0"/>
              <w:snapToGrid w:val="0"/>
              <w:spacing w:line="240" w:lineRule="auto"/>
              <w:ind w:firstLine="280" w:firstLineChars="100"/>
              <w:rPr>
                <w:rFonts w:hint="eastAsia" w:ascii="宋体" w:hAnsi="宋体" w:eastAsia="宋体" w:cs="宋体"/>
                <w:snapToGrid w:val="0"/>
                <w:color w:val="auto"/>
                <w:kern w:val="0"/>
                <w:sz w:val="28"/>
                <w:szCs w:val="28"/>
                <w:highlight w:val="none"/>
                <w:lang w:eastAsia="zh-CN"/>
              </w:rPr>
            </w:pPr>
            <w:r>
              <w:rPr>
                <w:rFonts w:hint="eastAsia" w:hAnsi="宋体" w:cs="宋体"/>
                <w:snapToGrid w:val="0"/>
                <w:color w:val="auto"/>
                <w:kern w:val="0"/>
                <w:sz w:val="28"/>
                <w:highlight w:val="none"/>
                <w:lang w:eastAsia="zh-CN"/>
              </w:rPr>
              <w:t>韶关众信项目管理有限公司</w:t>
            </w:r>
          </w:p>
        </w:tc>
      </w:tr>
      <w:tr>
        <w:tblPrEx>
          <w:tblCellMar>
            <w:top w:w="0" w:type="dxa"/>
            <w:left w:w="0" w:type="dxa"/>
            <w:bottom w:w="0" w:type="dxa"/>
            <w:right w:w="0" w:type="dxa"/>
          </w:tblCellMar>
        </w:tblPrEx>
        <w:trPr>
          <w:trHeight w:val="1004" w:hRule="atLeast"/>
        </w:trPr>
        <w:tc>
          <w:tcPr>
            <w:tcW w:w="4694" w:type="dxa"/>
            <w:noWrap w:val="0"/>
            <w:vAlign w:val="center"/>
          </w:tcPr>
          <w:p>
            <w:pPr>
              <w:pStyle w:val="86"/>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招标文件编制人（签字）：</w:t>
            </w:r>
          </w:p>
        </w:tc>
        <w:tc>
          <w:tcPr>
            <w:tcW w:w="5205" w:type="dxa"/>
            <w:noWrap w:val="0"/>
            <w:vAlign w:val="center"/>
          </w:tcPr>
          <w:p>
            <w:pPr>
              <w:pStyle w:val="86"/>
              <w:shd w:val="clear" w:color="auto" w:fill="auto"/>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tblPrEx>
          <w:tblCellMar>
            <w:top w:w="0" w:type="dxa"/>
            <w:left w:w="0" w:type="dxa"/>
            <w:bottom w:w="0" w:type="dxa"/>
            <w:right w:w="0" w:type="dxa"/>
          </w:tblCellMar>
        </w:tblPrEx>
        <w:trPr>
          <w:trHeight w:val="1004" w:hRule="atLeast"/>
        </w:trPr>
        <w:tc>
          <w:tcPr>
            <w:tcW w:w="4694" w:type="dxa"/>
            <w:noWrap w:val="0"/>
            <w:vAlign w:val="center"/>
          </w:tcPr>
          <w:p>
            <w:pPr>
              <w:pStyle w:val="86"/>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招标代理机构项目负责人（签字）：</w:t>
            </w:r>
          </w:p>
        </w:tc>
        <w:tc>
          <w:tcPr>
            <w:tcW w:w="5205" w:type="dxa"/>
            <w:noWrap w:val="0"/>
            <w:vAlign w:val="center"/>
          </w:tcPr>
          <w:p>
            <w:pPr>
              <w:pStyle w:val="86"/>
              <w:shd w:val="clear" w:color="auto" w:fill="auto"/>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tblPrEx>
          <w:tblCellMar>
            <w:top w:w="0" w:type="dxa"/>
            <w:left w:w="0" w:type="dxa"/>
            <w:bottom w:w="0" w:type="dxa"/>
            <w:right w:w="0" w:type="dxa"/>
          </w:tblCellMar>
        </w:tblPrEx>
        <w:trPr>
          <w:trHeight w:val="1204" w:hRule="atLeast"/>
        </w:trPr>
        <w:tc>
          <w:tcPr>
            <w:tcW w:w="4694" w:type="dxa"/>
            <w:noWrap w:val="0"/>
            <w:vAlign w:val="center"/>
          </w:tcPr>
          <w:p>
            <w:pPr>
              <w:pStyle w:val="86"/>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招标文件编制日期：</w:t>
            </w:r>
          </w:p>
        </w:tc>
        <w:tc>
          <w:tcPr>
            <w:tcW w:w="5205" w:type="dxa"/>
            <w:noWrap w:val="0"/>
            <w:vAlign w:val="center"/>
          </w:tcPr>
          <w:p>
            <w:pPr>
              <w:pStyle w:val="86"/>
              <w:shd w:val="clear" w:color="auto" w:fill="auto"/>
              <w:wordWrap w:val="0"/>
              <w:adjustRightInd w:val="0"/>
              <w:snapToGrid w:val="0"/>
              <w:spacing w:line="240" w:lineRule="auto"/>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w:t>
            </w:r>
            <w:r>
              <w:rPr>
                <w:rFonts w:hint="eastAsia" w:ascii="宋体" w:hAnsi="宋体" w:eastAsia="宋体" w:cs="宋体"/>
                <w:snapToGrid w:val="0"/>
                <w:color w:val="auto"/>
                <w:kern w:val="0"/>
                <w:sz w:val="28"/>
                <w:highlight w:val="none"/>
                <w:lang w:eastAsia="zh-CN"/>
              </w:rPr>
              <w:t>2025</w:t>
            </w:r>
            <w:r>
              <w:rPr>
                <w:rFonts w:hint="eastAsia" w:ascii="宋体" w:hAnsi="宋体" w:eastAsia="宋体" w:cs="宋体"/>
                <w:snapToGrid w:val="0"/>
                <w:color w:val="auto"/>
                <w:kern w:val="0"/>
                <w:sz w:val="28"/>
                <w:highlight w:val="none"/>
              </w:rPr>
              <w:t>年</w:t>
            </w:r>
            <w:r>
              <w:rPr>
                <w:rFonts w:hint="eastAsia" w:hAnsi="宋体" w:cs="宋体"/>
                <w:snapToGrid w:val="0"/>
                <w:color w:val="auto"/>
                <w:kern w:val="0"/>
                <w:sz w:val="28"/>
                <w:highlight w:val="none"/>
                <w:lang w:val="en-US" w:eastAsia="zh-CN"/>
              </w:rPr>
              <w:t>7</w:t>
            </w:r>
            <w:r>
              <w:rPr>
                <w:rFonts w:hint="eastAsia" w:ascii="宋体" w:hAnsi="宋体" w:eastAsia="宋体" w:cs="宋体"/>
                <w:snapToGrid w:val="0"/>
                <w:color w:val="auto"/>
                <w:kern w:val="0"/>
                <w:sz w:val="28"/>
                <w:highlight w:val="none"/>
              </w:rPr>
              <w:t>月</w:t>
            </w:r>
          </w:p>
        </w:tc>
      </w:tr>
    </w:tbl>
    <w:p>
      <w:pPr>
        <w:snapToGrid w:val="0"/>
        <w:spacing w:before="100" w:beforeAutospacing="1" w:after="100" w:afterAutospacing="1" w:line="560" w:lineRule="exact"/>
        <w:jc w:val="center"/>
        <w:rPr>
          <w:rFonts w:hint="eastAsia" w:eastAsia="宋体"/>
          <w:b/>
          <w:color w:val="auto"/>
          <w:sz w:val="36"/>
          <w:szCs w:val="36"/>
          <w:highlight w:val="none"/>
          <w:lang w:eastAsia="zh-CN"/>
        </w:rPr>
        <w:sectPr>
          <w:pgSz w:w="11906" w:h="16838"/>
          <w:pgMar w:top="1418" w:right="1361" w:bottom="1418" w:left="1361" w:header="851" w:footer="992" w:gutter="0"/>
          <w:pgNumType w:start="1"/>
          <w:cols w:space="720" w:num="1"/>
          <w:docGrid w:linePitch="350" w:charSpace="0"/>
        </w:sectPr>
      </w:pPr>
    </w:p>
    <w:p>
      <w:pPr>
        <w:rPr>
          <w:color w:val="auto"/>
          <w:highlight w:val="none"/>
        </w:rPr>
      </w:pPr>
    </w:p>
    <w:p>
      <w:pPr>
        <w:rPr>
          <w:color w:val="auto"/>
          <w:highlight w:val="none"/>
        </w:rPr>
        <w:sectPr>
          <w:headerReference r:id="rId3" w:type="default"/>
          <w:pgSz w:w="11906" w:h="16838"/>
          <w:pgMar w:top="1440" w:right="1247" w:bottom="1400" w:left="1247" w:header="851" w:footer="992" w:gutter="0"/>
          <w:cols w:space="720" w:num="1"/>
          <w:docGrid w:type="linesAndChars" w:linePitch="312" w:charSpace="0"/>
        </w:sectPr>
      </w:pPr>
    </w:p>
    <w:p>
      <w:pPr>
        <w:snapToGrid w:val="0"/>
        <w:spacing w:line="380" w:lineRule="exact"/>
        <w:jc w:val="center"/>
        <w:rPr>
          <w:rFonts w:hAnsi="宋体"/>
          <w:b/>
          <w:color w:val="auto"/>
          <w:sz w:val="32"/>
          <w:szCs w:val="32"/>
          <w:highlight w:val="none"/>
        </w:rPr>
      </w:pPr>
      <w:r>
        <w:rPr>
          <w:rFonts w:hint="eastAsia" w:hAnsi="宋体"/>
          <w:b/>
          <w:color w:val="auto"/>
          <w:sz w:val="32"/>
          <w:szCs w:val="32"/>
          <w:highlight w:val="none"/>
        </w:rPr>
        <w:t>目  录</w:t>
      </w:r>
    </w:p>
    <w:p>
      <w:pPr>
        <w:pStyle w:val="80"/>
        <w:tabs>
          <w:tab w:val="right" w:leader="dot" w:pos="9071"/>
        </w:tabs>
        <w:rPr>
          <w:color w:val="auto"/>
          <w:highlight w:val="none"/>
        </w:rPr>
      </w:pPr>
      <w:r>
        <w:rPr>
          <w:color w:val="auto"/>
          <w:sz w:val="44"/>
          <w:szCs w:val="44"/>
          <w:highlight w:val="none"/>
        </w:rPr>
        <w:fldChar w:fldCharType="begin"/>
      </w:r>
      <w:r>
        <w:rPr>
          <w:color w:val="auto"/>
          <w:sz w:val="44"/>
          <w:szCs w:val="44"/>
          <w:highlight w:val="none"/>
        </w:rPr>
        <w:instrText xml:space="preserve">TOC \o "1-3" \h \u </w:instrText>
      </w:r>
      <w:r>
        <w:rPr>
          <w:color w:val="auto"/>
          <w:sz w:val="44"/>
          <w:szCs w:val="44"/>
          <w:highlight w:val="none"/>
        </w:rPr>
        <w:fldChar w:fldCharType="separate"/>
      </w:r>
    </w:p>
    <w:p>
      <w:pPr>
        <w:pStyle w:val="80"/>
        <w:tabs>
          <w:tab w:val="right" w:leader="dot" w:pos="9071"/>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"_Toc18249" </w:instrText>
      </w:r>
      <w:r>
        <w:rPr>
          <w:color w:val="auto"/>
          <w:highlight w:val="none"/>
        </w:rPr>
        <w:fldChar w:fldCharType="separate"/>
      </w:r>
      <w:r>
        <w:rPr>
          <w:rFonts w:hint="eastAsia" w:ascii="宋体" w:hAnsi="宋体" w:cs="宋体"/>
          <w:color w:val="auto"/>
          <w:sz w:val="21"/>
          <w:szCs w:val="21"/>
          <w:highlight w:val="none"/>
        </w:rPr>
        <w:t>第一章、招标公告</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_Toc18249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0"/>
        <w:tabs>
          <w:tab w:val="right" w:leader="dot" w:pos="9071"/>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"_Toc15568" </w:instrText>
      </w:r>
      <w:r>
        <w:rPr>
          <w:color w:val="auto"/>
          <w:highlight w:val="none"/>
        </w:rPr>
        <w:fldChar w:fldCharType="separate"/>
      </w:r>
      <w:r>
        <w:rPr>
          <w:rFonts w:hint="eastAsia" w:ascii="宋体" w:hAnsi="宋体" w:cs="宋体"/>
          <w:bCs/>
          <w:color w:val="auto"/>
          <w:kern w:val="2"/>
          <w:sz w:val="21"/>
          <w:szCs w:val="21"/>
          <w:highlight w:val="none"/>
        </w:rPr>
        <w:t>第二章、投标人须知</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_Toc15568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1"/>
        <w:tabs>
          <w:tab w:val="right" w:leader="dot" w:pos="9071"/>
        </w:tabs>
        <w:spacing w:line="360" w:lineRule="auto"/>
        <w:ind w:left="56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"_Toc21739" </w:instrText>
      </w:r>
      <w:r>
        <w:rPr>
          <w:color w:val="auto"/>
          <w:highlight w:val="none"/>
        </w:rPr>
        <w:fldChar w:fldCharType="separate"/>
      </w:r>
      <w:r>
        <w:rPr>
          <w:rFonts w:hint="eastAsia" w:ascii="宋体" w:hAnsi="宋体" w:cs="宋体"/>
          <w:bCs/>
          <w:color w:val="auto"/>
          <w:sz w:val="21"/>
          <w:szCs w:val="21"/>
          <w:highlight w:val="none"/>
        </w:rPr>
        <w:t>1.投标人须知前附表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_Toc21739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1"/>
        <w:tabs>
          <w:tab w:val="right" w:leader="dot" w:pos="9071"/>
        </w:tabs>
        <w:spacing w:line="360" w:lineRule="auto"/>
        <w:ind w:left="56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"_Toc27247" </w:instrText>
      </w:r>
      <w:r>
        <w:rPr>
          <w:color w:val="auto"/>
          <w:highlight w:val="none"/>
        </w:rPr>
        <w:fldChar w:fldCharType="separate"/>
      </w:r>
      <w:r>
        <w:rPr>
          <w:rFonts w:hint="eastAsia" w:ascii="宋体" w:hAnsi="宋体" w:cs="宋体"/>
          <w:bCs/>
          <w:color w:val="auto"/>
          <w:sz w:val="21"/>
          <w:szCs w:val="21"/>
          <w:highlight w:val="none"/>
        </w:rPr>
        <w:t xml:space="preserve">2. </w:t>
      </w:r>
      <w:r>
        <w:rPr>
          <w:rFonts w:hint="eastAsia" w:ascii="宋体" w:hAnsi="宋体" w:cs="宋体"/>
          <w:color w:val="auto"/>
          <w:sz w:val="21"/>
          <w:szCs w:val="21"/>
          <w:highlight w:val="none"/>
          <w:lang w:eastAsia="zh-TW"/>
        </w:rPr>
        <w:t>招标文件的组成</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_Toc27247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"_Toc9668" </w:instrText>
      </w:r>
      <w:r>
        <w:rPr>
          <w:color w:val="auto"/>
          <w:highlight w:val="none"/>
        </w:rPr>
        <w:fldChar w:fldCharType="separate"/>
      </w:r>
      <w:r>
        <w:rPr>
          <w:rFonts w:hint="eastAsia" w:ascii="宋体" w:hAnsi="宋体" w:cs="宋体"/>
          <w:bCs/>
          <w:color w:val="auto"/>
          <w:sz w:val="21"/>
          <w:szCs w:val="21"/>
          <w:highlight w:val="none"/>
        </w:rPr>
        <w:t>3.投标文件的编制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_Toc9668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"_Toc6296" </w:instrText>
      </w:r>
      <w:r>
        <w:rPr>
          <w:color w:val="auto"/>
          <w:highlight w:val="none"/>
        </w:rPr>
        <w:fldChar w:fldCharType="separate"/>
      </w:r>
      <w:r>
        <w:rPr>
          <w:rFonts w:hint="eastAsia" w:ascii="宋体" w:hAnsi="宋体" w:cs="宋体"/>
          <w:bCs/>
          <w:color w:val="auto"/>
          <w:sz w:val="21"/>
          <w:szCs w:val="21"/>
          <w:highlight w:val="none"/>
        </w:rPr>
        <w:t>4. 投标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_Toc6296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1"/>
        <w:tabs>
          <w:tab w:val="right" w:leader="dot" w:pos="9071"/>
        </w:tabs>
        <w:spacing w:line="360" w:lineRule="auto"/>
        <w:ind w:left="56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"_Toc18323" </w:instrText>
      </w:r>
      <w:r>
        <w:rPr>
          <w:color w:val="auto"/>
          <w:highlight w:val="none"/>
        </w:rPr>
        <w:fldChar w:fldCharType="separate"/>
      </w:r>
      <w:r>
        <w:rPr>
          <w:rFonts w:hint="eastAsia" w:ascii="宋体" w:hAnsi="宋体" w:cs="宋体"/>
          <w:bCs/>
          <w:color w:val="auto"/>
          <w:sz w:val="21"/>
          <w:szCs w:val="21"/>
          <w:highlight w:val="none"/>
        </w:rPr>
        <w:t>5.开标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_Toc18323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"_Toc16160" </w:instrText>
      </w:r>
      <w:r>
        <w:rPr>
          <w:color w:val="auto"/>
          <w:highlight w:val="none"/>
        </w:rPr>
        <w:fldChar w:fldCharType="separate"/>
      </w:r>
      <w:r>
        <w:rPr>
          <w:rFonts w:hint="eastAsia" w:ascii="宋体" w:hAnsi="宋体" w:cs="宋体"/>
          <w:bCs/>
          <w:color w:val="auto"/>
          <w:sz w:val="21"/>
          <w:szCs w:val="21"/>
          <w:highlight w:val="none"/>
        </w:rPr>
        <w:t>6.评标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_Toc16160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"_Toc2112" </w:instrText>
      </w:r>
      <w:r>
        <w:rPr>
          <w:color w:val="auto"/>
          <w:highlight w:val="none"/>
        </w:rPr>
        <w:fldChar w:fldCharType="separate"/>
      </w:r>
      <w:r>
        <w:rPr>
          <w:rFonts w:hint="eastAsia" w:ascii="宋体" w:hAnsi="宋体" w:cs="宋体"/>
          <w:bCs/>
          <w:color w:val="auto"/>
          <w:sz w:val="21"/>
          <w:szCs w:val="21"/>
          <w:highlight w:val="none"/>
        </w:rPr>
        <w:t>7.合同授予</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_Toc2112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"_Toc8317" </w:instrText>
      </w:r>
      <w:r>
        <w:rPr>
          <w:color w:val="auto"/>
          <w:highlight w:val="none"/>
        </w:rPr>
        <w:fldChar w:fldCharType="separate"/>
      </w:r>
      <w:r>
        <w:rPr>
          <w:rFonts w:hint="eastAsia" w:ascii="宋体" w:hAnsi="宋体" w:cs="宋体"/>
          <w:bCs/>
          <w:color w:val="auto"/>
          <w:sz w:val="21"/>
          <w:szCs w:val="21"/>
          <w:highlight w:val="none"/>
        </w:rPr>
        <w:t>8．重新招标和不再招标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_Toc8317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"_Toc19508" </w:instrText>
      </w:r>
      <w:r>
        <w:rPr>
          <w:color w:val="auto"/>
          <w:highlight w:val="none"/>
        </w:rPr>
        <w:fldChar w:fldCharType="separate"/>
      </w:r>
      <w:r>
        <w:rPr>
          <w:rFonts w:hint="eastAsia" w:ascii="宋体" w:hAnsi="宋体" w:cs="宋体"/>
          <w:bCs/>
          <w:color w:val="auto"/>
          <w:sz w:val="21"/>
          <w:szCs w:val="21"/>
          <w:highlight w:val="none"/>
        </w:rPr>
        <w:t>9．纪律和监督</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_Toc19508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"_Toc5695" </w:instrText>
      </w:r>
      <w:r>
        <w:rPr>
          <w:color w:val="auto"/>
          <w:highlight w:val="none"/>
        </w:rPr>
        <w:fldChar w:fldCharType="separate"/>
      </w:r>
      <w:r>
        <w:rPr>
          <w:rFonts w:hint="eastAsia" w:ascii="宋体" w:hAnsi="宋体" w:cs="宋体"/>
          <w:bCs/>
          <w:color w:val="auto"/>
          <w:sz w:val="21"/>
          <w:szCs w:val="21"/>
          <w:highlight w:val="none"/>
        </w:rPr>
        <w:t>10.是否采用电子招标投标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_Toc5695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Chars="0" w:firstLine="600" w:firstLineChars="30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"_Toc25816" </w:instrText>
      </w:r>
      <w:r>
        <w:rPr>
          <w:color w:val="auto"/>
          <w:highlight w:val="none"/>
        </w:rPr>
        <w:fldChar w:fldCharType="separate"/>
      </w:r>
      <w:r>
        <w:rPr>
          <w:rFonts w:hint="eastAsia" w:ascii="宋体" w:hAnsi="宋体" w:cs="宋体"/>
          <w:bCs/>
          <w:color w:val="auto"/>
          <w:sz w:val="21"/>
          <w:szCs w:val="21"/>
          <w:highlight w:val="none"/>
        </w:rPr>
        <w:t>11. 需要补充的其他内容</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_Toc25816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0"/>
        <w:tabs>
          <w:tab w:val="right" w:leader="dot" w:pos="9071"/>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"_Toc17445" </w:instrText>
      </w:r>
      <w:r>
        <w:rPr>
          <w:color w:val="auto"/>
          <w:highlight w:val="none"/>
        </w:rPr>
        <w:fldChar w:fldCharType="separate"/>
      </w:r>
      <w:r>
        <w:rPr>
          <w:rFonts w:hint="eastAsia" w:ascii="宋体" w:hAnsi="宋体" w:cs="宋体"/>
          <w:color w:val="auto"/>
          <w:sz w:val="21"/>
          <w:szCs w:val="21"/>
          <w:highlight w:val="none"/>
        </w:rPr>
        <w:t>第三章、评标标准和办法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_Toc17445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1"/>
        <w:tabs>
          <w:tab w:val="right" w:leader="dot" w:pos="9071"/>
        </w:tabs>
        <w:spacing w:line="360" w:lineRule="auto"/>
        <w:ind w:left="56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ascii="宋体" w:hAnsi="宋体" w:cs="宋体"/>
          <w:bCs/>
          <w:color w:val="auto"/>
          <w:sz w:val="21"/>
          <w:szCs w:val="21"/>
          <w:highlight w:val="none"/>
        </w:rPr>
        <w:t>一、评标办法前附表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_Toc1445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112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"_Toc8416" </w:instrText>
      </w:r>
      <w:r>
        <w:rPr>
          <w:color w:val="auto"/>
          <w:highlight w:val="none"/>
        </w:rPr>
        <w:fldChar w:fldCharType="separate"/>
      </w:r>
      <w:r>
        <w:rPr>
          <w:rFonts w:hint="eastAsia" w:ascii="宋体" w:hAnsi="宋体" w:cs="宋体"/>
          <w:bCs/>
          <w:color w:val="auto"/>
          <w:sz w:val="21"/>
          <w:szCs w:val="21"/>
          <w:highlight w:val="none"/>
        </w:rPr>
        <w:t>1、评标方法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_Toc8416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112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"_Toc30252" </w:instrText>
      </w:r>
      <w:r>
        <w:rPr>
          <w:color w:val="auto"/>
          <w:highlight w:val="none"/>
        </w:rPr>
        <w:fldChar w:fldCharType="separate"/>
      </w:r>
      <w:r>
        <w:rPr>
          <w:rFonts w:hint="eastAsia" w:ascii="宋体" w:hAnsi="宋体" w:cs="宋体"/>
          <w:bCs/>
          <w:color w:val="auto"/>
          <w:sz w:val="21"/>
          <w:szCs w:val="21"/>
          <w:highlight w:val="none"/>
        </w:rPr>
        <w:t>2、评审标准</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_Toc30252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2"/>
        <w:tabs>
          <w:tab w:val="right" w:leader="dot" w:pos="9071"/>
        </w:tabs>
        <w:spacing w:line="360" w:lineRule="auto"/>
        <w:ind w:left="1120"/>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"_Toc28355" </w:instrText>
      </w:r>
      <w:r>
        <w:rPr>
          <w:color w:val="auto"/>
          <w:highlight w:val="none"/>
        </w:rPr>
        <w:fldChar w:fldCharType="separate"/>
      </w:r>
      <w:r>
        <w:rPr>
          <w:rFonts w:hint="eastAsia" w:ascii="宋体" w:hAnsi="宋体" w:cs="宋体"/>
          <w:bCs/>
          <w:color w:val="auto"/>
          <w:sz w:val="21"/>
          <w:szCs w:val="21"/>
          <w:highlight w:val="none"/>
        </w:rPr>
        <w:t>3、评标程序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_Toc28355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0"/>
        <w:tabs>
          <w:tab w:val="right" w:leader="dot" w:pos="9071"/>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"_Toc4926" </w:instrText>
      </w:r>
      <w:r>
        <w:rPr>
          <w:color w:val="auto"/>
          <w:highlight w:val="none"/>
        </w:rPr>
        <w:fldChar w:fldCharType="separate"/>
      </w:r>
      <w:r>
        <w:rPr>
          <w:rFonts w:hint="eastAsia" w:ascii="宋体" w:hAnsi="宋体" w:cs="宋体"/>
          <w:color w:val="auto"/>
          <w:sz w:val="21"/>
          <w:szCs w:val="21"/>
          <w:highlight w:val="none"/>
        </w:rPr>
        <w:t>第四章、合同文件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_Toc4926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80"/>
        <w:tabs>
          <w:tab w:val="right" w:leader="dot" w:pos="9071"/>
        </w:tabs>
        <w:spacing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"_Toc26179" </w:instrText>
      </w:r>
      <w:r>
        <w:rPr>
          <w:color w:val="auto"/>
          <w:highlight w:val="none"/>
        </w:rPr>
        <w:fldChar w:fldCharType="separate"/>
      </w:r>
      <w:r>
        <w:rPr>
          <w:rFonts w:hint="eastAsia" w:ascii="宋体" w:hAnsi="宋体" w:cs="宋体"/>
          <w:color w:val="auto"/>
          <w:sz w:val="21"/>
          <w:szCs w:val="21"/>
          <w:highlight w:val="none"/>
        </w:rPr>
        <w:t>第五章   投标文件格式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_Toc26179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44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21"/>
        <w:outlineLvl w:val="9"/>
        <w:rPr>
          <w:color w:val="auto"/>
          <w:sz w:val="44"/>
          <w:szCs w:val="44"/>
          <w:highlight w:val="none"/>
        </w:rPr>
        <w:sectPr>
          <w:headerReference r:id="rId4" w:type="default"/>
          <w:footerReference r:id="rId5" w:type="default"/>
          <w:pgSz w:w="11905" w:h="16838"/>
          <w:pgMar w:top="1417" w:right="1417" w:bottom="1417" w:left="1417" w:header="850" w:footer="992" w:gutter="0"/>
          <w:pgNumType w:start="1"/>
          <w:cols w:space="720" w:num="1"/>
          <w:docGrid w:type="lines" w:linePitch="389" w:charSpace="0"/>
        </w:sectPr>
      </w:pPr>
      <w:r>
        <w:rPr>
          <w:color w:val="auto"/>
          <w:szCs w:val="44"/>
          <w:highlight w:val="none"/>
        </w:rPr>
        <w:fldChar w:fldCharType="end"/>
      </w:r>
    </w:p>
    <w:p>
      <w:pPr>
        <w:pStyle w:val="21"/>
        <w:spacing w:before="0" w:after="0" w:line="360" w:lineRule="auto"/>
        <w:rPr>
          <w:color w:val="auto"/>
          <w:highlight w:val="none"/>
        </w:rPr>
      </w:pPr>
      <w:bookmarkStart w:id="0" w:name="_Toc27691"/>
      <w:bookmarkStart w:id="1" w:name="_Toc18249"/>
      <w:bookmarkStart w:id="2" w:name="OLE_LINK1"/>
      <w:r>
        <w:rPr>
          <w:rFonts w:hint="eastAsia"/>
          <w:color w:val="auto"/>
          <w:highlight w:val="none"/>
        </w:rPr>
        <w:t>第一章、招标公告</w:t>
      </w:r>
      <w:bookmarkEnd w:id="0"/>
      <w:bookmarkEnd w:id="1"/>
    </w:p>
    <w:tbl>
      <w:tblPr>
        <w:tblStyle w:val="23"/>
        <w:tblW w:w="9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2"/>
        <w:gridCol w:w="2044"/>
        <w:gridCol w:w="1500"/>
        <w:gridCol w:w="1447"/>
        <w:gridCol w:w="3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投资项目代码</w:t>
            </w:r>
          </w:p>
        </w:tc>
        <w:tc>
          <w:tcPr>
            <w:tcW w:w="81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2501-440203-20-01-299292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投资项目名称</w:t>
            </w:r>
          </w:p>
        </w:tc>
        <w:tc>
          <w:tcPr>
            <w:tcW w:w="81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韶关市武江区西河镇2025年农业产业基础设施建设项目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招标项目名称</w:t>
            </w:r>
          </w:p>
        </w:tc>
        <w:tc>
          <w:tcPr>
            <w:tcW w:w="81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韶关市武江区西河镇2025年农业产业基础设施建设项目监理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标段（包）名称</w:t>
            </w:r>
          </w:p>
        </w:tc>
        <w:tc>
          <w:tcPr>
            <w:tcW w:w="204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w:t>
            </w:r>
          </w:p>
        </w:tc>
        <w:tc>
          <w:tcPr>
            <w:tcW w:w="15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公告性质</w:t>
            </w:r>
          </w:p>
        </w:tc>
        <w:tc>
          <w:tcPr>
            <w:tcW w:w="4623"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55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资格审查方式</w:t>
            </w:r>
          </w:p>
        </w:tc>
        <w:tc>
          <w:tcPr>
            <w:tcW w:w="8167"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招标项目</w:t>
            </w:r>
            <w:r>
              <w:rPr>
                <w:rFonts w:hint="eastAsia" w:ascii="宋体" w:hAnsi="宋体" w:cs="宋体"/>
                <w:b/>
                <w:bCs/>
                <w:i w:val="0"/>
                <w:color w:val="auto"/>
                <w:kern w:val="0"/>
                <w:sz w:val="22"/>
                <w:szCs w:val="22"/>
                <w:highlight w:val="none"/>
                <w:u w:val="none"/>
                <w:lang w:val="en-US" w:eastAsia="zh-CN" w:bidi="ar"/>
              </w:rPr>
              <w:t>实施</w:t>
            </w:r>
          </w:p>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cs="宋体"/>
                <w:b/>
                <w:bCs/>
                <w:i w:val="0"/>
                <w:color w:val="auto"/>
                <w:kern w:val="0"/>
                <w:sz w:val="22"/>
                <w:szCs w:val="22"/>
                <w:highlight w:val="none"/>
                <w:u w:val="none"/>
                <w:lang w:val="en-US" w:eastAsia="zh-CN" w:bidi="ar"/>
              </w:rPr>
              <w:t>（交货）</w:t>
            </w:r>
            <w:r>
              <w:rPr>
                <w:rFonts w:hint="eastAsia" w:ascii="宋体" w:hAnsi="宋体" w:eastAsia="宋体" w:cs="宋体"/>
                <w:b/>
                <w:bCs/>
                <w:i w:val="0"/>
                <w:color w:val="auto"/>
                <w:kern w:val="0"/>
                <w:sz w:val="22"/>
                <w:szCs w:val="22"/>
                <w:highlight w:val="none"/>
                <w:u w:val="none"/>
                <w:lang w:val="en-US" w:eastAsia="zh-CN" w:bidi="ar"/>
              </w:rPr>
              <w:t>地点</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韶关市武江区西河镇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资金来源</w:t>
            </w:r>
          </w:p>
        </w:tc>
        <w:tc>
          <w:tcPr>
            <w:tcW w:w="204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区财政统筹解决</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资金来源构成</w:t>
            </w:r>
          </w:p>
        </w:tc>
        <w:tc>
          <w:tcPr>
            <w:tcW w:w="462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全部</w:t>
            </w:r>
            <w:r>
              <w:rPr>
                <w:rFonts w:hint="eastAsia" w:ascii="宋体" w:hAnsi="宋体" w:eastAsia="宋体" w:cs="宋体"/>
                <w:i w:val="0"/>
                <w:color w:val="auto"/>
                <w:kern w:val="0"/>
                <w:sz w:val="22"/>
                <w:szCs w:val="22"/>
                <w:highlight w:val="none"/>
                <w:u w:val="none"/>
                <w:lang w:val="en-US" w:eastAsia="zh-CN" w:bidi="ar"/>
              </w:rPr>
              <w:t>区财政统筹解决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招标范围及规模</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施工全过程监理（含施工准备阶段、施工阶段、工程竣工结算阶段和保修阶段监理），直至竣工验收完成止的服务。</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项目建设总规模：本次招标建安工程费约</w:t>
            </w:r>
            <w:r>
              <w:rPr>
                <w:rFonts w:hint="eastAsia" w:ascii="宋体" w:hAnsi="宋体" w:cs="宋体"/>
                <w:i w:val="0"/>
                <w:color w:val="auto"/>
                <w:kern w:val="0"/>
                <w:sz w:val="22"/>
                <w:szCs w:val="22"/>
                <w:highlight w:val="none"/>
                <w:u w:val="none"/>
                <w:lang w:val="en-US" w:eastAsia="zh-CN" w:bidi="ar"/>
              </w:rPr>
              <w:t>328.45</w:t>
            </w:r>
            <w:r>
              <w:rPr>
                <w:rFonts w:hint="eastAsia" w:ascii="宋体" w:hAnsi="宋体" w:eastAsia="宋体" w:cs="宋体"/>
                <w:i w:val="0"/>
                <w:color w:val="auto"/>
                <w:kern w:val="0"/>
                <w:sz w:val="22"/>
                <w:szCs w:val="22"/>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招标内容</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建设任务土地翻耕平整180亩，新修机耕路、生产道路1公里，新建灌溉水渠1.2公里，修建泵房1座，深水井1个，新建挡土墙0.5公里，客土100亩（30cm厚）</w:t>
            </w:r>
            <w:r>
              <w:rPr>
                <w:rFonts w:hint="eastAsia" w:ascii="宋体" w:hAnsi="宋体" w:eastAsia="宋体" w:cs="宋体"/>
                <w:i w:val="0"/>
                <w:color w:val="auto"/>
                <w:sz w:val="22"/>
                <w:szCs w:val="22"/>
                <w:highlight w:val="none"/>
                <w:u w:val="none"/>
                <w:lang w:val="en-US" w:eastAsia="zh-CN"/>
              </w:rPr>
              <w:t>等</w:t>
            </w:r>
            <w:r>
              <w:rPr>
                <w:rFonts w:hint="eastAsia" w:ascii="宋体" w:hAnsi="宋体" w:eastAsia="宋体" w:cs="宋体"/>
                <w:i w:val="0"/>
                <w:color w:val="auto"/>
                <w:sz w:val="22"/>
                <w:szCs w:val="22"/>
                <w:highlight w:val="none"/>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工期（交货期）</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left"/>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施工工</w:t>
            </w:r>
            <w:r>
              <w:rPr>
                <w:rFonts w:hint="eastAsia" w:ascii="宋体" w:hAnsi="宋体" w:cs="宋体"/>
                <w:i w:val="0"/>
                <w:color w:val="auto"/>
                <w:kern w:val="0"/>
                <w:sz w:val="22"/>
                <w:szCs w:val="22"/>
                <w:highlight w:val="none"/>
                <w:u w:val="none"/>
                <w:lang w:val="en-US" w:eastAsia="zh-CN" w:bidi="ar"/>
              </w:rPr>
              <w:t>期</w:t>
            </w: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cs="宋体"/>
                <w:i w:val="0"/>
                <w:color w:val="auto"/>
                <w:kern w:val="0"/>
                <w:sz w:val="22"/>
                <w:szCs w:val="22"/>
                <w:highlight w:val="none"/>
                <w:u w:val="none"/>
                <w:lang w:val="en-US" w:eastAsia="zh-CN" w:bidi="ar"/>
              </w:rPr>
              <w:t>180</w:t>
            </w:r>
            <w:r>
              <w:rPr>
                <w:rFonts w:hint="eastAsia" w:ascii="宋体" w:hAnsi="宋体" w:eastAsia="宋体" w:cs="宋体"/>
                <w:i w:val="0"/>
                <w:color w:val="auto"/>
                <w:kern w:val="0"/>
                <w:sz w:val="22"/>
                <w:szCs w:val="22"/>
                <w:highlight w:val="none"/>
                <w:u w:val="none"/>
                <w:lang w:val="en-US" w:eastAsia="zh-CN" w:bidi="ar"/>
              </w:rPr>
              <w:t>日历天（项目实施全过程监理，从开工始直至竣工验收完成止。）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pStyle w:val="71"/>
              <w:jc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最高投标限价</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rPr>
                <w:rFonts w:hint="default" w:ascii="宋体" w:hAnsi="宋体" w:eastAsia="宋体" w:cs="宋体"/>
                <w:i w:val="0"/>
                <w:color w:val="auto"/>
                <w:sz w:val="22"/>
                <w:szCs w:val="22"/>
                <w:highlight w:val="none"/>
                <w:u w:val="none"/>
                <w:lang w:val="en-US" w:eastAsia="zh-CN"/>
              </w:rPr>
            </w:pPr>
            <w:r>
              <w:rPr>
                <w:rFonts w:hint="eastAsia" w:ascii="宋体" w:hAnsi="宋体" w:cs="宋体"/>
                <w:b/>
                <w:bCs/>
                <w:color w:val="auto"/>
                <w:sz w:val="22"/>
                <w:szCs w:val="22"/>
                <w:highlight w:val="none"/>
              </w:rPr>
              <w:t>最高投标限价人民币：</w:t>
            </w:r>
            <w:r>
              <w:rPr>
                <w:rFonts w:hint="eastAsia" w:ascii="宋体" w:hAnsi="宋体" w:cs="宋体"/>
                <w:b/>
                <w:bCs/>
                <w:color w:val="auto"/>
                <w:sz w:val="22"/>
                <w:szCs w:val="22"/>
                <w:highlight w:val="none"/>
                <w:u w:val="single"/>
                <w:lang w:val="en-US" w:eastAsia="zh-CN"/>
              </w:rPr>
              <w:t>86700.00</w:t>
            </w:r>
            <w:r>
              <w:rPr>
                <w:rFonts w:hint="eastAsia" w:ascii="宋体" w:hAnsi="宋体" w:cs="宋体"/>
                <w:b/>
                <w:bCs/>
                <w:color w:val="auto"/>
                <w:sz w:val="22"/>
                <w:szCs w:val="22"/>
                <w:highlight w:val="none"/>
                <w:u w:val="singl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是否接受联合体投标</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55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投标资格能力要求</w:t>
            </w:r>
            <w:r>
              <w:rPr>
                <w:rFonts w:hint="eastAsia" w:ascii="宋体" w:hAnsi="宋体" w:eastAsia="宋体" w:cs="宋体"/>
                <w:b/>
                <w:bCs/>
                <w:i w:val="0"/>
                <w:color w:val="auto"/>
                <w:kern w:val="0"/>
                <w:sz w:val="22"/>
                <w:szCs w:val="22"/>
                <w:highlight w:val="none"/>
                <w:u w:val="none"/>
                <w:lang w:val="en-US" w:eastAsia="zh-CN" w:bidi="ar"/>
              </w:rPr>
              <w:br w:type="textWrapping"/>
            </w:r>
            <w:r>
              <w:rPr>
                <w:rFonts w:hint="eastAsia" w:ascii="宋体" w:hAnsi="宋体" w:eastAsia="宋体" w:cs="宋体"/>
                <w:b/>
                <w:bCs/>
                <w:i w:val="0"/>
                <w:color w:val="auto"/>
                <w:kern w:val="0"/>
                <w:sz w:val="22"/>
                <w:szCs w:val="22"/>
                <w:highlight w:val="none"/>
                <w:u w:val="none"/>
                <w:lang w:val="en-US" w:eastAsia="zh-CN" w:bidi="ar"/>
              </w:rPr>
              <w:t>（包括但不限于资质人员、业绩等要求）</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投标人资格要求</w:t>
            </w:r>
          </w:p>
        </w:tc>
        <w:tc>
          <w:tcPr>
            <w:tcW w:w="61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（1）投标人须具备以下资质</w:t>
            </w:r>
            <w:r>
              <w:rPr>
                <w:rFonts w:hint="eastAsia" w:ascii="宋体" w:hAnsi="宋体" w:cs="宋体"/>
                <w:i w:val="0"/>
                <w:color w:val="auto"/>
                <w:kern w:val="0"/>
                <w:sz w:val="22"/>
                <w:szCs w:val="22"/>
                <w:highlight w:val="none"/>
                <w:u w:val="none"/>
                <w:lang w:val="en-US" w:eastAsia="zh-CN" w:bidi="ar"/>
              </w:rPr>
              <w:t>之一</w:t>
            </w:r>
            <w:r>
              <w:rPr>
                <w:rFonts w:hint="eastAsia" w:ascii="宋体" w:hAnsi="宋体" w:eastAsia="宋体" w:cs="宋体"/>
                <w:i w:val="0"/>
                <w:color w:val="auto"/>
                <w:kern w:val="0"/>
                <w:sz w:val="22"/>
                <w:szCs w:val="22"/>
                <w:highlight w:val="none"/>
                <w:u w:val="none"/>
                <w:lang w:val="en-US" w:eastAsia="zh-CN" w:bidi="ar"/>
              </w:rPr>
              <w:t>：①具有工程监理综合资质；②具有水利水电专业监理丙级以上（含丙级）资质。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（2）具有有效的营业执照。</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（3）拟派总监理工程师需具备水利工程专业注册监理工程师，应持有国家住建部印发的有效注册证书，其担任总监理工程师职务的其他在施（包括已中标未开工、已开工未竣工）建设工程项目不得超过2个。</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拟派总监理工程师现阶段有担任其他在建工程项目总监理工程师职务的，须得到任职项目建设单位书面同意后方可担任本招标项目总监理工程师。</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（4）投标人须在广东省水利建设市场信用信息平台（http://210.76.74.108/）或全国水利建设市场监管平台（https://scjg.mwr.gov.cn/#/home）完成信息录入手续，提供网页截图。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（5）本次招标不接受联合体投标。</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（6）本次招标实行资格后审，资格审查的具体要求见招标文件，资格后审不合格的投标人的投标文件将按废标处理。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b/>
                <w:bCs/>
                <w:color w:val="auto"/>
                <w:sz w:val="22"/>
                <w:szCs w:val="22"/>
                <w:highlight w:val="none"/>
              </w:rPr>
            </w:pP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投标人业绩要求</w:t>
            </w:r>
          </w:p>
        </w:tc>
        <w:tc>
          <w:tcPr>
            <w:tcW w:w="61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155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是否采用电子</w:t>
            </w:r>
            <w:r>
              <w:rPr>
                <w:rFonts w:hint="eastAsia" w:ascii="宋体" w:hAnsi="宋体" w:eastAsia="宋体" w:cs="宋体"/>
                <w:b/>
                <w:bCs/>
                <w:i w:val="0"/>
                <w:color w:val="auto"/>
                <w:kern w:val="0"/>
                <w:sz w:val="22"/>
                <w:szCs w:val="22"/>
                <w:highlight w:val="none"/>
                <w:u w:val="none"/>
                <w:lang w:val="en-US" w:eastAsia="zh-CN" w:bidi="ar"/>
              </w:rPr>
              <w:br w:type="textWrapping"/>
            </w:r>
            <w:r>
              <w:rPr>
                <w:rFonts w:hint="eastAsia" w:ascii="宋体" w:hAnsi="宋体" w:eastAsia="宋体" w:cs="宋体"/>
                <w:b/>
                <w:bCs/>
                <w:i w:val="0"/>
                <w:color w:val="auto"/>
                <w:kern w:val="0"/>
                <w:sz w:val="22"/>
                <w:szCs w:val="22"/>
                <w:highlight w:val="none"/>
                <w:u w:val="none"/>
                <w:lang w:val="en-US" w:eastAsia="zh-CN" w:bidi="ar"/>
              </w:rPr>
              <w:t>招标投标方式</w:t>
            </w:r>
          </w:p>
        </w:tc>
        <w:tc>
          <w:tcPr>
            <w:tcW w:w="204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是</w:t>
            </w:r>
          </w:p>
        </w:tc>
        <w:tc>
          <w:tcPr>
            <w:tcW w:w="15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获取资格预审/招标文件的方式</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lang w:eastAsia="zh-CN"/>
              </w:rPr>
            </w:pPr>
            <w:r>
              <w:rPr>
                <w:rFonts w:hint="eastAsia" w:ascii="宋体" w:hAnsi="宋体" w:cs="宋体"/>
                <w:i w:val="0"/>
                <w:color w:val="auto"/>
                <w:sz w:val="22"/>
                <w:szCs w:val="22"/>
                <w:highlight w:val="none"/>
                <w:u w:val="none"/>
                <w:lang w:eastAsia="zh-CN"/>
              </w:rPr>
              <w:t>下载资格预审</w:t>
            </w:r>
            <w:r>
              <w:rPr>
                <w:rFonts w:hint="eastAsia" w:ascii="宋体" w:hAnsi="宋体" w:cs="宋体"/>
                <w:i w:val="0"/>
                <w:color w:val="auto"/>
                <w:sz w:val="22"/>
                <w:szCs w:val="22"/>
                <w:highlight w:val="none"/>
                <w:u w:val="none"/>
                <w:lang w:val="en-US" w:eastAsia="zh-CN"/>
              </w:rPr>
              <w:t>/招标文件的网络地址</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val="0"/>
              <w:overflowPunct/>
              <w:topLinePunct w:val="0"/>
              <w:autoSpaceDE/>
              <w:autoSpaceDN/>
              <w:bidi w:val="0"/>
              <w:adjustRightInd/>
              <w:snapToGrid/>
              <w:jc w:val="both"/>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广东省招标投标监管网https://www.gdzwfw.gov.cn/ztbjg-portal/#/index ；</w:t>
            </w:r>
          </w:p>
          <w:p>
            <w:pPr>
              <w:keepNext w:val="0"/>
              <w:keepLines w:val="0"/>
              <w:pageBreakBefore w:val="0"/>
              <w:widowControl/>
              <w:suppressLineNumbers w:val="0"/>
              <w:kinsoku w:val="0"/>
              <w:wordWrap w:val="0"/>
              <w:overflowPunct/>
              <w:topLinePunct w:val="0"/>
              <w:autoSpaceDE/>
              <w:autoSpaceDN/>
              <w:bidi w:val="0"/>
              <w:adjustRightInd/>
              <w:snapToGrid/>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全国公共资源交易平台（广东省·韶关市）（https://ygp.gdzwfw.gov.cn/ggzy-portal/#/440200/index）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获取招标文件开始时间</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2025年</w:t>
            </w:r>
            <w:r>
              <w:rPr>
                <w:rFonts w:hint="eastAsia" w:ascii="宋体" w:hAnsi="宋体" w:cs="宋体"/>
                <w:i w:val="0"/>
                <w:color w:val="auto"/>
                <w:kern w:val="0"/>
                <w:sz w:val="22"/>
                <w:szCs w:val="22"/>
                <w:highlight w:val="none"/>
                <w:u w:val="none"/>
                <w:lang w:val="en-US" w:eastAsia="zh-CN" w:bidi="ar"/>
              </w:rPr>
              <w:t>7</w:t>
            </w:r>
            <w:r>
              <w:rPr>
                <w:rFonts w:hint="eastAsia" w:ascii="宋体" w:hAnsi="宋体" w:eastAsia="宋体" w:cs="宋体"/>
                <w:i w:val="0"/>
                <w:color w:val="auto"/>
                <w:kern w:val="0"/>
                <w:sz w:val="22"/>
                <w:szCs w:val="22"/>
                <w:highlight w:val="none"/>
                <w:u w:val="none"/>
                <w:lang w:val="en-US" w:eastAsia="zh-CN" w:bidi="ar"/>
              </w:rPr>
              <w:t>月</w:t>
            </w:r>
            <w:r>
              <w:rPr>
                <w:rFonts w:hint="eastAsia" w:ascii="宋体" w:hAnsi="宋体" w:cs="宋体"/>
                <w:i w:val="0"/>
                <w:color w:val="auto"/>
                <w:kern w:val="0"/>
                <w:sz w:val="22"/>
                <w:szCs w:val="22"/>
                <w:highlight w:val="none"/>
                <w:u w:val="none"/>
                <w:lang w:val="en-US" w:eastAsia="zh-CN" w:bidi="ar"/>
              </w:rPr>
              <w:t>10</w:t>
            </w:r>
            <w:r>
              <w:rPr>
                <w:rFonts w:hint="eastAsia" w:ascii="宋体" w:hAnsi="宋体" w:eastAsia="宋体" w:cs="宋体"/>
                <w:i w:val="0"/>
                <w:color w:val="auto"/>
                <w:kern w:val="0"/>
                <w:sz w:val="22"/>
                <w:szCs w:val="22"/>
                <w:highlight w:val="none"/>
                <w:u w:val="none"/>
                <w:lang w:val="en-US" w:eastAsia="zh-CN" w:bidi="ar"/>
              </w:rPr>
              <w:t xml:space="preserve"> 日</w:t>
            </w:r>
            <w:r>
              <w:rPr>
                <w:rFonts w:hint="eastAsia" w:ascii="宋体" w:hAnsi="宋体" w:cs="宋体"/>
                <w:i w:val="0"/>
                <w:color w:val="auto"/>
                <w:kern w:val="0"/>
                <w:sz w:val="22"/>
                <w:szCs w:val="22"/>
                <w:highlight w:val="none"/>
                <w:u w:val="none"/>
                <w:lang w:val="en-US" w:eastAsia="zh-CN" w:bidi="ar"/>
              </w:rPr>
              <w:t>18</w:t>
            </w:r>
            <w:r>
              <w:rPr>
                <w:rFonts w:hint="eastAsia" w:ascii="宋体" w:hAnsi="宋体" w:eastAsia="宋体" w:cs="宋体"/>
                <w:i w:val="0"/>
                <w:color w:val="auto"/>
                <w:kern w:val="0"/>
                <w:sz w:val="22"/>
                <w:szCs w:val="22"/>
                <w:highlight w:val="none"/>
                <w:u w:val="none"/>
                <w:lang w:val="en-US" w:eastAsia="zh-CN" w:bidi="ar"/>
              </w:rPr>
              <w:t>时</w:t>
            </w:r>
            <w:r>
              <w:rPr>
                <w:rFonts w:hint="eastAsia" w:ascii="宋体" w:hAnsi="宋体" w:cs="宋体"/>
                <w:i w:val="0"/>
                <w:color w:val="auto"/>
                <w:kern w:val="0"/>
                <w:sz w:val="22"/>
                <w:szCs w:val="22"/>
                <w:highlight w:val="none"/>
                <w:u w:val="none"/>
                <w:lang w:val="en-US" w:eastAsia="zh-CN" w:bidi="ar"/>
              </w:rPr>
              <w:t>00</w:t>
            </w:r>
            <w:r>
              <w:rPr>
                <w:rFonts w:hint="eastAsia" w:ascii="宋体" w:hAnsi="宋体" w:eastAsia="宋体" w:cs="宋体"/>
                <w:i w:val="0"/>
                <w:color w:val="auto"/>
                <w:kern w:val="0"/>
                <w:sz w:val="22"/>
                <w:szCs w:val="22"/>
                <w:highlight w:val="none"/>
                <w:u w:val="none"/>
                <w:lang w:val="en-US" w:eastAsia="zh-CN" w:bidi="ar"/>
              </w:rPr>
              <w:t>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获取招标文件截止时间</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2025年</w:t>
            </w:r>
            <w:r>
              <w:rPr>
                <w:rFonts w:hint="eastAsia" w:ascii="宋体" w:hAnsi="宋体" w:cs="宋体"/>
                <w:i w:val="0"/>
                <w:color w:val="auto"/>
                <w:kern w:val="0"/>
                <w:sz w:val="22"/>
                <w:szCs w:val="22"/>
                <w:highlight w:val="none"/>
                <w:u w:val="none"/>
                <w:lang w:val="en-US" w:eastAsia="zh-CN" w:bidi="ar"/>
              </w:rPr>
              <w:t>7</w:t>
            </w:r>
            <w:r>
              <w:rPr>
                <w:rFonts w:hint="eastAsia" w:ascii="宋体" w:hAnsi="宋体" w:eastAsia="宋体" w:cs="宋体"/>
                <w:i w:val="0"/>
                <w:color w:val="auto"/>
                <w:kern w:val="0"/>
                <w:sz w:val="22"/>
                <w:szCs w:val="22"/>
                <w:highlight w:val="none"/>
                <w:u w:val="none"/>
                <w:lang w:val="en-US" w:eastAsia="zh-CN" w:bidi="ar"/>
              </w:rPr>
              <w:t>月</w:t>
            </w:r>
            <w:r>
              <w:rPr>
                <w:rFonts w:hint="eastAsia" w:ascii="宋体" w:hAnsi="宋体" w:cs="宋体"/>
                <w:i w:val="0"/>
                <w:color w:val="auto"/>
                <w:kern w:val="0"/>
                <w:sz w:val="22"/>
                <w:szCs w:val="22"/>
                <w:highlight w:val="none"/>
                <w:u w:val="none"/>
                <w:lang w:val="en-US" w:eastAsia="zh-CN" w:bidi="ar"/>
              </w:rPr>
              <w:t>31</w:t>
            </w:r>
            <w:r>
              <w:rPr>
                <w:rFonts w:hint="eastAsia" w:ascii="宋体" w:hAnsi="宋体" w:eastAsia="宋体" w:cs="宋体"/>
                <w:i w:val="0"/>
                <w:color w:val="auto"/>
                <w:kern w:val="0"/>
                <w:sz w:val="22"/>
                <w:szCs w:val="22"/>
                <w:highlight w:val="none"/>
                <w:u w:val="none"/>
                <w:lang w:val="en-US" w:eastAsia="zh-CN" w:bidi="ar"/>
              </w:rPr>
              <w:t>日</w:t>
            </w:r>
            <w:r>
              <w:rPr>
                <w:rFonts w:hint="eastAsia" w:ascii="宋体" w:hAnsi="宋体" w:cs="宋体"/>
                <w:i w:val="0"/>
                <w:color w:val="auto"/>
                <w:kern w:val="0"/>
                <w:sz w:val="22"/>
                <w:szCs w:val="22"/>
                <w:highlight w:val="none"/>
                <w:u w:val="none"/>
                <w:lang w:val="en-US" w:eastAsia="zh-CN" w:bidi="ar"/>
              </w:rPr>
              <w:t>9</w:t>
            </w:r>
            <w:r>
              <w:rPr>
                <w:rFonts w:hint="eastAsia" w:ascii="宋体" w:hAnsi="宋体" w:eastAsia="宋体" w:cs="宋体"/>
                <w:i w:val="0"/>
                <w:color w:val="auto"/>
                <w:kern w:val="0"/>
                <w:sz w:val="22"/>
                <w:szCs w:val="22"/>
                <w:highlight w:val="none"/>
                <w:u w:val="none"/>
                <w:lang w:val="en-US" w:eastAsia="zh-CN" w:bidi="ar"/>
              </w:rPr>
              <w:t>时</w:t>
            </w:r>
            <w:r>
              <w:rPr>
                <w:rFonts w:hint="eastAsia" w:ascii="宋体" w:hAnsi="宋体" w:cs="宋体"/>
                <w:i w:val="0"/>
                <w:color w:val="auto"/>
                <w:kern w:val="0"/>
                <w:sz w:val="22"/>
                <w:szCs w:val="22"/>
                <w:highlight w:val="none"/>
                <w:u w:val="none"/>
                <w:lang w:val="en-US" w:eastAsia="zh-CN" w:bidi="ar"/>
              </w:rPr>
              <w:t>30</w:t>
            </w:r>
            <w:r>
              <w:rPr>
                <w:rFonts w:hint="eastAsia" w:ascii="宋体" w:hAnsi="宋体" w:eastAsia="宋体" w:cs="宋体"/>
                <w:i w:val="0"/>
                <w:color w:val="auto"/>
                <w:kern w:val="0"/>
                <w:sz w:val="22"/>
                <w:szCs w:val="22"/>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递交投标文件截止时间</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2025年7月31日9时30分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投标文件递交方式</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val="0"/>
              <w:overflowPunct/>
              <w:topLinePunct w:val="0"/>
              <w:autoSpaceDE/>
              <w:autoSpaceDN/>
              <w:bidi w:val="0"/>
              <w:adjustRightInd/>
              <w:snapToGrid/>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投标人通过全国公共资源交易平台（广东省·韶关市）（https://ygp.gdzwfw.gov.cn/ggzy-portal/#/440200/index）递交电子投标文件。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开标时间</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2025年7月31日9时30分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开标地点</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开标场所：韶关市公共资源交易中心</w:t>
            </w:r>
          </w:p>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地址：广东省韶关市武江区西联镇,具体房间号以当日现场通知为准。具体房间号以当日现场通知为准。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发布公告媒介</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1.广东省招标投标监管网；</w:t>
            </w:r>
          </w:p>
          <w:p>
            <w:pPr>
              <w:keepNext w:val="0"/>
              <w:keepLines w:val="0"/>
              <w:widowControl/>
              <w:suppressLineNumbers w:val="0"/>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2.全国公共资源交易平台（广东省·韶关市）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招标人</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韶关市武江区西河镇人民政府</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联系地址</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韶关市武江区芙蓉北三路10号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招标人联系人</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cs="宋体"/>
                <w:b w:val="0"/>
                <w:bCs w:val="0"/>
                <w:caps w:val="0"/>
                <w:smallCaps w:val="0"/>
                <w:snapToGrid w:val="0"/>
                <w:color w:val="auto"/>
                <w:spacing w:val="0"/>
                <w:kern w:val="0"/>
                <w:sz w:val="22"/>
                <w:szCs w:val="22"/>
                <w:highlight w:val="none"/>
                <w:lang w:val="en-US" w:eastAsia="zh-CN"/>
              </w:rPr>
              <w:t>宋工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联系电话</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0751-8738073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招标代理机构</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韶关众信项目管理有限公司</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联系地址</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韶关市武江区西联镇老阳山村323线旁新五洲国际汽配用品商贸城A1幢610号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招标代理联系人</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陈工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联系电话</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0751-8821012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招标监督机构</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韶关市武江区农业农村局</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联系电话</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0751-8623830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其他依法应当载明的内容</w:t>
            </w:r>
          </w:p>
        </w:tc>
        <w:tc>
          <w:tcPr>
            <w:tcW w:w="8167"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highlight w:val="none"/>
                <w:u w:val="none"/>
                <w:lang w:val="en-US" w:eastAsia="zh-CN"/>
              </w:rPr>
            </w:pPr>
            <w:bookmarkStart w:id="3" w:name="_Toc386902753"/>
            <w:bookmarkStart w:id="4" w:name="_Toc461995217"/>
            <w:bookmarkStart w:id="5" w:name="_Toc285"/>
            <w:bookmarkStart w:id="6" w:name="_Toc462073949"/>
            <w:r>
              <w:rPr>
                <w:rFonts w:hint="eastAsia" w:ascii="宋体" w:hAnsi="宋体" w:cs="宋体"/>
                <w:i w:val="0"/>
                <w:color w:val="auto"/>
                <w:sz w:val="22"/>
                <w:szCs w:val="22"/>
                <w:highlight w:val="none"/>
                <w:u w:val="none"/>
                <w:lang w:val="en-US" w:eastAsia="zh-CN"/>
              </w:rPr>
              <w:t>1</w:t>
            </w:r>
            <w:bookmarkEnd w:id="3"/>
            <w:bookmarkEnd w:id="4"/>
            <w:bookmarkEnd w:id="5"/>
            <w:bookmarkEnd w:id="6"/>
            <w:r>
              <w:rPr>
                <w:rFonts w:hint="eastAsia" w:ascii="宋体" w:hAnsi="宋体" w:eastAsia="宋体" w:cs="宋体"/>
                <w:i w:val="0"/>
                <w:color w:val="auto"/>
                <w:sz w:val="22"/>
                <w:szCs w:val="22"/>
                <w:highlight w:val="none"/>
                <w:u w:val="none"/>
              </w:rPr>
              <w:t>、本项目投标保证金为人民币：</w:t>
            </w:r>
            <w:r>
              <w:rPr>
                <w:rFonts w:hint="eastAsia" w:ascii="宋体" w:hAnsi="宋体" w:cs="宋体"/>
                <w:i w:val="0"/>
                <w:color w:val="auto"/>
                <w:sz w:val="22"/>
                <w:szCs w:val="22"/>
                <w:highlight w:val="none"/>
                <w:u w:val="none"/>
                <w:lang w:val="en-US" w:eastAsia="zh-CN"/>
              </w:rPr>
              <w:t>1</w:t>
            </w:r>
            <w:r>
              <w:rPr>
                <w:rFonts w:hint="eastAsia" w:ascii="宋体" w:hAnsi="宋体" w:eastAsia="宋体" w:cs="宋体"/>
                <w:i w:val="0"/>
                <w:color w:val="auto"/>
                <w:sz w:val="22"/>
                <w:szCs w:val="22"/>
                <w:highlight w:val="none"/>
                <w:u w:val="none"/>
                <w:lang w:val="en-US" w:eastAsia="zh-CN"/>
              </w:rPr>
              <w:t>000</w:t>
            </w:r>
            <w:r>
              <w:rPr>
                <w:rFonts w:hint="eastAsia" w:ascii="宋体" w:hAnsi="宋体" w:eastAsia="宋体" w:cs="宋体"/>
                <w:i w:val="0"/>
                <w:color w:val="auto"/>
                <w:sz w:val="22"/>
                <w:szCs w:val="22"/>
                <w:highlight w:val="none"/>
                <w:u w:val="none"/>
              </w:rPr>
              <w:t>元</w:t>
            </w:r>
            <w:r>
              <w:rPr>
                <w:rFonts w:hint="eastAsia" w:ascii="宋体" w:hAnsi="宋体" w:eastAsia="宋体" w:cs="宋体"/>
                <w:i w:val="0"/>
                <w:color w:val="auto"/>
                <w:sz w:val="22"/>
                <w:szCs w:val="22"/>
                <w:highlight w:val="none"/>
                <w:u w:val="none"/>
                <w:lang w:eastAsia="zh-CN"/>
              </w:rPr>
              <w:t>。</w:t>
            </w:r>
          </w:p>
        </w:tc>
      </w:tr>
    </w:tbl>
    <w:p>
      <w:pPr>
        <w:pStyle w:val="22"/>
        <w:rPr>
          <w:rFonts w:ascii="宋体" w:hAnsi="宋体" w:cs="宋体"/>
          <w:b/>
          <w:color w:val="auto"/>
          <w:spacing w:val="1"/>
          <w:w w:val="99"/>
          <w:kern w:val="0"/>
          <w:sz w:val="21"/>
          <w:szCs w:val="21"/>
          <w:highlight w:val="none"/>
        </w:rPr>
      </w:pPr>
    </w:p>
    <w:bookmarkEnd w:id="2"/>
    <w:p>
      <w:pPr>
        <w:widowControl/>
        <w:adjustRightInd w:val="0"/>
        <w:spacing w:line="360" w:lineRule="auto"/>
        <w:jc w:val="left"/>
        <w:rPr>
          <w:rFonts w:hint="eastAsia"/>
          <w:b/>
          <w:bCs/>
          <w:color w:val="auto"/>
          <w:sz w:val="24"/>
          <w:highlight w:val="none"/>
        </w:rPr>
      </w:pPr>
      <w:bookmarkStart w:id="7" w:name="_Toc15581_WPSOffice_Level2"/>
      <w:bookmarkStart w:id="8" w:name="_Toc17228_WPSOffice_Level2"/>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rFonts w:hint="eastAsia"/>
          <w:b/>
          <w:bCs/>
          <w:color w:val="auto"/>
          <w:sz w:val="24"/>
          <w:highlight w:val="none"/>
        </w:rPr>
      </w:pPr>
    </w:p>
    <w:p>
      <w:pPr>
        <w:widowControl/>
        <w:adjustRightInd w:val="0"/>
        <w:spacing w:line="360" w:lineRule="auto"/>
        <w:jc w:val="left"/>
        <w:rPr>
          <w:b/>
          <w:bCs/>
          <w:color w:val="auto"/>
          <w:sz w:val="24"/>
          <w:highlight w:val="none"/>
        </w:rPr>
      </w:pPr>
      <w:r>
        <w:rPr>
          <w:rFonts w:hint="eastAsia"/>
          <w:b/>
          <w:bCs/>
          <w:color w:val="auto"/>
          <w:sz w:val="24"/>
          <w:highlight w:val="none"/>
        </w:rPr>
        <w:t>九、重要事项时间地点一览表</w:t>
      </w:r>
    </w:p>
    <w:p>
      <w:pPr>
        <w:widowControl/>
        <w:spacing w:before="73" w:after="73" w:line="411" w:lineRule="atLeast"/>
        <w:jc w:val="center"/>
        <w:rPr>
          <w:rFonts w:hint="eastAsia" w:ascii="宋体" w:hAnsi="宋体" w:cs="宋体"/>
          <w:b/>
          <w:bCs/>
          <w:color w:val="auto"/>
          <w:kern w:val="0"/>
          <w:highlight w:val="none"/>
        </w:rPr>
      </w:pPr>
      <w:r>
        <w:rPr>
          <w:rFonts w:hint="eastAsia" w:ascii="宋体" w:hAnsi="宋体" w:cs="宋体"/>
          <w:b/>
          <w:bCs/>
          <w:color w:val="auto"/>
          <w:kern w:val="0"/>
          <w:highlight w:val="none"/>
        </w:rPr>
        <w:t>重要事项时间地点一览表</w:t>
      </w:r>
    </w:p>
    <w:tbl>
      <w:tblPr>
        <w:tblStyle w:val="23"/>
        <w:tblW w:w="9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5"/>
        <w:gridCol w:w="1543"/>
        <w:gridCol w:w="7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5" w:hRule="atLeast"/>
          <w:jc w:val="center"/>
        </w:trPr>
        <w:tc>
          <w:tcPr>
            <w:tcW w:w="605" w:type="dxa"/>
            <w:tcBorders>
              <w:top w:val="single" w:color="080000" w:sz="6" w:space="0"/>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2"/>
                <w:szCs w:val="22"/>
                <w:highlight w:val="none"/>
              </w:rPr>
            </w:pPr>
            <w:r>
              <w:rPr>
                <w:rFonts w:hint="default" w:ascii="Times New Roman" w:hAnsi="Times New Roman" w:eastAsia="宋体" w:cs="Times New Roman"/>
                <w:color w:val="auto"/>
                <w:sz w:val="22"/>
                <w:szCs w:val="22"/>
                <w:highlight w:val="none"/>
              </w:rPr>
              <w:t>1</w:t>
            </w:r>
          </w:p>
        </w:tc>
        <w:tc>
          <w:tcPr>
            <w:tcW w:w="1543" w:type="dxa"/>
            <w:tcBorders>
              <w:top w:val="single" w:color="080000" w:sz="6" w:space="0"/>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2"/>
                <w:szCs w:val="22"/>
                <w:highlight w:val="none"/>
              </w:rPr>
            </w:pPr>
            <w:r>
              <w:rPr>
                <w:rFonts w:hint="eastAsia" w:ascii="宋体" w:hAnsi="宋体" w:eastAsia="宋体" w:cs="宋体"/>
                <w:color w:val="auto"/>
                <w:sz w:val="22"/>
                <w:szCs w:val="22"/>
                <w:highlight w:val="none"/>
              </w:rPr>
              <w:t>招标公告</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2"/>
                <w:szCs w:val="22"/>
                <w:highlight w:val="none"/>
              </w:rPr>
            </w:pPr>
            <w:r>
              <w:rPr>
                <w:rFonts w:hint="eastAsia" w:ascii="宋体" w:hAnsi="宋体" w:eastAsia="宋体" w:cs="宋体"/>
                <w:color w:val="auto"/>
                <w:sz w:val="22"/>
                <w:szCs w:val="22"/>
                <w:highlight w:val="none"/>
              </w:rPr>
              <w:t>发布时间</w:t>
            </w:r>
            <w:r>
              <w:rPr>
                <w:rFonts w:hint="default" w:ascii="Times New Roman" w:hAnsi="Times New Roman" w:eastAsia="宋体" w:cs="Times New Roman"/>
                <w:color w:val="auto"/>
                <w:sz w:val="22"/>
                <w:szCs w:val="22"/>
                <w:highlight w:val="none"/>
              </w:rPr>
              <w:t> </w:t>
            </w:r>
          </w:p>
        </w:tc>
        <w:tc>
          <w:tcPr>
            <w:tcW w:w="7511" w:type="dxa"/>
            <w:tcBorders>
              <w:top w:val="single" w:color="080000" w:sz="6" w:space="0"/>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2"/>
                <w:szCs w:val="22"/>
                <w:highlight w:val="none"/>
              </w:rPr>
            </w:pP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10</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18</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00 </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9"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2</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获取招标文件截止时间</w:t>
            </w:r>
            <w:r>
              <w:rPr>
                <w:rFonts w:hint="default" w:ascii="Times New Roman" w:hAnsi="Times New Roman" w:eastAsia="宋体" w:cs="Times New Roman"/>
                <w:color w:val="auto"/>
                <w:sz w:val="22"/>
                <w:szCs w:val="22"/>
                <w:highlight w:val="none"/>
              </w:rPr>
              <w:t> </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31</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3</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网上提问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截止时间</w:t>
            </w:r>
            <w:r>
              <w:rPr>
                <w:rFonts w:hint="default" w:ascii="Times New Roman" w:hAnsi="Times New Roman" w:eastAsia="宋体" w:cs="Times New Roman"/>
                <w:color w:val="auto"/>
                <w:sz w:val="22"/>
                <w:szCs w:val="22"/>
                <w:highlight w:val="none"/>
              </w:rPr>
              <w:t> </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21</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16</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00 </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4</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网上答疑</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时间</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21</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16</w:t>
            </w:r>
            <w:r>
              <w:rPr>
                <w:rFonts w:hint="eastAsia" w:ascii="宋体" w:hAnsi="宋体" w:eastAsia="宋体" w:cs="宋体"/>
                <w:color w:val="auto"/>
                <w:sz w:val="22"/>
                <w:szCs w:val="22"/>
                <w:highlight w:val="none"/>
              </w:rPr>
              <w:t>时</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lang w:val="en-US" w:eastAsia="zh-CN"/>
              </w:rPr>
              <w:t xml:space="preserve">0 </w:t>
            </w:r>
            <w:r>
              <w:rPr>
                <w:rFonts w:hint="eastAsia" w:ascii="宋体" w:hAnsi="宋体" w:eastAsia="宋体" w:cs="宋体"/>
                <w:color w:val="auto"/>
                <w:sz w:val="22"/>
                <w:szCs w:val="22"/>
                <w:highlight w:val="none"/>
              </w:rPr>
              <w:t>分至</w:t>
            </w: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24</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16</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00 </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8"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5</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投标保证缴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纳截止时间</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ascii="宋体" w:hAnsi="宋体" w:eastAsia="宋体" w:cs="宋体"/>
                <w:color w:val="auto"/>
                <w:sz w:val="22"/>
                <w:szCs w:val="22"/>
                <w:highlight w:val="none"/>
              </w:rPr>
              <w:t>投标保证金到账截止时间：</w:t>
            </w: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ascii="宋体" w:hAnsi="宋体" w:eastAsia="宋体" w:cs="宋体"/>
                <w:color w:val="auto"/>
                <w:sz w:val="22"/>
                <w:szCs w:val="22"/>
                <w:highlight w:val="none"/>
              </w:rPr>
              <w:t>投标保证担保上传截止时间：</w:t>
            </w: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ascii="宋体" w:hAnsi="宋体" w:eastAsia="宋体" w:cs="宋体"/>
                <w:color w:val="auto"/>
                <w:sz w:val="22"/>
                <w:szCs w:val="22"/>
                <w:highlight w:val="none"/>
              </w:rPr>
              <w:t>投标保证保险投保截止时间：</w:t>
            </w: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6</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电子投标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截止时间</w:t>
            </w:r>
            <w:r>
              <w:rPr>
                <w:rFonts w:hint="default" w:ascii="Times New Roman" w:hAnsi="Times New Roman" w:eastAsia="宋体" w:cs="Times New Roman"/>
                <w:color w:val="auto"/>
                <w:sz w:val="22"/>
                <w:szCs w:val="22"/>
                <w:highlight w:val="none"/>
              </w:rPr>
              <w:t> </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31</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8"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7</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相关评审资料原件（如有）递交时间</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color w:val="auto"/>
                <w:sz w:val="21"/>
                <w:szCs w:val="21"/>
                <w:highlight w:val="none"/>
              </w:rPr>
            </w:pP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31</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w:t>
            </w:r>
            <w:r>
              <w:rPr>
                <w:rFonts w:hint="eastAsia" w:cs="宋体"/>
                <w:color w:val="auto"/>
                <w:sz w:val="22"/>
                <w:szCs w:val="22"/>
                <w:highlight w:val="none"/>
                <w:u w:val="single"/>
                <w:lang w:val="en-US" w:eastAsia="zh-CN"/>
              </w:rPr>
              <w:t>00</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分至</w:t>
            </w: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31</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8"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8</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相关评审资料原件（如有）递交地点</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递交场所：韶关市公共资源交易中心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地址：广东省韶关市武江区西联镇,具体房间号以当日现场通知为准。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jc w:val="center"/>
        </w:trPr>
        <w:tc>
          <w:tcPr>
            <w:tcW w:w="605" w:type="dxa"/>
            <w:tcBorders>
              <w:top w:val="nil"/>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9</w:t>
            </w:r>
          </w:p>
        </w:tc>
        <w:tc>
          <w:tcPr>
            <w:tcW w:w="1543"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开标时间</w:t>
            </w:r>
            <w:r>
              <w:rPr>
                <w:rFonts w:hint="default" w:ascii="Times New Roman" w:hAnsi="Times New Roman" w:eastAsia="宋体" w:cs="Times New Roman"/>
                <w:color w:val="auto"/>
                <w:sz w:val="22"/>
                <w:szCs w:val="22"/>
                <w:highlight w:val="none"/>
              </w:rPr>
              <w:t> </w:t>
            </w:r>
          </w:p>
        </w:tc>
        <w:tc>
          <w:tcPr>
            <w:tcW w:w="7511" w:type="dxa"/>
            <w:tcBorders>
              <w:top w:val="nil"/>
              <w:left w:val="nil"/>
              <w:bottom w:val="single" w:color="080000" w:sz="6"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rFonts w:hint="eastAsia" w:ascii="宋体" w:hAnsi="宋体" w:eastAsia="宋体" w:cs="宋体"/>
                <w:color w:val="auto"/>
                <w:kern w:val="0"/>
                <w:sz w:val="22"/>
                <w:szCs w:val="22"/>
                <w:highlight w:val="none"/>
                <w:lang w:val="en-US" w:eastAsia="zh-CN" w:bidi="ar-SA"/>
              </w:rPr>
            </w:pPr>
            <w:r>
              <w:rPr>
                <w:rFonts w:hint="eastAsia" w:eastAsia="宋体" w:cs="宋体"/>
                <w:color w:val="auto"/>
                <w:sz w:val="22"/>
                <w:szCs w:val="22"/>
                <w:highlight w:val="none"/>
                <w:u w:val="single"/>
                <w:lang w:eastAsia="zh-CN"/>
              </w:rPr>
              <w:t>202</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cs="宋体"/>
                <w:color w:val="auto"/>
                <w:sz w:val="22"/>
                <w:szCs w:val="22"/>
                <w:highlight w:val="none"/>
                <w:u w:val="single"/>
                <w:lang w:val="en-US" w:eastAsia="zh-CN"/>
              </w:rPr>
              <w:t>7</w:t>
            </w:r>
            <w:r>
              <w:rPr>
                <w:rFonts w:hint="eastAsia" w:ascii="宋体" w:hAnsi="宋体" w:eastAsia="宋体" w:cs="宋体"/>
                <w:color w:val="auto"/>
                <w:sz w:val="22"/>
                <w:szCs w:val="22"/>
                <w:highlight w:val="none"/>
              </w:rPr>
              <w:t>月</w:t>
            </w:r>
            <w:r>
              <w:rPr>
                <w:rFonts w:hint="eastAsia" w:cs="宋体"/>
                <w:color w:val="auto"/>
                <w:sz w:val="22"/>
                <w:szCs w:val="22"/>
                <w:highlight w:val="none"/>
                <w:u w:val="single"/>
                <w:lang w:val="en-US" w:eastAsia="zh-CN"/>
              </w:rPr>
              <w:t>31</w:t>
            </w:r>
            <w:r>
              <w:rPr>
                <w:rFonts w:hint="eastAsia" w:ascii="宋体" w:hAnsi="宋体" w:eastAsia="宋体" w:cs="宋体"/>
                <w:color w:val="auto"/>
                <w:sz w:val="22"/>
                <w:szCs w:val="22"/>
                <w:highlight w:val="none"/>
              </w:rPr>
              <w:t>日</w:t>
            </w:r>
            <w:r>
              <w:rPr>
                <w:rFonts w:hint="eastAsia"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w:t>
            </w:r>
            <w:r>
              <w:rPr>
                <w:rFonts w:hint="eastAsia" w:cs="宋体"/>
                <w:color w:val="auto"/>
                <w:sz w:val="22"/>
                <w:szCs w:val="22"/>
                <w:highlight w:val="none"/>
                <w:u w:val="single"/>
                <w:lang w:val="en-US" w:eastAsia="zh-CN"/>
              </w:rPr>
              <w:t>30</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3" w:hRule="atLeast"/>
          <w:jc w:val="center"/>
        </w:trPr>
        <w:tc>
          <w:tcPr>
            <w:tcW w:w="605" w:type="dxa"/>
            <w:tcBorders>
              <w:top w:val="nil"/>
              <w:left w:val="single" w:color="080000" w:sz="6" w:space="0"/>
              <w:bottom w:val="single" w:color="auto" w:sz="4"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2"/>
                <w:szCs w:val="22"/>
                <w:highlight w:val="none"/>
              </w:rPr>
              <w:t>10</w:t>
            </w:r>
          </w:p>
        </w:tc>
        <w:tc>
          <w:tcPr>
            <w:tcW w:w="1543" w:type="dxa"/>
            <w:tcBorders>
              <w:top w:val="nil"/>
              <w:left w:val="nil"/>
              <w:bottom w:val="single" w:color="auto" w:sz="4" w:space="0"/>
              <w:right w:val="single" w:color="080000" w:sz="6" w:space="0"/>
            </w:tcBorders>
            <w:noWrap w:val="0"/>
            <w:tcMar>
              <w:top w:w="0" w:type="dxa"/>
              <w:left w:w="0" w:type="dxa"/>
              <w:bottom w:w="0" w:type="dxa"/>
              <w:right w:w="0" w:type="dxa"/>
            </w:tcMar>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color w:val="auto"/>
                <w:sz w:val="21"/>
                <w:szCs w:val="21"/>
                <w:highlight w:val="none"/>
              </w:rPr>
            </w:pPr>
            <w:r>
              <w:rPr>
                <w:rFonts w:hint="eastAsia" w:ascii="宋体" w:hAnsi="宋体" w:eastAsia="宋体" w:cs="宋体"/>
                <w:color w:val="auto"/>
                <w:sz w:val="22"/>
                <w:szCs w:val="22"/>
                <w:highlight w:val="none"/>
              </w:rPr>
              <w:t>开标地点</w:t>
            </w:r>
            <w:r>
              <w:rPr>
                <w:rFonts w:hint="default" w:ascii="Times New Roman" w:hAnsi="Times New Roman" w:eastAsia="宋体" w:cs="Times New Roman"/>
                <w:color w:val="auto"/>
                <w:sz w:val="22"/>
                <w:szCs w:val="22"/>
                <w:highlight w:val="none"/>
              </w:rPr>
              <w:t> </w:t>
            </w:r>
          </w:p>
        </w:tc>
        <w:tc>
          <w:tcPr>
            <w:tcW w:w="7511" w:type="dxa"/>
            <w:tcBorders>
              <w:top w:val="nil"/>
              <w:left w:val="nil"/>
              <w:bottom w:val="single" w:color="auto" w:sz="4" w:space="0"/>
              <w:right w:val="single" w:color="080000" w:sz="6" w:space="0"/>
            </w:tcBorders>
            <w:noWrap w:val="0"/>
            <w:tcMar>
              <w:top w:w="0" w:type="dxa"/>
              <w:left w:w="0" w:type="dxa"/>
              <w:bottom w:w="0" w:type="dxa"/>
              <w:right w:w="0" w:type="dxa"/>
            </w:tcMar>
            <w:vAlign w:val="center"/>
          </w:tcPr>
          <w:p>
            <w:pPr>
              <w:pStyle w:val="19"/>
              <w:wordWrap w:val="0"/>
              <w:adjustRightInd w:val="0"/>
              <w:snapToGrid w:val="0"/>
              <w:spacing w:line="240" w:lineRule="auto"/>
              <w:ind w:firstLine="220" w:firstLineChars="1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开标场所：韶关市公共资源交易中心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20" w:firstLineChars="1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地址：广东省韶关市武江区西联镇,具体房间号以当日现场通知为准。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5" w:hRule="atLeast"/>
          <w:jc w:val="center"/>
        </w:trPr>
        <w:tc>
          <w:tcPr>
            <w:tcW w:w="605" w:type="dxa"/>
            <w:tcBorders>
              <w:top w:val="single" w:color="auto" w:sz="4" w:space="0"/>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76"/>
              <w:wordWrap w:val="0"/>
              <w:adjustRightInd w:val="0"/>
              <w:snapToGrid w:val="0"/>
              <w:spacing w:line="24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11</w:t>
            </w:r>
          </w:p>
        </w:tc>
        <w:tc>
          <w:tcPr>
            <w:tcW w:w="1543" w:type="dxa"/>
            <w:tcBorders>
              <w:top w:val="single" w:color="auto" w:sz="4" w:space="0"/>
              <w:left w:val="single" w:color="080000" w:sz="6" w:space="0"/>
              <w:bottom w:val="single" w:color="080000" w:sz="6" w:space="0"/>
              <w:right w:val="single" w:color="080000" w:sz="6" w:space="0"/>
            </w:tcBorders>
            <w:noWrap w:val="0"/>
            <w:tcMar>
              <w:top w:w="0" w:type="dxa"/>
              <w:left w:w="0" w:type="dxa"/>
              <w:bottom w:w="0" w:type="dxa"/>
              <w:right w:w="0" w:type="dxa"/>
            </w:tcMar>
            <w:vAlign w:val="center"/>
          </w:tcPr>
          <w:p>
            <w:pPr>
              <w:pStyle w:val="76"/>
              <w:wordWrap w:val="0"/>
              <w:adjustRightInd w:val="0"/>
              <w:snapToGrid w:val="0"/>
              <w:spacing w:line="24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其他</w:t>
            </w:r>
          </w:p>
        </w:tc>
        <w:tc>
          <w:tcPr>
            <w:tcW w:w="7511" w:type="dxa"/>
            <w:tcBorders>
              <w:top w:val="single" w:color="auto" w:sz="4" w:space="0"/>
              <w:left w:val="nil"/>
              <w:bottom w:val="single" w:color="080000" w:sz="6" w:space="0"/>
              <w:right w:val="single" w:color="080000" w:sz="6" w:space="0"/>
            </w:tcBorders>
            <w:noWrap w:val="0"/>
            <w:tcMar>
              <w:top w:w="0" w:type="dxa"/>
              <w:left w:w="0" w:type="dxa"/>
              <w:bottom w:w="0" w:type="dxa"/>
              <w:right w:w="0" w:type="dxa"/>
            </w:tcMar>
            <w:vAlign w:val="center"/>
          </w:tcPr>
          <w:p>
            <w:pPr>
              <w:pStyle w:val="76"/>
              <w:wordWrap w:val="0"/>
              <w:adjustRightInd w:val="0"/>
              <w:snapToGrid w:val="0"/>
              <w:spacing w:line="240" w:lineRule="auto"/>
              <w:ind w:firstLine="220" w:firstLineChars="1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pPr>
        <w:widowControl/>
        <w:spacing w:before="73" w:after="73" w:line="411" w:lineRule="atLeast"/>
        <w:jc w:val="center"/>
        <w:rPr>
          <w:rFonts w:hint="eastAsia" w:ascii="宋体" w:hAnsi="宋体" w:cs="宋体"/>
          <w:b/>
          <w:bCs/>
          <w:color w:val="auto"/>
          <w:kern w:val="0"/>
          <w:highlight w:val="none"/>
        </w:rPr>
      </w:pPr>
    </w:p>
    <w:bookmarkEnd w:id="7"/>
    <w:bookmarkEnd w:id="8"/>
    <w:p>
      <w:pPr>
        <w:pStyle w:val="2"/>
        <w:jc w:val="center"/>
        <w:outlineLvl w:val="0"/>
        <w:rPr>
          <w:rFonts w:ascii="Cambria" w:hAnsi="Cambria"/>
          <w:b/>
          <w:bCs/>
          <w:color w:val="auto"/>
          <w:sz w:val="32"/>
          <w:szCs w:val="32"/>
          <w:highlight w:val="none"/>
        </w:rPr>
      </w:pPr>
      <w:bookmarkStart w:id="9" w:name="_Toc257703330"/>
      <w:bookmarkStart w:id="10" w:name="_Toc111559170"/>
      <w:bookmarkStart w:id="11" w:name="_Toc57936609"/>
      <w:bookmarkStart w:id="12" w:name="_Toc56802824"/>
      <w:bookmarkStart w:id="13" w:name="_Toc78435498"/>
      <w:bookmarkStart w:id="14" w:name="_Toc1812"/>
      <w:bookmarkStart w:id="15" w:name="_Toc57936278"/>
      <w:bookmarkStart w:id="16" w:name="_Toc78435684"/>
      <w:bookmarkStart w:id="17" w:name="_Toc70571573"/>
      <w:bookmarkStart w:id="18" w:name="_Toc57939168"/>
      <w:bookmarkStart w:id="19" w:name="_Toc56802695"/>
      <w:bookmarkStart w:id="20" w:name="_Toc15568"/>
      <w:r>
        <w:rPr>
          <w:rFonts w:hint="eastAsia" w:ascii="Cambria" w:hAnsi="Cambria"/>
          <w:b/>
          <w:bCs/>
          <w:color w:val="auto"/>
          <w:sz w:val="32"/>
          <w:szCs w:val="32"/>
          <w:highlight w:val="none"/>
        </w:rPr>
        <w:t>第二章、投标人须知</w:t>
      </w:r>
      <w:bookmarkEnd w:id="9"/>
      <w:bookmarkEnd w:id="10"/>
      <w:bookmarkEnd w:id="11"/>
      <w:bookmarkEnd w:id="12"/>
      <w:bookmarkEnd w:id="13"/>
      <w:bookmarkEnd w:id="14"/>
      <w:bookmarkEnd w:id="15"/>
      <w:bookmarkEnd w:id="16"/>
      <w:bookmarkEnd w:id="17"/>
      <w:bookmarkEnd w:id="18"/>
      <w:bookmarkEnd w:id="19"/>
      <w:bookmarkEnd w:id="20"/>
    </w:p>
    <w:p>
      <w:pPr>
        <w:spacing w:line="360" w:lineRule="auto"/>
        <w:outlineLvl w:val="1"/>
        <w:rPr>
          <w:rFonts w:ascii="宋体" w:hAnsi="宋体" w:cs="宋体"/>
          <w:b/>
          <w:bCs/>
          <w:color w:val="auto"/>
          <w:sz w:val="21"/>
          <w:szCs w:val="21"/>
          <w:highlight w:val="none"/>
        </w:rPr>
      </w:pPr>
      <w:bookmarkStart w:id="21" w:name="_Toc78435499"/>
      <w:bookmarkStart w:id="22" w:name="_Toc57939169"/>
      <w:bookmarkStart w:id="23" w:name="_Toc21739"/>
      <w:bookmarkStart w:id="24" w:name="_Toc78435685"/>
      <w:bookmarkStart w:id="25" w:name="_Toc21265987"/>
      <w:bookmarkStart w:id="26" w:name="_Toc56802825"/>
      <w:bookmarkStart w:id="27" w:name="_Toc111559171"/>
      <w:bookmarkStart w:id="28" w:name="_Toc257703331"/>
      <w:bookmarkStart w:id="29" w:name="_Toc70571574"/>
      <w:bookmarkStart w:id="30" w:name="_Toc469471986"/>
      <w:r>
        <w:rPr>
          <w:rFonts w:hint="eastAsia" w:ascii="宋体" w:hAnsi="宋体" w:cs="宋体"/>
          <w:b/>
          <w:bCs/>
          <w:color w:val="auto"/>
          <w:sz w:val="21"/>
          <w:szCs w:val="21"/>
          <w:highlight w:val="none"/>
        </w:rPr>
        <w:t>1.1投标人须知前附表</w:t>
      </w:r>
      <w:bookmarkEnd w:id="21"/>
      <w:bookmarkEnd w:id="22"/>
      <w:bookmarkEnd w:id="23"/>
      <w:bookmarkEnd w:id="24"/>
      <w:bookmarkEnd w:id="25"/>
      <w:bookmarkEnd w:id="26"/>
      <w:bookmarkEnd w:id="27"/>
      <w:bookmarkEnd w:id="28"/>
      <w:bookmarkEnd w:id="29"/>
      <w:bookmarkEnd w:id="30"/>
    </w:p>
    <w:tbl>
      <w:tblPr>
        <w:tblStyle w:val="23"/>
        <w:tblW w:w="9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2012"/>
        <w:gridCol w:w="6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012" w:type="dxa"/>
            <w:vAlign w:val="center"/>
          </w:tcPr>
          <w:p>
            <w:pPr>
              <w:pStyle w:val="71"/>
              <w:spacing w:before="74"/>
              <w:ind w:left="147" w:right="13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737" w:type="dxa"/>
            <w:vAlign w:val="center"/>
          </w:tcPr>
          <w:p>
            <w:pPr>
              <w:pStyle w:val="71"/>
              <w:spacing w:before="74"/>
              <w:ind w:left="1686" w:right="1676"/>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012" w:type="dxa"/>
            <w:vAlign w:val="center"/>
          </w:tcPr>
          <w:p>
            <w:pPr>
              <w:pStyle w:val="71"/>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737" w:type="dxa"/>
            <w:vAlign w:val="center"/>
          </w:tcPr>
          <w:p>
            <w:pPr>
              <w:spacing w:line="360" w:lineRule="exact"/>
              <w:ind w:firstLine="214" w:firstLineChars="100"/>
              <w:jc w:val="left"/>
              <w:rPr>
                <w:rFonts w:hint="eastAsia" w:ascii="宋体" w:hAnsi="宋体" w:eastAsia="宋体" w:cs="宋体"/>
                <w:color w:val="auto"/>
                <w:sz w:val="21"/>
                <w:szCs w:val="21"/>
                <w:highlight w:val="none"/>
                <w:lang w:eastAsia="zh-CN"/>
              </w:rPr>
            </w:pPr>
            <w:r>
              <w:rPr>
                <w:rFonts w:hint="eastAsia" w:ascii="宋体" w:hAnsi="宋体" w:cs="宋体"/>
                <w:color w:val="auto"/>
                <w:spacing w:val="2"/>
                <w:kern w:val="0"/>
                <w:sz w:val="21"/>
                <w:szCs w:val="21"/>
                <w:highlight w:val="none"/>
                <w:lang w:eastAsia="zh-CN"/>
              </w:rPr>
              <w:t>韶关市武江区西河镇人民政府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012" w:type="dxa"/>
            <w:vAlign w:val="center"/>
          </w:tcPr>
          <w:p>
            <w:pPr>
              <w:pStyle w:val="71"/>
              <w:spacing w:line="360" w:lineRule="exact"/>
              <w:ind w:right="13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737" w:type="dxa"/>
            <w:vAlign w:val="center"/>
          </w:tcPr>
          <w:p>
            <w:pPr>
              <w:spacing w:line="360" w:lineRule="exact"/>
              <w:ind w:firstLine="210" w:firstLineChars="1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韶关众信项目管理有限公司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012" w:type="dxa"/>
            <w:vAlign w:val="center"/>
          </w:tcPr>
          <w:p>
            <w:pPr>
              <w:pStyle w:val="71"/>
              <w:spacing w:line="360" w:lineRule="exact"/>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37" w:type="dxa"/>
            <w:vAlign w:val="center"/>
          </w:tcPr>
          <w:p>
            <w:pPr>
              <w:pStyle w:val="71"/>
              <w:spacing w:line="360" w:lineRule="exact"/>
              <w:ind w:firstLine="210" w:firstLineChars="1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韶关市武江区西河镇2025年农业产业基础设施建设项目</w:t>
            </w:r>
            <w:r>
              <w:rPr>
                <w:rFonts w:hint="eastAsia" w:ascii="宋体" w:hAnsi="宋体" w:eastAsia="宋体" w:cs="宋体"/>
                <w:color w:val="auto"/>
                <w:sz w:val="21"/>
                <w:szCs w:val="21"/>
                <w:highlight w:val="none"/>
                <w:lang w:val="en-US" w:eastAsia="zh-CN"/>
              </w:rPr>
              <w:t>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012" w:type="dxa"/>
            <w:vAlign w:val="center"/>
          </w:tcPr>
          <w:p>
            <w:pPr>
              <w:pStyle w:val="71"/>
              <w:spacing w:line="360" w:lineRule="exact"/>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韶关市武江区西河镇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jc w:val="center"/>
        </w:trPr>
        <w:tc>
          <w:tcPr>
            <w:tcW w:w="990" w:type="dxa"/>
            <w:vAlign w:val="center"/>
          </w:tcPr>
          <w:p>
            <w:pPr>
              <w:pStyle w:val="71"/>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012" w:type="dxa"/>
            <w:vAlign w:val="center"/>
          </w:tcPr>
          <w:p>
            <w:pPr>
              <w:pStyle w:val="71"/>
              <w:spacing w:line="360" w:lineRule="exact"/>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6737" w:type="dxa"/>
            <w:vAlign w:val="center"/>
          </w:tcPr>
          <w:p>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rPr>
              <w:t>建设任务土地翻耕平整180亩，新修机耕路、生产道路1公里，新建灌溉水渠1.2公里，修建泵房1座，深水井1个，新建挡土墙0.5公里，客土100亩（30cm厚）等。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2012" w:type="dxa"/>
            <w:vAlign w:val="center"/>
          </w:tcPr>
          <w:p>
            <w:pPr>
              <w:pStyle w:val="71"/>
              <w:spacing w:line="360" w:lineRule="exact"/>
              <w:ind w:left="147" w:right="14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项目施工预计开工日期和建设周期</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012" w:type="dxa"/>
            <w:vAlign w:val="center"/>
          </w:tcPr>
          <w:p>
            <w:pPr>
              <w:pStyle w:val="71"/>
              <w:spacing w:line="360" w:lineRule="exact"/>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6737" w:type="dxa"/>
            <w:vAlign w:val="center"/>
          </w:tcPr>
          <w:p>
            <w:pPr>
              <w:pStyle w:val="71"/>
              <w:spacing w:line="360" w:lineRule="exact"/>
              <w:ind w:firstLine="210" w:firstLineChars="10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全部</w:t>
            </w:r>
            <w:r>
              <w:rPr>
                <w:rFonts w:hint="eastAsia" w:ascii="宋体" w:hAnsi="宋体" w:eastAsia="宋体" w:cs="宋体"/>
                <w:color w:val="auto"/>
                <w:kern w:val="2"/>
                <w:sz w:val="21"/>
                <w:szCs w:val="21"/>
                <w:highlight w:val="none"/>
                <w:lang w:eastAsia="zh-CN"/>
              </w:rPr>
              <w:t>区财政统筹解决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012" w:type="dxa"/>
            <w:vAlign w:val="center"/>
          </w:tcPr>
          <w:p>
            <w:pPr>
              <w:pStyle w:val="71"/>
              <w:spacing w:line="360" w:lineRule="exact"/>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12" w:type="dxa"/>
            <w:vAlign w:val="center"/>
          </w:tcPr>
          <w:p>
            <w:pPr>
              <w:pStyle w:val="71"/>
              <w:spacing w:before="142" w:line="360" w:lineRule="exact"/>
              <w:ind w:left="147" w:right="14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737" w:type="dxa"/>
            <w:vAlign w:val="center"/>
          </w:tcPr>
          <w:p>
            <w:pPr>
              <w:spacing w:line="42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施工全过程监理（含施工准备阶段、施工阶段、工程竣工结算阶段和保修阶段监理），直至竣工验收完成止的服务。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p>
        </w:tc>
        <w:tc>
          <w:tcPr>
            <w:tcW w:w="2012" w:type="dxa"/>
            <w:vAlign w:val="center"/>
          </w:tcPr>
          <w:p>
            <w:pPr>
              <w:pStyle w:val="71"/>
              <w:spacing w:line="360" w:lineRule="exact"/>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监理服务期限</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施工项目实施全过程监理，从开工始直至竣工验收完成止。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012" w:type="dxa"/>
            <w:vAlign w:val="center"/>
          </w:tcPr>
          <w:p>
            <w:pPr>
              <w:pStyle w:val="71"/>
              <w:spacing w:line="360" w:lineRule="exact"/>
              <w:ind w:left="147" w:right="13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012" w:type="dxa"/>
            <w:vAlign w:val="center"/>
          </w:tcPr>
          <w:p>
            <w:pPr>
              <w:pStyle w:val="71"/>
              <w:ind w:right="14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投标人资格要求</w:t>
            </w:r>
          </w:p>
        </w:tc>
        <w:tc>
          <w:tcPr>
            <w:tcW w:w="6737" w:type="dxa"/>
            <w:vAlign w:val="center"/>
          </w:tcPr>
          <w:p>
            <w:pPr>
              <w:widowControl/>
              <w:spacing w:line="4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（1）投标人须具备以下资质</w:t>
            </w:r>
            <w:r>
              <w:rPr>
                <w:rFonts w:hint="eastAsia" w:ascii="宋体" w:hAnsi="宋体" w:cs="宋体"/>
                <w:color w:val="auto"/>
                <w:sz w:val="21"/>
                <w:szCs w:val="21"/>
                <w:highlight w:val="none"/>
                <w:lang w:val="en-US" w:eastAsia="zh-CN"/>
              </w:rPr>
              <w:t>之一</w:t>
            </w:r>
            <w:bookmarkStart w:id="268" w:name="_GoBack"/>
            <w:bookmarkEnd w:id="268"/>
            <w:r>
              <w:rPr>
                <w:rFonts w:hint="eastAsia" w:ascii="宋体" w:hAnsi="宋体" w:cs="宋体"/>
                <w:color w:val="auto"/>
                <w:sz w:val="21"/>
                <w:szCs w:val="21"/>
                <w:highlight w:val="none"/>
              </w:rPr>
              <w:t>：①具有工程监理综合资质；②具有水利水电专业监理丙级以上（含丙级）资质。</w:t>
            </w:r>
          </w:p>
          <w:p>
            <w:pPr>
              <w:widowControl/>
              <w:spacing w:line="4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（2）具有有效的营业执照。</w:t>
            </w:r>
          </w:p>
          <w:p>
            <w:pPr>
              <w:widowControl/>
              <w:spacing w:line="4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（3）拟派总监理工程师需具备水利工程专业注册监理工程师，应持有国家住建部印发的有效注册证书，其担任总监理工程师职务的其他在施（包括已中标未开工、已开工未竣工）建设工程项目不得超过2个。</w:t>
            </w:r>
          </w:p>
          <w:p>
            <w:pPr>
              <w:widowControl/>
              <w:spacing w:line="4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拟派总监理工程师现阶段有担任其他在建工程项目总监理工程师职务的，须得到任职项目建设单位书面同意后方可担任本招标项目总监理工程师。</w:t>
            </w:r>
          </w:p>
          <w:p>
            <w:pPr>
              <w:widowControl/>
              <w:numPr>
                <w:ilvl w:val="0"/>
                <w:numId w:val="2"/>
              </w:numPr>
              <w:spacing w:line="460" w:lineRule="exact"/>
              <w:ind w:firstLine="420" w:firstLineChars="200"/>
              <w:jc w:val="left"/>
              <w:outlineLvl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投标人须在广东省水利建设市场信用信息平台（http://210.76.74.108/）或全国水利建设市场监管平台（https://scjg.mwr.gov.cn/#/home）完成信息录入手续，提供网页截图。   </w:t>
            </w:r>
          </w:p>
          <w:p>
            <w:pPr>
              <w:widowControl/>
              <w:numPr>
                <w:ilvl w:val="0"/>
                <w:numId w:val="2"/>
              </w:numPr>
              <w:spacing w:line="460" w:lineRule="exact"/>
              <w:ind w:firstLine="420" w:firstLineChars="200"/>
              <w:jc w:val="left"/>
              <w:outlineLvl w:val="2"/>
              <w:rPr>
                <w:rFonts w:ascii="宋体" w:hAnsi="宋体" w:cs="宋体"/>
                <w:color w:val="auto"/>
                <w:sz w:val="21"/>
                <w:szCs w:val="21"/>
                <w:highlight w:val="none"/>
              </w:rPr>
            </w:pPr>
            <w:r>
              <w:rPr>
                <w:rFonts w:hint="eastAsia" w:ascii="宋体" w:hAnsi="宋体" w:cs="宋体"/>
                <w:color w:val="auto"/>
                <w:sz w:val="21"/>
                <w:szCs w:val="21"/>
                <w:highlight w:val="none"/>
              </w:rPr>
              <w:t>本次招标不接受联合体投标。</w:t>
            </w:r>
          </w:p>
          <w:p>
            <w:pPr>
              <w:widowControl/>
              <w:shd w:val="clear" w:color="auto" w:fill="FFFFFF"/>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本次招标实行资格后审，资格审查的具体要求见招标文件，资格后审不合格的投标人的投标文件将按废标处理。</w:t>
            </w:r>
          </w:p>
          <w:p>
            <w:pPr>
              <w:widowControl/>
              <w:spacing w:line="4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012" w:type="dxa"/>
            <w:vAlign w:val="center"/>
          </w:tcPr>
          <w:p>
            <w:pPr>
              <w:pStyle w:val="71"/>
              <w:ind w:right="14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737" w:type="dxa"/>
            <w:vAlign w:val="center"/>
          </w:tcPr>
          <w:p>
            <w:pPr>
              <w:pStyle w:val="71"/>
              <w:ind w:firstLine="210" w:firstLineChars="1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不接受</w:t>
            </w:r>
          </w:p>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012" w:type="dxa"/>
            <w:vAlign w:val="center"/>
          </w:tcPr>
          <w:p>
            <w:pPr>
              <w:pStyle w:val="71"/>
              <w:ind w:left="145" w:right="14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投标人不得存在的其他情形</w:t>
            </w:r>
          </w:p>
        </w:tc>
        <w:tc>
          <w:tcPr>
            <w:tcW w:w="6737" w:type="dxa"/>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990"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1.5.2</w:t>
            </w:r>
          </w:p>
        </w:tc>
        <w:tc>
          <w:tcPr>
            <w:tcW w:w="2012" w:type="dxa"/>
            <w:vAlign w:val="center"/>
          </w:tcPr>
          <w:p>
            <w:pPr>
              <w:jc w:val="center"/>
              <w:rPr>
                <w:rFonts w:ascii="宋体" w:hAnsi="宋体" w:cs="宋体"/>
                <w:color w:val="auto"/>
                <w:spacing w:val="2"/>
                <w:kern w:val="0"/>
                <w:sz w:val="21"/>
                <w:szCs w:val="21"/>
                <w:highlight w:val="none"/>
              </w:rPr>
            </w:pPr>
            <w:r>
              <w:rPr>
                <w:rFonts w:hint="eastAsia" w:ascii="宋体" w:hAnsi="宋体" w:cs="宋体"/>
                <w:color w:val="auto"/>
                <w:spacing w:val="2"/>
                <w:kern w:val="0"/>
                <w:sz w:val="21"/>
                <w:szCs w:val="21"/>
                <w:highlight w:val="none"/>
              </w:rPr>
              <w:t>中标人须支付的其他费用</w:t>
            </w:r>
          </w:p>
        </w:tc>
        <w:tc>
          <w:tcPr>
            <w:tcW w:w="6737" w:type="dxa"/>
            <w:vAlign w:val="center"/>
          </w:tcPr>
          <w:p>
            <w:pPr>
              <w:ind w:firstLine="210" w:firstLineChars="100"/>
              <w:rPr>
                <w:rFonts w:ascii="宋体" w:hAnsi="宋体" w:cs="宋体"/>
                <w:color w:val="auto"/>
                <w:sz w:val="21"/>
                <w:szCs w:val="21"/>
                <w:highlight w:val="none"/>
              </w:rPr>
            </w:pPr>
            <w:r>
              <w:rPr>
                <w:rFonts w:hint="eastAsia" w:ascii="Times New Roman" w:hAnsi="Times New Roman" w:eastAsia="宋体" w:cs="Times New Roman"/>
                <w:color w:val="auto"/>
                <w:sz w:val="21"/>
                <w:szCs w:val="21"/>
                <w:highlight w:val="none"/>
                <w:lang w:eastAsia="zh-CN"/>
              </w:rPr>
              <w:t>招标代理费按《招标代理服务收费管理暂行办法》计价格[2002]1980号文计算，按标准收费收取，费用由中标单位支付。领取中标通知书前须向招标代理机构一次性支付招标代理服务费，方可领取中标通知书。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12" w:type="dxa"/>
            <w:vAlign w:val="center"/>
          </w:tcPr>
          <w:p>
            <w:pPr>
              <w:pStyle w:val="71"/>
              <w:ind w:right="14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737" w:type="dxa"/>
            <w:vAlign w:val="center"/>
          </w:tcPr>
          <w:p>
            <w:pPr>
              <w:pStyle w:val="71"/>
              <w:ind w:left="108"/>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不组织</w:t>
            </w:r>
          </w:p>
          <w:p>
            <w:pPr>
              <w:pStyle w:val="71"/>
              <w:ind w:left="108"/>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□组织，踏勘时间：/</w:t>
            </w:r>
          </w:p>
          <w:p>
            <w:pPr>
              <w:pStyle w:val="71"/>
              <w:ind w:left="108"/>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012" w:type="dxa"/>
            <w:vAlign w:val="center"/>
          </w:tcPr>
          <w:p>
            <w:pPr>
              <w:pStyle w:val="71"/>
              <w:spacing w:before="1"/>
              <w:ind w:right="14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737" w:type="dxa"/>
            <w:vAlign w:val="center"/>
          </w:tcPr>
          <w:p>
            <w:pPr>
              <w:pStyle w:val="71"/>
              <w:ind w:firstLine="210" w:firstLineChars="1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☑不召开</w:t>
            </w:r>
          </w:p>
          <w:p>
            <w:pPr>
              <w:pStyle w:val="71"/>
              <w:ind w:firstLine="210" w:firstLineChars="1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□召开，召开时间：/</w:t>
            </w:r>
          </w:p>
          <w:p>
            <w:pPr>
              <w:pStyle w:val="71"/>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Merge w:val="restart"/>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012" w:type="dxa"/>
            <w:vMerge w:val="restart"/>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投标人在投标预备会前提出问题</w:t>
            </w:r>
          </w:p>
        </w:tc>
        <w:tc>
          <w:tcPr>
            <w:tcW w:w="6737" w:type="dxa"/>
            <w:vAlign w:val="center"/>
          </w:tcPr>
          <w:p>
            <w:pPr>
              <w:pStyle w:val="71"/>
              <w:ind w:left="107"/>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Merge w:val="continue"/>
            <w:tcBorders>
              <w:top w:val="nil"/>
            </w:tcBorders>
            <w:vAlign w:val="center"/>
          </w:tcPr>
          <w:p>
            <w:pPr>
              <w:jc w:val="center"/>
              <w:rPr>
                <w:rFonts w:ascii="宋体" w:hAnsi="宋体" w:cs="宋体"/>
                <w:color w:val="auto"/>
                <w:sz w:val="21"/>
                <w:szCs w:val="21"/>
                <w:highlight w:val="none"/>
              </w:rPr>
            </w:pPr>
          </w:p>
        </w:tc>
        <w:tc>
          <w:tcPr>
            <w:tcW w:w="2012" w:type="dxa"/>
            <w:vMerge w:val="continue"/>
            <w:tcBorders>
              <w:top w:val="nil"/>
            </w:tcBorders>
            <w:vAlign w:val="center"/>
          </w:tcPr>
          <w:p>
            <w:pPr>
              <w:jc w:val="center"/>
              <w:rPr>
                <w:rFonts w:ascii="宋体" w:hAnsi="宋体" w:cs="宋体"/>
                <w:color w:val="auto"/>
                <w:sz w:val="21"/>
                <w:szCs w:val="21"/>
                <w:highlight w:val="none"/>
              </w:rPr>
            </w:pPr>
          </w:p>
        </w:tc>
        <w:tc>
          <w:tcPr>
            <w:tcW w:w="6737" w:type="dxa"/>
            <w:vAlign w:val="center"/>
          </w:tcPr>
          <w:p>
            <w:pPr>
              <w:pStyle w:val="71"/>
              <w:ind w:left="107"/>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6737" w:type="dxa"/>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招标人在建设工程交易系统【建设工程交易】—【招标答疑】栏目发布澄清、答疑。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jc w:val="center"/>
        </w:trPr>
        <w:tc>
          <w:tcPr>
            <w:tcW w:w="990" w:type="dxa"/>
            <w:vAlign w:val="center"/>
          </w:tcPr>
          <w:p>
            <w:pPr>
              <w:pStyle w:val="71"/>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2012" w:type="dxa"/>
            <w:vAlign w:val="center"/>
          </w:tcPr>
          <w:p>
            <w:pPr>
              <w:pStyle w:val="71"/>
              <w:spacing w:line="460" w:lineRule="exact"/>
              <w:ind w:right="14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6737" w:type="dxa"/>
            <w:vAlign w:val="center"/>
          </w:tcPr>
          <w:p>
            <w:pPr>
              <w:pStyle w:val="71"/>
              <w:numPr>
                <w:ilvl w:val="0"/>
                <w:numId w:val="3"/>
              </w:numPr>
              <w:autoSpaceDE w:val="0"/>
              <w:autoSpaceDN w:val="0"/>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投标文件的内容是否满足招标文件的基本要求。</w:t>
            </w:r>
          </w:p>
          <w:p>
            <w:pPr>
              <w:pStyle w:val="71"/>
              <w:numPr>
                <w:ilvl w:val="0"/>
                <w:numId w:val="3"/>
              </w:numPr>
              <w:autoSpaceDE w:val="0"/>
              <w:autoSpaceDN w:val="0"/>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投标保证金是否符合招标文件的要求。</w:t>
            </w:r>
          </w:p>
          <w:p>
            <w:pPr>
              <w:pStyle w:val="71"/>
              <w:numPr>
                <w:ilvl w:val="0"/>
                <w:numId w:val="3"/>
              </w:numPr>
              <w:autoSpaceDE w:val="0"/>
              <w:autoSpaceDN w:val="0"/>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投标文件中没有招标人不能接受的条件。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2012" w:type="dxa"/>
            <w:vAlign w:val="center"/>
          </w:tcPr>
          <w:p>
            <w:pPr>
              <w:pStyle w:val="71"/>
              <w:ind w:right="13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6737" w:type="dxa"/>
            <w:vAlign w:val="center"/>
          </w:tcPr>
          <w:p>
            <w:pPr>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sym w:font="Wingdings" w:char="00FE"/>
            </w:r>
            <w:r>
              <w:rPr>
                <w:rFonts w:hint="eastAsia" w:ascii="宋体" w:hAnsi="宋体" w:cs="宋体"/>
                <w:color w:val="auto"/>
                <w:sz w:val="21"/>
                <w:szCs w:val="21"/>
                <w:highlight w:val="none"/>
              </w:rPr>
              <w:t>不允许</w:t>
            </w:r>
          </w:p>
          <w:p>
            <w:pPr>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□允许，偏差范围：/</w:t>
            </w:r>
          </w:p>
          <w:p>
            <w:pPr>
              <w:pStyle w:val="71"/>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012" w:type="dxa"/>
            <w:vAlign w:val="center"/>
          </w:tcPr>
          <w:p>
            <w:pPr>
              <w:pStyle w:val="71"/>
              <w:ind w:left="147" w:right="139"/>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构成招标文件的其他资料</w:t>
            </w:r>
          </w:p>
        </w:tc>
        <w:tc>
          <w:tcPr>
            <w:tcW w:w="6737" w:type="dxa"/>
            <w:vAlign w:val="center"/>
          </w:tcPr>
          <w:p>
            <w:pPr>
              <w:pStyle w:val="71"/>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Merge w:val="restart"/>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012" w:type="dxa"/>
            <w:vMerge w:val="restart"/>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投标人要求澄清招标文件</w:t>
            </w:r>
          </w:p>
        </w:tc>
        <w:tc>
          <w:tcPr>
            <w:tcW w:w="6737" w:type="dxa"/>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时间：见“重要事项时间地点一览表”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Merge w:val="continue"/>
            <w:tcBorders>
              <w:top w:val="nil"/>
            </w:tcBorders>
            <w:vAlign w:val="center"/>
          </w:tcPr>
          <w:p>
            <w:pPr>
              <w:jc w:val="center"/>
              <w:rPr>
                <w:rFonts w:ascii="宋体" w:hAnsi="宋体" w:cs="宋体"/>
                <w:color w:val="auto"/>
                <w:sz w:val="21"/>
                <w:szCs w:val="21"/>
                <w:highlight w:val="none"/>
              </w:rPr>
            </w:pPr>
          </w:p>
        </w:tc>
        <w:tc>
          <w:tcPr>
            <w:tcW w:w="2012" w:type="dxa"/>
            <w:vMerge w:val="continue"/>
            <w:tcBorders>
              <w:top w:val="nil"/>
            </w:tcBorders>
            <w:vAlign w:val="center"/>
          </w:tcPr>
          <w:p>
            <w:pPr>
              <w:jc w:val="center"/>
              <w:rPr>
                <w:rFonts w:ascii="宋体" w:hAnsi="宋体" w:cs="宋体"/>
                <w:color w:val="auto"/>
                <w:sz w:val="21"/>
                <w:szCs w:val="21"/>
                <w:highlight w:val="none"/>
              </w:rPr>
            </w:pPr>
          </w:p>
        </w:tc>
        <w:tc>
          <w:tcPr>
            <w:tcW w:w="6737" w:type="dxa"/>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形式：在规定的时间内通过建设工程交易系统将问题提交给招标人或招标代理人，提交问题时一律不得署名。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tcBorders>
              <w:bottom w:val="single" w:color="auto" w:sz="4" w:space="0"/>
            </w:tcBorders>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12" w:type="dxa"/>
            <w:tcBorders>
              <w:bottom w:val="single" w:color="auto" w:sz="4" w:space="0"/>
            </w:tcBorders>
            <w:vAlign w:val="center"/>
          </w:tcPr>
          <w:p>
            <w:pPr>
              <w:pStyle w:val="71"/>
              <w:ind w:left="147" w:right="139"/>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6737" w:type="dxa"/>
            <w:tcBorders>
              <w:bottom w:val="single" w:color="auto" w:sz="4" w:space="0"/>
            </w:tcBorders>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在建设工程交易系统【建设工程交易】—【招标答疑】栏目发布澄清、答疑。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Merge w:val="restart"/>
            <w:tcBorders>
              <w:top w:val="single" w:color="auto" w:sz="4" w:space="0"/>
              <w:left w:val="single" w:color="auto" w:sz="4" w:space="0"/>
              <w:bottom w:val="single" w:color="auto" w:sz="4" w:space="0"/>
              <w:right w:val="single" w:color="auto" w:sz="4" w:space="0"/>
            </w:tcBorders>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012" w:type="dxa"/>
            <w:vMerge w:val="restart"/>
            <w:tcBorders>
              <w:top w:val="single" w:color="auto" w:sz="4" w:space="0"/>
              <w:left w:val="single" w:color="auto" w:sz="4" w:space="0"/>
              <w:bottom w:val="single" w:color="auto" w:sz="4" w:space="0"/>
              <w:right w:val="single" w:color="auto" w:sz="4" w:space="0"/>
            </w:tcBorders>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投标人确认收到招标文件澄清</w:t>
            </w:r>
          </w:p>
        </w:tc>
        <w:tc>
          <w:tcPr>
            <w:tcW w:w="6737" w:type="dxa"/>
            <w:tcBorders>
              <w:top w:val="single" w:color="auto" w:sz="4" w:space="0"/>
              <w:left w:val="single" w:color="auto" w:sz="4" w:space="0"/>
              <w:bottom w:val="single" w:color="auto" w:sz="4" w:space="0"/>
              <w:right w:val="single" w:color="auto" w:sz="4" w:space="0"/>
            </w:tcBorders>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Merge w:val="continue"/>
            <w:tcBorders>
              <w:top w:val="single" w:color="auto" w:sz="4" w:space="0"/>
              <w:left w:val="single" w:color="auto" w:sz="4" w:space="0"/>
            </w:tcBorders>
            <w:vAlign w:val="center"/>
          </w:tcPr>
          <w:p>
            <w:pPr>
              <w:jc w:val="center"/>
              <w:rPr>
                <w:rFonts w:ascii="宋体" w:hAnsi="宋体" w:cs="宋体"/>
                <w:color w:val="auto"/>
                <w:sz w:val="21"/>
                <w:szCs w:val="21"/>
                <w:highlight w:val="none"/>
              </w:rPr>
            </w:pPr>
          </w:p>
        </w:tc>
        <w:tc>
          <w:tcPr>
            <w:tcW w:w="2012" w:type="dxa"/>
            <w:vMerge w:val="continue"/>
            <w:tcBorders>
              <w:top w:val="single" w:color="auto" w:sz="4" w:space="0"/>
            </w:tcBorders>
            <w:vAlign w:val="center"/>
          </w:tcPr>
          <w:p>
            <w:pPr>
              <w:jc w:val="center"/>
              <w:rPr>
                <w:rFonts w:ascii="宋体" w:hAnsi="宋体" w:cs="宋体"/>
                <w:color w:val="auto"/>
                <w:sz w:val="21"/>
                <w:szCs w:val="21"/>
                <w:highlight w:val="none"/>
              </w:rPr>
            </w:pPr>
          </w:p>
        </w:tc>
        <w:tc>
          <w:tcPr>
            <w:tcW w:w="6737" w:type="dxa"/>
            <w:tcBorders>
              <w:top w:val="single" w:color="auto" w:sz="4" w:space="0"/>
            </w:tcBorders>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形式：投标人可在建设工程交易系统浏览、下载，因投标人自身原因未及时查阅的，由此引起的任何责任由投标人自行承担。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招标文件修改发出的形式</w:t>
            </w:r>
          </w:p>
        </w:tc>
        <w:tc>
          <w:tcPr>
            <w:tcW w:w="6737" w:type="dxa"/>
            <w:vAlign w:val="center"/>
          </w:tcPr>
          <w:p>
            <w:pPr>
              <w:pStyle w:val="71"/>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发布于</w:t>
            </w:r>
            <w:r>
              <w:rPr>
                <w:rFonts w:hint="eastAsia" w:ascii="宋体" w:hAnsi="宋体" w:eastAsia="宋体" w:cs="宋体"/>
                <w:color w:val="auto"/>
                <w:sz w:val="21"/>
                <w:szCs w:val="21"/>
                <w:highlight w:val="none"/>
                <w:lang w:eastAsia="zh-CN"/>
              </w:rPr>
              <w:t>全国公共资源交易平台（广东省·韶关市）（https://ygp.gdzwfw.gov.cn/ggzy-portal/#/440200/index）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Merge w:val="restart"/>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012" w:type="dxa"/>
            <w:vMerge w:val="restart"/>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投标人确认收到招标文件修改</w:t>
            </w:r>
          </w:p>
        </w:tc>
        <w:tc>
          <w:tcPr>
            <w:tcW w:w="6737" w:type="dxa"/>
            <w:vAlign w:val="center"/>
          </w:tcPr>
          <w:p>
            <w:pPr>
              <w:pStyle w:val="71"/>
              <w:spacing w:before="77" w:line="360" w:lineRule="exact"/>
              <w:ind w:left="107"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990" w:type="dxa"/>
            <w:vMerge w:val="continue"/>
            <w:tcBorders>
              <w:top w:val="nil"/>
            </w:tcBorders>
            <w:vAlign w:val="center"/>
          </w:tcPr>
          <w:p>
            <w:pPr>
              <w:jc w:val="center"/>
              <w:rPr>
                <w:rFonts w:ascii="宋体" w:hAnsi="宋体" w:cs="宋体"/>
                <w:color w:val="auto"/>
                <w:sz w:val="21"/>
                <w:szCs w:val="21"/>
                <w:highlight w:val="none"/>
              </w:rPr>
            </w:pPr>
          </w:p>
        </w:tc>
        <w:tc>
          <w:tcPr>
            <w:tcW w:w="2012" w:type="dxa"/>
            <w:vMerge w:val="continue"/>
            <w:tcBorders>
              <w:top w:val="nil"/>
            </w:tcBorders>
            <w:vAlign w:val="center"/>
          </w:tcPr>
          <w:p>
            <w:pPr>
              <w:spacing w:line="360" w:lineRule="exact"/>
              <w:jc w:val="center"/>
              <w:rPr>
                <w:rFonts w:ascii="宋体" w:hAnsi="宋体" w:cs="宋体"/>
                <w:color w:val="auto"/>
                <w:sz w:val="21"/>
                <w:szCs w:val="21"/>
                <w:highlight w:val="none"/>
              </w:rPr>
            </w:pPr>
          </w:p>
        </w:tc>
        <w:tc>
          <w:tcPr>
            <w:tcW w:w="6737" w:type="dxa"/>
            <w:vAlign w:val="center"/>
          </w:tcPr>
          <w:p>
            <w:pPr>
              <w:pStyle w:val="71"/>
              <w:spacing w:before="77" w:line="360" w:lineRule="exact"/>
              <w:ind w:left="107"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形式：投标人可在建设工程交易系统浏览、下载，因投标人自身原因未及时查阅的，由此引起的任何责任由投标人自行承担。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构成投标文件的其他资料</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增值税税金的计算方法</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按国家、省、市规定执行。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报价方式</w:t>
            </w:r>
          </w:p>
        </w:tc>
        <w:tc>
          <w:tcPr>
            <w:tcW w:w="6737" w:type="dxa"/>
            <w:vAlign w:val="center"/>
          </w:tcPr>
          <w:p>
            <w:pPr>
              <w:pStyle w:val="71"/>
              <w:tabs>
                <w:tab w:val="left" w:pos="2329"/>
                <w:tab w:val="left" w:pos="4296"/>
              </w:tabs>
              <w:kinsoku w:val="0"/>
              <w:overflowPunct w:val="0"/>
              <w:rPr>
                <w:rFonts w:ascii="宋体" w:hAnsi="宋体" w:cs="宋体"/>
                <w:color w:val="auto"/>
                <w:szCs w:val="24"/>
                <w:highlight w:val="none"/>
              </w:rPr>
            </w:pPr>
            <w:r>
              <w:rPr>
                <w:rFonts w:ascii="宋体" w:hAnsi="宋体" w:cs="宋体"/>
                <w:color w:val="auto"/>
                <w:spacing w:val="-1"/>
                <w:szCs w:val="24"/>
                <w:highlight w:val="none"/>
              </w:rPr>
              <w:t>☑</w:t>
            </w:r>
            <w:r>
              <w:rPr>
                <w:rFonts w:ascii="宋体" w:hAnsi="宋体" w:cs="宋体"/>
                <w:color w:val="auto"/>
                <w:szCs w:val="24"/>
                <w:highlight w:val="none"/>
              </w:rPr>
              <w:t>总价</w:t>
            </w:r>
          </w:p>
          <w:p>
            <w:pPr>
              <w:pStyle w:val="71"/>
              <w:jc w:val="both"/>
              <w:rPr>
                <w:rFonts w:ascii="宋体" w:hAnsi="宋体" w:eastAsia="宋体" w:cs="宋体"/>
                <w:color w:val="auto"/>
                <w:sz w:val="21"/>
                <w:szCs w:val="21"/>
                <w:highlight w:val="none"/>
                <w:lang w:eastAsia="zh-CN"/>
              </w:rPr>
            </w:pPr>
            <w:r>
              <w:rPr>
                <w:rFonts w:hint="eastAsia" w:ascii="宋体" w:hAnsi="宋体" w:eastAsia="宋体" w:cs="宋体"/>
                <w:color w:val="auto"/>
                <w:spacing w:val="-1"/>
                <w:szCs w:val="24"/>
                <w:highlight w:val="none"/>
                <w:lang w:eastAsia="zh-CN"/>
              </w:rPr>
              <w:t>□</w:t>
            </w:r>
            <w:r>
              <w:rPr>
                <w:rFonts w:ascii="宋体" w:hAnsi="宋体" w:cs="宋体"/>
                <w:color w:val="auto"/>
                <w:szCs w:val="24"/>
                <w:highlight w:val="none"/>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最高投标限价</w:t>
            </w:r>
          </w:p>
        </w:tc>
        <w:tc>
          <w:tcPr>
            <w:tcW w:w="6737" w:type="dxa"/>
            <w:vAlign w:val="center"/>
          </w:tcPr>
          <w:p>
            <w:pPr>
              <w:widowControl/>
              <w:ind w:firstLine="211" w:firstLineChars="100"/>
              <w:rPr>
                <w:rFonts w:ascii="宋体" w:hAnsi="宋体" w:cs="宋体"/>
                <w:color w:val="auto"/>
                <w:sz w:val="21"/>
                <w:szCs w:val="21"/>
                <w:highlight w:val="none"/>
                <w:u w:val="single"/>
              </w:rPr>
            </w:pPr>
            <w:r>
              <w:rPr>
                <w:rFonts w:hint="eastAsia" w:ascii="宋体" w:hAnsi="宋体" w:cs="宋体"/>
                <w:b/>
                <w:bCs/>
                <w:color w:val="auto"/>
                <w:sz w:val="21"/>
                <w:szCs w:val="21"/>
                <w:highlight w:val="none"/>
              </w:rPr>
              <w:t>本次招标最高投标限价为人民币（大写）：</w:t>
            </w:r>
            <w:r>
              <w:rPr>
                <w:rFonts w:hint="eastAsia" w:ascii="宋体" w:hAnsi="宋体" w:cs="宋体"/>
                <w:b/>
                <w:bCs/>
                <w:color w:val="auto"/>
                <w:sz w:val="21"/>
                <w:szCs w:val="21"/>
                <w:highlight w:val="none"/>
                <w:lang w:val="en-US" w:eastAsia="zh-CN"/>
              </w:rPr>
              <w:t>捌万陆仟柒佰元整</w:t>
            </w:r>
            <w:r>
              <w:rPr>
                <w:rFonts w:hint="eastAsia" w:ascii="宋体" w:hAnsi="宋体" w:cs="宋体"/>
                <w:b/>
                <w:bCs/>
                <w:color w:val="auto"/>
                <w:sz w:val="21"/>
                <w:szCs w:val="21"/>
                <w:highlight w:val="none"/>
              </w:rPr>
              <w:t>（¥86700.00元），监理服务费投标取费费率上限为</w:t>
            </w:r>
            <w:r>
              <w:rPr>
                <w:rFonts w:hint="eastAsia" w:ascii="宋体" w:hAnsi="宋体" w:cs="宋体"/>
                <w:b/>
                <w:bCs/>
                <w:color w:val="auto"/>
                <w:sz w:val="21"/>
                <w:szCs w:val="21"/>
                <w:highlight w:val="none"/>
                <w:lang w:val="en-US" w:eastAsia="zh-CN"/>
              </w:rPr>
              <w:t>2.640</w:t>
            </w:r>
            <w:r>
              <w:rPr>
                <w:rFonts w:hint="eastAsia" w:ascii="宋体" w:hAnsi="宋体" w:cs="宋体"/>
                <w:b/>
                <w:bCs/>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投标报价的其他要求</w:t>
            </w:r>
          </w:p>
        </w:tc>
        <w:tc>
          <w:tcPr>
            <w:tcW w:w="6737" w:type="dxa"/>
            <w:vAlign w:val="center"/>
          </w:tcPr>
          <w:p>
            <w:pPr>
              <w:pStyle w:val="71"/>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本次招标采用填报</w:t>
            </w:r>
            <w:r>
              <w:rPr>
                <w:rFonts w:hint="eastAsia" w:ascii="宋体" w:hAnsi="宋体" w:eastAsia="宋体" w:cs="宋体"/>
                <w:color w:val="auto"/>
                <w:sz w:val="21"/>
                <w:szCs w:val="21"/>
                <w:highlight w:val="none"/>
                <w:u w:val="single"/>
                <w:lang w:eastAsia="zh-CN"/>
              </w:rPr>
              <w:t>价格和取费费率</w:t>
            </w:r>
            <w:r>
              <w:rPr>
                <w:rFonts w:hint="eastAsia" w:ascii="宋体" w:hAnsi="宋体" w:eastAsia="宋体" w:cs="宋体"/>
                <w:color w:val="auto"/>
                <w:sz w:val="21"/>
                <w:szCs w:val="21"/>
                <w:highlight w:val="none"/>
                <w:lang w:eastAsia="zh-CN"/>
              </w:rPr>
              <w:t>的方式进行报价。</w:t>
            </w:r>
          </w:p>
          <w:p>
            <w:pPr>
              <w:pStyle w:val="71"/>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所有报价均以人民币“元”为单位，并按“四舍五入”原则精确到两位小数；投标取费费率＝投标总价÷建安工程费暂定价×100%，并按“四舍五入”原则精确到</w:t>
            </w:r>
            <w:r>
              <w:rPr>
                <w:rFonts w:hint="eastAsia" w:ascii="宋体" w:hAnsi="宋体" w:eastAsia="宋体" w:cs="宋体"/>
                <w:color w:val="auto"/>
                <w:sz w:val="21"/>
                <w:szCs w:val="21"/>
                <w:highlight w:val="none"/>
                <w:u w:val="single"/>
                <w:lang w:eastAsia="zh-CN"/>
              </w:rPr>
              <w:t xml:space="preserve"> 三 </w:t>
            </w:r>
            <w:r>
              <w:rPr>
                <w:rFonts w:hint="eastAsia" w:ascii="宋体" w:hAnsi="宋体" w:eastAsia="宋体" w:cs="宋体"/>
                <w:color w:val="auto"/>
                <w:sz w:val="21"/>
                <w:szCs w:val="21"/>
                <w:highlight w:val="none"/>
                <w:lang w:eastAsia="zh-CN"/>
              </w:rPr>
              <w:t xml:space="preserve">位小数。本项目的建安工程费暂定价为人民币 </w:t>
            </w:r>
            <w:r>
              <w:rPr>
                <w:rFonts w:hint="eastAsia" w:ascii="宋体" w:hAnsi="宋体" w:eastAsia="宋体" w:cs="宋体"/>
                <w:color w:val="auto"/>
                <w:sz w:val="21"/>
                <w:szCs w:val="21"/>
                <w:highlight w:val="none"/>
                <w:lang w:val="en-US" w:eastAsia="zh-CN"/>
              </w:rPr>
              <w:t>328.45</w:t>
            </w:r>
            <w:r>
              <w:rPr>
                <w:rFonts w:hint="eastAsia" w:ascii="宋体" w:hAnsi="宋体" w:eastAsia="宋体" w:cs="宋体"/>
                <w:color w:val="auto"/>
                <w:sz w:val="21"/>
                <w:szCs w:val="21"/>
                <w:highlight w:val="none"/>
                <w:lang w:eastAsia="zh-CN"/>
              </w:rPr>
              <w:t>万元。</w:t>
            </w:r>
          </w:p>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投标人的投标报价包括所有税收、单位应交的保险、应承担的风险及应提供的服务等，招标人不再为本合同范围内的工作支付额外的费用。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990" w:type="dxa"/>
            <w:vAlign w:val="center"/>
          </w:tcPr>
          <w:p>
            <w:pPr>
              <w:pStyle w:val="71"/>
              <w:spacing w:before="159"/>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012" w:type="dxa"/>
            <w:vAlign w:val="center"/>
          </w:tcPr>
          <w:p>
            <w:pPr>
              <w:pStyle w:val="71"/>
              <w:spacing w:before="145"/>
              <w:ind w:left="147" w:right="14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737" w:type="dxa"/>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自投标截止时间算起的</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lang w:val="zh-CN" w:eastAsia="zh-CN"/>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90" w:type="dxa"/>
            <w:vAlign w:val="center"/>
          </w:tcPr>
          <w:p>
            <w:pPr>
              <w:pStyle w:val="71"/>
              <w:spacing w:line="4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012" w:type="dxa"/>
            <w:vAlign w:val="center"/>
          </w:tcPr>
          <w:p>
            <w:pPr>
              <w:pStyle w:val="71"/>
              <w:spacing w:line="400" w:lineRule="exact"/>
              <w:ind w:right="14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737" w:type="dxa"/>
            <w:vAlign w:val="center"/>
          </w:tcPr>
          <w:p>
            <w:pPr>
              <w:adjustRightInd w:val="0"/>
              <w:snapToGrid w:val="0"/>
              <w:spacing w:line="360" w:lineRule="exact"/>
              <w:ind w:firstLine="210" w:firstLineChars="100"/>
              <w:rPr>
                <w:rFonts w:ascii="宋体" w:hAnsi="宋体" w:cs="宋体"/>
                <w:b/>
                <w:bCs/>
                <w:color w:val="auto"/>
                <w:sz w:val="21"/>
                <w:szCs w:val="21"/>
                <w:highlight w:val="none"/>
              </w:rPr>
            </w:pPr>
            <w:r>
              <w:rPr>
                <w:rFonts w:hint="eastAsia" w:ascii="宋体" w:hAnsi="宋体" w:cs="宋体"/>
                <w:color w:val="auto"/>
                <w:sz w:val="21"/>
                <w:szCs w:val="21"/>
                <w:highlight w:val="none"/>
              </w:rPr>
              <w:t>本工程投标保证金额：</w:t>
            </w:r>
            <w:r>
              <w:rPr>
                <w:rFonts w:hint="eastAsia" w:ascii="宋体" w:hAnsi="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rPr>
              <w:t>000.00</w:t>
            </w:r>
            <w:r>
              <w:rPr>
                <w:rFonts w:hint="eastAsia" w:ascii="宋体" w:hAnsi="宋体" w:cs="宋体"/>
                <w:color w:val="auto"/>
                <w:sz w:val="21"/>
                <w:szCs w:val="21"/>
                <w:highlight w:val="none"/>
              </w:rPr>
              <w:t>元。</w:t>
            </w:r>
          </w:p>
          <w:p>
            <w:pPr>
              <w:adjustRightInd w:val="0"/>
              <w:snapToGrid w:val="0"/>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投标保证的形式包括投标保证金、投标保证担保、投标保证保险三种，由投标人自主选择。</w:t>
            </w:r>
          </w:p>
          <w:p>
            <w:pPr>
              <w:tabs>
                <w:tab w:val="left" w:pos="7020"/>
              </w:tabs>
              <w:wordWrap w:val="0"/>
              <w:adjustRightInd w:val="0"/>
              <w:snapToGrid w:val="0"/>
              <w:spacing w:line="360" w:lineRule="exact"/>
              <w:ind w:firstLine="420" w:firstLineChars="200"/>
              <w:rPr>
                <w:rFonts w:ascii="宋体" w:hAnsi="宋体" w:cs="宋体"/>
                <w:color w:val="auto"/>
                <w:kern w:val="0"/>
                <w:sz w:val="21"/>
                <w:szCs w:val="21"/>
                <w:highlight w:val="none"/>
                <w:shd w:val="clear" w:color="auto" w:fill="FFFFFF"/>
              </w:rPr>
            </w:pPr>
            <w:r>
              <w:rPr>
                <w:rFonts w:hint="eastAsia" w:ascii="宋体" w:hAnsi="宋体" w:cs="宋体"/>
                <w:color w:val="auto"/>
                <w:sz w:val="21"/>
                <w:szCs w:val="21"/>
                <w:highlight w:val="none"/>
                <w:shd w:val="clear" w:color="auto" w:fill="FFFFFF"/>
              </w:rPr>
              <w:t>（1）</w:t>
            </w:r>
            <w:r>
              <w:rPr>
                <w:rFonts w:hint="eastAsia" w:ascii="宋体" w:hAnsi="宋体" w:cs="宋体"/>
                <w:color w:val="auto"/>
                <w:kern w:val="0"/>
                <w:sz w:val="21"/>
                <w:szCs w:val="21"/>
                <w:highlight w:val="none"/>
                <w:shd w:val="clear" w:color="auto" w:fill="FFFFFF"/>
              </w:rPr>
              <w:t>采用投标保证金的，投标人在建设工程交易系统获取招标文件完毕后，即可在系统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pPr>
              <w:tabs>
                <w:tab w:val="left" w:pos="7020"/>
              </w:tabs>
              <w:wordWrap w:val="0"/>
              <w:adjustRightInd w:val="0"/>
              <w:snapToGrid w:val="0"/>
              <w:spacing w:line="360" w:lineRule="exact"/>
              <w:ind w:firstLine="420" w:firstLineChars="200"/>
              <w:rPr>
                <w:rFonts w:ascii="宋体" w:hAnsi="宋体" w:cs="宋体"/>
                <w:color w:val="auto"/>
                <w:kern w:val="0"/>
                <w:sz w:val="21"/>
                <w:szCs w:val="21"/>
                <w:highlight w:val="none"/>
                <w:shd w:val="clear" w:color="auto" w:fill="FFFFFF"/>
              </w:rPr>
            </w:pPr>
            <w:r>
              <w:rPr>
                <w:rFonts w:hint="eastAsia" w:ascii="宋体" w:hAnsi="宋体" w:cs="宋体"/>
                <w:color w:val="auto"/>
                <w:kern w:val="0"/>
                <w:sz w:val="21"/>
                <w:szCs w:val="21"/>
                <w:highlight w:val="none"/>
                <w:shd w:val="clear" w:color="auto" w:fill="FFFFFF"/>
              </w:rPr>
              <w:t>（2）采用投标保证担保的，投标人应提交有效的电子保函或保证保险，电子保函或保证保险的有效期不得短于投标有效期。投标人必须在投标保证担保截止时间（见本公告“重要事项时间地点一览表”）前，使用工程建设交易系统完成网上办理电子保函或保证保险。</w:t>
            </w:r>
          </w:p>
          <w:p>
            <w:pPr>
              <w:autoSpaceDN w:val="0"/>
              <w:spacing w:line="360" w:lineRule="exact"/>
              <w:ind w:firstLine="420" w:firstLineChars="200"/>
              <w:rPr>
                <w:rFonts w:ascii="宋体" w:hAnsi="宋体" w:cs="宋体"/>
                <w:color w:val="auto"/>
                <w:kern w:val="0"/>
                <w:sz w:val="21"/>
                <w:szCs w:val="21"/>
                <w:highlight w:val="none"/>
                <w:shd w:val="clear" w:color="auto" w:fill="FFFFFF"/>
              </w:rPr>
            </w:pPr>
            <w:r>
              <w:rPr>
                <w:rFonts w:hint="eastAsia" w:ascii="宋体" w:hAnsi="宋体" w:cs="宋体"/>
                <w:color w:val="auto"/>
                <w:kern w:val="0"/>
                <w:sz w:val="21"/>
                <w:szCs w:val="21"/>
                <w:highlight w:val="none"/>
                <w:shd w:val="clear" w:color="auto" w:fill="FFFFFF"/>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pPr>
              <w:autoSpaceDN w:val="0"/>
              <w:spacing w:line="36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shd w:val="clear" w:color="auto" w:fill="FFFFFF"/>
              </w:rPr>
              <w:t>（https://ygp.gdzwfw.gov.cn/ggzy-portal/#/440200/index），在【服务指南】栏目中下载《韶关市公共资源建设工程交易系统-投标人操作指南》，了解网上投保具体操作流程。逾期投保的，其投标无效</w:t>
            </w:r>
            <w:r>
              <w:rPr>
                <w:rFonts w:hint="eastAsia" w:ascii="宋体" w:hAnsi="宋体" w:cs="宋体"/>
                <w:color w:val="auto"/>
                <w:kern w:val="0"/>
                <w:sz w:val="21"/>
                <w:szCs w:val="21"/>
                <w:highlight w:val="none"/>
              </w:rPr>
              <w:t>。</w:t>
            </w:r>
          </w:p>
          <w:p>
            <w:pPr>
              <w:adjustRightInd w:val="0"/>
              <w:snapToGrid w:val="0"/>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温馨提醒：投标人采用投标保证担保的，为避免在评标过程中因有效期发生争议，建议投标人将银行保函有效期设置为较招标文件规定的投标有效期延长不少于20个日历天。</w:t>
            </w:r>
          </w:p>
          <w:p>
            <w:pPr>
              <w:adjustRightInd w:val="0"/>
              <w:snapToGrid w:val="0"/>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注：投标人不按要求提交投标保证金或银行保函的，其投标文件作无效标书处理，由此造成的后果自负。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90" w:type="dxa"/>
            <w:vAlign w:val="center"/>
          </w:tcPr>
          <w:p>
            <w:pPr>
              <w:pStyle w:val="71"/>
              <w:spacing w:line="4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2012" w:type="dxa"/>
            <w:vAlign w:val="center"/>
          </w:tcPr>
          <w:p>
            <w:pPr>
              <w:pStyle w:val="71"/>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其他可以不予退还投标保证金的情形</w:t>
            </w:r>
          </w:p>
        </w:tc>
        <w:tc>
          <w:tcPr>
            <w:tcW w:w="6737" w:type="dxa"/>
            <w:vAlign w:val="center"/>
          </w:tcPr>
          <w:p>
            <w:pPr>
              <w:adjustRightInd w:val="0"/>
              <w:snapToGrid w:val="0"/>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（1）串通投标。</w:t>
            </w:r>
          </w:p>
          <w:p>
            <w:pPr>
              <w:adjustRightInd w:val="0"/>
              <w:snapToGrid w:val="0"/>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（2）评标、中标公示等环节因作假而被取消中标资格。</w:t>
            </w:r>
          </w:p>
          <w:p>
            <w:pPr>
              <w:adjustRightInd w:val="0"/>
              <w:snapToGrid w:val="0"/>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（3）因投诉属实取消中标资格的。</w:t>
            </w:r>
          </w:p>
          <w:p>
            <w:pPr>
              <w:adjustRightInd w:val="0"/>
              <w:snapToGrid w:val="0"/>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（4）其他违反规定、妨碍公平竞争准则的舞弊行为。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90" w:type="dxa"/>
            <w:vAlign w:val="center"/>
          </w:tcPr>
          <w:p>
            <w:pPr>
              <w:pStyle w:val="71"/>
              <w:spacing w:line="4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资格审查资料的特殊要求</w:t>
            </w:r>
          </w:p>
        </w:tc>
        <w:tc>
          <w:tcPr>
            <w:tcW w:w="6737" w:type="dxa"/>
            <w:vAlign w:val="center"/>
          </w:tcPr>
          <w:p>
            <w:pPr>
              <w:pStyle w:val="71"/>
              <w:spacing w:line="400" w:lineRule="exact"/>
              <w:ind w:left="107"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90" w:type="dxa"/>
            <w:vAlign w:val="center"/>
          </w:tcPr>
          <w:p>
            <w:pPr>
              <w:pStyle w:val="71"/>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.2</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近年财务状况的年份要求</w:t>
            </w:r>
          </w:p>
        </w:tc>
        <w:tc>
          <w:tcPr>
            <w:tcW w:w="6737" w:type="dxa"/>
            <w:vAlign w:val="center"/>
          </w:tcPr>
          <w:p>
            <w:pPr>
              <w:pStyle w:val="71"/>
              <w:spacing w:line="400" w:lineRule="exact"/>
              <w:ind w:left="107"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90" w:type="dxa"/>
            <w:vAlign w:val="center"/>
          </w:tcPr>
          <w:p>
            <w:pPr>
              <w:pStyle w:val="71"/>
              <w:spacing w:line="4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近年完成的类似项目情况的时间要求</w:t>
            </w:r>
          </w:p>
        </w:tc>
        <w:tc>
          <w:tcPr>
            <w:tcW w:w="6737" w:type="dxa"/>
            <w:vAlign w:val="center"/>
          </w:tcPr>
          <w:p>
            <w:pPr>
              <w:pStyle w:val="71"/>
              <w:tabs>
                <w:tab w:val="left" w:pos="803"/>
                <w:tab w:val="left" w:pos="1574"/>
                <w:tab w:val="left" w:pos="2344"/>
              </w:tabs>
              <w:spacing w:line="40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jc w:val="center"/>
        </w:trPr>
        <w:tc>
          <w:tcPr>
            <w:tcW w:w="990" w:type="dxa"/>
            <w:vAlign w:val="center"/>
          </w:tcPr>
          <w:p>
            <w:pPr>
              <w:pStyle w:val="71"/>
              <w:spacing w:line="4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12" w:type="dxa"/>
            <w:vAlign w:val="center"/>
          </w:tcPr>
          <w:p>
            <w:pPr>
              <w:pStyle w:val="71"/>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是否允许递交备选投标方案</w:t>
            </w:r>
          </w:p>
        </w:tc>
        <w:tc>
          <w:tcPr>
            <w:tcW w:w="6737" w:type="dxa"/>
            <w:vAlign w:val="center"/>
          </w:tcPr>
          <w:p>
            <w:pPr>
              <w:pStyle w:val="71"/>
              <w:spacing w:line="400" w:lineRule="exact"/>
              <w:ind w:firstLine="210" w:firstLineChars="1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不允许</w:t>
            </w:r>
          </w:p>
          <w:p>
            <w:pPr>
              <w:pStyle w:val="71"/>
              <w:spacing w:line="400" w:lineRule="exact"/>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90" w:type="dxa"/>
            <w:vAlign w:val="center"/>
          </w:tcPr>
          <w:p>
            <w:pPr>
              <w:pStyle w:val="71"/>
              <w:spacing w:line="400" w:lineRule="exact"/>
              <w:ind w:left="107"/>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012" w:type="dxa"/>
            <w:vAlign w:val="center"/>
          </w:tcPr>
          <w:p>
            <w:pPr>
              <w:pStyle w:val="71"/>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投标文件签字或盖章要求</w:t>
            </w:r>
          </w:p>
        </w:tc>
        <w:tc>
          <w:tcPr>
            <w:tcW w:w="6737" w:type="dxa"/>
            <w:vAlign w:val="center"/>
          </w:tcPr>
          <w:p>
            <w:pPr>
              <w:pStyle w:val="66"/>
              <w:spacing w:beforeAutospacing="0" w:afterAutospacing="0" w:line="360" w:lineRule="exact"/>
              <w:ind w:firstLine="363"/>
              <w:rPr>
                <w:color w:val="auto"/>
                <w:sz w:val="21"/>
                <w:szCs w:val="21"/>
                <w:highlight w:val="none"/>
              </w:rPr>
            </w:pPr>
            <w:r>
              <w:rPr>
                <w:rFonts w:hint="eastAsia"/>
                <w:color w:val="auto"/>
                <w:sz w:val="21"/>
                <w:szCs w:val="21"/>
                <w:highlight w:val="none"/>
              </w:rPr>
              <w:t>投标文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90" w:type="dxa"/>
            <w:vAlign w:val="center"/>
          </w:tcPr>
          <w:p>
            <w:pPr>
              <w:pStyle w:val="71"/>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3.7.</w:t>
            </w:r>
            <w:r>
              <w:rPr>
                <w:rFonts w:hint="eastAsia" w:ascii="宋体" w:hAnsi="宋体" w:eastAsia="宋体" w:cs="宋体"/>
                <w:color w:val="auto"/>
                <w:spacing w:val="-6"/>
                <w:sz w:val="21"/>
                <w:szCs w:val="21"/>
                <w:highlight w:val="none"/>
                <w:lang w:eastAsia="zh-CN"/>
              </w:rPr>
              <w:t>4</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投标文件份数及其他要求</w:t>
            </w:r>
          </w:p>
        </w:tc>
        <w:tc>
          <w:tcPr>
            <w:tcW w:w="6737" w:type="dxa"/>
            <w:vAlign w:val="center"/>
          </w:tcPr>
          <w:p>
            <w:pPr>
              <w:pStyle w:val="71"/>
              <w:spacing w:line="40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本项目采用全流程电子投标，不需要提交纸质版的投标文件。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 w:hRule="atLeast"/>
          <w:jc w:val="center"/>
        </w:trPr>
        <w:tc>
          <w:tcPr>
            <w:tcW w:w="990" w:type="dxa"/>
            <w:vAlign w:val="center"/>
          </w:tcPr>
          <w:p>
            <w:pPr>
              <w:pStyle w:val="71"/>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投标截止时间</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详见“重要事项时间地点一览表”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 w:hRule="atLeast"/>
          <w:jc w:val="center"/>
        </w:trPr>
        <w:tc>
          <w:tcPr>
            <w:tcW w:w="990" w:type="dxa"/>
            <w:vAlign w:val="center"/>
          </w:tcPr>
          <w:p>
            <w:pPr>
              <w:pStyle w:val="71"/>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开标地点</w:t>
            </w:r>
          </w:p>
        </w:tc>
        <w:tc>
          <w:tcPr>
            <w:tcW w:w="6737" w:type="dxa"/>
            <w:vAlign w:val="center"/>
          </w:tcPr>
          <w:p>
            <w:pPr>
              <w:pStyle w:val="71"/>
              <w:spacing w:line="360" w:lineRule="exact"/>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详见“重要事项时间地点一览表”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012" w:type="dxa"/>
            <w:vAlign w:val="center"/>
          </w:tcPr>
          <w:p>
            <w:pPr>
              <w:pStyle w:val="71"/>
              <w:spacing w:line="3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开标时间</w:t>
            </w:r>
          </w:p>
        </w:tc>
        <w:tc>
          <w:tcPr>
            <w:tcW w:w="6737" w:type="dxa"/>
            <w:vAlign w:val="center"/>
          </w:tcPr>
          <w:p>
            <w:pPr>
              <w:spacing w:line="36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详见“重要事项时间地点一览表”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评标委员会的组建</w:t>
            </w:r>
          </w:p>
        </w:tc>
        <w:tc>
          <w:tcPr>
            <w:tcW w:w="6737" w:type="dxa"/>
            <w:vAlign w:val="center"/>
          </w:tcPr>
          <w:p>
            <w:pPr>
              <w:pStyle w:val="71"/>
              <w:tabs>
                <w:tab w:val="left" w:pos="2313"/>
                <w:tab w:val="left" w:pos="3830"/>
              </w:tabs>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评标委员会的构成：共</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人，</w:t>
            </w:r>
          </w:p>
          <w:p>
            <w:pPr>
              <w:pStyle w:val="71"/>
              <w:tabs>
                <w:tab w:val="left" w:pos="2313"/>
                <w:tab w:val="left" w:pos="3830"/>
              </w:tabs>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其中招标人代表 0 人，专家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人。</w:t>
            </w:r>
          </w:p>
          <w:p>
            <w:pPr>
              <w:pStyle w:val="71"/>
              <w:tabs>
                <w:tab w:val="left" w:pos="2313"/>
                <w:tab w:val="left" w:pos="3830"/>
              </w:tabs>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评标专家确定方式：全部从</w:t>
            </w:r>
            <w:r>
              <w:rPr>
                <w:rFonts w:hint="eastAsia" w:ascii="宋体" w:hAnsi="宋体" w:eastAsia="宋体" w:cs="宋体"/>
                <w:b/>
                <w:bCs/>
                <w:color w:val="auto"/>
                <w:sz w:val="21"/>
                <w:szCs w:val="21"/>
                <w:highlight w:val="none"/>
                <w:lang w:eastAsia="zh-CN"/>
              </w:rPr>
              <w:t>广东省综合评标评审专家库</w:t>
            </w:r>
            <w:r>
              <w:rPr>
                <w:rFonts w:hint="eastAsia" w:ascii="宋体" w:hAnsi="宋体" w:eastAsia="宋体" w:cs="宋体"/>
                <w:b/>
                <w:bCs/>
                <w:color w:val="auto"/>
                <w:sz w:val="21"/>
                <w:szCs w:val="21"/>
                <w:highlight w:val="none"/>
                <w:lang w:val="en-US" w:eastAsia="zh-CN"/>
              </w:rPr>
              <w:t>-韶关市区域</w:t>
            </w:r>
            <w:r>
              <w:rPr>
                <w:rFonts w:hint="eastAsia" w:ascii="宋体" w:hAnsi="宋体" w:eastAsia="宋体" w:cs="宋体"/>
                <w:color w:val="auto"/>
                <w:sz w:val="21"/>
                <w:szCs w:val="21"/>
                <w:highlight w:val="none"/>
                <w:lang w:eastAsia="zh-CN"/>
              </w:rPr>
              <w:t>随机抽取，其中经济类专家不少于2人。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评标委员会推荐中标候选人的人数</w:t>
            </w:r>
          </w:p>
        </w:tc>
        <w:tc>
          <w:tcPr>
            <w:tcW w:w="6737" w:type="dxa"/>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中标候选人公示媒介及期限</w:t>
            </w:r>
          </w:p>
        </w:tc>
        <w:tc>
          <w:tcPr>
            <w:tcW w:w="6737" w:type="dxa"/>
            <w:vAlign w:val="center"/>
          </w:tcPr>
          <w:p>
            <w:pPr>
              <w:pStyle w:val="71"/>
              <w:ind w:firstLine="210" w:firstLineChars="1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公示媒介：广东省招标投标监管网、</w:t>
            </w:r>
            <w:r>
              <w:rPr>
                <w:rFonts w:hint="eastAsia" w:ascii="宋体" w:hAnsi="宋体" w:eastAsia="宋体" w:cs="宋体"/>
                <w:color w:val="auto"/>
                <w:sz w:val="21"/>
                <w:szCs w:val="21"/>
                <w:highlight w:val="none"/>
                <w:shd w:val="clear" w:color="auto" w:fill="FFFFFF"/>
                <w:lang w:eastAsia="zh-CN"/>
              </w:rPr>
              <w:t>全国公共资源交易平台（广东省·韶关市）</w:t>
            </w:r>
          </w:p>
          <w:p>
            <w:pPr>
              <w:pStyle w:val="71"/>
              <w:tabs>
                <w:tab w:val="left" w:pos="2104"/>
              </w:tabs>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公示</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限</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lang w:eastAsia="zh-CN"/>
              </w:rPr>
              <w:t xml:space="preserve"> 3 </w:t>
            </w:r>
            <w:r>
              <w:rPr>
                <w:rFonts w:hint="eastAsia" w:ascii="宋体" w:hAnsi="宋体" w:eastAsia="宋体" w:cs="宋体"/>
                <w:color w:val="auto"/>
                <w:sz w:val="21"/>
                <w:szCs w:val="21"/>
                <w:highlight w:val="none"/>
                <w:lang w:eastAsia="zh-CN"/>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990" w:type="dxa"/>
            <w:vAlign w:val="center"/>
          </w:tcPr>
          <w:p>
            <w:pPr>
              <w:pStyle w:val="71"/>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012" w:type="dxa"/>
            <w:vAlign w:val="center"/>
          </w:tcPr>
          <w:p>
            <w:pPr>
              <w:pStyle w:val="71"/>
              <w:spacing w:line="4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是否授权评标委员会确定中标人</w:t>
            </w:r>
          </w:p>
        </w:tc>
        <w:tc>
          <w:tcPr>
            <w:tcW w:w="6737" w:type="dxa"/>
            <w:vAlign w:val="center"/>
          </w:tcPr>
          <w:p>
            <w:pPr>
              <w:pStyle w:val="71"/>
              <w:spacing w:line="460" w:lineRule="exact"/>
              <w:ind w:firstLine="210" w:firstLineChars="1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pPr>
              <w:pStyle w:val="71"/>
              <w:spacing w:line="460" w:lineRule="exact"/>
              <w:ind w:firstLine="210" w:firstLineChars="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 w:hRule="atLeast"/>
          <w:jc w:val="center"/>
        </w:trPr>
        <w:tc>
          <w:tcPr>
            <w:tcW w:w="990" w:type="dxa"/>
            <w:vAlign w:val="center"/>
          </w:tcPr>
          <w:p>
            <w:pPr>
              <w:pStyle w:val="71"/>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2012" w:type="dxa"/>
            <w:vAlign w:val="center"/>
          </w:tcPr>
          <w:p>
            <w:pPr>
              <w:pStyle w:val="71"/>
              <w:spacing w:line="4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技术成果经济补偿</w:t>
            </w:r>
          </w:p>
        </w:tc>
        <w:tc>
          <w:tcPr>
            <w:tcW w:w="6737" w:type="dxa"/>
            <w:vAlign w:val="center"/>
          </w:tcPr>
          <w:p>
            <w:pPr>
              <w:pStyle w:val="71"/>
              <w:spacing w:line="460" w:lineRule="exact"/>
              <w:ind w:firstLine="210" w:firstLineChars="100"/>
              <w:jc w:val="both"/>
              <w:rPr>
                <w:rFonts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lang w:eastAsia="zh-CN"/>
              </w:rPr>
              <w:t>不补偿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990" w:type="dxa"/>
            <w:vAlign w:val="center"/>
          </w:tcPr>
          <w:p>
            <w:pPr>
              <w:pStyle w:val="71"/>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tc>
        <w:tc>
          <w:tcPr>
            <w:tcW w:w="2012" w:type="dxa"/>
            <w:vAlign w:val="center"/>
          </w:tcPr>
          <w:p>
            <w:pPr>
              <w:pStyle w:val="71"/>
              <w:spacing w:line="46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履约保证金</w:t>
            </w:r>
          </w:p>
        </w:tc>
        <w:tc>
          <w:tcPr>
            <w:tcW w:w="6737" w:type="dxa"/>
            <w:vAlign w:val="center"/>
          </w:tcPr>
          <w:p>
            <w:pPr>
              <w:pStyle w:val="71"/>
              <w:spacing w:line="460" w:lineRule="exact"/>
              <w:jc w:val="both"/>
              <w:rPr>
                <w:rFonts w:ascii="宋体" w:hAnsi="宋体" w:eastAsia="宋体" w:cs="宋体"/>
                <w:color w:val="auto"/>
                <w:sz w:val="21"/>
                <w:szCs w:val="21"/>
                <w:highlight w:val="none"/>
              </w:rPr>
            </w:pPr>
            <w:r>
              <w:rPr>
                <w:rFonts w:hint="eastAsia" w:ascii="宋体" w:hAnsi="宋体" w:cs="宋体"/>
                <w:color w:val="auto"/>
                <w:sz w:val="21"/>
                <w:szCs w:val="21"/>
                <w:highlight w:val="none"/>
              </w:rPr>
              <w:t>履约保证金为中标合同金额的</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根据《关于统一在市公共资源交易一体化服务平台缴履约保证金的通知》办理相关手续，履约保证的形式包括履约保证金履约保证保险三种，由中标人自主选择。商业保函、银行保函或保险的有效期应当自合同生效之日起至项目通过竣工验收之日后28 天止由招标入发起追保。</w:t>
            </w:r>
            <w:r>
              <w:rPr>
                <w:rFonts w:hint="eastAsia" w:ascii="宋体" w:hAnsi="宋体" w:cs="宋体"/>
                <w:color w:val="auto"/>
                <w:sz w:val="21"/>
                <w:szCs w:val="21"/>
                <w:highlight w:val="none"/>
              </w:rPr>
              <w:t>（收到中标通知书后</w:t>
            </w:r>
            <w:r>
              <w:rPr>
                <w:rFonts w:hint="eastAsia" w:ascii="宋体" w:hAnsi="宋体" w:cs="宋体"/>
                <w:color w:val="auto"/>
                <w:sz w:val="21"/>
                <w:szCs w:val="21"/>
                <w:highlight w:val="none"/>
                <w:u w:val="single"/>
              </w:rPr>
              <w:t xml:space="preserve"> 10个工作日</w:t>
            </w:r>
            <w:r>
              <w:rPr>
                <w:rFonts w:hint="eastAsia" w:ascii="宋体" w:hAnsi="宋体" w:cs="宋体"/>
                <w:color w:val="auto"/>
                <w:sz w:val="21"/>
                <w:szCs w:val="21"/>
                <w:highlight w:val="none"/>
              </w:rPr>
              <w:t>内缴纳）。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990"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2012" w:type="dxa"/>
            <w:vAlign w:val="center"/>
          </w:tcPr>
          <w:p>
            <w:pPr>
              <w:pStyle w:val="71"/>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是否采用电子招标投标</w:t>
            </w:r>
          </w:p>
        </w:tc>
        <w:tc>
          <w:tcPr>
            <w:tcW w:w="6737" w:type="dxa"/>
            <w:vAlign w:val="center"/>
          </w:tcPr>
          <w:p>
            <w:pPr>
              <w:pStyle w:val="71"/>
              <w:kinsoku w:val="0"/>
              <w:overflowPunct w:val="0"/>
              <w:jc w:val="both"/>
              <w:rPr>
                <w:rFonts w:ascii="宋体" w:hAnsi="宋体" w:cs="宋体"/>
                <w:color w:val="auto"/>
                <w:szCs w:val="24"/>
                <w:highlight w:val="none"/>
                <w:lang w:eastAsia="zh-CN"/>
              </w:rPr>
            </w:pPr>
            <w:r>
              <w:rPr>
                <w:rFonts w:hint="eastAsia" w:ascii="宋体" w:hAnsi="宋体" w:eastAsia="宋体" w:cs="宋体"/>
                <w:color w:val="auto"/>
                <w:spacing w:val="-1"/>
                <w:szCs w:val="24"/>
                <w:highlight w:val="none"/>
                <w:lang w:eastAsia="zh-CN"/>
              </w:rPr>
              <w:t>□</w:t>
            </w:r>
            <w:r>
              <w:rPr>
                <w:rFonts w:ascii="宋体" w:hAnsi="宋体" w:cs="宋体"/>
                <w:color w:val="auto"/>
                <w:szCs w:val="24"/>
                <w:highlight w:val="none"/>
                <w:lang w:eastAsia="zh-CN"/>
              </w:rPr>
              <w:t>否</w:t>
            </w:r>
          </w:p>
          <w:p>
            <w:pPr>
              <w:pStyle w:val="71"/>
              <w:jc w:val="both"/>
              <w:rPr>
                <w:rFonts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是，具</w:t>
            </w:r>
            <w:r>
              <w:rPr>
                <w:rFonts w:hint="eastAsia" w:ascii="宋体" w:hAnsi="宋体" w:eastAsia="宋体" w:cs="宋体"/>
                <w:color w:val="auto"/>
                <w:spacing w:val="-3"/>
                <w:sz w:val="21"/>
                <w:szCs w:val="21"/>
                <w:highlight w:val="none"/>
                <w:lang w:eastAsia="zh-CN"/>
              </w:rPr>
              <w:t>体</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3"/>
                <w:sz w:val="21"/>
                <w:szCs w:val="21"/>
                <w:highlight w:val="none"/>
                <w:lang w:eastAsia="zh-CN"/>
              </w:rPr>
              <w:t>求</w:t>
            </w:r>
            <w:r>
              <w:rPr>
                <w:rFonts w:hint="eastAsia" w:ascii="宋体" w:hAnsi="宋体" w:eastAsia="宋体" w:cs="宋体"/>
                <w:color w:val="auto"/>
                <w:sz w:val="21"/>
                <w:szCs w:val="21"/>
                <w:highlight w:val="none"/>
                <w:lang w:eastAsia="zh-CN"/>
              </w:rPr>
              <w:t>：</w:t>
            </w:r>
          </w:p>
          <w:p>
            <w:pPr>
              <w:pStyle w:val="71"/>
              <w:ind w:firstLine="211" w:firstLineChars="100"/>
              <w:jc w:val="both"/>
              <w:rPr>
                <w:rFonts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u w:val="double"/>
                <w:lang w:eastAsia="zh-CN"/>
              </w:rPr>
              <w:t>在电子投标截止时间前，投标人通过全国公共资源交易平台 （广东省·韶关市）提交已加密投标文件。逾期提交的电子投标文件，全国公共资源交易平台 （广东省·韶关市）将予以拒收。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 w:hRule="atLeast"/>
          <w:jc w:val="center"/>
        </w:trPr>
        <w:tc>
          <w:tcPr>
            <w:tcW w:w="990" w:type="dxa"/>
            <w:vAlign w:val="center"/>
          </w:tcPr>
          <w:p>
            <w:pPr>
              <w:pStyle w:val="71"/>
              <w:spacing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p>
        </w:tc>
        <w:tc>
          <w:tcPr>
            <w:tcW w:w="8749" w:type="dxa"/>
            <w:gridSpan w:val="2"/>
            <w:vAlign w:val="center"/>
          </w:tcPr>
          <w:p>
            <w:pPr>
              <w:pStyle w:val="71"/>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990"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.1</w:t>
            </w:r>
          </w:p>
        </w:tc>
        <w:tc>
          <w:tcPr>
            <w:tcW w:w="2012" w:type="dxa"/>
            <w:tcBorders>
              <w:right w:val="single" w:color="auto" w:sz="4" w:space="0"/>
            </w:tcBorders>
            <w:vAlign w:val="center"/>
          </w:tcPr>
          <w:p>
            <w:pPr>
              <w:jc w:val="center"/>
              <w:rPr>
                <w:rFonts w:ascii="宋体" w:hAnsi="宋体" w:cs="宋体"/>
                <w:color w:val="auto"/>
                <w:sz w:val="21"/>
                <w:szCs w:val="21"/>
                <w:highlight w:val="none"/>
              </w:rPr>
            </w:pPr>
            <w:bookmarkStart w:id="31" w:name="_Toc21265989"/>
            <w:r>
              <w:rPr>
                <w:rFonts w:hint="eastAsia" w:ascii="宋体" w:hAnsi="宋体" w:cs="宋体"/>
                <w:color w:val="auto"/>
                <w:kern w:val="0"/>
                <w:sz w:val="21"/>
                <w:szCs w:val="21"/>
                <w:highlight w:val="none"/>
              </w:rPr>
              <w:t>中标后须提交完整投标文件电子版（U盘或光盘</w:t>
            </w:r>
            <w:r>
              <w:rPr>
                <w:rFonts w:hint="eastAsia" w:ascii="宋体" w:hAnsi="宋体" w:cs="宋体"/>
                <w:color w:val="auto"/>
                <w:sz w:val="21"/>
                <w:szCs w:val="21"/>
                <w:highlight w:val="none"/>
              </w:rPr>
              <w:t>）</w:t>
            </w:r>
            <w:bookmarkEnd w:id="31"/>
          </w:p>
        </w:tc>
        <w:tc>
          <w:tcPr>
            <w:tcW w:w="6737" w:type="dxa"/>
            <w:tcBorders>
              <w:left w:val="single" w:color="auto" w:sz="4" w:space="0"/>
            </w:tcBorders>
            <w:vAlign w:val="center"/>
          </w:tcPr>
          <w:p>
            <w:pPr>
              <w:ind w:firstLine="210" w:firstLineChars="100"/>
              <w:rPr>
                <w:rFonts w:ascii="宋体" w:hAnsi="宋体" w:cs="宋体"/>
                <w:color w:val="auto"/>
                <w:sz w:val="21"/>
                <w:szCs w:val="21"/>
                <w:highlight w:val="none"/>
              </w:rPr>
            </w:pPr>
            <w:bookmarkStart w:id="32" w:name="_Toc21265990"/>
            <w:r>
              <w:rPr>
                <w:rFonts w:hint="eastAsia" w:ascii="宋体" w:hAnsi="宋体" w:cs="宋体"/>
                <w:color w:val="auto"/>
                <w:sz w:val="21"/>
                <w:szCs w:val="21"/>
                <w:highlight w:val="none"/>
              </w:rPr>
              <w:t>数份：</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 xml:space="preserve">  格式：U盘或光盘   要求：电子表格、Word文档等。</w:t>
            </w:r>
            <w:bookmarkEnd w:id="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990"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11.2</w:t>
            </w:r>
          </w:p>
        </w:tc>
        <w:tc>
          <w:tcPr>
            <w:tcW w:w="2012" w:type="dxa"/>
            <w:tcBorders>
              <w:right w:val="single" w:color="auto" w:sz="4" w:space="0"/>
            </w:tcBorders>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中标后须提交的投标文件</w:t>
            </w:r>
          </w:p>
        </w:tc>
        <w:tc>
          <w:tcPr>
            <w:tcW w:w="6737" w:type="dxa"/>
            <w:tcBorders>
              <w:left w:val="single" w:color="auto" w:sz="4" w:space="0"/>
            </w:tcBorders>
            <w:vAlign w:val="center"/>
          </w:tcPr>
          <w:p>
            <w:pPr>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份数：</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 w:hRule="atLeast"/>
          <w:jc w:val="center"/>
        </w:trPr>
        <w:tc>
          <w:tcPr>
            <w:tcW w:w="990"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11.3</w:t>
            </w:r>
          </w:p>
        </w:tc>
        <w:tc>
          <w:tcPr>
            <w:tcW w:w="2012" w:type="dxa"/>
            <w:tcBorders>
              <w:right w:val="single" w:color="auto" w:sz="4" w:space="0"/>
            </w:tcBorders>
            <w:vAlign w:val="center"/>
          </w:tcPr>
          <w:p>
            <w:pPr>
              <w:jc w:val="center"/>
              <w:rPr>
                <w:rFonts w:ascii="宋体" w:hAnsi="宋体" w:cs="宋体"/>
                <w:color w:val="auto"/>
                <w:sz w:val="21"/>
                <w:szCs w:val="21"/>
                <w:highlight w:val="none"/>
              </w:rPr>
            </w:pPr>
            <w:bookmarkStart w:id="33" w:name="_Toc21265991"/>
            <w:r>
              <w:rPr>
                <w:rFonts w:hint="eastAsia" w:ascii="宋体" w:hAnsi="宋体" w:cs="宋体"/>
                <w:color w:val="auto"/>
                <w:sz w:val="21"/>
                <w:szCs w:val="21"/>
                <w:highlight w:val="none"/>
              </w:rPr>
              <w:t>未尽事宜</w:t>
            </w:r>
            <w:bookmarkEnd w:id="33"/>
          </w:p>
        </w:tc>
        <w:tc>
          <w:tcPr>
            <w:tcW w:w="6737" w:type="dxa"/>
            <w:tcBorders>
              <w:left w:val="single" w:color="auto" w:sz="4" w:space="0"/>
            </w:tcBorders>
            <w:vAlign w:val="center"/>
          </w:tcPr>
          <w:p>
            <w:pPr>
              <w:ind w:firstLine="210" w:firstLineChars="100"/>
              <w:jc w:val="left"/>
              <w:rPr>
                <w:rFonts w:ascii="宋体" w:hAnsi="宋体" w:cs="宋体"/>
                <w:color w:val="auto"/>
                <w:sz w:val="21"/>
                <w:szCs w:val="21"/>
                <w:highlight w:val="none"/>
              </w:rPr>
            </w:pPr>
            <w:bookmarkStart w:id="34" w:name="_Toc21265992"/>
            <w:r>
              <w:rPr>
                <w:rFonts w:hint="eastAsia" w:ascii="宋体" w:hAnsi="宋体" w:cs="宋体"/>
                <w:color w:val="auto"/>
                <w:sz w:val="21"/>
                <w:szCs w:val="21"/>
                <w:highlight w:val="none"/>
              </w:rPr>
              <w:t>本招标文件未尽事宜按《中华人民共和国招标投标法》、《中华人民共和国招标投标法实施条例》、《广东省实施〈中华人民共和国招标投标法〉办法》及部门规章执行。</w:t>
            </w:r>
            <w:bookmarkEnd w:id="34"/>
          </w:p>
        </w:tc>
      </w:tr>
    </w:tbl>
    <w:p>
      <w:pPr>
        <w:autoSpaceDE w:val="0"/>
        <w:autoSpaceDN w:val="0"/>
        <w:adjustRightInd w:val="0"/>
        <w:spacing w:line="460" w:lineRule="exact"/>
        <w:outlineLvl w:val="2"/>
        <w:rPr>
          <w:rFonts w:ascii="宋体" w:hAnsi="宋体" w:cs="宋体"/>
          <w:b/>
          <w:bCs/>
          <w:color w:val="auto"/>
          <w:kern w:val="0"/>
          <w:sz w:val="21"/>
          <w:szCs w:val="21"/>
          <w:highlight w:val="none"/>
        </w:rPr>
      </w:pPr>
      <w:r>
        <w:rPr>
          <w:rFonts w:ascii="宋体" w:hAnsi="宋体"/>
          <w:b/>
          <w:bCs/>
          <w:color w:val="auto"/>
          <w:kern w:val="0"/>
          <w:sz w:val="32"/>
          <w:szCs w:val="32"/>
          <w:highlight w:val="none"/>
        </w:rPr>
        <w:br w:type="page"/>
      </w:r>
      <w:bookmarkStart w:id="35" w:name="_Toc12199_WPSOffice_Level2"/>
      <w:bookmarkStart w:id="36" w:name="_Toc29441"/>
      <w:bookmarkStart w:id="37" w:name="_Toc469471988"/>
      <w:bookmarkStart w:id="38" w:name="_Toc202697109"/>
      <w:bookmarkStart w:id="39" w:name="_Toc260744674"/>
      <w:bookmarkStart w:id="40" w:name="_Toc216346042"/>
      <w:r>
        <w:rPr>
          <w:rFonts w:hint="eastAsia" w:ascii="宋体" w:hAnsi="宋体" w:cs="宋体"/>
          <w:b/>
          <w:bCs/>
          <w:color w:val="auto"/>
          <w:kern w:val="0"/>
          <w:sz w:val="21"/>
          <w:szCs w:val="21"/>
          <w:highlight w:val="none"/>
        </w:rPr>
        <w:t>1.总则</w:t>
      </w:r>
      <w:bookmarkEnd w:id="35"/>
      <w:bookmarkEnd w:id="36"/>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41" w:name="_bookmark21"/>
      <w:bookmarkEnd w:id="41"/>
      <w:bookmarkStart w:id="42" w:name="_Toc26784"/>
      <w:r>
        <w:rPr>
          <w:rFonts w:hint="eastAsia" w:ascii="宋体" w:hAnsi="宋体" w:cs="宋体"/>
          <w:b/>
          <w:bCs/>
          <w:color w:val="auto"/>
          <w:kern w:val="0"/>
          <w:sz w:val="21"/>
          <w:szCs w:val="21"/>
          <w:highlight w:val="none"/>
        </w:rPr>
        <w:t>1.1项目概况</w:t>
      </w:r>
      <w:bookmarkEnd w:id="42"/>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1.1.1 根据《中华人民共和国招标投标法》、《中华人民共和国招标投标法实施条例》等有关法律、法规和规章的规定，本招标项目已具备招标条件，现对监理进行招标。</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1.1.2 招标人：见投标人须知前附表。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1.1.3 招标代理机构：见投标人须知前附表。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1.1.4 招标项目名称：见投标人须知前附表。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1.1.5 项目建设地点：见投标人须知前附表。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 项目建设规模：见投标人须知前附表。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 工程项目施工预计开工日期和建设周期：见投标人须知前附表。</w:t>
      </w:r>
    </w:p>
    <w:p>
      <w:pPr>
        <w:autoSpaceDE w:val="0"/>
        <w:autoSpaceDN w:val="0"/>
        <w:adjustRightInd w:val="0"/>
        <w:spacing w:line="460" w:lineRule="exact"/>
        <w:ind w:firstLine="420" w:firstLineChars="200"/>
        <w:jc w:val="left"/>
        <w:outlineLvl w:val="2"/>
        <w:rPr>
          <w:rFonts w:ascii="宋体" w:hAnsi="宋体" w:cs="宋体"/>
          <w:color w:val="auto"/>
          <w:kern w:val="0"/>
          <w:sz w:val="21"/>
          <w:szCs w:val="21"/>
          <w:highlight w:val="none"/>
        </w:rPr>
      </w:pPr>
      <w:bookmarkStart w:id="43" w:name="_Toc22953"/>
      <w:r>
        <w:rPr>
          <w:rFonts w:hint="eastAsia" w:ascii="宋体" w:hAnsi="宋体" w:cs="宋体"/>
          <w:color w:val="auto"/>
          <w:kern w:val="0"/>
          <w:sz w:val="21"/>
          <w:szCs w:val="21"/>
          <w:highlight w:val="none"/>
        </w:rPr>
        <w:t>1.1.8 建筑安装工程费/工程概算：见投标人须知前附表。</w:t>
      </w:r>
      <w:bookmarkEnd w:id="43"/>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44" w:name="_bookmark22"/>
      <w:bookmarkEnd w:id="44"/>
      <w:bookmarkStart w:id="45" w:name="_Toc21836"/>
      <w:r>
        <w:rPr>
          <w:rFonts w:hint="eastAsia" w:ascii="宋体" w:hAnsi="宋体" w:cs="宋体"/>
          <w:b/>
          <w:bCs/>
          <w:color w:val="auto"/>
          <w:kern w:val="0"/>
          <w:sz w:val="21"/>
          <w:szCs w:val="21"/>
          <w:highlight w:val="none"/>
        </w:rPr>
        <w:t>1.2 招标项目的资金来源和落实情况</w:t>
      </w:r>
      <w:bookmarkEnd w:id="45"/>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1.2.1 资金来源及比例：见投标人须知前附表。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1.2.2 资金落实情况：见投标人须知前附表。</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46" w:name="_bookmark23"/>
      <w:bookmarkEnd w:id="46"/>
      <w:bookmarkStart w:id="47" w:name="_Toc26846"/>
      <w:r>
        <w:rPr>
          <w:rFonts w:hint="eastAsia" w:ascii="宋体" w:hAnsi="宋体" w:cs="宋体"/>
          <w:b/>
          <w:bCs/>
          <w:color w:val="auto"/>
          <w:kern w:val="0"/>
          <w:sz w:val="21"/>
          <w:szCs w:val="21"/>
          <w:highlight w:val="none"/>
        </w:rPr>
        <w:t>1.3 招标范围、监理服务期限和质量标准</w:t>
      </w:r>
      <w:bookmarkEnd w:id="47"/>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 招标范围：见投标人须知前附表。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1.3.2 监理服务期限：见投标人须知前附表。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1.3.3 质量标准：见投标人须知前附表。</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48" w:name="_bookmark24"/>
      <w:bookmarkEnd w:id="48"/>
      <w:bookmarkStart w:id="49" w:name="_Toc684"/>
      <w:r>
        <w:rPr>
          <w:rFonts w:hint="eastAsia" w:ascii="宋体" w:hAnsi="宋体" w:cs="宋体"/>
          <w:b/>
          <w:bCs/>
          <w:color w:val="auto"/>
          <w:kern w:val="0"/>
          <w:sz w:val="21"/>
          <w:szCs w:val="21"/>
          <w:highlight w:val="none"/>
        </w:rPr>
        <w:t>1.4 投标人资格要求</w:t>
      </w:r>
      <w:bookmarkEnd w:id="49"/>
    </w:p>
    <w:p>
      <w:pPr>
        <w:autoSpaceDE w:val="0"/>
        <w:autoSpaceDN w:val="0"/>
        <w:adjustRightInd w:val="0"/>
        <w:spacing w:line="460" w:lineRule="exact"/>
        <w:ind w:firstLine="420" w:firstLineChars="200"/>
        <w:jc w:val="left"/>
        <w:outlineLvl w:val="2"/>
        <w:rPr>
          <w:rFonts w:ascii="宋体" w:hAnsi="宋体" w:cs="宋体"/>
          <w:color w:val="auto"/>
          <w:kern w:val="0"/>
          <w:sz w:val="21"/>
          <w:szCs w:val="21"/>
          <w:highlight w:val="none"/>
        </w:rPr>
      </w:pPr>
      <w:bookmarkStart w:id="50" w:name="_bookmark25"/>
      <w:bookmarkEnd w:id="50"/>
      <w:bookmarkStart w:id="51" w:name="_Toc16355"/>
      <w:r>
        <w:rPr>
          <w:rFonts w:hint="eastAsia" w:ascii="宋体" w:hAnsi="宋体" w:cs="宋体"/>
          <w:color w:val="auto"/>
          <w:kern w:val="0"/>
          <w:sz w:val="21"/>
          <w:szCs w:val="21"/>
          <w:highlight w:val="none"/>
        </w:rPr>
        <w:t>1.4.1 投标人应具备承担本招标项目资质条件、能力和信誉：</w:t>
      </w:r>
      <w:bookmarkEnd w:id="51"/>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（1）资质要求：见投标人须知前附表；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（2）财务要求：见投标人须知前附表；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（3）业绩要求：见投标人须知前附表；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（4）信誉要求：见投标人须知前附表；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（5）总监理工程师的资格要求：见投标人须知前附表；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（6）其他主要人员要求：见投标人须知前附表。</w:t>
      </w:r>
    </w:p>
    <w:p>
      <w:pPr>
        <w:autoSpaceDE w:val="0"/>
        <w:autoSpaceDN w:val="0"/>
        <w:adjustRightInd w:val="0"/>
        <w:spacing w:line="460" w:lineRule="exact"/>
        <w:ind w:firstLine="420" w:firstLineChars="200"/>
        <w:jc w:val="left"/>
        <w:outlineLvl w:val="2"/>
        <w:rPr>
          <w:rFonts w:ascii="宋体" w:hAnsi="宋体" w:cs="宋体"/>
          <w:color w:val="auto"/>
          <w:kern w:val="0"/>
          <w:sz w:val="21"/>
          <w:szCs w:val="21"/>
          <w:highlight w:val="none"/>
        </w:rPr>
      </w:pPr>
      <w:r>
        <w:rPr>
          <w:rFonts w:hint="eastAsia" w:ascii="宋体" w:hAnsi="宋体" w:cs="宋体"/>
          <w:color w:val="auto"/>
          <w:kern w:val="0"/>
          <w:sz w:val="21"/>
          <w:szCs w:val="21"/>
          <w:highlight w:val="none"/>
        </w:rPr>
        <w:t>1.4.2本工程不接受联合体投标</w:t>
      </w:r>
      <w:bookmarkStart w:id="52" w:name="_Toc4037"/>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1.4.3 投标人不得存在下列情形之一：</w:t>
      </w:r>
      <w:bookmarkEnd w:id="52"/>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（1）为招标人不具有独立法人资格的附属机构（单位）；</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（2）与招标人存在利害关系且可能影响招标公正性；</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（3）与本招标项目的其他投标人为同一个单位负责人；</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（4）与本招标项目的其他投标人存在控股、管理关系；</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（5）为本招标项目的代建人；</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（6）为本招标项目的招标代理机构；</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（7）与本招标项目的代建人或招标代理机构同为一个法定代表人；</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（8）与本招标项目的代建人或招标代理机构存在控股或参股关系；</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（9）与本招标项目的施工承包人以及建筑材料、建筑构配件和设备供应商有隶属关系或者其他利害关系；</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（10）被依法暂停或者取消投标资格；</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（11）被责令停产停业、暂扣或者吊销许可证、暂扣或者吊销执照；</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（12）进入清算程序，或被宣告破产，或其他丧失履约能力的情形；</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（13）在最近三年内发生重大工程质量或安全问题（以相关行业主管部门的行政处罚决定或司法机关出具的有关法律文书为准）；</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（14）被工商行政管理机关在全国企业信用信息公示系统中列入严重违法失信企业名单；</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（15）被最高人民法院在“信用中国”网站（https://www.creditchina.gov.cn）或各级信用信息共享平台中列入失信被执行人名单；</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（16）法律法规或投标人须知前附表规定的其他情形。</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53" w:name="_Toc21308"/>
      <w:r>
        <w:rPr>
          <w:rFonts w:hint="eastAsia" w:ascii="宋体" w:hAnsi="宋体" w:cs="宋体"/>
          <w:b/>
          <w:bCs/>
          <w:color w:val="auto"/>
          <w:kern w:val="0"/>
          <w:sz w:val="21"/>
          <w:szCs w:val="21"/>
          <w:highlight w:val="none"/>
        </w:rPr>
        <w:t>1.5 费用承担</w:t>
      </w:r>
      <w:bookmarkEnd w:id="53"/>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bookmarkStart w:id="54" w:name="_bookmark26"/>
      <w:bookmarkEnd w:id="54"/>
      <w:r>
        <w:rPr>
          <w:rFonts w:hint="eastAsia" w:ascii="宋体" w:hAnsi="宋体" w:cs="宋体"/>
          <w:color w:val="auto"/>
          <w:kern w:val="0"/>
          <w:sz w:val="21"/>
          <w:szCs w:val="21"/>
          <w:highlight w:val="none"/>
        </w:rPr>
        <w:t>1.5.1 投标人准备和参加投标活动发生的费用自理。</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1.5.2 其他费用：见投标人须知前附表。</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55" w:name="_Toc21108"/>
      <w:r>
        <w:rPr>
          <w:rFonts w:hint="eastAsia" w:ascii="宋体" w:hAnsi="宋体" w:cs="宋体"/>
          <w:b/>
          <w:bCs/>
          <w:color w:val="auto"/>
          <w:kern w:val="0"/>
          <w:sz w:val="21"/>
          <w:szCs w:val="21"/>
          <w:highlight w:val="none"/>
        </w:rPr>
        <w:t>1.6 保密</w:t>
      </w:r>
      <w:bookmarkEnd w:id="55"/>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1.6.1 参与招标投标活动的各方应对招标文件和投标文件中的商业和技术等秘密保密，否则应承担相应的法律责任。</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56" w:name="_bookmark27"/>
      <w:bookmarkEnd w:id="56"/>
      <w:bookmarkStart w:id="57" w:name="_Toc3880"/>
      <w:r>
        <w:rPr>
          <w:rFonts w:hint="eastAsia" w:ascii="宋体" w:hAnsi="宋体" w:cs="宋体"/>
          <w:b/>
          <w:bCs/>
          <w:color w:val="auto"/>
          <w:kern w:val="0"/>
          <w:sz w:val="21"/>
          <w:szCs w:val="21"/>
          <w:highlight w:val="none"/>
        </w:rPr>
        <w:t>1.7 语言文字</w:t>
      </w:r>
      <w:bookmarkEnd w:id="57"/>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1.7.1 招标投标文件使用的语言文字为中文。专用术语使用外文的，应附有中文注释。</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58" w:name="_bookmark28"/>
      <w:bookmarkEnd w:id="58"/>
      <w:bookmarkStart w:id="59" w:name="_Toc9319"/>
      <w:r>
        <w:rPr>
          <w:rFonts w:hint="eastAsia" w:ascii="宋体" w:hAnsi="宋体" w:cs="宋体"/>
          <w:b/>
          <w:bCs/>
          <w:color w:val="auto"/>
          <w:kern w:val="0"/>
          <w:sz w:val="21"/>
          <w:szCs w:val="21"/>
          <w:highlight w:val="none"/>
        </w:rPr>
        <w:t>1.8 计量单位</w:t>
      </w:r>
      <w:bookmarkEnd w:id="59"/>
    </w:p>
    <w:p>
      <w:pPr>
        <w:autoSpaceDE w:val="0"/>
        <w:autoSpaceDN w:val="0"/>
        <w:adjustRightInd w:val="0"/>
        <w:spacing w:line="460" w:lineRule="exact"/>
        <w:ind w:firstLine="420" w:firstLineChars="200"/>
        <w:jc w:val="left"/>
        <w:outlineLvl w:val="2"/>
        <w:rPr>
          <w:rFonts w:ascii="宋体" w:hAnsi="宋体" w:cs="宋体"/>
          <w:color w:val="auto"/>
          <w:kern w:val="0"/>
          <w:sz w:val="21"/>
          <w:szCs w:val="21"/>
          <w:highlight w:val="none"/>
        </w:rPr>
      </w:pPr>
      <w:bookmarkStart w:id="60" w:name="_Toc21317"/>
      <w:r>
        <w:rPr>
          <w:rFonts w:hint="eastAsia" w:ascii="宋体" w:hAnsi="宋体" w:cs="宋体"/>
          <w:color w:val="auto"/>
          <w:kern w:val="0"/>
          <w:sz w:val="21"/>
          <w:szCs w:val="21"/>
          <w:highlight w:val="none"/>
        </w:rPr>
        <w:t>1.8.1 所有计量均采用中华人民共和国法定计量单位。</w:t>
      </w:r>
      <w:bookmarkEnd w:id="60"/>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61" w:name="_bookmark29"/>
      <w:bookmarkEnd w:id="61"/>
      <w:bookmarkStart w:id="62" w:name="_Toc18636"/>
      <w:r>
        <w:rPr>
          <w:rFonts w:hint="eastAsia" w:ascii="宋体" w:hAnsi="宋体" w:cs="宋体"/>
          <w:b/>
          <w:bCs/>
          <w:color w:val="auto"/>
          <w:kern w:val="0"/>
          <w:sz w:val="21"/>
          <w:szCs w:val="21"/>
          <w:highlight w:val="none"/>
        </w:rPr>
        <w:t>1.9 踏勘现场</w:t>
      </w:r>
      <w:bookmarkEnd w:id="62"/>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pPr>
        <w:autoSpaceDE w:val="0"/>
        <w:autoSpaceDN w:val="0"/>
        <w:adjustRightInd w:val="0"/>
        <w:spacing w:line="460" w:lineRule="exact"/>
        <w:ind w:firstLine="420" w:firstLineChars="200"/>
        <w:jc w:val="left"/>
        <w:outlineLvl w:val="2"/>
        <w:rPr>
          <w:rFonts w:ascii="宋体" w:hAnsi="宋体" w:cs="宋体"/>
          <w:color w:val="auto"/>
          <w:kern w:val="0"/>
          <w:sz w:val="21"/>
          <w:szCs w:val="21"/>
          <w:highlight w:val="none"/>
        </w:rPr>
      </w:pPr>
      <w:bookmarkStart w:id="63" w:name="_Toc14343"/>
      <w:r>
        <w:rPr>
          <w:rFonts w:hint="eastAsia" w:ascii="宋体" w:hAnsi="宋体" w:cs="宋体"/>
          <w:color w:val="auto"/>
          <w:kern w:val="0"/>
          <w:sz w:val="21"/>
          <w:szCs w:val="21"/>
          <w:highlight w:val="none"/>
        </w:rPr>
        <w:t>1.9.2 投标人踏勘现场发生的费用自理。</w:t>
      </w:r>
      <w:bookmarkEnd w:id="63"/>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1.9.3 除招标人的原因外，投标人自行负责在踏勘现场中所发生的人员伤亡和财产损失。</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1.9.4 招标人在踏勘现场中介绍的工程场地和相关的周边环境情况，供投标人在编制投标文件时参考，招标人不对投标人据此作出的判断和决策负责。</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64" w:name="_bookmark30"/>
      <w:bookmarkEnd w:id="64"/>
      <w:bookmarkStart w:id="65" w:name="_Toc14420"/>
      <w:r>
        <w:rPr>
          <w:rFonts w:hint="eastAsia" w:ascii="宋体" w:hAnsi="宋体" w:cs="宋体"/>
          <w:b/>
          <w:bCs/>
          <w:color w:val="auto"/>
          <w:kern w:val="0"/>
          <w:sz w:val="21"/>
          <w:szCs w:val="21"/>
          <w:highlight w:val="none"/>
        </w:rPr>
        <w:t>1.10 投标预备会</w:t>
      </w:r>
      <w:bookmarkEnd w:id="65"/>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bookmarkStart w:id="66" w:name="_bookmark32"/>
      <w:bookmarkEnd w:id="66"/>
      <w:r>
        <w:rPr>
          <w:rFonts w:hint="eastAsia" w:ascii="宋体" w:hAnsi="宋体" w:cs="宋体"/>
          <w:color w:val="auto"/>
          <w:kern w:val="0"/>
          <w:sz w:val="21"/>
          <w:szCs w:val="21"/>
          <w:highlight w:val="none"/>
        </w:rPr>
        <w:t>1.10.1 投标人须知前附表规定召开投标预备会的，招标人按投标人须知前附表规定的时间和地点召开投标预备会，澄清投标人提出的问题。</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1.10.2 投标人应按投标人须知前附表规定的时间和形式将提出的问题送达招标人，以便招标人在会议期间澄清。</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1.10.3 投标预备会后，招标人将对投标人所提问题的澄清，以投标人须知前附表规定的形式通知所有购买招标文件的投标人。该澄清内容为招标文件的组成部分。</w:t>
      </w:r>
    </w:p>
    <w:p>
      <w:pPr>
        <w:adjustRightInd w:val="0"/>
        <w:snapToGrid w:val="0"/>
        <w:spacing w:line="460" w:lineRule="exact"/>
        <w:outlineLvl w:val="1"/>
        <w:rPr>
          <w:rFonts w:ascii="宋体" w:hAnsi="宋体" w:cs="宋体"/>
          <w:color w:val="auto"/>
          <w:sz w:val="21"/>
          <w:szCs w:val="21"/>
          <w:highlight w:val="none"/>
        </w:rPr>
      </w:pPr>
      <w:bookmarkStart w:id="67" w:name="_Toc21795"/>
      <w:r>
        <w:rPr>
          <w:rFonts w:hint="eastAsia" w:ascii="宋体" w:hAnsi="宋体" w:cs="宋体"/>
          <w:b/>
          <w:color w:val="auto"/>
          <w:sz w:val="21"/>
          <w:szCs w:val="21"/>
          <w:highlight w:val="none"/>
        </w:rPr>
        <w:t>1.11 分包</w:t>
      </w:r>
      <w:bookmarkEnd w:id="67"/>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本项目严禁分包。</w:t>
      </w:r>
    </w:p>
    <w:p>
      <w:pPr>
        <w:adjustRightInd w:val="0"/>
        <w:snapToGrid w:val="0"/>
        <w:spacing w:line="460" w:lineRule="exact"/>
        <w:outlineLvl w:val="1"/>
        <w:rPr>
          <w:rFonts w:ascii="宋体" w:hAnsi="宋体" w:cs="宋体"/>
          <w:color w:val="auto"/>
          <w:sz w:val="21"/>
          <w:szCs w:val="21"/>
          <w:highlight w:val="none"/>
        </w:rPr>
      </w:pPr>
      <w:bookmarkStart w:id="68" w:name="_Toc20100"/>
      <w:r>
        <w:rPr>
          <w:rFonts w:hint="eastAsia" w:ascii="宋体" w:hAnsi="宋体" w:cs="宋体"/>
          <w:b/>
          <w:color w:val="auto"/>
          <w:sz w:val="21"/>
          <w:szCs w:val="21"/>
          <w:highlight w:val="none"/>
        </w:rPr>
        <w:t>1.12 偏离</w:t>
      </w:r>
      <w:bookmarkEnd w:id="68"/>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1.12.2 投标人应根据招标文件的要求提供投标监理大纲等内容以对招标文件作出响应。</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1.12.3 投标人须知前附表允许投标文件偏离招标文件某些要求的，偏差应当符合招标文件规定的偏差范围和幅度。</w:t>
      </w:r>
    </w:p>
    <w:p>
      <w:pPr>
        <w:autoSpaceDE w:val="0"/>
        <w:autoSpaceDN w:val="0"/>
        <w:adjustRightInd w:val="0"/>
        <w:spacing w:line="460" w:lineRule="exact"/>
        <w:jc w:val="left"/>
        <w:outlineLvl w:val="2"/>
        <w:rPr>
          <w:rFonts w:ascii="宋体" w:hAnsi="宋体" w:cs="宋体"/>
          <w:b/>
          <w:bCs/>
          <w:color w:val="auto"/>
          <w:kern w:val="0"/>
          <w:sz w:val="21"/>
          <w:szCs w:val="21"/>
          <w:highlight w:val="none"/>
        </w:rPr>
      </w:pPr>
      <w:bookmarkStart w:id="69" w:name="_Toc14372"/>
      <w:r>
        <w:rPr>
          <w:rFonts w:hint="eastAsia" w:ascii="宋体" w:hAnsi="宋体" w:cs="宋体"/>
          <w:b/>
          <w:bCs/>
          <w:color w:val="auto"/>
          <w:kern w:val="0"/>
          <w:sz w:val="21"/>
          <w:szCs w:val="21"/>
          <w:highlight w:val="none"/>
        </w:rPr>
        <w:t>2．招标文件的组成、澄清和修改</w:t>
      </w:r>
      <w:bookmarkEnd w:id="37"/>
      <w:bookmarkEnd w:id="38"/>
      <w:bookmarkEnd w:id="39"/>
      <w:bookmarkEnd w:id="40"/>
      <w:bookmarkEnd w:id="69"/>
    </w:p>
    <w:p>
      <w:pPr>
        <w:autoSpaceDE w:val="0"/>
        <w:autoSpaceDN w:val="0"/>
        <w:adjustRightInd w:val="0"/>
        <w:spacing w:line="460" w:lineRule="exact"/>
        <w:ind w:right="5625"/>
        <w:jc w:val="left"/>
        <w:outlineLvl w:val="1"/>
        <w:rPr>
          <w:rFonts w:ascii="宋体" w:hAnsi="宋体" w:cs="宋体"/>
          <w:b/>
          <w:color w:val="auto"/>
          <w:kern w:val="0"/>
          <w:sz w:val="21"/>
          <w:szCs w:val="21"/>
          <w:highlight w:val="none"/>
        </w:rPr>
      </w:pPr>
      <w:bookmarkStart w:id="70" w:name="_Toc27247"/>
      <w:r>
        <w:rPr>
          <w:rFonts w:hint="eastAsia" w:ascii="宋体" w:hAnsi="宋体" w:cs="宋体"/>
          <w:b/>
          <w:bCs/>
          <w:color w:val="auto"/>
          <w:kern w:val="0"/>
          <w:sz w:val="21"/>
          <w:szCs w:val="21"/>
          <w:highlight w:val="none"/>
        </w:rPr>
        <w:t xml:space="preserve">2.l </w:t>
      </w:r>
      <w:r>
        <w:rPr>
          <w:rFonts w:hint="eastAsia" w:ascii="宋体" w:hAnsi="宋体" w:cs="宋体"/>
          <w:b/>
          <w:color w:val="auto"/>
          <w:kern w:val="0"/>
          <w:sz w:val="21"/>
          <w:szCs w:val="21"/>
          <w:highlight w:val="none"/>
          <w:lang w:eastAsia="zh-TW"/>
        </w:rPr>
        <w:t>招标文件的组成</w:t>
      </w:r>
      <w:bookmarkEnd w:id="70"/>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招标文件包括下列文件：</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（1）招标公告；</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（2）投标人须知；</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（3）评标标准和办法；</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（4）投标文件格式；</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（5）招标人(或招标代理人) 在招标期间按本须知第2.2和第2.3条规定发出的所有有正式编号的补充通知和其他有效函件。</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71" w:name="_Toc29881"/>
      <w:r>
        <w:rPr>
          <w:rFonts w:hint="eastAsia" w:ascii="宋体" w:hAnsi="宋体" w:cs="宋体"/>
          <w:b/>
          <w:bCs/>
          <w:color w:val="auto"/>
          <w:kern w:val="0"/>
          <w:sz w:val="21"/>
          <w:szCs w:val="21"/>
          <w:highlight w:val="none"/>
        </w:rPr>
        <w:t>2.2 招标文件的质疑和答疑</w:t>
      </w:r>
      <w:bookmarkEnd w:id="71"/>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2.2.2 招标文件的澄清将在投标人须知附表规定的投标截止时间7天以前发布于</w:t>
      </w:r>
      <w:r>
        <w:rPr>
          <w:rFonts w:hint="eastAsia" w:ascii="宋体" w:hAnsi="宋体" w:cs="宋体"/>
          <w:color w:val="auto"/>
          <w:kern w:val="0"/>
          <w:sz w:val="21"/>
          <w:szCs w:val="21"/>
          <w:highlight w:val="none"/>
          <w:shd w:val="clear" w:color="auto" w:fill="FFFFFF"/>
        </w:rPr>
        <w:t>全国公共资源交易平台（广东省·韶关市）（https://ygp.gdzwfw.gov.cn/ggzy-portal/#/440200/index）</w:t>
      </w:r>
      <w:r>
        <w:rPr>
          <w:rFonts w:hint="eastAsia" w:ascii="宋体" w:hAnsi="宋体" w:cs="宋体"/>
          <w:color w:val="auto"/>
          <w:kern w:val="0"/>
          <w:sz w:val="21"/>
          <w:szCs w:val="21"/>
          <w:highlight w:val="none"/>
        </w:rPr>
        <w:t>。但不说明问题的来源。如果澄清发出的时间距投标截止时间不足7天，相应延长投标截止时间。</w:t>
      </w:r>
    </w:p>
    <w:p>
      <w:pPr>
        <w:autoSpaceDE w:val="0"/>
        <w:autoSpaceDN w:val="0"/>
        <w:adjustRightInd w:val="0"/>
        <w:spacing w:line="460" w:lineRule="exact"/>
        <w:ind w:firstLine="420" w:firstLineChars="200"/>
        <w:jc w:val="left"/>
        <w:outlineLvl w:val="2"/>
        <w:rPr>
          <w:rFonts w:ascii="宋体" w:hAnsi="宋体" w:cs="宋体"/>
          <w:color w:val="auto"/>
          <w:kern w:val="0"/>
          <w:sz w:val="21"/>
          <w:szCs w:val="21"/>
          <w:highlight w:val="none"/>
        </w:rPr>
      </w:pPr>
      <w:bookmarkStart w:id="72" w:name="_Toc26183"/>
      <w:r>
        <w:rPr>
          <w:rFonts w:hint="eastAsia" w:ascii="宋体" w:hAnsi="宋体" w:cs="宋体"/>
          <w:color w:val="auto"/>
          <w:kern w:val="0"/>
          <w:sz w:val="21"/>
          <w:szCs w:val="21"/>
          <w:highlight w:val="none"/>
        </w:rPr>
        <w:t>2.2.3答疑一旦网上发布，即视为已通知给所有投标人。</w:t>
      </w:r>
      <w:bookmarkEnd w:id="72"/>
    </w:p>
    <w:p>
      <w:pPr>
        <w:pStyle w:val="7"/>
        <w:spacing w:before="0" w:after="0" w:line="4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2.2.4 除非招标人认为确有必要答复，否则，招标人有权拒绝回复投标人在本章第2.2.1项规定的时间后的任何澄清要求。</w:t>
      </w:r>
    </w:p>
    <w:p>
      <w:pPr>
        <w:autoSpaceDE w:val="0"/>
        <w:autoSpaceDN w:val="0"/>
        <w:adjustRightInd w:val="0"/>
        <w:spacing w:line="460" w:lineRule="exact"/>
        <w:jc w:val="left"/>
        <w:outlineLvl w:val="1"/>
        <w:rPr>
          <w:rFonts w:ascii="宋体" w:hAnsi="宋体" w:cs="宋体"/>
          <w:b/>
          <w:color w:val="auto"/>
          <w:kern w:val="0"/>
          <w:sz w:val="21"/>
          <w:szCs w:val="21"/>
          <w:highlight w:val="none"/>
        </w:rPr>
      </w:pPr>
      <w:bookmarkStart w:id="73" w:name="_Toc17547"/>
      <w:r>
        <w:rPr>
          <w:rFonts w:hint="eastAsia" w:ascii="宋体" w:hAnsi="宋体" w:cs="宋体"/>
          <w:b/>
          <w:bCs/>
          <w:color w:val="auto"/>
          <w:kern w:val="0"/>
          <w:sz w:val="21"/>
          <w:szCs w:val="21"/>
          <w:highlight w:val="none"/>
        </w:rPr>
        <w:t xml:space="preserve">2.3 </w:t>
      </w:r>
      <w:r>
        <w:rPr>
          <w:rFonts w:hint="eastAsia" w:ascii="宋体" w:hAnsi="宋体" w:cs="宋体"/>
          <w:b/>
          <w:color w:val="auto"/>
          <w:kern w:val="0"/>
          <w:sz w:val="21"/>
          <w:szCs w:val="21"/>
          <w:highlight w:val="none"/>
        </w:rPr>
        <w:t>招标文件的修改</w:t>
      </w:r>
      <w:bookmarkEnd w:id="73"/>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bookmarkStart w:id="74" w:name="_Toc469471990"/>
      <w:bookmarkStart w:id="75" w:name="_Toc260744676"/>
      <w:bookmarkStart w:id="76" w:name="_Toc202697111"/>
      <w:bookmarkStart w:id="77" w:name="_Toc216346044"/>
      <w:r>
        <w:rPr>
          <w:rFonts w:hint="eastAsia" w:ascii="宋体" w:hAnsi="宋体" w:cs="宋体"/>
          <w:color w:val="auto"/>
          <w:kern w:val="0"/>
          <w:sz w:val="21"/>
          <w:szCs w:val="21"/>
          <w:highlight w:val="none"/>
        </w:rPr>
        <w:t>2.3.1 招标人以投标人须知前附表规定的形式修改招标文件，并通知所有投标人。修改招标文件的时间距本章第 4.2.1 项规定的投标截止时间不足 15 日的，并且修改内容可能影响投标文件编制的，将相应延长投标截止时间。</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78" w:name="_Toc6801"/>
      <w:r>
        <w:rPr>
          <w:rFonts w:hint="eastAsia" w:ascii="宋体" w:hAnsi="宋体" w:cs="宋体"/>
          <w:b/>
          <w:bCs/>
          <w:color w:val="auto"/>
          <w:kern w:val="0"/>
          <w:sz w:val="21"/>
          <w:szCs w:val="21"/>
          <w:highlight w:val="none"/>
        </w:rPr>
        <w:t>2.4 招标文件的异议</w:t>
      </w:r>
      <w:bookmarkEnd w:id="78"/>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pacing w:line="460" w:lineRule="exact"/>
        <w:jc w:val="left"/>
        <w:outlineLvl w:val="2"/>
        <w:rPr>
          <w:rFonts w:ascii="宋体" w:hAnsi="宋体" w:cs="宋体"/>
          <w:b/>
          <w:bCs/>
          <w:color w:val="auto"/>
          <w:kern w:val="0"/>
          <w:sz w:val="21"/>
          <w:szCs w:val="21"/>
          <w:highlight w:val="none"/>
        </w:rPr>
      </w:pPr>
      <w:bookmarkStart w:id="79" w:name="_Toc9668"/>
      <w:r>
        <w:rPr>
          <w:rFonts w:hint="eastAsia" w:ascii="宋体" w:hAnsi="宋体" w:cs="宋体"/>
          <w:b/>
          <w:bCs/>
          <w:color w:val="auto"/>
          <w:kern w:val="0"/>
          <w:sz w:val="21"/>
          <w:szCs w:val="21"/>
          <w:highlight w:val="none"/>
        </w:rPr>
        <w:t>3.投标文件的编制</w:t>
      </w:r>
      <w:bookmarkEnd w:id="74"/>
      <w:bookmarkEnd w:id="75"/>
      <w:bookmarkEnd w:id="76"/>
      <w:bookmarkEnd w:id="77"/>
      <w:bookmarkEnd w:id="79"/>
    </w:p>
    <w:p>
      <w:pPr>
        <w:autoSpaceDE w:val="0"/>
        <w:autoSpaceDN w:val="0"/>
        <w:adjustRightInd w:val="0"/>
        <w:spacing w:line="460" w:lineRule="exact"/>
        <w:ind w:right="91"/>
        <w:jc w:val="left"/>
        <w:outlineLvl w:val="1"/>
        <w:rPr>
          <w:rFonts w:ascii="宋体" w:hAnsi="宋体" w:cs="宋体"/>
          <w:color w:val="auto"/>
          <w:kern w:val="0"/>
          <w:sz w:val="21"/>
          <w:szCs w:val="21"/>
          <w:highlight w:val="none"/>
        </w:rPr>
      </w:pPr>
      <w:bookmarkStart w:id="80" w:name="_Toc28227"/>
      <w:r>
        <w:rPr>
          <w:rFonts w:hint="eastAsia" w:ascii="宋体" w:hAnsi="宋体" w:cs="宋体"/>
          <w:b/>
          <w:bCs/>
          <w:color w:val="auto"/>
          <w:kern w:val="0"/>
          <w:sz w:val="21"/>
          <w:szCs w:val="21"/>
          <w:highlight w:val="none"/>
        </w:rPr>
        <w:t xml:space="preserve">3.1 </w:t>
      </w:r>
      <w:r>
        <w:rPr>
          <w:rFonts w:hint="eastAsia" w:ascii="宋体" w:hAnsi="宋体" w:cs="宋体"/>
          <w:color w:val="auto"/>
          <w:kern w:val="0"/>
          <w:sz w:val="21"/>
          <w:szCs w:val="21"/>
          <w:highlight w:val="none"/>
          <w:lang w:eastAsia="zh-TW"/>
        </w:rPr>
        <w:t>投标文件的语言文字</w:t>
      </w:r>
      <w:bookmarkEnd w:id="80"/>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投标文件、投标人与招标人(或招标代理人)之间来往的所有书面文件均使用汉语文字。 </w:t>
      </w:r>
    </w:p>
    <w:p>
      <w:pPr>
        <w:autoSpaceDE w:val="0"/>
        <w:autoSpaceDN w:val="0"/>
        <w:adjustRightInd w:val="0"/>
        <w:spacing w:line="460" w:lineRule="exact"/>
        <w:ind w:left="19" w:right="67"/>
        <w:jc w:val="left"/>
        <w:outlineLvl w:val="2"/>
        <w:rPr>
          <w:rFonts w:ascii="宋体" w:hAnsi="宋体" w:cs="宋体"/>
          <w:color w:val="auto"/>
          <w:kern w:val="0"/>
          <w:sz w:val="21"/>
          <w:szCs w:val="21"/>
          <w:highlight w:val="none"/>
        </w:rPr>
      </w:pPr>
      <w:bookmarkStart w:id="81" w:name="_Toc31985"/>
      <w:r>
        <w:rPr>
          <w:rFonts w:hint="eastAsia" w:ascii="宋体" w:hAnsi="宋体" w:cs="宋体"/>
          <w:b/>
          <w:bCs/>
          <w:color w:val="auto"/>
          <w:kern w:val="0"/>
          <w:sz w:val="21"/>
          <w:szCs w:val="21"/>
          <w:highlight w:val="none"/>
        </w:rPr>
        <w:t xml:space="preserve">3.1.1 </w:t>
      </w:r>
      <w:r>
        <w:rPr>
          <w:rFonts w:hint="eastAsia" w:ascii="宋体" w:hAnsi="宋体" w:cs="宋体"/>
          <w:color w:val="auto"/>
          <w:kern w:val="0"/>
          <w:sz w:val="21"/>
          <w:szCs w:val="21"/>
          <w:highlight w:val="none"/>
        </w:rPr>
        <w:t>投标文件的组成（不限于）</w:t>
      </w:r>
      <w:bookmarkEnd w:id="81"/>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1）投标函；</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2）法定代表人身份证明或授权委托书；</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3）投标保证金；</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4）资格审查资料；</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5）监理大纲；</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6）招标文件要求的其它材料。</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bookmarkStart w:id="82" w:name="_Toc25878"/>
      <w:r>
        <w:rPr>
          <w:rFonts w:hint="eastAsia" w:ascii="宋体" w:hAnsi="宋体" w:cs="宋体"/>
          <w:b/>
          <w:bCs/>
          <w:color w:val="auto"/>
          <w:kern w:val="0"/>
          <w:sz w:val="21"/>
          <w:szCs w:val="21"/>
          <w:highlight w:val="none"/>
        </w:rPr>
        <w:t>3.2 投标报价</w:t>
      </w:r>
      <w:bookmarkEnd w:id="82"/>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3.2.1本次招标采用填报 </w:t>
      </w:r>
      <w:r>
        <w:rPr>
          <w:rFonts w:hint="eastAsia" w:ascii="宋体" w:hAnsi="宋体" w:cs="宋体"/>
          <w:color w:val="auto"/>
          <w:sz w:val="21"/>
          <w:szCs w:val="21"/>
          <w:highlight w:val="none"/>
          <w:u w:val="single"/>
        </w:rPr>
        <w:t xml:space="preserve">投标报价加取费费率 </w:t>
      </w:r>
      <w:r>
        <w:rPr>
          <w:rFonts w:hint="eastAsia" w:ascii="宋体" w:hAnsi="宋体" w:cs="宋体"/>
          <w:color w:val="auto"/>
          <w:sz w:val="21"/>
          <w:szCs w:val="21"/>
          <w:highlight w:val="none"/>
        </w:rPr>
        <w:t>的方式进行报价。投标人的投标报价必须包括完成该工程项目施工监理的一切工作内容而发生的所有直接费用、间接费用、其它费用、税金、保险等全部费用和投标人要求获得的利润和由投标人承担的义务、责任和风险所发生的一切费用，招标人不再为本合同范围内的工作支付额外的费用。投标单位应根据本工程的造价和监理工作量，在国家规定的相应监理费取费标准范围内报价。</w:t>
      </w:r>
    </w:p>
    <w:p>
      <w:pPr>
        <w:spacing w:line="460" w:lineRule="exact"/>
        <w:ind w:firstLine="420" w:firstLineChars="200"/>
        <w:rPr>
          <w:rFonts w:hint="eastAsia" w:ascii="宋体" w:hAnsi="宋体" w:eastAsia="宋体" w:cs="宋体"/>
          <w:color w:val="auto"/>
          <w:sz w:val="21"/>
          <w:szCs w:val="21"/>
          <w:highlight w:val="none"/>
        </w:rPr>
      </w:pPr>
      <w:bookmarkStart w:id="83" w:name="_Toc29991"/>
      <w:r>
        <w:rPr>
          <w:rFonts w:hint="eastAsia" w:ascii="宋体" w:hAnsi="宋体" w:eastAsia="宋体" w:cs="宋体"/>
          <w:color w:val="auto"/>
          <w:sz w:val="21"/>
          <w:szCs w:val="21"/>
          <w:highlight w:val="none"/>
          <w:lang w:val="en-US" w:eastAsia="zh-CN"/>
        </w:rPr>
        <w:t>3.2.2所有</w:t>
      </w:r>
      <w:r>
        <w:rPr>
          <w:rFonts w:hint="eastAsia" w:ascii="宋体" w:hAnsi="宋体" w:eastAsia="宋体" w:cs="宋体"/>
          <w:color w:val="auto"/>
          <w:sz w:val="21"/>
          <w:szCs w:val="21"/>
          <w:highlight w:val="none"/>
        </w:rPr>
        <w:t>投标报价均以人民币“元”为单位，四舍五入保留两位小数；</w:t>
      </w:r>
    </w:p>
    <w:p>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3.2.3</w:t>
      </w:r>
      <w:r>
        <w:rPr>
          <w:rFonts w:hint="eastAsia" w:ascii="宋体" w:hAnsi="宋体" w:eastAsia="宋体" w:cs="宋体"/>
          <w:color w:val="auto"/>
          <w:sz w:val="21"/>
          <w:szCs w:val="21"/>
          <w:highlight w:val="none"/>
        </w:rPr>
        <w:t>投标取费费率=投标总价÷建安费暂定价×100%，并保留3位小数。</w:t>
      </w:r>
    </w:p>
    <w:p>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3.2.4</w:t>
      </w:r>
      <w:r>
        <w:rPr>
          <w:rFonts w:hint="eastAsia" w:ascii="宋体" w:hAnsi="宋体" w:eastAsia="宋体" w:cs="宋体"/>
          <w:color w:val="auto"/>
          <w:sz w:val="21"/>
          <w:szCs w:val="21"/>
          <w:highlight w:val="none"/>
        </w:rPr>
        <w:t>本项目的建安费暂定价</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val="en-US" w:eastAsia="zh-CN"/>
        </w:rPr>
        <w:t>328.45</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rPr>
        <w:t>。</w:t>
      </w:r>
    </w:p>
    <w:p>
      <w:pPr>
        <w:autoSpaceDE w:val="0"/>
        <w:autoSpaceDN w:val="0"/>
        <w:adjustRightInd w:val="0"/>
        <w:spacing w:line="460" w:lineRule="exact"/>
        <w:jc w:val="left"/>
        <w:outlineLvl w:val="1"/>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3.3 投标文件有效期</w:t>
      </w:r>
      <w:bookmarkEnd w:id="83"/>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3.3.1 除投标人须知前附表另有规定外，投标有效期为 90 天。</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3.3.2 在投标有效期内，投标人撤销投标文件的，应承担招标文件和法律规定的责任。</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autoSpaceDN w:val="0"/>
        <w:adjustRightInd w:val="0"/>
        <w:spacing w:line="460" w:lineRule="exact"/>
        <w:ind w:right="-1025" w:rightChars="-366"/>
        <w:jc w:val="left"/>
        <w:outlineLvl w:val="1"/>
        <w:rPr>
          <w:rFonts w:ascii="宋体" w:hAnsi="宋体" w:cs="宋体"/>
          <w:b/>
          <w:color w:val="auto"/>
          <w:kern w:val="0"/>
          <w:sz w:val="21"/>
          <w:szCs w:val="21"/>
          <w:highlight w:val="none"/>
        </w:rPr>
      </w:pPr>
      <w:bookmarkStart w:id="84" w:name="_Toc3924"/>
      <w:r>
        <w:rPr>
          <w:rFonts w:hint="eastAsia" w:ascii="宋体" w:hAnsi="宋体" w:cs="宋体"/>
          <w:b/>
          <w:bCs/>
          <w:color w:val="auto"/>
          <w:kern w:val="0"/>
          <w:sz w:val="21"/>
          <w:szCs w:val="21"/>
          <w:highlight w:val="none"/>
        </w:rPr>
        <w:t>3.4 投标保证金</w:t>
      </w:r>
      <w:bookmarkEnd w:id="84"/>
    </w:p>
    <w:p>
      <w:pPr>
        <w:spacing w:line="460" w:lineRule="exact"/>
        <w:ind w:firstLine="420" w:firstLineChars="200"/>
        <w:rPr>
          <w:rFonts w:ascii="宋体" w:hAnsi="宋体" w:cs="宋体"/>
          <w:color w:val="auto"/>
          <w:sz w:val="21"/>
          <w:szCs w:val="21"/>
          <w:highlight w:val="none"/>
        </w:rPr>
      </w:pPr>
      <w:bookmarkStart w:id="85" w:name="_Toc27451"/>
      <w:r>
        <w:rPr>
          <w:rFonts w:hint="eastAsia" w:ascii="宋体" w:hAnsi="宋体" w:cs="宋体"/>
          <w:color w:val="auto"/>
          <w:sz w:val="21"/>
          <w:szCs w:val="21"/>
          <w:highlight w:val="none"/>
        </w:rPr>
        <w:t>3.4.1 投标人应按投标人须知前附表规定递交投标保证。</w:t>
      </w:r>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3.4.2 待中标公示结束且无异议后，投标项目保证金由韶关市公共资源交易中心通过建设工程交易系统退回投标人缴纳账号。中标人的投标保证金退还需在建设工程交易系统上传合同，在韶关市公共资源交易中心工程交易部办理退回手续。如韶关市公共资源交易中心关于投标保证的退回有新规定的，则按新规定执行。</w:t>
      </w:r>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3.4.3 投标人不按本章第3.4.1项要求提交投标保证的，其投标文件作无效标书处理。</w:t>
      </w:r>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3.4.4 有下列情形之一的，投标保证将不予退还：</w:t>
      </w:r>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（1）投标人在规定的投标有效期内撤销或修改其投标文件；</w:t>
      </w:r>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（2）中标人在收到中标通知书后，无正当理由拒签合同协议书。</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3.5 资格审查资料</w:t>
      </w:r>
      <w:bookmarkEnd w:id="85"/>
    </w:p>
    <w:p>
      <w:pPr>
        <w:spacing w:line="460" w:lineRule="exact"/>
        <w:ind w:firstLine="420" w:firstLineChars="200"/>
        <w:rPr>
          <w:rFonts w:ascii="宋体" w:hAnsi="宋体" w:cs="宋体"/>
          <w:color w:val="auto"/>
          <w:sz w:val="21"/>
          <w:szCs w:val="21"/>
          <w:highlight w:val="none"/>
        </w:rPr>
      </w:pPr>
      <w:bookmarkStart w:id="86" w:name="_bookmark45"/>
      <w:bookmarkEnd w:id="86"/>
      <w:r>
        <w:rPr>
          <w:rFonts w:hint="eastAsia" w:ascii="宋体" w:hAnsi="宋体" w:cs="宋体"/>
          <w:color w:val="auto"/>
          <w:sz w:val="21"/>
          <w:szCs w:val="21"/>
          <w:highlight w:val="none"/>
        </w:rPr>
        <w:t>3.5.1 投标人应按投标人须知前附表1.4.1的规定提供证明材料复印件。</w:t>
      </w:r>
    </w:p>
    <w:p>
      <w:pPr>
        <w:spacing w:line="460" w:lineRule="exact"/>
        <w:ind w:firstLine="420" w:firstLineChars="200"/>
        <w:outlineLvl w:val="2"/>
        <w:rPr>
          <w:rFonts w:ascii="宋体" w:hAnsi="宋体" w:cs="宋体"/>
          <w:color w:val="auto"/>
          <w:sz w:val="21"/>
          <w:szCs w:val="21"/>
          <w:highlight w:val="none"/>
        </w:rPr>
      </w:pPr>
      <w:bookmarkStart w:id="87" w:name="_Toc15601"/>
      <w:r>
        <w:rPr>
          <w:rFonts w:hint="eastAsia" w:ascii="宋体" w:hAnsi="宋体" w:cs="宋体"/>
          <w:color w:val="auto"/>
          <w:sz w:val="21"/>
          <w:szCs w:val="21"/>
          <w:highlight w:val="none"/>
        </w:rPr>
        <w:t xml:space="preserve">3.5.2 </w:t>
      </w:r>
      <w:r>
        <w:rPr>
          <w:rFonts w:hint="eastAsia" w:ascii="宋体" w:hAnsi="宋体" w:cs="宋体"/>
          <w:color w:val="auto"/>
          <w:kern w:val="0"/>
          <w:sz w:val="21"/>
          <w:szCs w:val="21"/>
          <w:highlight w:val="none"/>
        </w:rPr>
        <w:t>本次招标不接受联合体投标。</w:t>
      </w:r>
      <w:bookmarkEnd w:id="87"/>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88" w:name="_Toc23580"/>
      <w:r>
        <w:rPr>
          <w:rFonts w:hint="eastAsia" w:ascii="宋体" w:hAnsi="宋体" w:cs="宋体"/>
          <w:b/>
          <w:bCs/>
          <w:color w:val="auto"/>
          <w:kern w:val="0"/>
          <w:sz w:val="21"/>
          <w:szCs w:val="21"/>
          <w:highlight w:val="none"/>
        </w:rPr>
        <w:t>3.6 备选投标方案</w:t>
      </w:r>
      <w:bookmarkEnd w:id="88"/>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3.6.1 除投标人须知前附表规定允许外，投标人不得递交备选投标方案，否则其投标将被否决。</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89" w:name="_bookmark46"/>
      <w:bookmarkEnd w:id="89"/>
      <w:bookmarkStart w:id="90" w:name="_Toc4955"/>
      <w:r>
        <w:rPr>
          <w:rFonts w:hint="eastAsia" w:ascii="宋体" w:hAnsi="宋体" w:cs="宋体"/>
          <w:b/>
          <w:bCs/>
          <w:color w:val="auto"/>
          <w:kern w:val="0"/>
          <w:sz w:val="21"/>
          <w:szCs w:val="21"/>
          <w:highlight w:val="none"/>
        </w:rPr>
        <w:t>3.7 投标文件的编制</w:t>
      </w:r>
      <w:bookmarkEnd w:id="90"/>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bookmarkStart w:id="91" w:name="_bookmark47"/>
      <w:bookmarkEnd w:id="91"/>
      <w:bookmarkStart w:id="92" w:name="_Toc18679_WPSOffice_Level2"/>
      <w:r>
        <w:rPr>
          <w:rFonts w:hint="eastAsia" w:ascii="宋体" w:hAnsi="宋体" w:cs="宋体"/>
          <w:color w:val="auto"/>
          <w:kern w:val="0"/>
          <w:sz w:val="21"/>
          <w:szCs w:val="21"/>
          <w:highlight w:val="none"/>
        </w:rPr>
        <w:t>3.7.1 投标文件应按第五章“投标文件格式”进行编写，如有必要，可以增加附页，作为投标文件的组成部分。</w:t>
      </w:r>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3.7.2 投标文件应当对招标文件有关监理服务期限、投标有效期、委托人要求、招标范围等实质性内容作出响应。</w:t>
      </w:r>
    </w:p>
    <w:p>
      <w:pPr>
        <w:pStyle w:val="66"/>
        <w:spacing w:beforeAutospacing="0" w:afterAutospacing="0" w:line="440" w:lineRule="exact"/>
        <w:ind w:firstLine="360"/>
        <w:rPr>
          <w:color w:val="auto"/>
          <w:sz w:val="21"/>
          <w:szCs w:val="21"/>
          <w:highlight w:val="none"/>
        </w:rPr>
      </w:pPr>
      <w:r>
        <w:rPr>
          <w:rFonts w:hint="eastAsia"/>
          <w:color w:val="auto"/>
          <w:sz w:val="21"/>
          <w:szCs w:val="21"/>
          <w:highlight w:val="none"/>
        </w:rPr>
        <w:t>3.7.3 投标文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pPr>
        <w:autoSpaceDE w:val="0"/>
        <w:autoSpaceDN w:val="0"/>
        <w:adjustRightInd w:val="0"/>
        <w:spacing w:line="460" w:lineRule="exact"/>
        <w:ind w:right="-1025" w:rightChars="-366"/>
        <w:jc w:val="left"/>
        <w:outlineLvl w:val="2"/>
        <w:rPr>
          <w:rFonts w:ascii="宋体" w:hAnsi="宋体" w:cs="宋体"/>
          <w:b/>
          <w:bCs/>
          <w:color w:val="auto"/>
          <w:kern w:val="0"/>
          <w:sz w:val="21"/>
          <w:szCs w:val="21"/>
          <w:highlight w:val="none"/>
        </w:rPr>
      </w:pPr>
      <w:bookmarkStart w:id="93" w:name="_Toc6296"/>
      <w:r>
        <w:rPr>
          <w:rFonts w:hint="eastAsia" w:ascii="宋体" w:hAnsi="宋体" w:cs="宋体"/>
          <w:b/>
          <w:bCs/>
          <w:color w:val="auto"/>
          <w:kern w:val="0"/>
          <w:sz w:val="21"/>
          <w:szCs w:val="21"/>
          <w:highlight w:val="none"/>
        </w:rPr>
        <w:t>4. 投标</w:t>
      </w:r>
      <w:bookmarkEnd w:id="92"/>
      <w:bookmarkEnd w:id="93"/>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94" w:name="_bookmark48"/>
      <w:bookmarkEnd w:id="94"/>
      <w:bookmarkStart w:id="95" w:name="_bookmark49"/>
      <w:bookmarkEnd w:id="95"/>
      <w:bookmarkStart w:id="96" w:name="_Toc1894"/>
      <w:r>
        <w:rPr>
          <w:rFonts w:hint="eastAsia" w:ascii="宋体" w:hAnsi="宋体" w:cs="宋体"/>
          <w:b/>
          <w:bCs/>
          <w:color w:val="auto"/>
          <w:kern w:val="0"/>
          <w:sz w:val="21"/>
          <w:szCs w:val="21"/>
          <w:highlight w:val="none"/>
        </w:rPr>
        <w:t>4.1 投标文件的递交</w:t>
      </w:r>
      <w:bookmarkEnd w:id="96"/>
    </w:p>
    <w:p>
      <w:pPr>
        <w:autoSpaceDE w:val="0"/>
        <w:autoSpaceDN w:val="0"/>
        <w:adjustRightIn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4.1.1 在电子投标截止时间前，投标人通过全国公共资源交易平台 （广东省·韶关市）提交已加密投标文件。逾期提交的电子投标文件，全国公共资源交易平台 （广东省·韶关市）将予以拒收。</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4.1.2 投标文件提交截止时间（同电子投标截止时间）：见“重要事项时间地点一览表”。</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4.1.3 代理机构对因不可抗力事件造成的投标文件的损坏、丢失的，不承担责任。        </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4.1.4出现下述情形之一，属于未成功提交投标文件，按无效投标处理：</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（1）至电子投标截止时间时，投标文件未完整上传或未提交投标。</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（2）投标文件未按投标格式中注明需签字盖章的要求加盖电子印章，或电子印章不完整。</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（3）投标文件损坏或格式不正确。</w:t>
      </w:r>
    </w:p>
    <w:p>
      <w:pPr>
        <w:pStyle w:val="76"/>
        <w:spacing w:line="460" w:lineRule="atLeast"/>
        <w:ind w:firstLine="422" w:firstLineChars="200"/>
        <w:rPr>
          <w:rFonts w:ascii="宋体" w:hAnsi="宋体" w:cs="宋体"/>
          <w:color w:val="auto"/>
          <w:kern w:val="0"/>
          <w:highlight w:val="none"/>
        </w:rPr>
      </w:pPr>
      <w:r>
        <w:rPr>
          <w:rFonts w:hint="eastAsia" w:ascii="宋体" w:hAnsi="宋体" w:cs="宋体"/>
          <w:b/>
          <w:bCs/>
          <w:color w:val="auto"/>
          <w:kern w:val="0"/>
          <w:highlight w:val="none"/>
        </w:rPr>
        <w:t xml:space="preserve">4.2 </w:t>
      </w:r>
      <w:r>
        <w:rPr>
          <w:rFonts w:hint="eastAsia" w:ascii="宋体" w:hAnsi="宋体" w:cs="宋体"/>
          <w:color w:val="auto"/>
          <w:kern w:val="0"/>
          <w:highlight w:val="none"/>
        </w:rPr>
        <w:t>投标人法定代表人或其委托代理人（以下简称“投标人代表”）应在指定的时间和地点提交以下的资料（如有）：招标文件要求提交的用于评审的证书、证件、证明原件（附一式</w:t>
      </w:r>
      <w:r>
        <w:rPr>
          <w:rFonts w:hint="eastAsia" w:ascii="宋体" w:hAnsi="宋体" w:cs="宋体"/>
          <w:color w:val="auto"/>
          <w:kern w:val="0"/>
          <w:highlight w:val="none"/>
          <w:u w:val="single"/>
        </w:rPr>
        <w:t xml:space="preserve"> 两 </w:t>
      </w:r>
      <w:r>
        <w:rPr>
          <w:rFonts w:hint="eastAsia" w:ascii="宋体" w:hAnsi="宋体" w:cs="宋体"/>
          <w:color w:val="auto"/>
          <w:kern w:val="0"/>
          <w:highlight w:val="none"/>
        </w:rPr>
        <w:t>份清单）。到场人员应出示以下身份证明材料：</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（1）本人有效的第二代居民身份证；</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（2）法定代表人到场的，出示《法定代表人身份证明》（格式五）；委托代理人到场的，应同时出示《授权委托书》（格式四）和《法定代表人身份证明》。</w:t>
      </w:r>
    </w:p>
    <w:p>
      <w:pPr>
        <w:pStyle w:val="76"/>
        <w:spacing w:line="4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备注：资料提交截止时间、提交地点与电子投标截止时间、开标地点一致；到场人员与投标人在电子投标时确定的人员可以不是同一人。</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97" w:name="_Toc284"/>
      <w:r>
        <w:rPr>
          <w:rFonts w:hint="eastAsia" w:ascii="宋体" w:hAnsi="宋体" w:cs="宋体"/>
          <w:b/>
          <w:bCs/>
          <w:color w:val="auto"/>
          <w:kern w:val="0"/>
          <w:sz w:val="21"/>
          <w:szCs w:val="21"/>
          <w:highlight w:val="none"/>
        </w:rPr>
        <w:t>4.3 投标文件的修改与撤回</w:t>
      </w:r>
      <w:bookmarkEnd w:id="97"/>
    </w:p>
    <w:p>
      <w:pPr>
        <w:pStyle w:val="7"/>
        <w:spacing w:before="0" w:after="0" w:line="4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4.3.1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98" w:name="_Toc32445"/>
      <w:bookmarkStart w:id="99" w:name="_Toc15493"/>
      <w:bookmarkStart w:id="100" w:name="_Toc7340"/>
      <w:r>
        <w:rPr>
          <w:rFonts w:hint="eastAsia" w:ascii="宋体" w:hAnsi="宋体" w:cs="宋体"/>
          <w:b/>
          <w:bCs/>
          <w:color w:val="auto"/>
          <w:kern w:val="0"/>
          <w:sz w:val="21"/>
          <w:szCs w:val="21"/>
          <w:highlight w:val="none"/>
        </w:rPr>
        <w:t>4.4 电子投标及投标解密失败及突发情况的补救</w:t>
      </w:r>
      <w:bookmarkEnd w:id="98"/>
      <w:bookmarkEnd w:id="99"/>
      <w:bookmarkEnd w:id="100"/>
    </w:p>
    <w:p>
      <w:pPr>
        <w:spacing w:line="460" w:lineRule="atLeas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4.4.1按照交易平台关于全流程电子化项目的相关指南进行操作。详见：全国公共资源交易平台（广东省·韶关市）【服务指南】栏目发布的最新版操作指引。  </w:t>
      </w:r>
    </w:p>
    <w:p>
      <w:pPr>
        <w:spacing w:line="460" w:lineRule="atLeast"/>
        <w:ind w:firstLine="420" w:firstLineChars="200"/>
        <w:outlineLvl w:val="2"/>
        <w:rPr>
          <w:rFonts w:ascii="宋体" w:hAnsi="宋体" w:cs="宋体"/>
          <w:color w:val="auto"/>
          <w:kern w:val="0"/>
          <w:sz w:val="21"/>
          <w:szCs w:val="21"/>
          <w:highlight w:val="none"/>
        </w:rPr>
      </w:pPr>
      <w:bookmarkStart w:id="101" w:name="_Toc24540"/>
      <w:r>
        <w:rPr>
          <w:rFonts w:hint="eastAsia" w:ascii="宋体" w:hAnsi="宋体" w:cs="宋体"/>
          <w:color w:val="auto"/>
          <w:kern w:val="0"/>
          <w:sz w:val="21"/>
          <w:szCs w:val="21"/>
          <w:highlight w:val="none"/>
        </w:rPr>
        <w:t>4.4.2补救方案：</w:t>
      </w:r>
      <w:bookmarkEnd w:id="101"/>
    </w:p>
    <w:p>
      <w:pPr>
        <w:spacing w:line="460" w:lineRule="atLeas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投标文件解密失败的补救方案：在规定时间内，因投标人之外原因(指网络瘫痪、服务器损坏、交易系统故障短期无法恢复)等导致的电子投标文件解密失败，允许代理授权投标人重新上传投标文件（时限为30分钟），电子投标文件解密失败且未重新上传电子投标文件的，视为无效投标。评标委员会对其投标文件的评审以重新上传的内容为准。</w:t>
      </w:r>
    </w:p>
    <w:p>
      <w:pPr>
        <w:spacing w:line="460" w:lineRule="atLeas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交易场所工作人员做好招投标资料的封存和保密工作，另行组建评标委员会重新评标。原评标委员会成员应当对评标情况保密，不得对外透露与评标有关的任何信息与情况。</w:t>
      </w:r>
    </w:p>
    <w:p>
      <w:pPr>
        <w:autoSpaceDE w:val="0"/>
        <w:autoSpaceDN w:val="0"/>
        <w:adjustRightInd w:val="0"/>
        <w:spacing w:line="460" w:lineRule="exact"/>
        <w:ind w:right="-1025" w:rightChars="-366"/>
        <w:jc w:val="left"/>
        <w:rPr>
          <w:rFonts w:ascii="宋体" w:hAnsi="宋体" w:cs="宋体"/>
          <w:b/>
          <w:bCs/>
          <w:color w:val="auto"/>
          <w:kern w:val="0"/>
          <w:sz w:val="21"/>
          <w:szCs w:val="21"/>
          <w:highlight w:val="none"/>
        </w:rPr>
      </w:pPr>
      <w:bookmarkStart w:id="102" w:name="_bookmark51"/>
      <w:bookmarkEnd w:id="102"/>
      <w:bookmarkStart w:id="103" w:name="_Toc27608_WPSOffice_Level2"/>
      <w:r>
        <w:rPr>
          <w:rFonts w:hint="eastAsia" w:ascii="宋体" w:hAnsi="宋体" w:cs="宋体"/>
          <w:b/>
          <w:bCs/>
          <w:color w:val="auto"/>
          <w:kern w:val="0"/>
          <w:sz w:val="21"/>
          <w:szCs w:val="21"/>
          <w:highlight w:val="none"/>
        </w:rPr>
        <w:t>5.开标</w:t>
      </w:r>
      <w:bookmarkEnd w:id="103"/>
    </w:p>
    <w:p>
      <w:pPr>
        <w:pStyle w:val="12"/>
        <w:spacing w:line="460" w:lineRule="exact"/>
        <w:ind w:firstLine="422" w:firstLineChars="200"/>
        <w:rPr>
          <w:rFonts w:hAnsi="宋体" w:cs="宋体"/>
          <w:color w:val="auto"/>
          <w:kern w:val="2"/>
          <w:sz w:val="21"/>
          <w:highlight w:val="none"/>
        </w:rPr>
      </w:pPr>
      <w:bookmarkStart w:id="104" w:name="_bookmark52"/>
      <w:bookmarkEnd w:id="104"/>
      <w:r>
        <w:rPr>
          <w:rFonts w:hint="eastAsia" w:hAnsi="宋体" w:cs="宋体"/>
          <w:b/>
          <w:bCs/>
          <w:color w:val="auto"/>
          <w:sz w:val="21"/>
          <w:highlight w:val="none"/>
        </w:rPr>
        <w:t xml:space="preserve">5.1 </w:t>
      </w:r>
      <w:r>
        <w:rPr>
          <w:rFonts w:hint="eastAsia" w:hAnsi="宋体" w:cs="宋体"/>
          <w:color w:val="auto"/>
          <w:kern w:val="2"/>
          <w:sz w:val="21"/>
          <w:highlight w:val="none"/>
        </w:rPr>
        <w:t>本项目实行全流程电子化招标投标的项目，投标人无须进行现场签到，可登录交易平台观看开标实况、提出异议或进行澄清、确认等操作，具体按系统操作手册为准。</w:t>
      </w:r>
    </w:p>
    <w:p>
      <w:pPr>
        <w:autoSpaceDE w:val="0"/>
        <w:autoSpaceDN w:val="0"/>
        <w:adjustRightInd w:val="0"/>
        <w:spacing w:line="460" w:lineRule="exact"/>
        <w:ind w:right="-1025" w:rightChars="-366" w:firstLine="422" w:firstLineChars="200"/>
        <w:jc w:val="left"/>
        <w:outlineLvl w:val="1"/>
        <w:rPr>
          <w:rFonts w:ascii="宋体" w:hAnsi="宋体" w:cs="宋体"/>
          <w:b/>
          <w:bCs/>
          <w:color w:val="auto"/>
          <w:kern w:val="0"/>
          <w:sz w:val="21"/>
          <w:szCs w:val="21"/>
          <w:highlight w:val="none"/>
        </w:rPr>
      </w:pPr>
      <w:bookmarkStart w:id="105" w:name="_Toc18323"/>
      <w:r>
        <w:rPr>
          <w:rFonts w:hint="eastAsia" w:ascii="宋体" w:hAnsi="宋体" w:cs="宋体"/>
          <w:b/>
          <w:bCs/>
          <w:color w:val="auto"/>
          <w:kern w:val="0"/>
          <w:sz w:val="21"/>
          <w:szCs w:val="21"/>
          <w:highlight w:val="none"/>
        </w:rPr>
        <w:t>5.2 开标时间和地点</w:t>
      </w:r>
      <w:bookmarkEnd w:id="105"/>
    </w:p>
    <w:p>
      <w:pPr>
        <w:pStyle w:val="12"/>
        <w:spacing w:line="460" w:lineRule="exact"/>
        <w:ind w:firstLine="420" w:firstLineChars="200"/>
        <w:rPr>
          <w:rFonts w:hAnsi="宋体" w:cs="宋体"/>
          <w:color w:val="auto"/>
          <w:sz w:val="21"/>
          <w:highlight w:val="none"/>
        </w:rPr>
      </w:pPr>
      <w:r>
        <w:rPr>
          <w:rFonts w:hint="eastAsia" w:hAnsi="宋体" w:cs="宋体"/>
          <w:color w:val="auto"/>
          <w:sz w:val="21"/>
          <w:highlight w:val="none"/>
        </w:rPr>
        <w:t>5.2.1 招标人在本章第 4.2.1 项规定的投标截止时间（开标时间）和投标人须知前附表规定的地点公开开标。</w:t>
      </w:r>
    </w:p>
    <w:p>
      <w:pPr>
        <w:pStyle w:val="12"/>
        <w:spacing w:line="460" w:lineRule="exact"/>
        <w:ind w:firstLine="420" w:firstLineChars="200"/>
        <w:outlineLvl w:val="2"/>
        <w:rPr>
          <w:rFonts w:hAnsi="宋体" w:cs="宋体"/>
          <w:color w:val="auto"/>
          <w:sz w:val="21"/>
          <w:highlight w:val="none"/>
        </w:rPr>
      </w:pPr>
      <w:bookmarkStart w:id="106" w:name="_bookmark54"/>
      <w:bookmarkEnd w:id="106"/>
      <w:bookmarkStart w:id="107" w:name="_bookmark53"/>
      <w:bookmarkEnd w:id="107"/>
      <w:bookmarkStart w:id="108" w:name="_Toc25582"/>
      <w:r>
        <w:rPr>
          <w:rFonts w:hint="eastAsia" w:hAnsi="宋体" w:cs="宋体"/>
          <w:color w:val="auto"/>
          <w:sz w:val="21"/>
          <w:highlight w:val="none"/>
        </w:rPr>
        <w:t>5.2.2开标时间和地点：见“重要事项时间地点一览表”。</w:t>
      </w:r>
      <w:bookmarkEnd w:id="108"/>
    </w:p>
    <w:p>
      <w:pPr>
        <w:pStyle w:val="76"/>
        <w:wordWrap w:val="0"/>
        <w:adjustRightInd w:val="0"/>
        <w:snapToGrid w:val="0"/>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5.2.3</w:t>
      </w:r>
      <w:r>
        <w:rPr>
          <w:rFonts w:hint="eastAsia" w:ascii="宋体" w:hAnsi="宋体" w:cs="宋体"/>
          <w:color w:val="auto"/>
          <w:kern w:val="0"/>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重要事项时间地点一览表”）至电子投标截止时间（见“重要事项时间地点一览表”）期间登录全国公共资源交易平台（广东省·韶关市）（https://ygp.gdzwfw.gov.cn/ggzy-portal/#/440200/index）查询是否发布了取消开标活动的相关信息。</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109" w:name="_Toc31305"/>
      <w:r>
        <w:rPr>
          <w:rFonts w:hint="eastAsia" w:ascii="宋体" w:hAnsi="宋体" w:cs="宋体"/>
          <w:b/>
          <w:bCs/>
          <w:color w:val="auto"/>
          <w:kern w:val="0"/>
          <w:sz w:val="21"/>
          <w:szCs w:val="21"/>
          <w:highlight w:val="none"/>
        </w:rPr>
        <w:t>5.3 开标程序</w:t>
      </w:r>
      <w:bookmarkEnd w:id="109"/>
    </w:p>
    <w:p>
      <w:pPr>
        <w:pStyle w:val="12"/>
        <w:spacing w:line="460" w:lineRule="exact"/>
        <w:ind w:firstLine="480"/>
        <w:outlineLvl w:val="2"/>
        <w:rPr>
          <w:rFonts w:hAnsi="宋体" w:cs="宋体"/>
          <w:b/>
          <w:bCs/>
          <w:color w:val="auto"/>
          <w:sz w:val="21"/>
          <w:highlight w:val="none"/>
        </w:rPr>
      </w:pPr>
      <w:bookmarkStart w:id="110" w:name="_Toc798"/>
      <w:r>
        <w:rPr>
          <w:rFonts w:hint="eastAsia" w:hAnsi="宋体" w:cs="宋体"/>
          <w:b/>
          <w:bCs/>
          <w:color w:val="auto"/>
          <w:sz w:val="21"/>
          <w:highlight w:val="none"/>
        </w:rPr>
        <w:t>5.3.1主持人按下列程序进行开标：</w:t>
      </w:r>
      <w:bookmarkEnd w:id="110"/>
    </w:p>
    <w:p>
      <w:pPr>
        <w:pStyle w:val="12"/>
        <w:spacing w:line="460" w:lineRule="exact"/>
        <w:ind w:firstLine="480"/>
        <w:rPr>
          <w:rFonts w:hAnsi="宋体" w:cs="宋体"/>
          <w:color w:val="auto"/>
          <w:kern w:val="2"/>
          <w:sz w:val="21"/>
          <w:highlight w:val="none"/>
        </w:rPr>
      </w:pPr>
      <w:r>
        <w:rPr>
          <w:rFonts w:hint="eastAsia" w:hAnsi="宋体" w:cs="宋体"/>
          <w:color w:val="auto"/>
          <w:kern w:val="2"/>
          <w:sz w:val="21"/>
          <w:highlight w:val="none"/>
        </w:rPr>
        <w:t>（1）主持人（招标人代表或招标人授权的招标代理机构人员）宣读开标纪律；</w:t>
      </w:r>
    </w:p>
    <w:p>
      <w:pPr>
        <w:pStyle w:val="12"/>
        <w:spacing w:line="460" w:lineRule="exact"/>
        <w:ind w:firstLine="480"/>
        <w:rPr>
          <w:rFonts w:hAnsi="宋体" w:cs="宋体"/>
          <w:color w:val="auto"/>
          <w:kern w:val="2"/>
          <w:sz w:val="21"/>
          <w:highlight w:val="none"/>
        </w:rPr>
      </w:pPr>
      <w:r>
        <w:rPr>
          <w:rFonts w:hint="eastAsia" w:hAnsi="宋体" w:cs="宋体"/>
          <w:color w:val="auto"/>
          <w:kern w:val="2"/>
          <w:sz w:val="21"/>
          <w:highlight w:val="none"/>
        </w:rPr>
        <w:t>（2）主持人宣布唱标人、记录人、见证人、监督人等有关人员姓名；</w:t>
      </w:r>
    </w:p>
    <w:p>
      <w:pPr>
        <w:wordWrap w:val="0"/>
        <w:adjustRightInd w:val="0"/>
        <w:snapToGrid w:val="0"/>
        <w:spacing w:line="460" w:lineRule="exact"/>
        <w:ind w:firstLine="420" w:firstLineChars="200"/>
        <w:rPr>
          <w:rFonts w:ascii="宋体" w:hAnsi="宋体" w:cs="宋体"/>
          <w:color w:val="auto"/>
          <w:sz w:val="21"/>
          <w:szCs w:val="21"/>
          <w:highlight w:val="none"/>
        </w:rPr>
      </w:pPr>
      <w:bookmarkStart w:id="111" w:name="_bookmark55"/>
      <w:bookmarkEnd w:id="111"/>
      <w:bookmarkStart w:id="112" w:name="_Toc15738"/>
      <w:r>
        <w:rPr>
          <w:rFonts w:hint="eastAsia" w:ascii="宋体" w:hAnsi="宋体" w:cs="宋体"/>
          <w:color w:val="auto"/>
          <w:sz w:val="21"/>
          <w:szCs w:val="21"/>
          <w:highlight w:val="none"/>
        </w:rPr>
        <w:t>（3）唱标人公布在电子投标截止时间前提交投标文件的投标人数量和名称。</w:t>
      </w:r>
    </w:p>
    <w:p>
      <w:pPr>
        <w:wordWrap w:val="0"/>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（4）招标代理机构在交易场所工作人员见证下对投标人的电子投标信息进行解密，建设工程交易系统自动生成《投标保证缴纳情况表》和《开标一览表》。</w:t>
      </w:r>
    </w:p>
    <w:p>
      <w:pPr>
        <w:wordWrap w:val="0"/>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（5）唱标人检查《投标保证缴纳情况表》中各投标人所缴纳投标保证的金额、有效期是否符合招标文件规定。若不符合规定，该投标人的投标无效，并将有关情形在《投标保证缴纳情况表》“备注”栏中注明。</w:t>
      </w:r>
    </w:p>
    <w:p>
      <w:pPr>
        <w:wordWrap w:val="0"/>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（6）唱标人检查《开标一览表》中各投标人的投标总价、质量标准、工期是否符合招标文件规定。若不符合规定，招标代理机构应将有关情形在《开标一览表》“备注”栏中注明。</w:t>
      </w:r>
    </w:p>
    <w:p>
      <w:pPr>
        <w:wordWrap w:val="0"/>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（7）招标人代表、唱标人、记录人等有关人员在《投标保证缴纳情况表》以及《开标一览表》上签字确认。</w:t>
      </w:r>
    </w:p>
    <w:p>
      <w:pPr>
        <w:wordWrap w:val="0"/>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（8）主持人宣布有关注意事项后，宣布开标结束。</w:t>
      </w:r>
    </w:p>
    <w:bookmarkEnd w:id="112"/>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113" w:name="_Toc6748"/>
      <w:r>
        <w:rPr>
          <w:rFonts w:hint="eastAsia" w:ascii="宋体" w:hAnsi="宋体" w:cs="宋体"/>
          <w:b/>
          <w:bCs/>
          <w:color w:val="auto"/>
          <w:kern w:val="0"/>
          <w:sz w:val="21"/>
          <w:szCs w:val="21"/>
          <w:highlight w:val="none"/>
        </w:rPr>
        <w:t>5.4 开标异议</w:t>
      </w:r>
      <w:bookmarkEnd w:id="113"/>
    </w:p>
    <w:p>
      <w:pPr>
        <w:pStyle w:val="12"/>
        <w:spacing w:line="460" w:lineRule="exact"/>
        <w:ind w:firstLine="480"/>
        <w:rPr>
          <w:rFonts w:hAnsi="宋体" w:cs="宋体"/>
          <w:color w:val="auto"/>
          <w:kern w:val="2"/>
          <w:sz w:val="21"/>
          <w:highlight w:val="none"/>
        </w:rPr>
      </w:pPr>
      <w:r>
        <w:rPr>
          <w:rFonts w:hint="eastAsia" w:hAnsi="宋体" w:cs="宋体"/>
          <w:color w:val="auto"/>
          <w:kern w:val="2"/>
          <w:sz w:val="21"/>
          <w:highlight w:val="none"/>
        </w:rPr>
        <w:t>5.4.1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pPr>
        <w:autoSpaceDE w:val="0"/>
        <w:autoSpaceDN w:val="0"/>
        <w:adjustRightInd w:val="0"/>
        <w:spacing w:line="460" w:lineRule="exact"/>
        <w:ind w:right="-1025" w:rightChars="-366"/>
        <w:jc w:val="left"/>
        <w:outlineLvl w:val="2"/>
        <w:rPr>
          <w:rFonts w:ascii="宋体" w:hAnsi="宋体" w:cs="宋体"/>
          <w:b/>
          <w:bCs/>
          <w:color w:val="auto"/>
          <w:kern w:val="0"/>
          <w:sz w:val="21"/>
          <w:szCs w:val="21"/>
          <w:highlight w:val="none"/>
        </w:rPr>
      </w:pPr>
      <w:bookmarkStart w:id="114" w:name="_bookmark56"/>
      <w:bookmarkEnd w:id="114"/>
      <w:bookmarkStart w:id="115" w:name="_Toc16160"/>
      <w:bookmarkStart w:id="116" w:name="_Toc19741_WPSOffice_Level2"/>
      <w:r>
        <w:rPr>
          <w:rFonts w:hint="eastAsia" w:ascii="宋体" w:hAnsi="宋体" w:cs="宋体"/>
          <w:b/>
          <w:bCs/>
          <w:color w:val="auto"/>
          <w:kern w:val="0"/>
          <w:sz w:val="21"/>
          <w:szCs w:val="21"/>
          <w:highlight w:val="none"/>
        </w:rPr>
        <w:t>6.评标</w:t>
      </w:r>
      <w:bookmarkEnd w:id="115"/>
      <w:bookmarkEnd w:id="116"/>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117" w:name="_bookmark57"/>
      <w:bookmarkEnd w:id="117"/>
      <w:bookmarkStart w:id="118" w:name="_Toc21073"/>
      <w:r>
        <w:rPr>
          <w:rFonts w:hint="eastAsia" w:ascii="宋体" w:hAnsi="宋体" w:cs="宋体"/>
          <w:b/>
          <w:bCs/>
          <w:color w:val="auto"/>
          <w:kern w:val="0"/>
          <w:sz w:val="21"/>
          <w:szCs w:val="21"/>
          <w:highlight w:val="none"/>
        </w:rPr>
        <w:t>6.1 评标委员会</w:t>
      </w:r>
      <w:bookmarkEnd w:id="118"/>
    </w:p>
    <w:p>
      <w:pPr>
        <w:pStyle w:val="12"/>
        <w:spacing w:line="460" w:lineRule="exact"/>
        <w:ind w:firstLine="480"/>
        <w:rPr>
          <w:rFonts w:hAnsi="宋体" w:cs="宋体"/>
          <w:color w:val="auto"/>
          <w:sz w:val="21"/>
          <w:highlight w:val="none"/>
        </w:rPr>
      </w:pPr>
      <w:r>
        <w:rPr>
          <w:rFonts w:hint="eastAsia" w:hAnsi="宋体" w:cs="宋体"/>
          <w:color w:val="auto"/>
          <w:sz w:val="21"/>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spacing w:line="460" w:lineRule="exact"/>
        <w:ind w:firstLine="480"/>
        <w:outlineLvl w:val="2"/>
        <w:rPr>
          <w:rFonts w:hAnsi="宋体" w:cs="宋体"/>
          <w:color w:val="auto"/>
          <w:sz w:val="21"/>
          <w:highlight w:val="none"/>
        </w:rPr>
      </w:pPr>
      <w:bookmarkStart w:id="119" w:name="_Toc4470"/>
      <w:r>
        <w:rPr>
          <w:rFonts w:hint="eastAsia" w:hAnsi="宋体" w:cs="宋体"/>
          <w:color w:val="auto"/>
          <w:sz w:val="21"/>
          <w:highlight w:val="none"/>
        </w:rPr>
        <w:t>6.1.2评标委员会成员有下列情形之一的，应当回避：</w:t>
      </w:r>
      <w:bookmarkEnd w:id="119"/>
    </w:p>
    <w:p>
      <w:pPr>
        <w:pStyle w:val="12"/>
        <w:spacing w:line="460" w:lineRule="exact"/>
        <w:ind w:firstLine="480"/>
        <w:rPr>
          <w:rFonts w:hAnsi="宋体" w:cs="宋体"/>
          <w:color w:val="auto"/>
          <w:sz w:val="21"/>
          <w:highlight w:val="none"/>
        </w:rPr>
      </w:pPr>
      <w:r>
        <w:rPr>
          <w:rFonts w:hint="eastAsia" w:hAnsi="宋体" w:cs="宋体"/>
          <w:color w:val="auto"/>
          <w:sz w:val="21"/>
          <w:highlight w:val="none"/>
        </w:rPr>
        <w:t>（1）投标人或投标人主要负责人的近亲属；</w:t>
      </w:r>
    </w:p>
    <w:p>
      <w:pPr>
        <w:pStyle w:val="12"/>
        <w:spacing w:line="460" w:lineRule="exact"/>
        <w:ind w:firstLine="480"/>
        <w:rPr>
          <w:rFonts w:hAnsi="宋体" w:cs="宋体"/>
          <w:color w:val="auto"/>
          <w:sz w:val="21"/>
          <w:highlight w:val="none"/>
        </w:rPr>
      </w:pPr>
      <w:r>
        <w:rPr>
          <w:rFonts w:hint="eastAsia" w:hAnsi="宋体" w:cs="宋体"/>
          <w:color w:val="auto"/>
          <w:sz w:val="21"/>
          <w:highlight w:val="none"/>
        </w:rPr>
        <w:t>（2）项目主管部门或者行政监督部门的人员；</w:t>
      </w:r>
    </w:p>
    <w:p>
      <w:pPr>
        <w:pStyle w:val="12"/>
        <w:spacing w:line="460" w:lineRule="exact"/>
        <w:ind w:firstLine="480"/>
        <w:rPr>
          <w:rFonts w:hAnsi="宋体" w:cs="宋体"/>
          <w:color w:val="auto"/>
          <w:sz w:val="21"/>
          <w:highlight w:val="none"/>
        </w:rPr>
      </w:pPr>
      <w:r>
        <w:rPr>
          <w:rFonts w:hint="eastAsia" w:hAnsi="宋体" w:cs="宋体"/>
          <w:color w:val="auto"/>
          <w:sz w:val="21"/>
          <w:highlight w:val="none"/>
        </w:rPr>
        <w:t>（3）与投标人有经济利益关系，可能影响对投标公正评审的；</w:t>
      </w:r>
    </w:p>
    <w:p>
      <w:pPr>
        <w:pStyle w:val="12"/>
        <w:spacing w:line="460" w:lineRule="exact"/>
        <w:ind w:firstLine="480"/>
        <w:rPr>
          <w:rFonts w:hAnsi="宋体" w:cs="宋体"/>
          <w:color w:val="auto"/>
          <w:sz w:val="21"/>
          <w:highlight w:val="none"/>
        </w:rPr>
      </w:pPr>
      <w:r>
        <w:rPr>
          <w:rFonts w:hint="eastAsia" w:hAnsi="宋体" w:cs="宋体"/>
          <w:color w:val="auto"/>
          <w:sz w:val="21"/>
          <w:highlight w:val="none"/>
        </w:rPr>
        <w:t>（4）曾因在招标、评标以及其他与招标投标有关活动中从事违法行为而受过行政处罚或刑事处罚的；</w:t>
      </w:r>
    </w:p>
    <w:p>
      <w:pPr>
        <w:pStyle w:val="12"/>
        <w:spacing w:line="460" w:lineRule="exact"/>
        <w:ind w:firstLine="480"/>
        <w:rPr>
          <w:rFonts w:hAnsi="宋体" w:cs="宋体"/>
          <w:color w:val="auto"/>
          <w:sz w:val="21"/>
          <w:highlight w:val="none"/>
        </w:rPr>
      </w:pPr>
      <w:r>
        <w:rPr>
          <w:rFonts w:hint="eastAsia" w:hAnsi="宋体" w:cs="宋体"/>
          <w:color w:val="auto"/>
          <w:sz w:val="21"/>
          <w:highlight w:val="none"/>
        </w:rPr>
        <w:t>（5）与投标人有其他利害关系。</w:t>
      </w:r>
    </w:p>
    <w:p>
      <w:pPr>
        <w:pStyle w:val="12"/>
        <w:spacing w:line="460" w:lineRule="exact"/>
        <w:ind w:firstLine="480"/>
        <w:rPr>
          <w:rFonts w:hAnsi="宋体" w:cs="宋体"/>
          <w:color w:val="auto"/>
          <w:sz w:val="21"/>
          <w:highlight w:val="none"/>
        </w:rPr>
      </w:pPr>
      <w:r>
        <w:rPr>
          <w:rFonts w:hint="eastAsia" w:hAnsi="宋体" w:cs="宋体"/>
          <w:color w:val="auto"/>
          <w:sz w:val="21"/>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120" w:name="_bookmark58"/>
      <w:bookmarkEnd w:id="120"/>
      <w:bookmarkStart w:id="121" w:name="_Toc12880"/>
      <w:r>
        <w:rPr>
          <w:rFonts w:hint="eastAsia" w:ascii="宋体" w:hAnsi="宋体" w:cs="宋体"/>
          <w:b/>
          <w:bCs/>
          <w:color w:val="auto"/>
          <w:kern w:val="0"/>
          <w:sz w:val="21"/>
          <w:szCs w:val="21"/>
          <w:highlight w:val="none"/>
        </w:rPr>
        <w:t>6.2 评标原则</w:t>
      </w:r>
      <w:bookmarkEnd w:id="121"/>
    </w:p>
    <w:p>
      <w:pPr>
        <w:pStyle w:val="12"/>
        <w:spacing w:line="460" w:lineRule="exact"/>
        <w:ind w:firstLine="480"/>
        <w:rPr>
          <w:rFonts w:hAnsi="宋体" w:cs="宋体"/>
          <w:color w:val="auto"/>
          <w:sz w:val="21"/>
          <w:highlight w:val="none"/>
        </w:rPr>
      </w:pPr>
      <w:r>
        <w:rPr>
          <w:rFonts w:hint="eastAsia" w:hAnsi="宋体" w:cs="宋体"/>
          <w:color w:val="auto"/>
          <w:sz w:val="21"/>
          <w:highlight w:val="none"/>
        </w:rPr>
        <w:t>评标活动遵循公平、公正、科学和择优的原则。</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122" w:name="_bookmark59"/>
      <w:bookmarkEnd w:id="122"/>
      <w:bookmarkStart w:id="123" w:name="_Toc7060"/>
      <w:r>
        <w:rPr>
          <w:rFonts w:hint="eastAsia" w:ascii="宋体" w:hAnsi="宋体" w:cs="宋体"/>
          <w:b/>
          <w:bCs/>
          <w:color w:val="auto"/>
          <w:kern w:val="0"/>
          <w:sz w:val="21"/>
          <w:szCs w:val="21"/>
          <w:highlight w:val="none"/>
        </w:rPr>
        <w:t>6.3 评标</w:t>
      </w:r>
      <w:bookmarkEnd w:id="123"/>
    </w:p>
    <w:p>
      <w:pPr>
        <w:pStyle w:val="12"/>
        <w:spacing w:line="460" w:lineRule="exact"/>
        <w:ind w:firstLine="480"/>
        <w:rPr>
          <w:rFonts w:hAnsi="宋体" w:cs="宋体"/>
          <w:color w:val="auto"/>
          <w:sz w:val="21"/>
          <w:highlight w:val="none"/>
        </w:rPr>
      </w:pPr>
      <w:r>
        <w:rPr>
          <w:rFonts w:hint="eastAsia" w:hAnsi="宋体" w:cs="宋体"/>
          <w:color w:val="auto"/>
          <w:sz w:val="21"/>
          <w:highlight w:val="none"/>
        </w:rPr>
        <w:t>6.3.1评标委员会按照第三章“评标标准和办法”规定的方法、评审因素、标准和程序对投标文件进行评审。第三章“评标标准和办法”没有规定的方法、评审因素和标准，不作为评标依据。</w:t>
      </w:r>
    </w:p>
    <w:p>
      <w:pPr>
        <w:pStyle w:val="12"/>
        <w:spacing w:line="460" w:lineRule="exact"/>
        <w:ind w:firstLine="480"/>
        <w:rPr>
          <w:rFonts w:hAnsi="宋体" w:cs="宋体"/>
          <w:color w:val="auto"/>
          <w:sz w:val="21"/>
          <w:highlight w:val="none"/>
        </w:rPr>
      </w:pPr>
      <w:r>
        <w:rPr>
          <w:rFonts w:hint="eastAsia" w:hAnsi="宋体" w:cs="宋体"/>
          <w:color w:val="auto"/>
          <w:sz w:val="21"/>
          <w:highlight w:val="none"/>
        </w:rPr>
        <w:t>6.3.2评标完成后，评标委员会应当向招标人提交书面评标报告和中标候选人名单。评标委员会推荐中标候选人的人数见投标人须知前附表。</w:t>
      </w:r>
    </w:p>
    <w:p>
      <w:pPr>
        <w:adjustRightInd w:val="0"/>
        <w:snapToGrid w:val="0"/>
        <w:spacing w:line="460" w:lineRule="exact"/>
        <w:ind w:firstLine="422" w:firstLineChars="200"/>
        <w:rPr>
          <w:rFonts w:ascii="宋体" w:hAnsi="宋体" w:cs="宋体"/>
          <w:color w:val="auto"/>
          <w:sz w:val="21"/>
          <w:szCs w:val="21"/>
          <w:highlight w:val="none"/>
        </w:rPr>
      </w:pPr>
      <w:r>
        <w:rPr>
          <w:rFonts w:hint="eastAsia" w:ascii="宋体" w:hAnsi="宋体" w:cs="宋体"/>
          <w:b/>
          <w:bCs/>
          <w:snapToGrid w:val="0"/>
          <w:color w:val="auto"/>
          <w:kern w:val="0"/>
          <w:sz w:val="21"/>
          <w:szCs w:val="21"/>
          <w:highlight w:val="none"/>
          <w:u w:val="single"/>
        </w:rPr>
        <w:t>注：全流程电子招标投标采用线上评审，以电子投标文件为准。</w:t>
      </w:r>
    </w:p>
    <w:p>
      <w:pPr>
        <w:autoSpaceDE w:val="0"/>
        <w:autoSpaceDN w:val="0"/>
        <w:adjustRightInd w:val="0"/>
        <w:spacing w:line="460" w:lineRule="exact"/>
        <w:ind w:right="-1025" w:rightChars="-366"/>
        <w:jc w:val="left"/>
        <w:outlineLvl w:val="2"/>
        <w:rPr>
          <w:rFonts w:ascii="宋体" w:hAnsi="宋体" w:cs="宋体"/>
          <w:b/>
          <w:bCs/>
          <w:color w:val="auto"/>
          <w:kern w:val="0"/>
          <w:sz w:val="21"/>
          <w:szCs w:val="21"/>
          <w:highlight w:val="none"/>
        </w:rPr>
      </w:pPr>
      <w:bookmarkStart w:id="124" w:name="_bookmark60"/>
      <w:bookmarkEnd w:id="124"/>
      <w:bookmarkStart w:id="125" w:name="_Toc24198_WPSOffice_Level2"/>
      <w:bookmarkStart w:id="126" w:name="_Toc2112"/>
      <w:r>
        <w:rPr>
          <w:rFonts w:hint="eastAsia" w:ascii="宋体" w:hAnsi="宋体" w:cs="宋体"/>
          <w:b/>
          <w:bCs/>
          <w:color w:val="auto"/>
          <w:kern w:val="0"/>
          <w:sz w:val="21"/>
          <w:szCs w:val="21"/>
          <w:highlight w:val="none"/>
        </w:rPr>
        <w:t>7.合同授予</w:t>
      </w:r>
      <w:bookmarkEnd w:id="125"/>
      <w:bookmarkEnd w:id="126"/>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127" w:name="_bookmark61"/>
      <w:bookmarkEnd w:id="127"/>
      <w:bookmarkStart w:id="128" w:name="_Toc25856"/>
      <w:r>
        <w:rPr>
          <w:rFonts w:hint="eastAsia" w:ascii="宋体" w:hAnsi="宋体" w:cs="宋体"/>
          <w:b/>
          <w:bCs/>
          <w:color w:val="auto"/>
          <w:kern w:val="0"/>
          <w:sz w:val="21"/>
          <w:szCs w:val="21"/>
          <w:highlight w:val="none"/>
        </w:rPr>
        <w:t>7.1 中标候选人公示</w:t>
      </w:r>
      <w:bookmarkEnd w:id="128"/>
    </w:p>
    <w:p>
      <w:pPr>
        <w:pStyle w:val="12"/>
        <w:spacing w:line="460" w:lineRule="exact"/>
        <w:ind w:firstLine="480"/>
        <w:rPr>
          <w:rFonts w:hAnsi="宋体" w:cs="宋体"/>
          <w:color w:val="auto"/>
          <w:sz w:val="21"/>
          <w:highlight w:val="none"/>
        </w:rPr>
      </w:pPr>
      <w:r>
        <w:rPr>
          <w:rFonts w:hint="eastAsia" w:hAnsi="宋体" w:cs="宋体"/>
          <w:color w:val="auto"/>
          <w:sz w:val="21"/>
          <w:highlight w:val="none"/>
        </w:rPr>
        <w:t>招标人在收到评标报告之日起 3 日内，按照投标人须知前附表规定的公示媒介和期限公示中标候选人，公示期不得少于 3 天。</w:t>
      </w:r>
    </w:p>
    <w:p>
      <w:pPr>
        <w:autoSpaceDE w:val="0"/>
        <w:autoSpaceDN w:val="0"/>
        <w:adjustRightInd w:val="0"/>
        <w:spacing w:line="460" w:lineRule="exact"/>
        <w:ind w:right="-1025" w:rightChars="-366"/>
        <w:jc w:val="left"/>
        <w:outlineLvl w:val="1"/>
        <w:rPr>
          <w:rFonts w:ascii="宋体" w:hAnsi="宋体" w:cs="宋体"/>
          <w:b/>
          <w:bCs/>
          <w:color w:val="auto"/>
          <w:kern w:val="0"/>
          <w:sz w:val="21"/>
          <w:szCs w:val="21"/>
          <w:highlight w:val="none"/>
        </w:rPr>
      </w:pPr>
      <w:bookmarkStart w:id="129" w:name="_bookmark62"/>
      <w:bookmarkEnd w:id="129"/>
      <w:bookmarkStart w:id="130" w:name="_Toc20966"/>
      <w:r>
        <w:rPr>
          <w:rFonts w:hint="eastAsia" w:ascii="宋体" w:hAnsi="宋体" w:cs="宋体"/>
          <w:b/>
          <w:bCs/>
          <w:color w:val="auto"/>
          <w:kern w:val="0"/>
          <w:sz w:val="21"/>
          <w:szCs w:val="21"/>
          <w:highlight w:val="none"/>
        </w:rPr>
        <w:t>7.2 评标结果异议</w:t>
      </w:r>
      <w:bookmarkEnd w:id="130"/>
    </w:p>
    <w:p>
      <w:pPr>
        <w:pStyle w:val="12"/>
        <w:spacing w:line="460" w:lineRule="exact"/>
        <w:ind w:firstLine="480"/>
        <w:rPr>
          <w:rFonts w:hAnsi="宋体" w:cs="宋体"/>
          <w:color w:val="auto"/>
          <w:sz w:val="21"/>
          <w:highlight w:val="none"/>
        </w:rPr>
      </w:pPr>
      <w:r>
        <w:rPr>
          <w:rFonts w:hint="eastAsia" w:hAnsi="宋体" w:cs="宋体"/>
          <w:color w:val="auto"/>
          <w:sz w:val="21"/>
          <w:highlight w:val="none"/>
        </w:rPr>
        <w:t>投标人或者其他利害关系人对评标结果有异议的，应当在中标候选人公示期间提出。招标人将在收到异议之日起 3 日内作出答复；作出答复前，将暂停招标投标活动。</w:t>
      </w:r>
    </w:p>
    <w:p>
      <w:pPr>
        <w:adjustRightInd w:val="0"/>
        <w:snapToGrid w:val="0"/>
        <w:spacing w:line="460" w:lineRule="exact"/>
        <w:outlineLvl w:val="1"/>
        <w:rPr>
          <w:rFonts w:ascii="宋体" w:hAnsi="宋体" w:cs="宋体"/>
          <w:b/>
          <w:bCs/>
          <w:color w:val="auto"/>
          <w:sz w:val="21"/>
          <w:szCs w:val="21"/>
          <w:highlight w:val="none"/>
        </w:rPr>
      </w:pPr>
      <w:bookmarkStart w:id="131" w:name="_bookmark64"/>
      <w:bookmarkEnd w:id="131"/>
      <w:bookmarkStart w:id="132" w:name="_bookmark63"/>
      <w:bookmarkEnd w:id="132"/>
      <w:bookmarkStart w:id="133" w:name="_Toc32633"/>
      <w:r>
        <w:rPr>
          <w:rFonts w:hint="eastAsia" w:ascii="宋体" w:hAnsi="宋体" w:cs="宋体"/>
          <w:b/>
          <w:bCs/>
          <w:color w:val="auto"/>
          <w:sz w:val="21"/>
          <w:szCs w:val="21"/>
          <w:highlight w:val="none"/>
        </w:rPr>
        <w:t>7.3 中标候选人履约能力审查</w:t>
      </w:r>
      <w:bookmarkEnd w:id="133"/>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中标候选人的经营、财务状况发生较大变化或存在违法行为，招标人认为可能影响其履约能力的，将在发出中标通知书前提请原评标委员会按照招标文件规定的标准和方法进行审查认。</w:t>
      </w:r>
    </w:p>
    <w:p>
      <w:pPr>
        <w:adjustRightInd w:val="0"/>
        <w:snapToGrid w:val="0"/>
        <w:spacing w:line="460" w:lineRule="exact"/>
        <w:outlineLvl w:val="1"/>
        <w:rPr>
          <w:rFonts w:ascii="宋体" w:hAnsi="宋体" w:cs="宋体"/>
          <w:b/>
          <w:bCs/>
          <w:color w:val="auto"/>
          <w:sz w:val="21"/>
          <w:szCs w:val="21"/>
          <w:highlight w:val="none"/>
        </w:rPr>
      </w:pPr>
      <w:bookmarkStart w:id="134" w:name="_Toc24800"/>
      <w:r>
        <w:rPr>
          <w:rFonts w:hint="eastAsia" w:ascii="宋体" w:hAnsi="宋体" w:cs="宋体"/>
          <w:b/>
          <w:bCs/>
          <w:color w:val="auto"/>
          <w:sz w:val="21"/>
          <w:szCs w:val="21"/>
          <w:highlight w:val="none"/>
        </w:rPr>
        <w:t>7.4 定标</w:t>
      </w:r>
      <w:bookmarkEnd w:id="134"/>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按照投标人须知前附表的规定，招标人或招标人授权的评标委员会依法确定中标人。</w:t>
      </w:r>
    </w:p>
    <w:p>
      <w:pPr>
        <w:adjustRightInd w:val="0"/>
        <w:snapToGrid w:val="0"/>
        <w:spacing w:line="460" w:lineRule="exact"/>
        <w:outlineLvl w:val="1"/>
        <w:rPr>
          <w:rFonts w:ascii="宋体" w:hAnsi="宋体" w:cs="宋体"/>
          <w:b/>
          <w:bCs/>
          <w:color w:val="auto"/>
          <w:sz w:val="21"/>
          <w:szCs w:val="21"/>
          <w:highlight w:val="none"/>
        </w:rPr>
      </w:pPr>
      <w:bookmarkStart w:id="135" w:name="_Toc26998"/>
      <w:r>
        <w:rPr>
          <w:rFonts w:hint="eastAsia" w:ascii="宋体" w:hAnsi="宋体" w:cs="宋体"/>
          <w:b/>
          <w:bCs/>
          <w:color w:val="auto"/>
          <w:sz w:val="21"/>
          <w:szCs w:val="21"/>
          <w:highlight w:val="none"/>
        </w:rPr>
        <w:t>7.5 中标通知</w:t>
      </w:r>
      <w:bookmarkEnd w:id="135"/>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在本章第3.3款规定的投标有效期内，招标人以书面形式向中标人发出中标通知书，同时将中标结果通知未中标的投标人。</w:t>
      </w:r>
    </w:p>
    <w:p>
      <w:pPr>
        <w:adjustRightInd w:val="0"/>
        <w:snapToGrid w:val="0"/>
        <w:spacing w:line="460" w:lineRule="exact"/>
        <w:outlineLvl w:val="1"/>
        <w:rPr>
          <w:rFonts w:ascii="宋体" w:hAnsi="宋体" w:cs="宋体"/>
          <w:b/>
          <w:bCs/>
          <w:color w:val="auto"/>
          <w:sz w:val="21"/>
          <w:szCs w:val="21"/>
          <w:highlight w:val="none"/>
        </w:rPr>
      </w:pPr>
      <w:bookmarkStart w:id="136" w:name="_Toc18366"/>
      <w:r>
        <w:rPr>
          <w:rFonts w:hint="eastAsia" w:ascii="宋体" w:hAnsi="宋体" w:cs="宋体"/>
          <w:b/>
          <w:bCs/>
          <w:color w:val="auto"/>
          <w:sz w:val="21"/>
          <w:szCs w:val="21"/>
          <w:highlight w:val="none"/>
        </w:rPr>
        <w:t>7.6 履约保证金</w:t>
      </w:r>
      <w:bookmarkEnd w:id="136"/>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7.6.2 中标人不能按本章第7.6.1项要求提交履约保证金的，视为放弃中标，其投标保证金不予退还，给招标人造成的损失超过投标保证金数额的，中标人还应当对超过部分予以赔偿。</w:t>
      </w:r>
    </w:p>
    <w:p>
      <w:pPr>
        <w:adjustRightInd w:val="0"/>
        <w:snapToGrid w:val="0"/>
        <w:spacing w:line="460" w:lineRule="exact"/>
        <w:outlineLvl w:val="1"/>
        <w:rPr>
          <w:rFonts w:ascii="宋体" w:hAnsi="宋体" w:cs="宋体"/>
          <w:b/>
          <w:bCs/>
          <w:color w:val="auto"/>
          <w:sz w:val="21"/>
          <w:szCs w:val="21"/>
          <w:highlight w:val="none"/>
        </w:rPr>
      </w:pPr>
      <w:bookmarkStart w:id="137" w:name="_Toc2425"/>
      <w:r>
        <w:rPr>
          <w:rFonts w:hint="eastAsia" w:ascii="宋体" w:hAnsi="宋体" w:cs="宋体"/>
          <w:b/>
          <w:bCs/>
          <w:color w:val="auto"/>
          <w:sz w:val="21"/>
          <w:szCs w:val="21"/>
          <w:highlight w:val="none"/>
        </w:rPr>
        <w:t>7.7 签订合同</w:t>
      </w:r>
      <w:bookmarkEnd w:id="137"/>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7.7.2 发出中标通知书后，招标人无正当理由拒签合同，或者在签订合同时向中标人提出附加条件的，招标人向中标人退还投标保证金；给中标人造成损失的，还应当赔偿损失。</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7.7.3联合体中标的，联合体各方应当共同与招标人签订合同，就中标项目向招标人承担连带责任。</w:t>
      </w:r>
    </w:p>
    <w:p>
      <w:pPr>
        <w:autoSpaceDE w:val="0"/>
        <w:autoSpaceDN w:val="0"/>
        <w:adjustRightInd w:val="0"/>
        <w:spacing w:line="460" w:lineRule="exact"/>
        <w:ind w:right="-1025" w:rightChars="-366"/>
        <w:jc w:val="left"/>
        <w:outlineLvl w:val="2"/>
        <w:rPr>
          <w:rFonts w:ascii="宋体" w:hAnsi="宋体" w:cs="宋体"/>
          <w:b/>
          <w:bCs/>
          <w:color w:val="auto"/>
          <w:kern w:val="0"/>
          <w:sz w:val="21"/>
          <w:szCs w:val="21"/>
          <w:highlight w:val="none"/>
        </w:rPr>
      </w:pPr>
      <w:bookmarkStart w:id="138" w:name="_Toc8317"/>
      <w:bookmarkStart w:id="139" w:name="_Toc24348"/>
      <w:r>
        <w:rPr>
          <w:rFonts w:hint="eastAsia" w:ascii="宋体" w:hAnsi="宋体" w:cs="宋体"/>
          <w:b/>
          <w:bCs/>
          <w:color w:val="auto"/>
          <w:kern w:val="0"/>
          <w:sz w:val="21"/>
          <w:szCs w:val="21"/>
          <w:highlight w:val="none"/>
        </w:rPr>
        <w:t>8．重新招标和不再招标</w:t>
      </w:r>
      <w:bookmarkEnd w:id="138"/>
      <w:bookmarkEnd w:id="139"/>
    </w:p>
    <w:p>
      <w:pPr>
        <w:adjustRightInd w:val="0"/>
        <w:snapToGrid w:val="0"/>
        <w:spacing w:line="460" w:lineRule="exact"/>
        <w:outlineLvl w:val="1"/>
        <w:rPr>
          <w:rFonts w:ascii="宋体" w:hAnsi="宋体" w:cs="宋体"/>
          <w:b/>
          <w:color w:val="auto"/>
          <w:sz w:val="21"/>
          <w:szCs w:val="21"/>
          <w:highlight w:val="none"/>
        </w:rPr>
      </w:pPr>
      <w:bookmarkStart w:id="140" w:name="_Toc12548"/>
      <w:r>
        <w:rPr>
          <w:rFonts w:hint="eastAsia" w:ascii="宋体" w:hAnsi="宋体" w:cs="宋体"/>
          <w:b/>
          <w:color w:val="auto"/>
          <w:sz w:val="21"/>
          <w:szCs w:val="21"/>
          <w:highlight w:val="none"/>
        </w:rPr>
        <w:t>8.1 重新招标</w:t>
      </w:r>
      <w:bookmarkEnd w:id="140"/>
    </w:p>
    <w:p>
      <w:pPr>
        <w:adjustRightInd w:val="0"/>
        <w:snapToGrid w:val="0"/>
        <w:spacing w:line="46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有下列情形之一的，招标人将重新招标：</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（1）投标截止时间止，投标人少于3个的；</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（2）经评标委员会资格评审后投标人少于3个的；</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（3）经评标委员会评审后否决所有投标的；</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（4）评标委员会否决不合格投标或者界定为废标后因有效投标不足3个使得投标明显缺乏竞争，评标委员会决定否决全部投标的；</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（5）同意延长投标有效期的投标人少于3个的；</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（6）中标候选人均未与招标人签订合同的。</w:t>
      </w:r>
    </w:p>
    <w:p>
      <w:pPr>
        <w:adjustRightInd w:val="0"/>
        <w:snapToGrid w:val="0"/>
        <w:spacing w:line="460" w:lineRule="exact"/>
        <w:outlineLvl w:val="1"/>
        <w:rPr>
          <w:rFonts w:ascii="宋体" w:hAnsi="宋体" w:cs="宋体"/>
          <w:b/>
          <w:color w:val="auto"/>
          <w:sz w:val="21"/>
          <w:szCs w:val="21"/>
          <w:highlight w:val="none"/>
        </w:rPr>
      </w:pPr>
      <w:bookmarkStart w:id="141" w:name="_Toc43"/>
      <w:r>
        <w:rPr>
          <w:rFonts w:hint="eastAsia" w:ascii="宋体" w:hAnsi="宋体" w:cs="宋体"/>
          <w:b/>
          <w:color w:val="auto"/>
          <w:sz w:val="21"/>
          <w:szCs w:val="21"/>
          <w:highlight w:val="none"/>
        </w:rPr>
        <w:t>8.2 不再招标</w:t>
      </w:r>
      <w:bookmarkEnd w:id="141"/>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重新招标后，仍出现本章第8.1条规定情形之一的，属于必须审批的工程建设项目，经原核准招标方式部门批准后不再进行招标。</w:t>
      </w:r>
    </w:p>
    <w:p>
      <w:pPr>
        <w:autoSpaceDE w:val="0"/>
        <w:autoSpaceDN w:val="0"/>
        <w:adjustRightInd w:val="0"/>
        <w:spacing w:line="460" w:lineRule="exact"/>
        <w:ind w:right="-1025" w:rightChars="-366"/>
        <w:jc w:val="left"/>
        <w:outlineLvl w:val="2"/>
        <w:rPr>
          <w:rFonts w:ascii="宋体" w:hAnsi="宋体" w:cs="宋体"/>
          <w:b/>
          <w:bCs/>
          <w:color w:val="auto"/>
          <w:kern w:val="0"/>
          <w:sz w:val="21"/>
          <w:szCs w:val="21"/>
          <w:highlight w:val="none"/>
        </w:rPr>
      </w:pPr>
      <w:bookmarkStart w:id="142" w:name="_Toc15985"/>
      <w:bookmarkStart w:id="143" w:name="_Toc19508"/>
      <w:r>
        <w:rPr>
          <w:rFonts w:hint="eastAsia" w:ascii="宋体" w:hAnsi="宋体" w:cs="宋体"/>
          <w:b/>
          <w:bCs/>
          <w:color w:val="auto"/>
          <w:kern w:val="0"/>
          <w:sz w:val="21"/>
          <w:szCs w:val="21"/>
          <w:highlight w:val="none"/>
        </w:rPr>
        <w:t>9．纪律和监督</w:t>
      </w:r>
      <w:bookmarkEnd w:id="142"/>
      <w:bookmarkEnd w:id="143"/>
    </w:p>
    <w:p>
      <w:pPr>
        <w:adjustRightInd w:val="0"/>
        <w:snapToGrid w:val="0"/>
        <w:spacing w:line="460" w:lineRule="exact"/>
        <w:outlineLvl w:val="1"/>
        <w:rPr>
          <w:rFonts w:ascii="宋体" w:hAnsi="宋体" w:cs="宋体"/>
          <w:color w:val="auto"/>
          <w:sz w:val="21"/>
          <w:szCs w:val="21"/>
          <w:highlight w:val="none"/>
        </w:rPr>
      </w:pPr>
      <w:bookmarkStart w:id="144" w:name="_Toc18572"/>
      <w:r>
        <w:rPr>
          <w:rFonts w:hint="eastAsia" w:ascii="宋体" w:hAnsi="宋体" w:cs="宋体"/>
          <w:b/>
          <w:color w:val="auto"/>
          <w:sz w:val="21"/>
          <w:szCs w:val="21"/>
          <w:highlight w:val="none"/>
        </w:rPr>
        <w:t>9.1 对招标人的纪律要求</w:t>
      </w:r>
      <w:bookmarkEnd w:id="144"/>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招标人不得泄露招标投标活动中应当保密的情况和资料，不得与投标人串通损害国家利益、社会公共利益或者他人合法权益。</w:t>
      </w:r>
    </w:p>
    <w:p>
      <w:pPr>
        <w:adjustRightInd w:val="0"/>
        <w:snapToGrid w:val="0"/>
        <w:spacing w:line="460" w:lineRule="exact"/>
        <w:outlineLvl w:val="1"/>
        <w:rPr>
          <w:rFonts w:ascii="宋体" w:hAnsi="宋体" w:cs="宋体"/>
          <w:color w:val="auto"/>
          <w:sz w:val="21"/>
          <w:szCs w:val="21"/>
          <w:highlight w:val="none"/>
        </w:rPr>
      </w:pPr>
      <w:bookmarkStart w:id="145" w:name="_Toc19287"/>
      <w:r>
        <w:rPr>
          <w:rFonts w:hint="eastAsia" w:ascii="宋体" w:hAnsi="宋体" w:cs="宋体"/>
          <w:b/>
          <w:bCs/>
          <w:color w:val="auto"/>
          <w:sz w:val="21"/>
          <w:szCs w:val="21"/>
          <w:highlight w:val="none"/>
        </w:rPr>
        <w:t>9.2 对投标人的纪律要求</w:t>
      </w:r>
      <w:bookmarkEnd w:id="145"/>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60" w:lineRule="exact"/>
        <w:ind w:firstLine="420" w:firstLineChars="200"/>
        <w:outlineLvl w:val="2"/>
        <w:rPr>
          <w:rFonts w:ascii="宋体" w:hAnsi="宋体" w:cs="宋体"/>
          <w:color w:val="auto"/>
          <w:sz w:val="21"/>
          <w:szCs w:val="21"/>
          <w:highlight w:val="none"/>
        </w:rPr>
      </w:pPr>
      <w:bookmarkStart w:id="146" w:name="_Toc20463"/>
      <w:r>
        <w:rPr>
          <w:rFonts w:hint="eastAsia" w:ascii="宋体" w:hAnsi="宋体" w:cs="宋体"/>
          <w:color w:val="auto"/>
          <w:sz w:val="21"/>
          <w:szCs w:val="21"/>
          <w:highlight w:val="none"/>
        </w:rPr>
        <w:t>9.2.1 下列行为均属以他人名义投标：</w:t>
      </w:r>
      <w:bookmarkEnd w:id="146"/>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（1）投标人挂靠其他施工监理单位；</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（2）投标人从其它施工监理单位通过转让或租借的方式获取资格或资质证书；</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（3）有其它单位及法定代表人在自己编织的投标文件上加盖印章或签字的行为。</w:t>
      </w:r>
    </w:p>
    <w:p>
      <w:pPr>
        <w:adjustRightInd w:val="0"/>
        <w:snapToGrid w:val="0"/>
        <w:spacing w:line="460" w:lineRule="exact"/>
        <w:ind w:firstLine="420" w:firstLineChars="200"/>
        <w:outlineLvl w:val="2"/>
        <w:rPr>
          <w:rFonts w:ascii="宋体" w:hAnsi="宋体" w:cs="宋体"/>
          <w:color w:val="auto"/>
          <w:sz w:val="21"/>
          <w:szCs w:val="21"/>
          <w:highlight w:val="none"/>
        </w:rPr>
      </w:pPr>
      <w:bookmarkStart w:id="147" w:name="_Toc32238"/>
      <w:r>
        <w:rPr>
          <w:rFonts w:hint="eastAsia" w:ascii="宋体" w:hAnsi="宋体" w:cs="宋体"/>
          <w:color w:val="auto"/>
          <w:sz w:val="21"/>
          <w:szCs w:val="21"/>
          <w:highlight w:val="none"/>
        </w:rPr>
        <w:t>9.2.2 下列行为视为允许他人以本单位名义承揽工程：</w:t>
      </w:r>
      <w:bookmarkEnd w:id="147"/>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（1）投标人的法定代表人的委托代理人不是投标人本单位人员；</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（2）投标人拟在施工现场所设项目管理机构的总监理工程师、监理工程师、监理员等不是本单位人员。</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投标人本单位人员，必须同时满足以下条件：</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 聘任合同必须由投标单位与之签订；</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 与投标单位有合法的工资关系；</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 投标人单位为其办理社会保险关系，或具有其他有效证明其为本单位人员身份的文件 。</w:t>
      </w:r>
    </w:p>
    <w:p>
      <w:pPr>
        <w:adjustRightInd w:val="0"/>
        <w:snapToGrid w:val="0"/>
        <w:spacing w:line="460" w:lineRule="exact"/>
        <w:ind w:firstLine="420" w:firstLineChars="200"/>
        <w:outlineLvl w:val="2"/>
        <w:rPr>
          <w:rFonts w:ascii="宋体" w:hAnsi="宋体" w:cs="宋体"/>
          <w:color w:val="auto"/>
          <w:sz w:val="21"/>
          <w:szCs w:val="21"/>
          <w:highlight w:val="none"/>
        </w:rPr>
      </w:pPr>
      <w:bookmarkStart w:id="148" w:name="_Toc22673"/>
      <w:r>
        <w:rPr>
          <w:rFonts w:hint="eastAsia" w:ascii="宋体" w:hAnsi="宋体" w:cs="宋体"/>
          <w:color w:val="auto"/>
          <w:sz w:val="21"/>
          <w:szCs w:val="21"/>
          <w:highlight w:val="none"/>
        </w:rPr>
        <w:t>9.2.3 下列行为均属于投标人串通投标报价：</w:t>
      </w:r>
      <w:bookmarkEnd w:id="148"/>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 投标人之间相互约定抬高或压低投标报价；</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 投标人之间相互约定，在招标项目中分别以高、中、低价位报价；</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 投标人之间先进行内部竞价，内定中标人，然后再参加投标；</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 投标人之间其他串通投标报价的行为。</w:t>
      </w:r>
    </w:p>
    <w:p>
      <w:pPr>
        <w:adjustRightInd w:val="0"/>
        <w:snapToGrid w:val="0"/>
        <w:spacing w:line="460" w:lineRule="exact"/>
        <w:outlineLvl w:val="1"/>
        <w:rPr>
          <w:rFonts w:ascii="宋体" w:hAnsi="宋体" w:cs="宋体"/>
          <w:color w:val="auto"/>
          <w:sz w:val="21"/>
          <w:szCs w:val="21"/>
          <w:highlight w:val="none"/>
        </w:rPr>
      </w:pPr>
      <w:bookmarkStart w:id="149" w:name="_Toc4856"/>
      <w:r>
        <w:rPr>
          <w:rFonts w:hint="eastAsia" w:ascii="宋体" w:hAnsi="宋体" w:cs="宋体"/>
          <w:b/>
          <w:color w:val="auto"/>
          <w:sz w:val="21"/>
          <w:szCs w:val="21"/>
          <w:highlight w:val="none"/>
        </w:rPr>
        <w:t>9.3 对评标委员会成员的纪律要求</w:t>
      </w:r>
      <w:bookmarkEnd w:id="149"/>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djustRightInd w:val="0"/>
        <w:snapToGrid w:val="0"/>
        <w:spacing w:line="460" w:lineRule="exact"/>
        <w:outlineLvl w:val="1"/>
        <w:rPr>
          <w:rFonts w:ascii="宋体" w:hAnsi="宋体" w:cs="宋体"/>
          <w:b/>
          <w:color w:val="auto"/>
          <w:sz w:val="21"/>
          <w:szCs w:val="21"/>
          <w:highlight w:val="none"/>
        </w:rPr>
      </w:pPr>
      <w:bookmarkStart w:id="150" w:name="_Toc23621"/>
      <w:r>
        <w:rPr>
          <w:rFonts w:hint="eastAsia" w:ascii="宋体" w:hAnsi="宋体" w:cs="宋体"/>
          <w:b/>
          <w:color w:val="auto"/>
          <w:sz w:val="21"/>
          <w:szCs w:val="21"/>
          <w:highlight w:val="none"/>
        </w:rPr>
        <w:t>9.4 对与评标活动有关的工作人员的纪律要求</w:t>
      </w:r>
      <w:bookmarkEnd w:id="150"/>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460" w:lineRule="exact"/>
        <w:outlineLvl w:val="1"/>
        <w:rPr>
          <w:rFonts w:ascii="宋体" w:hAnsi="宋体" w:cs="宋体"/>
          <w:b/>
          <w:color w:val="auto"/>
          <w:sz w:val="21"/>
          <w:szCs w:val="21"/>
          <w:highlight w:val="none"/>
        </w:rPr>
      </w:pPr>
      <w:bookmarkStart w:id="151" w:name="_Toc20612"/>
      <w:r>
        <w:rPr>
          <w:rFonts w:hint="eastAsia" w:ascii="宋体" w:hAnsi="宋体" w:cs="宋体"/>
          <w:b/>
          <w:color w:val="auto"/>
          <w:sz w:val="21"/>
          <w:szCs w:val="21"/>
          <w:highlight w:val="none"/>
        </w:rPr>
        <w:t>9.5 投诉</w:t>
      </w:r>
      <w:bookmarkEnd w:id="151"/>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投标人和其他利害关系人认为本次招标活动违反法律、法规和规章规定的，有权向有关行政监督部门投诉。</w:t>
      </w:r>
    </w:p>
    <w:p>
      <w:pPr>
        <w:autoSpaceDE w:val="0"/>
        <w:autoSpaceDN w:val="0"/>
        <w:adjustRightInd w:val="0"/>
        <w:spacing w:line="460" w:lineRule="exact"/>
        <w:ind w:right="-1025" w:rightChars="-366"/>
        <w:jc w:val="left"/>
        <w:outlineLvl w:val="2"/>
        <w:rPr>
          <w:rFonts w:ascii="宋体" w:hAnsi="宋体" w:cs="宋体"/>
          <w:b/>
          <w:bCs/>
          <w:color w:val="auto"/>
          <w:kern w:val="0"/>
          <w:sz w:val="21"/>
          <w:szCs w:val="21"/>
          <w:highlight w:val="none"/>
        </w:rPr>
      </w:pPr>
      <w:bookmarkStart w:id="152" w:name="_Toc27589_WPSOffice_Level2"/>
      <w:bookmarkStart w:id="153" w:name="_Toc5695"/>
      <w:r>
        <w:rPr>
          <w:rFonts w:hint="eastAsia" w:ascii="宋体" w:hAnsi="宋体" w:cs="宋体"/>
          <w:b/>
          <w:bCs/>
          <w:color w:val="auto"/>
          <w:kern w:val="0"/>
          <w:sz w:val="21"/>
          <w:szCs w:val="21"/>
          <w:highlight w:val="none"/>
        </w:rPr>
        <w:t>10.是否采用电子招标投标</w:t>
      </w:r>
      <w:bookmarkEnd w:id="152"/>
      <w:bookmarkEnd w:id="153"/>
    </w:p>
    <w:p>
      <w:pPr>
        <w:pStyle w:val="12"/>
        <w:spacing w:line="460" w:lineRule="exact"/>
        <w:ind w:firstLine="480"/>
        <w:rPr>
          <w:rFonts w:hAnsi="宋体" w:cs="宋体"/>
          <w:color w:val="auto"/>
          <w:sz w:val="21"/>
          <w:highlight w:val="none"/>
        </w:rPr>
      </w:pPr>
      <w:r>
        <w:rPr>
          <w:rFonts w:hint="eastAsia" w:hAnsi="宋体" w:cs="宋体"/>
          <w:color w:val="auto"/>
          <w:sz w:val="21"/>
          <w:highlight w:val="none"/>
        </w:rPr>
        <w:t>本招标项目是否采用电子招标投标方式，见投标人须知前附表。</w:t>
      </w:r>
    </w:p>
    <w:p>
      <w:pPr>
        <w:adjustRightInd w:val="0"/>
        <w:snapToGrid w:val="0"/>
        <w:spacing w:line="460" w:lineRule="exact"/>
        <w:outlineLvl w:val="2"/>
        <w:rPr>
          <w:rFonts w:ascii="宋体" w:hAnsi="宋体" w:cs="宋体"/>
          <w:b/>
          <w:bCs/>
          <w:color w:val="auto"/>
          <w:sz w:val="21"/>
          <w:szCs w:val="21"/>
          <w:highlight w:val="none"/>
        </w:rPr>
      </w:pPr>
      <w:bookmarkStart w:id="154" w:name="_Toc25816"/>
      <w:r>
        <w:rPr>
          <w:rFonts w:hint="eastAsia" w:ascii="宋体" w:hAnsi="宋体" w:cs="宋体"/>
          <w:b/>
          <w:bCs/>
          <w:color w:val="auto"/>
          <w:sz w:val="21"/>
          <w:szCs w:val="21"/>
          <w:highlight w:val="none"/>
        </w:rPr>
        <w:t>11. 需要补充的其他内容</w:t>
      </w:r>
      <w:bookmarkEnd w:id="154"/>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需要补充的其他内容：见投标人须知前附表。</w:t>
      </w:r>
    </w:p>
    <w:p>
      <w:pPr>
        <w:pStyle w:val="12"/>
        <w:spacing w:line="360" w:lineRule="auto"/>
        <w:ind w:firstLine="480"/>
        <w:rPr>
          <w:rFonts w:hAnsi="宋体" w:cs="宋体"/>
          <w:color w:val="auto"/>
          <w:sz w:val="21"/>
          <w:highlight w:val="none"/>
        </w:rPr>
      </w:pPr>
    </w:p>
    <w:p>
      <w:pPr>
        <w:pStyle w:val="12"/>
        <w:spacing w:line="360" w:lineRule="auto"/>
        <w:ind w:firstLine="480"/>
        <w:rPr>
          <w:rFonts w:hAnsi="宋体" w:cs="宋体"/>
          <w:color w:val="auto"/>
          <w:sz w:val="21"/>
          <w:highlight w:val="none"/>
        </w:rPr>
        <w:sectPr>
          <w:footerReference r:id="rId6" w:type="default"/>
          <w:pgSz w:w="11905" w:h="16838"/>
          <w:pgMar w:top="1417" w:right="1417" w:bottom="1417" w:left="1417" w:header="850" w:footer="992" w:gutter="0"/>
          <w:cols w:space="720" w:num="1"/>
          <w:docGrid w:type="lines" w:linePitch="389" w:charSpace="0"/>
        </w:sectPr>
      </w:pPr>
    </w:p>
    <w:p>
      <w:pPr>
        <w:pStyle w:val="21"/>
        <w:rPr>
          <w:color w:val="auto"/>
          <w:highlight w:val="none"/>
        </w:rPr>
      </w:pPr>
      <w:bookmarkStart w:id="155" w:name="_Toc17445"/>
      <w:bookmarkStart w:id="156" w:name="_Toc27740"/>
      <w:r>
        <w:rPr>
          <w:rFonts w:hint="eastAsia"/>
          <w:color w:val="auto"/>
          <w:highlight w:val="none"/>
        </w:rPr>
        <w:t>第三章、评标标准和办法</w:t>
      </w:r>
      <w:bookmarkEnd w:id="155"/>
      <w:bookmarkEnd w:id="156"/>
    </w:p>
    <w:p>
      <w:pPr>
        <w:spacing w:line="360" w:lineRule="auto"/>
        <w:outlineLvl w:val="1"/>
        <w:rPr>
          <w:b/>
          <w:bCs/>
          <w:color w:val="auto"/>
          <w:sz w:val="24"/>
          <w:highlight w:val="none"/>
        </w:rPr>
      </w:pPr>
      <w:bookmarkStart w:id="157" w:name="_Toc21265995"/>
      <w:bookmarkStart w:id="158" w:name="_Toc1445"/>
      <w:bookmarkStart w:id="159" w:name="_Toc7172122"/>
      <w:bookmarkStart w:id="160" w:name="_Toc4677_WPSOffice_Level2"/>
      <w:r>
        <w:rPr>
          <w:rFonts w:hint="eastAsia"/>
          <w:b/>
          <w:bCs/>
          <w:color w:val="auto"/>
          <w:sz w:val="24"/>
          <w:highlight w:val="none"/>
        </w:rPr>
        <w:t>一、评标办法前附表</w:t>
      </w:r>
      <w:bookmarkEnd w:id="157"/>
      <w:bookmarkEnd w:id="158"/>
      <w:bookmarkEnd w:id="159"/>
      <w:bookmarkEnd w:id="160"/>
    </w:p>
    <w:tbl>
      <w:tblPr>
        <w:tblStyle w:val="23"/>
        <w:tblW w:w="55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8"/>
        <w:gridCol w:w="999"/>
        <w:gridCol w:w="13"/>
        <w:gridCol w:w="114"/>
        <w:gridCol w:w="1235"/>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546" w:type="pct"/>
            <w:vAlign w:val="center"/>
          </w:tcPr>
          <w:p>
            <w:pPr>
              <w:pStyle w:val="71"/>
              <w:spacing w:line="360" w:lineRule="auto"/>
              <w:jc w:val="center"/>
              <w:rPr>
                <w:rFonts w:hint="eastAsia" w:ascii="宋体" w:hAnsi="宋体" w:eastAsia="宋体" w:cs="宋体"/>
                <w:b/>
                <w:bCs/>
                <w:color w:val="auto"/>
                <w:sz w:val="21"/>
                <w:szCs w:val="21"/>
                <w:highlight w:val="none"/>
              </w:rPr>
            </w:pPr>
            <w:bookmarkStart w:id="161" w:name="_Toc23803_WPSOffice_Level2"/>
            <w:r>
              <w:rPr>
                <w:rFonts w:hint="eastAsia" w:ascii="宋体" w:hAnsi="宋体" w:eastAsia="宋体" w:cs="宋体"/>
                <w:b/>
                <w:bCs/>
                <w:color w:val="auto"/>
                <w:sz w:val="21"/>
                <w:szCs w:val="21"/>
                <w:highlight w:val="none"/>
              </w:rPr>
              <w:t>条款号</w:t>
            </w:r>
          </w:p>
        </w:tc>
        <w:tc>
          <w:tcPr>
            <w:tcW w:w="1235" w:type="pct"/>
            <w:gridSpan w:val="4"/>
            <w:vAlign w:val="center"/>
          </w:tcPr>
          <w:p>
            <w:pPr>
              <w:pStyle w:val="7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3218" w:type="pct"/>
            <w:vAlign w:val="center"/>
          </w:tcPr>
          <w:p>
            <w:pPr>
              <w:pStyle w:val="7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46" w:type="pct"/>
            <w:vMerge w:val="restar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651" w:type="pct"/>
            <w:gridSpan w:val="3"/>
            <w:vMerge w:val="restar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3218" w:type="pct"/>
            <w:vAlign w:val="center"/>
          </w:tcPr>
          <w:p>
            <w:pPr>
              <w:pStyle w:val="71"/>
              <w:spacing w:line="4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3218" w:type="pct"/>
            <w:vAlign w:val="center"/>
          </w:tcPr>
          <w:p>
            <w:pPr>
              <w:pStyle w:val="71"/>
              <w:spacing w:line="460" w:lineRule="exact"/>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符合第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lang w:val="zh-CN" w:eastAsia="zh-CN"/>
              </w:rPr>
              <w:t>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签字盖章</w:t>
            </w:r>
          </w:p>
        </w:tc>
        <w:tc>
          <w:tcPr>
            <w:tcW w:w="3218" w:type="pct"/>
            <w:vAlign w:val="center"/>
          </w:tcPr>
          <w:p>
            <w:pPr>
              <w:pStyle w:val="71"/>
              <w:spacing w:line="460" w:lineRule="exact"/>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符合第二章“投标人须知”第3.7.3款规定。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546" w:type="pct"/>
            <w:vMerge w:val="restar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51" w:type="pct"/>
            <w:gridSpan w:val="3"/>
            <w:vMerge w:val="restar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584" w:type="pct"/>
            <w:vAlign w:val="center"/>
          </w:tcPr>
          <w:p>
            <w:pPr>
              <w:pStyle w:val="71"/>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营业执照</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kern w:val="0"/>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kern w:val="0"/>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kern w:val="0"/>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kern w:val="0"/>
                <w:sz w:val="21"/>
                <w:szCs w:val="21"/>
                <w:highlight w:val="none"/>
              </w:rPr>
            </w:pPr>
          </w:p>
        </w:tc>
        <w:tc>
          <w:tcPr>
            <w:tcW w:w="584" w:type="pct"/>
            <w:vAlign w:val="center"/>
          </w:tcPr>
          <w:p>
            <w:pPr>
              <w:pStyle w:val="71"/>
              <w:spacing w:line="2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不存在禁止投标的情形</w:t>
            </w:r>
          </w:p>
        </w:tc>
        <w:tc>
          <w:tcPr>
            <w:tcW w:w="3218" w:type="pct"/>
            <w:vAlign w:val="center"/>
          </w:tcPr>
          <w:p>
            <w:pPr>
              <w:pStyle w:val="71"/>
              <w:spacing w:line="4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不存在第二章“投标人须知”第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46" w:type="pct"/>
            <w:vMerge w:val="restar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51" w:type="pct"/>
            <w:gridSpan w:val="3"/>
            <w:vMerge w:val="restar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3.2.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范围</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584" w:type="pct"/>
            <w:vAlign w:val="center"/>
          </w:tcPr>
          <w:p>
            <w:pPr>
              <w:pStyle w:val="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rPr>
            </w:pPr>
          </w:p>
        </w:tc>
        <w:tc>
          <w:tcPr>
            <w:tcW w:w="651" w:type="pct"/>
            <w:gridSpan w:val="3"/>
            <w:vMerge w:val="continue"/>
            <w:vAlign w:val="center"/>
          </w:tcPr>
          <w:p>
            <w:pPr>
              <w:spacing w:line="360" w:lineRule="auto"/>
              <w:jc w:val="center"/>
              <w:rPr>
                <w:rFonts w:hint="eastAsia" w:ascii="宋体" w:hAnsi="宋体" w:eastAsia="宋体" w:cs="宋体"/>
                <w:color w:val="auto"/>
                <w:sz w:val="21"/>
                <w:szCs w:val="21"/>
                <w:highlight w:val="none"/>
              </w:rPr>
            </w:pPr>
          </w:p>
        </w:tc>
        <w:tc>
          <w:tcPr>
            <w:tcW w:w="584" w:type="pct"/>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3218" w:type="pct"/>
            <w:vAlign w:val="center"/>
          </w:tcPr>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Align w:val="center"/>
          </w:tcPr>
          <w:p>
            <w:pPr>
              <w:spacing w:line="360" w:lineRule="auto"/>
              <w:jc w:val="center"/>
              <w:rPr>
                <w:rFonts w:hint="default" w:ascii="宋体" w:hAnsi="宋体" w:eastAsia="宋体" w:cs="宋体"/>
                <w:color w:val="auto"/>
                <w:sz w:val="21"/>
                <w:szCs w:val="21"/>
                <w:highlight w:val="none"/>
                <w:lang w:val="en-US" w:eastAsia="zh-CN"/>
              </w:rPr>
            </w:pPr>
            <w:bookmarkStart w:id="162" w:name="_Toc8416"/>
            <w:r>
              <w:rPr>
                <w:rFonts w:hint="eastAsia" w:ascii="宋体" w:hAnsi="宋体" w:cs="宋体"/>
                <w:color w:val="auto"/>
                <w:sz w:val="21"/>
                <w:szCs w:val="21"/>
                <w:highlight w:val="none"/>
                <w:lang w:val="en-US" w:eastAsia="zh-CN"/>
              </w:rPr>
              <w:t>2.2.1</w:t>
            </w:r>
          </w:p>
        </w:tc>
        <w:tc>
          <w:tcPr>
            <w:tcW w:w="1235" w:type="pct"/>
            <w:gridSpan w:val="4"/>
            <w:vAlign w:val="center"/>
          </w:tcPr>
          <w:p>
            <w:pPr>
              <w:pStyle w:val="7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bidi="zh-CN"/>
              </w:rPr>
              <w:t>分值构成(总分100分)</w:t>
            </w:r>
          </w:p>
        </w:tc>
        <w:tc>
          <w:tcPr>
            <w:tcW w:w="321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业绩和资信：</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项目总监理工程师的素质和能力：</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资源配置：</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监理大纲：</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w:t>
            </w:r>
          </w:p>
          <w:p>
            <w:pPr>
              <w:pStyle w:val="71"/>
              <w:spacing w:line="460" w:lineRule="exac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restart"/>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2"/>
                <w:szCs w:val="22"/>
                <w:highlight w:val="none"/>
              </w:rPr>
              <w:t>2.2.2</w:t>
            </w:r>
          </w:p>
        </w:tc>
        <w:tc>
          <w:tcPr>
            <w:tcW w:w="597" w:type="pct"/>
            <w:gridSpan w:val="2"/>
            <w:vMerge w:val="restart"/>
            <w:vAlign w:val="center"/>
          </w:tcPr>
          <w:p>
            <w:pPr>
              <w:pStyle w:val="71"/>
              <w:spacing w:line="360" w:lineRule="auto"/>
              <w:jc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Cs w:val="21"/>
                <w:highlight w:val="none"/>
                <w:lang w:val="zh-CN" w:bidi="zh-CN"/>
              </w:rPr>
              <w:t>业绩和资信部分（</w:t>
            </w:r>
            <w:r>
              <w:rPr>
                <w:rFonts w:hint="eastAsia" w:ascii="宋体" w:hAnsi="宋体" w:eastAsia="宋体" w:cs="宋体"/>
                <w:color w:val="auto"/>
                <w:szCs w:val="21"/>
                <w:highlight w:val="none"/>
                <w:lang w:val="en-US" w:bidi="zh-CN"/>
              </w:rPr>
              <w:t>35</w:t>
            </w:r>
            <w:r>
              <w:rPr>
                <w:rFonts w:hint="eastAsia" w:ascii="宋体" w:hAnsi="宋体" w:eastAsia="宋体" w:cs="宋体"/>
                <w:color w:val="auto"/>
                <w:szCs w:val="21"/>
                <w:highlight w:val="none"/>
                <w:lang w:bidi="zh-CN"/>
              </w:rPr>
              <w:t>分）</w:t>
            </w:r>
          </w:p>
        </w:tc>
        <w:tc>
          <w:tcPr>
            <w:tcW w:w="638"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信用得分</w:t>
            </w:r>
          </w:p>
          <w:p>
            <w:pPr>
              <w:pStyle w:val="71"/>
              <w:spacing w:line="360" w:lineRule="auto"/>
              <w:jc w:val="center"/>
              <w:rPr>
                <w:rFonts w:hint="eastAsia" w:ascii="宋体" w:hAnsi="宋体" w:eastAsia="宋体" w:cs="宋体"/>
                <w:color w:val="auto"/>
                <w:sz w:val="21"/>
                <w:szCs w:val="21"/>
                <w:highlight w:val="none"/>
                <w:lang w:val="zh-CN" w:bidi="zh-CN"/>
              </w:rPr>
            </w:pPr>
            <w:r>
              <w:rPr>
                <w:rFonts w:hint="eastAsia" w:ascii="宋体" w:hAnsi="宋体" w:eastAsia="宋体" w:cs="宋体"/>
                <w:b w:val="0"/>
                <w:bCs w:val="0"/>
                <w:color w:val="auto"/>
                <w:sz w:val="21"/>
                <w:szCs w:val="21"/>
                <w:highlight w:val="none"/>
              </w:rPr>
              <w:t>(10分)</w:t>
            </w:r>
          </w:p>
        </w:tc>
        <w:tc>
          <w:tcPr>
            <w:tcW w:w="3218"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contextualSpacing/>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根据广东省水利厅关于印发《广东省水利厅关于水利建设市场信用的管理办法》的通知[粤水规范字（2019）1号]，在广东省内依法建立了信用档案的水利建设市场主体初始信用分为100分，分值权重为10%，并按照</w:t>
            </w:r>
            <w:r>
              <w:rPr>
                <w:rFonts w:hint="eastAsia" w:ascii="宋体" w:hAnsi="宋体" w:eastAsia="宋体" w:cs="宋体"/>
                <w:b w:val="0"/>
                <w:bCs w:val="0"/>
                <w:color w:val="auto"/>
                <w:sz w:val="21"/>
                <w:szCs w:val="21"/>
                <w:highlight w:val="none"/>
                <w:lang w:eastAsia="zh-CN"/>
              </w:rPr>
              <w:t>评</w:t>
            </w:r>
            <w:r>
              <w:rPr>
                <w:rFonts w:hint="eastAsia" w:ascii="宋体" w:hAnsi="宋体" w:eastAsia="宋体" w:cs="宋体"/>
                <w:b w:val="0"/>
                <w:bCs w:val="0"/>
                <w:color w:val="auto"/>
                <w:sz w:val="21"/>
                <w:szCs w:val="21"/>
                <w:highlight w:val="none"/>
              </w:rPr>
              <w:t>标时的信用分值（超100分的按100分计算）乘以10%计算所得最终信用得分。</w:t>
            </w:r>
            <w:r>
              <w:rPr>
                <w:rFonts w:hint="eastAsia" w:ascii="宋体" w:hAnsi="宋体" w:eastAsia="宋体" w:cs="宋体"/>
                <w:b w:val="0"/>
                <w:bCs w:val="0"/>
                <w:color w:val="auto"/>
                <w:sz w:val="21"/>
                <w:szCs w:val="21"/>
                <w:highlight w:val="none"/>
                <w:lang w:eastAsia="zh-TW" w:bidi="ar"/>
              </w:rPr>
              <w:t>（广东省水利厅”网站(首页-信用信息公开--信用信息</w:t>
            </w:r>
            <w:r>
              <w:rPr>
                <w:rFonts w:hint="eastAsia" w:ascii="宋体" w:hAnsi="宋体" w:eastAsia="宋体" w:cs="宋体"/>
                <w:b w:val="0"/>
                <w:bCs w:val="0"/>
                <w:color w:val="auto"/>
                <w:sz w:val="21"/>
                <w:szCs w:val="21"/>
                <w:highlight w:val="none"/>
                <w:lang w:val="en-US" w:eastAsia="zh-CN" w:bidi="ar"/>
              </w:rPr>
              <w:t>目录-</w:t>
            </w:r>
            <w:r>
              <w:rPr>
                <w:rFonts w:hint="eastAsia" w:ascii="宋体" w:hAnsi="宋体" w:eastAsia="宋体" w:cs="宋体"/>
                <w:b w:val="0"/>
                <w:bCs w:val="0"/>
                <w:color w:val="auto"/>
                <w:sz w:val="21"/>
                <w:szCs w:val="21"/>
                <w:highlight w:val="none"/>
                <w:lang w:eastAsia="zh-TW" w:bidi="ar"/>
              </w:rPr>
              <w:t>建设</w:t>
            </w:r>
            <w:r>
              <w:rPr>
                <w:rFonts w:hint="eastAsia" w:ascii="宋体" w:hAnsi="宋体" w:eastAsia="宋体" w:cs="宋体"/>
                <w:b w:val="0"/>
                <w:bCs w:val="0"/>
                <w:color w:val="auto"/>
                <w:sz w:val="21"/>
                <w:szCs w:val="21"/>
                <w:highlight w:val="none"/>
                <w:lang w:val="en-US" w:eastAsia="zh-CN" w:bidi="ar"/>
              </w:rPr>
              <w:t>管理</w:t>
            </w:r>
            <w:r>
              <w:rPr>
                <w:rFonts w:hint="eastAsia" w:ascii="宋体" w:hAnsi="宋体" w:eastAsia="宋体" w:cs="宋体"/>
                <w:b w:val="0"/>
                <w:bCs w:val="0"/>
                <w:color w:val="auto"/>
                <w:sz w:val="21"/>
                <w:szCs w:val="21"/>
                <w:highlight w:val="none"/>
                <w:lang w:eastAsia="zh-TW" w:bidi="ar"/>
              </w:rPr>
              <w:t>-信用信息-</w:t>
            </w:r>
            <w:bookmarkStart w:id="163" w:name="OLE_LINK3"/>
            <w:r>
              <w:rPr>
                <w:rFonts w:hint="eastAsia" w:ascii="宋体" w:hAnsi="宋体" w:eastAsia="宋体" w:cs="宋体"/>
                <w:b w:val="0"/>
                <w:bCs w:val="0"/>
                <w:color w:val="auto"/>
                <w:sz w:val="21"/>
                <w:szCs w:val="21"/>
                <w:highlight w:val="none"/>
                <w:lang w:eastAsia="zh-TW" w:bidi="ar"/>
              </w:rPr>
              <w:t>广东省水利建设市场信用信息平台</w:t>
            </w:r>
            <w:bookmarkEnd w:id="163"/>
            <w:r>
              <w:rPr>
                <w:rFonts w:hint="eastAsia" w:ascii="宋体" w:hAnsi="宋体" w:eastAsia="宋体" w:cs="宋体"/>
                <w:b w:val="0"/>
                <w:bCs w:val="0"/>
                <w:color w:val="auto"/>
                <w:sz w:val="21"/>
                <w:szCs w:val="21"/>
                <w:highlight w:val="none"/>
                <w:lang w:eastAsia="zh-TW" w:bidi="ar"/>
              </w:rPr>
              <w:t>）栏信息及企业信用分值的网页截图）</w:t>
            </w:r>
            <w:r>
              <w:rPr>
                <w:rFonts w:hint="eastAsia" w:ascii="宋体" w:hAnsi="宋体" w:eastAsia="宋体" w:cs="宋体"/>
                <w:b w:val="0"/>
                <w:bCs w:val="0"/>
                <w:color w:val="auto"/>
                <w:sz w:val="21"/>
                <w:szCs w:val="21"/>
                <w:highlight w:val="none"/>
              </w:rPr>
              <w:t>。本项最多得10分。</w:t>
            </w:r>
          </w:p>
          <w:p>
            <w:pPr>
              <w:pStyle w:val="71"/>
              <w:spacing w:line="460" w:lineRule="exact"/>
              <w:ind w:firstLine="210" w:firstLineChars="1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注：以开标当天招标代理机构在监督单位的见证下并在交易中心网上实时截图打印的为准。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2"/>
                <w:szCs w:val="22"/>
                <w:highlight w:val="none"/>
              </w:rPr>
            </w:pPr>
          </w:p>
        </w:tc>
        <w:tc>
          <w:tcPr>
            <w:tcW w:w="597" w:type="pct"/>
            <w:gridSpan w:val="2"/>
            <w:vMerge w:val="continue"/>
            <w:vAlign w:val="center"/>
          </w:tcPr>
          <w:p>
            <w:pPr>
              <w:pStyle w:val="71"/>
              <w:spacing w:line="360" w:lineRule="auto"/>
              <w:jc w:val="center"/>
              <w:rPr>
                <w:rFonts w:hint="eastAsia" w:ascii="宋体" w:hAnsi="宋体" w:eastAsia="宋体" w:cs="宋体"/>
                <w:color w:val="auto"/>
                <w:szCs w:val="21"/>
                <w:highlight w:val="none"/>
                <w:lang w:val="zh-CN" w:bidi="zh-CN"/>
              </w:rPr>
            </w:pPr>
          </w:p>
        </w:tc>
        <w:tc>
          <w:tcPr>
            <w:tcW w:w="638" w:type="pct"/>
            <w:gridSpan w:val="2"/>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w:t>
            </w:r>
          </w:p>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pPr>
              <w:pStyle w:val="71"/>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val="en-US" w:eastAsia="zh-CN"/>
              </w:rPr>
              <w:t>承接过的类似工程业绩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得7分。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本项最高得7分。</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注：1.类似工程业绩是指承接过水利项目的监理工作。</w:t>
            </w:r>
          </w:p>
          <w:p>
            <w:pPr>
              <w:pStyle w:val="71"/>
              <w:spacing w:line="4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2.须提供监理合同或监理协议书关键页彩色扫描件，业绩认定时间以监理合同签订时间为准。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2"/>
                <w:szCs w:val="22"/>
                <w:highlight w:val="none"/>
              </w:rPr>
            </w:pPr>
          </w:p>
        </w:tc>
        <w:tc>
          <w:tcPr>
            <w:tcW w:w="597" w:type="pct"/>
            <w:gridSpan w:val="2"/>
            <w:vMerge w:val="continue"/>
            <w:vAlign w:val="center"/>
          </w:tcPr>
          <w:p>
            <w:pPr>
              <w:pStyle w:val="71"/>
              <w:spacing w:line="360" w:lineRule="auto"/>
              <w:jc w:val="center"/>
              <w:rPr>
                <w:rFonts w:hint="eastAsia" w:ascii="宋体" w:hAnsi="宋体" w:eastAsia="宋体" w:cs="宋体"/>
                <w:color w:val="auto"/>
                <w:szCs w:val="21"/>
                <w:highlight w:val="none"/>
                <w:lang w:val="zh-CN" w:bidi="zh-CN"/>
              </w:rPr>
            </w:pPr>
          </w:p>
        </w:tc>
        <w:tc>
          <w:tcPr>
            <w:tcW w:w="638" w:type="pct"/>
            <w:gridSpan w:val="2"/>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获奖</w:t>
            </w:r>
          </w:p>
          <w:p>
            <w:pPr>
              <w:pStyle w:val="71"/>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3218" w:type="pct"/>
            <w:vAlign w:val="center"/>
          </w:tcPr>
          <w:p>
            <w:pPr>
              <w:pStyle w:val="71"/>
              <w:spacing w:line="4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自2020年1月1日至今完成过监理项目获得国家级奖项的一项得6分，省级奖项的一项得4分，市级奖项的一项得2分，本项最高得12分。</w:t>
            </w:r>
          </w:p>
          <w:p>
            <w:pPr>
              <w:pStyle w:val="71"/>
              <w:spacing w:line="4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注：需提供获奖证书彩色扫描件，获奖时间以奖项证明的落款日期为准。同一项目只按最高获奖等级计分一次。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2"/>
                <w:szCs w:val="22"/>
                <w:highlight w:val="none"/>
              </w:rPr>
            </w:pPr>
          </w:p>
        </w:tc>
        <w:tc>
          <w:tcPr>
            <w:tcW w:w="597" w:type="pct"/>
            <w:gridSpan w:val="2"/>
            <w:vMerge w:val="continue"/>
            <w:vAlign w:val="center"/>
          </w:tcPr>
          <w:p>
            <w:pPr>
              <w:pStyle w:val="71"/>
              <w:spacing w:line="360" w:lineRule="auto"/>
              <w:jc w:val="center"/>
              <w:rPr>
                <w:rFonts w:hint="eastAsia" w:ascii="宋体" w:hAnsi="宋体" w:eastAsia="宋体" w:cs="宋体"/>
                <w:color w:val="auto"/>
                <w:szCs w:val="21"/>
                <w:highlight w:val="none"/>
                <w:lang w:val="zh-CN" w:bidi="zh-CN"/>
              </w:rPr>
            </w:pPr>
          </w:p>
        </w:tc>
        <w:tc>
          <w:tcPr>
            <w:tcW w:w="638" w:type="pct"/>
            <w:gridSpan w:val="2"/>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企业管理体系认证</w:t>
            </w:r>
          </w:p>
          <w:p>
            <w:pPr>
              <w:pStyle w:val="71"/>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1.质量管理体系认证、职业健康安全管理体系认证、环境管理体系认证中，每获得1项认证得2分，本项最高得6分。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2.未获得以上认证的，不予计分。</w:t>
            </w:r>
          </w:p>
          <w:p>
            <w:pPr>
              <w:pStyle w:val="71"/>
              <w:spacing w:line="4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本项最高得6分。</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注：1.需附在有效期内的认证证书彩色扫描件。</w:t>
            </w:r>
          </w:p>
          <w:p>
            <w:pPr>
              <w:pStyle w:val="71"/>
              <w:spacing w:line="4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2.任一认证证书不在有效期内的，该认证证书视为无效，不予计分。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p>
        </w:tc>
        <w:tc>
          <w:tcPr>
            <w:tcW w:w="1235" w:type="pct"/>
            <w:gridSpan w:val="4"/>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62" w:right="52"/>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项目总监理工程师</w:t>
            </w:r>
          </w:p>
          <w:p>
            <w:pPr>
              <w:pStyle w:val="71"/>
              <w:keepNext w:val="0"/>
              <w:keepLines w:val="0"/>
              <w:pageBreakBefore w:val="0"/>
              <w:widowControl w:val="0"/>
              <w:kinsoku/>
              <w:wordWrap/>
              <w:overflowPunct/>
              <w:topLinePunct w:val="0"/>
              <w:autoSpaceDE/>
              <w:autoSpaceDN/>
              <w:bidi w:val="0"/>
              <w:adjustRightInd/>
              <w:snapToGrid/>
              <w:spacing w:line="360" w:lineRule="exact"/>
              <w:ind w:left="62" w:right="52"/>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的素质和能力</w:t>
            </w:r>
          </w:p>
        </w:tc>
        <w:tc>
          <w:tcPr>
            <w:tcW w:w="32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总监理工程师具备工程类专业高级或以上职称且具有水利部注册监理工程师证书得10分。</w:t>
            </w:r>
          </w:p>
          <w:p>
            <w:pPr>
              <w:pStyle w:val="71"/>
              <w:spacing w:line="4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pPr>
              <w:pStyle w:val="71"/>
              <w:spacing w:line="4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注：需附相关证明材料彩色扫描件及在本单位缴纳社保的证明（至少三个月，其中必须有2025年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w:t>
            </w:r>
          </w:p>
        </w:tc>
        <w:tc>
          <w:tcPr>
            <w:tcW w:w="591" w:type="pct"/>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Cs w:val="21"/>
                <w:highlight w:val="none"/>
                <w:lang w:val="zh-CN"/>
              </w:rPr>
              <w:t>资源配置（</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p>
        </w:tc>
        <w:tc>
          <w:tcPr>
            <w:tcW w:w="644" w:type="pct"/>
            <w:gridSpan w:val="3"/>
            <w:vAlign w:val="center"/>
          </w:tcPr>
          <w:p>
            <w:pPr>
              <w:widowControl/>
              <w:spacing w:line="400" w:lineRule="exact"/>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zh-TW"/>
              </w:rPr>
              <w:t>其他</w:t>
            </w:r>
            <w:r>
              <w:rPr>
                <w:rFonts w:hint="eastAsia" w:ascii="宋体" w:hAnsi="宋体" w:eastAsia="宋体" w:cs="宋体"/>
                <w:color w:val="auto"/>
                <w:sz w:val="21"/>
                <w:szCs w:val="21"/>
                <w:highlight w:val="none"/>
                <w:lang w:val="zh-TW" w:eastAsia="zh-TW"/>
              </w:rPr>
              <w:t>监理人员配备</w:t>
            </w:r>
          </w:p>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TW"/>
              </w:rPr>
              <w:t>）</w:t>
            </w:r>
          </w:p>
        </w:tc>
        <w:tc>
          <w:tcPr>
            <w:tcW w:w="3218"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1.配备1名水利专业监理工程师：具有注册监理工程师（水利工程施工监理）且有工程类高级及以上职称的得3分，同时具有注册咨询工程师的加2分。本小项最高得5分。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2.配备1名给排水专业监理工程师：具有全国注册监理工程师（市政公用工程）且具有工程类高级及以上职称的得5分。本小项最高得5分。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3.配备1名造价专业监理工程师：具有注册监理工程师（水利工程施工监理）且具有一级注册造价工程师的得5分。本小项最高得5分。</w:t>
            </w:r>
          </w:p>
          <w:p>
            <w:pPr>
              <w:pStyle w:val="71"/>
              <w:spacing w:line="4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本项最高得15分。</w:t>
            </w:r>
          </w:p>
          <w:p>
            <w:pPr>
              <w:pStyle w:val="71"/>
              <w:spacing w:line="4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注：需附相关证明材料彩色扫描件及在本单位缴纳社保的证明（至少三个月，其中必须有2025年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月）彩色扫描件。以上岗位人员一人一岗，不得兼任。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restart"/>
            <w:vAlign w:val="center"/>
          </w:tcPr>
          <w:p>
            <w:pPr>
              <w:pStyle w:val="34"/>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5</w:t>
            </w:r>
          </w:p>
        </w:tc>
        <w:tc>
          <w:tcPr>
            <w:tcW w:w="591" w:type="pct"/>
            <w:vMerge w:val="restart"/>
            <w:vAlign w:val="center"/>
          </w:tcPr>
          <w:p>
            <w:pPr>
              <w:pStyle w:val="71"/>
              <w:keepNext w:val="0"/>
              <w:keepLines w:val="0"/>
              <w:pageBreakBefore w:val="0"/>
              <w:kinsoku/>
              <w:wordWrap/>
              <w:overflowPunct/>
              <w:topLinePunct w:val="0"/>
              <w:autoSpaceDE/>
              <w:autoSpaceDN/>
              <w:bidi w:val="0"/>
              <w:spacing w:line="360" w:lineRule="exact"/>
              <w:ind w:left="62" w:right="52"/>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监理大纲</w:t>
            </w:r>
          </w:p>
          <w:p>
            <w:pPr>
              <w:pStyle w:val="71"/>
              <w:keepNext w:val="0"/>
              <w:keepLines w:val="0"/>
              <w:pageBreakBefore w:val="0"/>
              <w:kinsoku/>
              <w:wordWrap/>
              <w:overflowPunct/>
              <w:topLinePunct w:val="0"/>
              <w:autoSpaceDE/>
              <w:autoSpaceDN/>
              <w:bidi w:val="0"/>
              <w:spacing w:line="360" w:lineRule="exact"/>
              <w:ind w:left="62" w:leftChars="0" w:right="52" w:rightChars="0"/>
              <w:jc w:val="center"/>
              <w:textAlignment w:val="auto"/>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w:t>
            </w:r>
          </w:p>
        </w:tc>
        <w:tc>
          <w:tcPr>
            <w:tcW w:w="644" w:type="pct"/>
            <w:gridSpan w:val="3"/>
            <w:vAlign w:val="center"/>
          </w:tcPr>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监理范围、监理内容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jc w:val="both"/>
              <w:textAlignment w:val="auto"/>
              <w:rPr>
                <w:rFonts w:hint="eastAsia"/>
                <w:color w:val="auto"/>
                <w:sz w:val="21"/>
                <w:szCs w:val="21"/>
                <w:highlight w:val="none"/>
              </w:rPr>
            </w:pPr>
            <w:r>
              <w:rPr>
                <w:rFonts w:hint="eastAsia"/>
                <w:color w:val="auto"/>
                <w:sz w:val="21"/>
                <w:szCs w:val="21"/>
                <w:highlight w:val="none"/>
              </w:rPr>
              <w:t>目标明确、内容齐全得</w:t>
            </w:r>
            <w:r>
              <w:rPr>
                <w:rFonts w:hint="eastAsia"/>
                <w:color w:val="auto"/>
                <w:sz w:val="21"/>
                <w:szCs w:val="21"/>
                <w:highlight w:val="none"/>
                <w:lang w:val="en-US" w:eastAsia="zh-CN"/>
              </w:rPr>
              <w:t>1</w:t>
            </w:r>
            <w:r>
              <w:rPr>
                <w:rFonts w:hint="eastAsia"/>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jc w:val="both"/>
              <w:textAlignment w:val="auto"/>
              <w:rPr>
                <w:rFonts w:hint="eastAsia"/>
                <w:color w:val="auto"/>
                <w:sz w:val="21"/>
                <w:szCs w:val="21"/>
                <w:highlight w:val="none"/>
              </w:rPr>
            </w:pPr>
            <w:r>
              <w:rPr>
                <w:rFonts w:hint="eastAsia"/>
                <w:color w:val="auto"/>
                <w:sz w:val="21"/>
                <w:szCs w:val="21"/>
                <w:highlight w:val="none"/>
              </w:rPr>
              <w:t>方法合理可行、措施具体，优</w:t>
            </w:r>
            <w:r>
              <w:rPr>
                <w:rFonts w:hint="eastAsia"/>
                <w:color w:val="auto"/>
                <w:sz w:val="21"/>
                <w:szCs w:val="21"/>
                <w:highlight w:val="none"/>
                <w:lang w:val="en-US" w:eastAsia="zh-CN"/>
              </w:rPr>
              <w:t>的加2</w:t>
            </w:r>
            <w:r>
              <w:rPr>
                <w:rFonts w:hint="eastAsia"/>
                <w:color w:val="auto"/>
                <w:sz w:val="21"/>
                <w:szCs w:val="21"/>
                <w:highlight w:val="none"/>
              </w:rPr>
              <w:t>分，良</w:t>
            </w:r>
            <w:r>
              <w:rPr>
                <w:rFonts w:hint="eastAsia"/>
                <w:color w:val="auto"/>
                <w:sz w:val="21"/>
                <w:szCs w:val="21"/>
                <w:highlight w:val="none"/>
                <w:lang w:val="en-US" w:eastAsia="zh-CN"/>
              </w:rPr>
              <w:t>的加1</w:t>
            </w:r>
            <w:r>
              <w:rPr>
                <w:rFonts w:hint="eastAsia"/>
                <w:color w:val="auto"/>
                <w:sz w:val="21"/>
                <w:szCs w:val="21"/>
                <w:highlight w:val="none"/>
              </w:rPr>
              <w:t>分，</w:t>
            </w:r>
            <w:r>
              <w:rPr>
                <w:rFonts w:hint="eastAsia"/>
                <w:color w:val="auto"/>
                <w:sz w:val="21"/>
                <w:szCs w:val="21"/>
                <w:highlight w:val="none"/>
                <w:lang w:val="en-US" w:eastAsia="zh-CN"/>
              </w:rPr>
              <w:t>一般的加0.5分，</w:t>
            </w:r>
            <w:r>
              <w:rPr>
                <w:rFonts w:hint="eastAsia"/>
                <w:color w:val="auto"/>
                <w:sz w:val="21"/>
                <w:szCs w:val="21"/>
                <w:highlight w:val="none"/>
              </w:rPr>
              <w:t>无内容的不得分。</w:t>
            </w:r>
          </w:p>
          <w:p>
            <w:pPr>
              <w:pStyle w:val="2"/>
              <w:keepNext w:val="0"/>
              <w:keepLines w:val="0"/>
              <w:pageBreakBefore w:val="0"/>
              <w:kinsoku/>
              <w:wordWrap/>
              <w:overflowPunct/>
              <w:topLinePunct w:val="0"/>
              <w:autoSpaceDE/>
              <w:autoSpaceDN/>
              <w:bidi w:val="0"/>
              <w:spacing w:line="360" w:lineRule="exact"/>
              <w:ind w:firstLine="210" w:firstLineChars="100"/>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本项最高得得3分。</w:t>
            </w:r>
          </w:p>
          <w:p>
            <w:pPr>
              <w:ind w:firstLine="210" w:firstLineChars="100"/>
              <w:rPr>
                <w:rFonts w:hint="default"/>
                <w:color w:val="auto"/>
                <w:highlight w:val="none"/>
                <w:lang w:val="en-US" w:eastAsia="zh-CN"/>
              </w:rPr>
            </w:pPr>
            <w:r>
              <w:rPr>
                <w:rFonts w:hint="eastAsia"/>
                <w:color w:val="auto"/>
                <w:sz w:val="21"/>
                <w:szCs w:val="21"/>
                <w:highlight w:val="none"/>
                <w:lang w:val="en-US" w:eastAsia="zh-CN"/>
              </w:rPr>
              <w:t>备注：</w:t>
            </w:r>
            <w:r>
              <w:rPr>
                <w:rFonts w:hint="eastAsia" w:ascii="宋体" w:hAnsi="宋体" w:eastAsia="宋体" w:cs="宋体"/>
                <w:caps w:val="0"/>
                <w:color w:val="auto"/>
                <w:spacing w:val="0"/>
                <w:kern w:val="0"/>
                <w:sz w:val="21"/>
                <w:szCs w:val="21"/>
                <w:highlight w:val="none"/>
                <w:lang w:val="en-US" w:eastAsia="zh-CN" w:bidi="ar"/>
              </w:rPr>
              <w:t>要求依据全面、适用；目标清晰、正确；针对性强。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监理依据、监理工作目标</w:t>
            </w:r>
          </w:p>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分析合理、有具体对策者，优</w:t>
            </w:r>
            <w:r>
              <w:rPr>
                <w:rFonts w:hint="eastAsia" w:ascii="宋体" w:hAnsi="宋体" w:eastAsia="宋体" w:cs="宋体"/>
                <w:color w:val="auto"/>
                <w:sz w:val="21"/>
                <w:szCs w:val="21"/>
                <w:highlight w:val="none"/>
                <w:lang w:val="en-US" w:eastAsia="zh-CN"/>
              </w:rPr>
              <w:t>的加2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的加1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一般的加0.5分，</w:t>
            </w:r>
            <w:r>
              <w:rPr>
                <w:rFonts w:hint="eastAsia" w:ascii="宋体" w:hAnsi="宋体" w:eastAsia="宋体" w:cs="宋体"/>
                <w:color w:val="auto"/>
                <w:sz w:val="21"/>
                <w:szCs w:val="21"/>
                <w:highlight w:val="none"/>
              </w:rPr>
              <w:t>无内容的不得分。</w:t>
            </w:r>
          </w:p>
          <w:p>
            <w:pPr>
              <w:keepNext w:val="0"/>
              <w:keepLines w:val="0"/>
              <w:pageBreakBefore w:val="0"/>
              <w:widowControl/>
              <w:kinsoku/>
              <w:wordWrap/>
              <w:overflowPunct/>
              <w:topLinePunct w:val="0"/>
              <w:autoSpaceDE/>
              <w:autoSpaceDN/>
              <w:bidi w:val="0"/>
              <w:spacing w:line="360" w:lineRule="exact"/>
              <w:ind w:firstLine="210" w:firstLineChars="1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本项最高得得3分。</w:t>
            </w:r>
          </w:p>
          <w:p>
            <w:pPr>
              <w:keepNext w:val="0"/>
              <w:keepLines w:val="0"/>
              <w:pageBreakBefore w:val="0"/>
              <w:widowControl/>
              <w:kinsoku/>
              <w:wordWrap/>
              <w:overflowPunct/>
              <w:topLinePunct w:val="0"/>
              <w:autoSpaceDE/>
              <w:autoSpaceDN/>
              <w:bidi w:val="0"/>
              <w:spacing w:line="36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备注：</w:t>
            </w:r>
            <w:r>
              <w:rPr>
                <w:rFonts w:hint="eastAsia" w:ascii="宋体" w:hAnsi="宋体" w:eastAsia="宋体" w:cs="宋体"/>
                <w:caps w:val="0"/>
                <w:color w:val="auto"/>
                <w:spacing w:val="0"/>
                <w:kern w:val="0"/>
                <w:sz w:val="21"/>
                <w:szCs w:val="21"/>
                <w:highlight w:val="none"/>
                <w:lang w:val="en-US" w:eastAsia="zh-CN" w:bidi="ar"/>
              </w:rPr>
              <w:t>要求目标正确、方法可行、预控和动态管理措施具体、针对性强。脱离本工程实际、机械照搬照抄规范和技术标准的，不能得满分。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监理机构设置和岗位职责</w:t>
            </w:r>
          </w:p>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方法合理可行、措施具体，优</w:t>
            </w:r>
            <w:r>
              <w:rPr>
                <w:rFonts w:hint="eastAsia" w:ascii="宋体" w:hAnsi="宋体" w:eastAsia="宋体" w:cs="宋体"/>
                <w:color w:val="auto"/>
                <w:sz w:val="21"/>
                <w:szCs w:val="21"/>
                <w:highlight w:val="none"/>
                <w:lang w:val="en-US" w:eastAsia="zh-CN"/>
              </w:rPr>
              <w:t>的加2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的加1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一般的加0.5分，</w:t>
            </w:r>
            <w:r>
              <w:rPr>
                <w:rFonts w:hint="eastAsia" w:ascii="宋体" w:hAnsi="宋体" w:eastAsia="宋体" w:cs="宋体"/>
                <w:color w:val="auto"/>
                <w:sz w:val="21"/>
                <w:szCs w:val="21"/>
                <w:highlight w:val="none"/>
              </w:rPr>
              <w:t>无内容的不得分。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本项最高得3分。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备注：</w:t>
            </w:r>
            <w:r>
              <w:rPr>
                <w:rFonts w:hint="eastAsia" w:ascii="宋体" w:hAnsi="宋体" w:eastAsia="宋体" w:cs="宋体"/>
                <w:caps w:val="0"/>
                <w:color w:val="auto"/>
                <w:spacing w:val="0"/>
                <w:kern w:val="0"/>
                <w:sz w:val="21"/>
                <w:szCs w:val="21"/>
                <w:highlight w:val="none"/>
                <w:lang w:val="en-US" w:eastAsia="zh-CN" w:bidi="ar"/>
              </w:rPr>
              <w:t>要求目标正确、方法可行、预控和动态管理措施具体、针对性强。脱离本工程实际、机械照搬照抄规范和技术标准的，不能得满分。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监理工作程序、方法和制度</w:t>
            </w:r>
          </w:p>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方法合理可行、措施具体，优</w:t>
            </w:r>
            <w:r>
              <w:rPr>
                <w:rFonts w:hint="eastAsia" w:ascii="宋体" w:hAnsi="宋体" w:eastAsia="宋体" w:cs="宋体"/>
                <w:color w:val="auto"/>
                <w:sz w:val="21"/>
                <w:szCs w:val="21"/>
                <w:highlight w:val="none"/>
                <w:lang w:val="en-US" w:eastAsia="zh-CN"/>
              </w:rPr>
              <w:t>的加2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的加1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一般的加0.5分，</w:t>
            </w:r>
            <w:r>
              <w:rPr>
                <w:rFonts w:hint="eastAsia" w:ascii="宋体" w:hAnsi="宋体" w:eastAsia="宋体" w:cs="宋体"/>
                <w:color w:val="auto"/>
                <w:sz w:val="21"/>
                <w:szCs w:val="21"/>
                <w:highlight w:val="none"/>
              </w:rPr>
              <w:t>无内容的不得分。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本项得高得3分。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备注：</w:t>
            </w:r>
            <w:r>
              <w:rPr>
                <w:rFonts w:hint="eastAsia" w:ascii="宋体" w:hAnsi="宋体" w:eastAsia="宋体" w:cs="宋体"/>
                <w:caps w:val="0"/>
                <w:color w:val="auto"/>
                <w:spacing w:val="0"/>
                <w:kern w:val="0"/>
                <w:sz w:val="21"/>
                <w:szCs w:val="21"/>
                <w:highlight w:val="none"/>
                <w:lang w:val="en-US" w:eastAsia="zh-CN" w:bidi="ar"/>
              </w:rPr>
              <w:t>要求目标正确、方法可行、预控和动态管理措施具体、针对性强。脱离本工程实际、机械照搬照抄规范和技术标准的，不能得满分。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质量、进度、造价、安全、环保监理措施</w:t>
            </w:r>
          </w:p>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方法合理可行、措施具体，优</w:t>
            </w:r>
            <w:r>
              <w:rPr>
                <w:rFonts w:hint="eastAsia" w:ascii="宋体" w:hAnsi="宋体" w:eastAsia="宋体" w:cs="宋体"/>
                <w:color w:val="auto"/>
                <w:sz w:val="21"/>
                <w:szCs w:val="21"/>
                <w:highlight w:val="none"/>
                <w:lang w:val="en-US" w:eastAsia="zh-CN"/>
              </w:rPr>
              <w:t>的加2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的加1.5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一般的加1分，</w:t>
            </w:r>
            <w:r>
              <w:rPr>
                <w:rFonts w:hint="eastAsia" w:ascii="宋体" w:hAnsi="宋体" w:eastAsia="宋体" w:cs="宋体"/>
                <w:color w:val="auto"/>
                <w:sz w:val="21"/>
                <w:szCs w:val="21"/>
                <w:highlight w:val="none"/>
              </w:rPr>
              <w:t>无内容的不得分。</w:t>
            </w:r>
          </w:p>
          <w:p>
            <w:pPr>
              <w:pStyle w:val="71"/>
              <w:spacing w:line="460" w:lineRule="exact"/>
              <w:ind w:firstLine="210" w:firstLineChars="1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本项最高得4分。</w:t>
            </w:r>
          </w:p>
          <w:p>
            <w:pPr>
              <w:pStyle w:val="71"/>
              <w:spacing w:line="460" w:lineRule="exact"/>
              <w:ind w:firstLine="210" w:firstLineChars="100"/>
              <w:jc w:val="both"/>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备注：</w:t>
            </w:r>
            <w:r>
              <w:rPr>
                <w:rFonts w:hint="eastAsia" w:ascii="宋体" w:hAnsi="宋体" w:eastAsia="宋体" w:cs="宋体"/>
                <w:caps w:val="0"/>
                <w:color w:val="auto"/>
                <w:spacing w:val="0"/>
                <w:kern w:val="0"/>
                <w:sz w:val="21"/>
                <w:szCs w:val="21"/>
                <w:highlight w:val="none"/>
                <w:lang w:val="en-US" w:eastAsia="zh-CN" w:bidi="ar"/>
              </w:rPr>
              <w:t>要求目标正确、方法可行、预控和动态管理措施具体、针对性强。脱离本工程实际、机械照搬照抄规范和技术标准的，不能得满分。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合同、信息管理方案(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方法合理可行、措施具体，优</w:t>
            </w:r>
            <w:r>
              <w:rPr>
                <w:rFonts w:hint="eastAsia" w:ascii="宋体" w:hAnsi="宋体" w:eastAsia="宋体" w:cs="宋体"/>
                <w:color w:val="auto"/>
                <w:sz w:val="21"/>
                <w:szCs w:val="21"/>
                <w:highlight w:val="none"/>
                <w:lang w:val="en-US" w:eastAsia="zh-CN"/>
              </w:rPr>
              <w:t>得2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一般得0.5分，</w:t>
            </w:r>
            <w:r>
              <w:rPr>
                <w:rFonts w:hint="eastAsia" w:ascii="宋体" w:hAnsi="宋体" w:eastAsia="宋体" w:cs="宋体"/>
                <w:color w:val="auto"/>
                <w:sz w:val="21"/>
                <w:szCs w:val="21"/>
                <w:highlight w:val="none"/>
              </w:rPr>
              <w:t>无内容的不得分。</w:t>
            </w:r>
          </w:p>
          <w:p>
            <w:pPr>
              <w:pStyle w:val="71"/>
              <w:spacing w:line="460" w:lineRule="exact"/>
              <w:ind w:firstLine="210" w:firstLineChars="1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本项最高得3分。</w:t>
            </w:r>
          </w:p>
          <w:p>
            <w:pPr>
              <w:pStyle w:val="71"/>
              <w:spacing w:line="460" w:lineRule="exact"/>
              <w:ind w:firstLine="210" w:firstLineChars="10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备注：</w:t>
            </w:r>
            <w:r>
              <w:rPr>
                <w:rFonts w:hint="eastAsia" w:ascii="宋体" w:hAnsi="宋体" w:eastAsia="宋体" w:cs="宋体"/>
                <w:caps w:val="0"/>
                <w:color w:val="auto"/>
                <w:spacing w:val="0"/>
                <w:kern w:val="0"/>
                <w:sz w:val="21"/>
                <w:szCs w:val="21"/>
                <w:highlight w:val="none"/>
                <w:lang w:val="en-US" w:eastAsia="zh-CN" w:bidi="ar"/>
              </w:rPr>
              <w:t>要求各项制度规范清晰，方法科学合理，措施及时有效，针对性强。能够切实防范和处理合同纠纷，提升监理工作效能。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监理组织协调内容及措施</w:t>
            </w:r>
          </w:p>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方法合理可行、措施具体，优</w:t>
            </w:r>
            <w:r>
              <w:rPr>
                <w:rFonts w:hint="eastAsia" w:ascii="宋体" w:hAnsi="宋体" w:eastAsia="宋体" w:cs="宋体"/>
                <w:color w:val="auto"/>
                <w:sz w:val="21"/>
                <w:szCs w:val="21"/>
                <w:highlight w:val="none"/>
                <w:lang w:val="en-US" w:eastAsia="zh-CN"/>
              </w:rPr>
              <w:t>的加2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的加1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一般的加0.5分，</w:t>
            </w:r>
            <w:r>
              <w:rPr>
                <w:rFonts w:hint="eastAsia" w:ascii="宋体" w:hAnsi="宋体" w:eastAsia="宋体" w:cs="宋体"/>
                <w:color w:val="auto"/>
                <w:sz w:val="21"/>
                <w:szCs w:val="21"/>
                <w:highlight w:val="none"/>
              </w:rPr>
              <w:t>无内容的不得分。</w:t>
            </w:r>
          </w:p>
          <w:p>
            <w:pPr>
              <w:pStyle w:val="71"/>
              <w:spacing w:line="460" w:lineRule="exact"/>
              <w:ind w:firstLine="210" w:firstLineChars="1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本项最高得3分。</w:t>
            </w:r>
          </w:p>
          <w:p>
            <w:pPr>
              <w:pStyle w:val="71"/>
              <w:spacing w:line="460" w:lineRule="exact"/>
              <w:ind w:firstLine="210" w:firstLineChars="10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备注：</w:t>
            </w:r>
            <w:r>
              <w:rPr>
                <w:rFonts w:hint="eastAsia" w:ascii="宋体" w:hAnsi="宋体" w:eastAsia="宋体" w:cs="宋体"/>
                <w:caps w:val="0"/>
                <w:color w:val="auto"/>
                <w:spacing w:val="0"/>
                <w:kern w:val="0"/>
                <w:sz w:val="21"/>
                <w:szCs w:val="21"/>
                <w:highlight w:val="none"/>
                <w:lang w:val="en-US" w:eastAsia="zh-CN" w:bidi="ar"/>
              </w:rPr>
              <w:t>要求各项制度规范清晰，方法科学合理，措施及时有效，针对性强。能够高效收集、协调、处理、反馈各方各类问题。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监理工作重点、难点分析</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方法合理可行、措施具体，优</w:t>
            </w:r>
            <w:r>
              <w:rPr>
                <w:rFonts w:hint="eastAsia" w:ascii="宋体" w:hAnsi="宋体" w:eastAsia="宋体" w:cs="宋体"/>
                <w:color w:val="auto"/>
                <w:sz w:val="21"/>
                <w:szCs w:val="21"/>
                <w:highlight w:val="none"/>
                <w:lang w:val="en-US" w:eastAsia="zh-CN"/>
              </w:rPr>
              <w:t>的加2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的加1.5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一般的加1分，</w:t>
            </w:r>
            <w:r>
              <w:rPr>
                <w:rFonts w:hint="eastAsia" w:ascii="宋体" w:hAnsi="宋体" w:eastAsia="宋体" w:cs="宋体"/>
                <w:color w:val="auto"/>
                <w:sz w:val="21"/>
                <w:szCs w:val="21"/>
                <w:highlight w:val="none"/>
              </w:rPr>
              <w:t>无内容的不得分。</w:t>
            </w:r>
          </w:p>
          <w:p>
            <w:pPr>
              <w:pStyle w:val="71"/>
              <w:spacing w:line="460" w:lineRule="exact"/>
              <w:ind w:firstLine="210" w:firstLineChars="1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本项最高得4分。</w:t>
            </w:r>
          </w:p>
          <w:p>
            <w:pPr>
              <w:pStyle w:val="71"/>
              <w:spacing w:line="460" w:lineRule="exact"/>
              <w:ind w:firstLine="210" w:firstLineChars="10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备注：</w:t>
            </w:r>
            <w:r>
              <w:rPr>
                <w:rFonts w:hint="eastAsia" w:ascii="宋体" w:hAnsi="宋体" w:eastAsia="宋体" w:cs="宋体"/>
                <w:caps w:val="0"/>
                <w:color w:val="auto"/>
                <w:spacing w:val="0"/>
                <w:kern w:val="0"/>
                <w:sz w:val="21"/>
                <w:szCs w:val="21"/>
                <w:highlight w:val="none"/>
                <w:lang w:val="en-US" w:eastAsia="zh-CN" w:bidi="ar"/>
              </w:rPr>
              <w:t>要求方法可行、措施具体、针对性强。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Merge w:val="continue"/>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591" w:type="pct"/>
            <w:vMerge w:val="continue"/>
            <w:vAlign w:val="center"/>
          </w:tcPr>
          <w:p>
            <w:pPr>
              <w:pStyle w:val="71"/>
              <w:keepNext w:val="0"/>
              <w:keepLines w:val="0"/>
              <w:pageBreakBefore w:val="0"/>
              <w:widowControl w:val="0"/>
              <w:kinsoku/>
              <w:wordWrap/>
              <w:overflowPunct/>
              <w:topLinePunct w:val="0"/>
              <w:autoSpaceDE/>
              <w:autoSpaceDN/>
              <w:bidi w:val="0"/>
              <w:adjustRightInd/>
              <w:snapToGrid/>
              <w:spacing w:line="360" w:lineRule="exact"/>
              <w:ind w:left="141" w:right="127"/>
              <w:jc w:val="center"/>
              <w:rPr>
                <w:rFonts w:hint="eastAsia" w:ascii="宋体" w:hAnsi="宋体" w:eastAsia="宋体" w:cs="宋体"/>
                <w:color w:val="auto"/>
                <w:szCs w:val="21"/>
                <w:highlight w:val="none"/>
                <w:lang w:val="zh-CN"/>
              </w:rPr>
            </w:pPr>
          </w:p>
        </w:tc>
        <w:tc>
          <w:tcPr>
            <w:tcW w:w="644" w:type="pct"/>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w:t>
            </w:r>
          </w:p>
          <w:p>
            <w:pPr>
              <w:spacing w:line="360" w:lineRule="auto"/>
              <w:jc w:val="center"/>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3218" w:type="pct"/>
            <w:vAlign w:val="center"/>
          </w:tcPr>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内容齐全得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方法合理可行、措施具体，优</w:t>
            </w:r>
            <w:r>
              <w:rPr>
                <w:rFonts w:hint="eastAsia" w:ascii="宋体" w:hAnsi="宋体" w:eastAsia="宋体" w:cs="宋体"/>
                <w:color w:val="auto"/>
                <w:sz w:val="21"/>
                <w:szCs w:val="21"/>
                <w:highlight w:val="none"/>
                <w:lang w:val="en-US" w:eastAsia="zh-CN"/>
              </w:rPr>
              <w:t>的加2</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的加1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一般的加0.5分，</w:t>
            </w:r>
            <w:r>
              <w:rPr>
                <w:rFonts w:hint="eastAsia" w:ascii="宋体" w:hAnsi="宋体" w:eastAsia="宋体" w:cs="宋体"/>
                <w:color w:val="auto"/>
                <w:sz w:val="21"/>
                <w:szCs w:val="21"/>
                <w:highlight w:val="none"/>
              </w:rPr>
              <w:t>无内容的不得分。</w:t>
            </w:r>
          </w:p>
          <w:p>
            <w:pPr>
              <w:pStyle w:val="71"/>
              <w:spacing w:line="460" w:lineRule="exact"/>
              <w:ind w:firstLine="210" w:firstLineChars="1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本项最高得4分。</w:t>
            </w:r>
          </w:p>
          <w:p>
            <w:pPr>
              <w:pStyle w:val="71"/>
              <w:spacing w:line="460" w:lineRule="exact"/>
              <w:ind w:firstLine="210" w:firstLineChars="10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备注：</w:t>
            </w:r>
            <w:r>
              <w:rPr>
                <w:rFonts w:hint="eastAsia" w:ascii="宋体" w:hAnsi="宋体" w:eastAsia="宋体" w:cs="宋体"/>
                <w:caps w:val="0"/>
                <w:color w:val="auto"/>
                <w:spacing w:val="0"/>
                <w:kern w:val="0"/>
                <w:sz w:val="21"/>
                <w:szCs w:val="21"/>
                <w:highlight w:val="none"/>
                <w:lang w:val="en-US" w:eastAsia="zh-CN" w:bidi="ar"/>
              </w:rPr>
              <w:t>要求方法可行、措施具体、针对性强。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46" w:type="pc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p>
        </w:tc>
        <w:tc>
          <w:tcPr>
            <w:tcW w:w="591" w:type="pct"/>
            <w:vAlign w:val="center"/>
          </w:tcPr>
          <w:p>
            <w:pPr>
              <w:pStyle w:val="71"/>
              <w:spacing w:before="20"/>
              <w:ind w:left="62" w:right="52"/>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p>
            <w:pPr>
              <w:pStyle w:val="71"/>
              <w:spacing w:before="20"/>
              <w:ind w:left="62" w:leftChars="0" w:right="52" w:rightChars="0"/>
              <w:jc w:val="center"/>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分）</w:t>
            </w:r>
          </w:p>
        </w:tc>
        <w:tc>
          <w:tcPr>
            <w:tcW w:w="3862" w:type="pct"/>
            <w:gridSpan w:val="4"/>
            <w:vAlign w:val="center"/>
          </w:tcPr>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报价得分计分方法如下：</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评标基准价D=A×（1 - B）</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式中：A = 招标人的最高投标限价</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B = 随机抽取的下浮系数的算术平均值（保留两位小数）</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用1～21号球分别代表一个下浮系数，由评委代表从这21个号码中随机抽取 3 次，抽出的号球不参与下次抽取，每次抽取1个号码，所抽取的3个号码对应下浮系数的算术平均值作为最高投标限价下浮系数n。具体号码对应的下浮系数可参考下表。</w:t>
            </w:r>
          </w:p>
          <w:tbl>
            <w:tblPr>
              <w:tblStyle w:val="23"/>
              <w:tblpPr w:leftFromText="180" w:rightFromText="180" w:vertAnchor="text" w:horzAnchor="page" w:tblpX="122" w:tblpY="105"/>
              <w:tblOverlap w:val="never"/>
              <w:tblW w:w="8156" w:type="dxa"/>
              <w:tblInd w:w="0" w:type="dxa"/>
              <w:tblLayout w:type="autofit"/>
              <w:tblCellMar>
                <w:top w:w="0" w:type="dxa"/>
                <w:left w:w="108" w:type="dxa"/>
                <w:bottom w:w="0" w:type="dxa"/>
                <w:right w:w="108" w:type="dxa"/>
              </w:tblCellMar>
            </w:tblPr>
            <w:tblGrid>
              <w:gridCol w:w="1637"/>
              <w:gridCol w:w="837"/>
              <w:gridCol w:w="900"/>
              <w:gridCol w:w="900"/>
              <w:gridCol w:w="903"/>
              <w:gridCol w:w="933"/>
              <w:gridCol w:w="982"/>
              <w:gridCol w:w="1064"/>
            </w:tblGrid>
            <w:tr>
              <w:tblPrEx>
                <w:tblCellMar>
                  <w:top w:w="0" w:type="dxa"/>
                  <w:left w:w="108" w:type="dxa"/>
                  <w:bottom w:w="0" w:type="dxa"/>
                  <w:right w:w="108" w:type="dxa"/>
                </w:tblCellMar>
              </w:tblPrEx>
              <w:trPr>
                <w:trHeight w:val="327" w:hRule="atLeast"/>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号球</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3</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7</w:t>
                  </w:r>
                </w:p>
              </w:tc>
            </w:tr>
            <w:tr>
              <w:tblPrEx>
                <w:tblCellMar>
                  <w:top w:w="0" w:type="dxa"/>
                  <w:left w:w="108" w:type="dxa"/>
                  <w:bottom w:w="0" w:type="dxa"/>
                  <w:right w:w="108" w:type="dxa"/>
                </w:tblCellMar>
              </w:tblPrEx>
              <w:trPr>
                <w:trHeight w:val="395" w:hRule="atLeast"/>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下浮率（%）</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1.2</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1.4</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1.5</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1.6</w:t>
                  </w:r>
                </w:p>
              </w:tc>
            </w:tr>
            <w:tr>
              <w:tblPrEx>
                <w:tblCellMar>
                  <w:top w:w="0" w:type="dxa"/>
                  <w:left w:w="108" w:type="dxa"/>
                  <w:bottom w:w="0" w:type="dxa"/>
                  <w:right w:w="108" w:type="dxa"/>
                </w:tblCellMar>
              </w:tblPrEx>
              <w:trPr>
                <w:trHeight w:val="327" w:hRule="atLeast"/>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号球</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10</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14</w:t>
                  </w:r>
                </w:p>
              </w:tc>
            </w:tr>
            <w:tr>
              <w:tblPrEx>
                <w:tblCellMar>
                  <w:top w:w="0" w:type="dxa"/>
                  <w:left w:w="108" w:type="dxa"/>
                  <w:bottom w:w="0" w:type="dxa"/>
                  <w:right w:w="108" w:type="dxa"/>
                </w:tblCellMar>
              </w:tblPrEx>
              <w:trPr>
                <w:trHeight w:val="395" w:hRule="atLeast"/>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下浮率（%）</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1.9</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2.3</w:t>
                  </w:r>
                </w:p>
              </w:tc>
            </w:tr>
            <w:tr>
              <w:tblPrEx>
                <w:tblCellMar>
                  <w:top w:w="0" w:type="dxa"/>
                  <w:left w:w="108" w:type="dxa"/>
                  <w:bottom w:w="0" w:type="dxa"/>
                  <w:right w:w="108" w:type="dxa"/>
                </w:tblCellMar>
              </w:tblPrEx>
              <w:trPr>
                <w:trHeight w:val="327" w:hRule="atLeast"/>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号球</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17</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19</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21</w:t>
                  </w:r>
                </w:p>
              </w:tc>
            </w:tr>
            <w:tr>
              <w:tblPrEx>
                <w:tblCellMar>
                  <w:top w:w="0" w:type="dxa"/>
                  <w:left w:w="108" w:type="dxa"/>
                  <w:bottom w:w="0" w:type="dxa"/>
                  <w:right w:w="108" w:type="dxa"/>
                </w:tblCellMar>
              </w:tblPrEx>
              <w:trPr>
                <w:trHeight w:val="410" w:hRule="atLeast"/>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下浮率（%）</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2.5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2.6</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2.8</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2.9</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3.0</w:t>
                  </w:r>
                </w:p>
              </w:tc>
            </w:tr>
          </w:tbl>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二、经济部分得分F计算（采用插入法计算）</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当投标人的投标报价Di等于D时得满分，每高于D一个百分点扣0.5分（E）,每低于一个百分点扣0.3分（E）。</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计算公式为：F=</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0-(︳Di-D︳/D)×100×E</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式中：F=经济部分得分，得分四舍五入精确到小数点后两位。</w:t>
            </w:r>
          </w:p>
          <w:p>
            <w:pPr>
              <w:pStyle w:val="71"/>
              <w:spacing w:line="4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若Di &gt;D，则E=0.5，若Di&lt;D,则E=0.3。</w:t>
            </w:r>
          </w:p>
          <w:p>
            <w:pPr>
              <w:pStyle w:val="71"/>
              <w:spacing w:line="460" w:lineRule="exact"/>
              <w:ind w:firstLine="210" w:firstLineChars="1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注：本项扣分扣完为止。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1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8974" w:type="dxa"/>
            <w:gridSpan w:val="5"/>
            <w:vAlign w:val="center"/>
          </w:tcPr>
          <w:p>
            <w:pPr>
              <w:pStyle w:val="71"/>
              <w:spacing w:line="360" w:lineRule="exact"/>
              <w:ind w:left="62" w:right="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投标人总得分=A业绩和资信+B项目总监理工程师的素质和能力+C资源配置+D监理大纲+E投标报价</w:t>
            </w:r>
          </w:p>
          <w:p>
            <w:pPr>
              <w:pStyle w:val="71"/>
              <w:spacing w:line="360" w:lineRule="exact"/>
              <w:ind w:left="62" w:right="52"/>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sz w:val="21"/>
                <w:szCs w:val="21"/>
                <w:highlight w:val="none"/>
                <w:lang w:val="zh-CN" w:eastAsia="zh-CN"/>
              </w:rPr>
              <w:t>计算D时，去掉一个最高值和一个最低值的算术平均值，精确到小数点后3位。</w:t>
            </w:r>
          </w:p>
        </w:tc>
      </w:tr>
    </w:tbl>
    <w:p>
      <w:pPr>
        <w:autoSpaceDE w:val="0"/>
        <w:autoSpaceDN w:val="0"/>
        <w:adjustRightInd w:val="0"/>
        <w:spacing w:line="360" w:lineRule="auto"/>
        <w:jc w:val="left"/>
        <w:outlineLvl w:val="2"/>
        <w:rPr>
          <w:rFonts w:hint="eastAsia" w:ascii="宋体" w:hAnsi="宋体" w:cs="宋体"/>
          <w:b/>
          <w:bCs/>
          <w:color w:val="auto"/>
          <w:kern w:val="0"/>
          <w:sz w:val="21"/>
          <w:szCs w:val="21"/>
          <w:highlight w:val="none"/>
        </w:rPr>
      </w:pPr>
    </w:p>
    <w:p>
      <w:pPr>
        <w:autoSpaceDE w:val="0"/>
        <w:autoSpaceDN w:val="0"/>
        <w:adjustRightInd w:val="0"/>
        <w:spacing w:line="360" w:lineRule="auto"/>
        <w:jc w:val="left"/>
        <w:outlineLvl w:val="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1、评标方法</w:t>
      </w:r>
      <w:bookmarkEnd w:id="161"/>
      <w:bookmarkEnd w:id="162"/>
    </w:p>
    <w:p>
      <w:pPr>
        <w:pStyle w:val="1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第2.2.1款规定的评分标准进行打分，并按得分由高到低顺序推荐中标候选人，或根据招标人授权直接确定中标人，但投标报价低于其成本的除外。综合评分相等时，以投标报价下浮率高的优先；投标报价下浮率也相等的，以监理大纲得分高的优先；如果监理大纲得分也相等，则由评标委员会按照少数服从多数的原则投票决定中标候选顺序。</w:t>
      </w:r>
    </w:p>
    <w:p>
      <w:pPr>
        <w:autoSpaceDE w:val="0"/>
        <w:autoSpaceDN w:val="0"/>
        <w:adjustRightInd w:val="0"/>
        <w:spacing w:beforeLines="100" w:afterLines="50" w:line="360" w:lineRule="auto"/>
        <w:jc w:val="left"/>
        <w:outlineLvl w:val="2"/>
        <w:rPr>
          <w:rFonts w:ascii="宋体" w:hAnsi="宋体" w:cs="宋体"/>
          <w:b/>
          <w:bCs/>
          <w:color w:val="auto"/>
          <w:kern w:val="0"/>
          <w:sz w:val="21"/>
          <w:szCs w:val="21"/>
          <w:highlight w:val="none"/>
        </w:rPr>
      </w:pPr>
      <w:bookmarkStart w:id="164" w:name="_bookmark85"/>
      <w:bookmarkEnd w:id="164"/>
      <w:bookmarkStart w:id="165" w:name="_Toc3273_WPSOffice_Level2"/>
      <w:bookmarkStart w:id="166" w:name="_Toc30252"/>
      <w:r>
        <w:rPr>
          <w:rFonts w:hint="eastAsia" w:ascii="宋体" w:hAnsi="宋体" w:cs="宋体"/>
          <w:b/>
          <w:bCs/>
          <w:color w:val="auto"/>
          <w:kern w:val="0"/>
          <w:sz w:val="21"/>
          <w:szCs w:val="21"/>
          <w:highlight w:val="none"/>
        </w:rPr>
        <w:t>2、评审标准</w:t>
      </w:r>
      <w:bookmarkEnd w:id="165"/>
      <w:bookmarkEnd w:id="166"/>
    </w:p>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bookmarkStart w:id="167" w:name="_bookmark86"/>
      <w:bookmarkEnd w:id="167"/>
      <w:r>
        <w:rPr>
          <w:rFonts w:hint="eastAsia" w:ascii="宋体" w:hAnsi="宋体" w:cs="宋体"/>
          <w:b/>
          <w:bCs/>
          <w:color w:val="auto"/>
          <w:kern w:val="0"/>
          <w:sz w:val="21"/>
          <w:szCs w:val="21"/>
          <w:highlight w:val="none"/>
        </w:rPr>
        <w:t>2.1 初步评审标准</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2.1.1形式评审标准：见评标办法前附表。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2.1.2资格评审标准：见评标办法前附表。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2.1.3响应性评审标准：见评标办法前附表。</w:t>
      </w:r>
    </w:p>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bookmarkStart w:id="168" w:name="_bookmark87"/>
      <w:bookmarkEnd w:id="168"/>
      <w:r>
        <w:rPr>
          <w:rFonts w:hint="eastAsia" w:ascii="宋体" w:hAnsi="宋体" w:cs="宋体"/>
          <w:b/>
          <w:bCs/>
          <w:color w:val="auto"/>
          <w:kern w:val="0"/>
          <w:sz w:val="21"/>
          <w:szCs w:val="21"/>
          <w:highlight w:val="none"/>
        </w:rPr>
        <w:t>2.2 分值构成与评分标准</w:t>
      </w:r>
    </w:p>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2.2.1 分值构成</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（1）业绩和资信：见评标办法前附表；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（2）项目总监理工程师的素质和能力：见评标办法前附表；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（3）资源配置：见评标办法前附表；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（4）监理大纲：见评标办法前附表；</w:t>
      </w:r>
    </w:p>
    <w:p>
      <w:pPr>
        <w:adjustRightInd w:val="0"/>
        <w:snapToGrid w:val="0"/>
        <w:spacing w:line="500" w:lineRule="exact"/>
        <w:ind w:firstLine="420" w:firstLineChars="200"/>
        <w:rPr>
          <w:color w:val="auto"/>
          <w:highlight w:val="none"/>
        </w:rPr>
      </w:pPr>
      <w:r>
        <w:rPr>
          <w:rFonts w:hint="eastAsia" w:ascii="宋体" w:hAnsi="宋体" w:cs="宋体"/>
          <w:color w:val="auto"/>
          <w:sz w:val="21"/>
          <w:szCs w:val="21"/>
          <w:highlight w:val="none"/>
        </w:rPr>
        <w:t>（5）投标报价：见评标办法前附表；</w:t>
      </w:r>
    </w:p>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2.2.2 评分标准</w:t>
      </w:r>
    </w:p>
    <w:p>
      <w:pPr>
        <w:adjustRightInd w:val="0"/>
        <w:snapToGrid w:val="0"/>
        <w:spacing w:line="500" w:lineRule="exact"/>
        <w:ind w:firstLine="420" w:firstLineChars="200"/>
        <w:rPr>
          <w:rFonts w:ascii="宋体" w:hAnsi="宋体" w:cs="宋体"/>
          <w:color w:val="auto"/>
          <w:sz w:val="21"/>
          <w:szCs w:val="21"/>
          <w:highlight w:val="none"/>
        </w:rPr>
      </w:pPr>
      <w:bookmarkStart w:id="169" w:name="_Toc28355"/>
      <w:bookmarkStart w:id="170" w:name="_Toc23321_WPSOffice_Level2"/>
      <w:r>
        <w:rPr>
          <w:rFonts w:hint="eastAsia" w:ascii="宋体" w:hAnsi="宋体" w:cs="宋体"/>
          <w:color w:val="auto"/>
          <w:sz w:val="21"/>
          <w:szCs w:val="21"/>
          <w:highlight w:val="none"/>
        </w:rPr>
        <w:t>（1）业绩和资信：见评标办法前附表；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（2）项目总监理工程师的素质和能力：见评标办法前附表；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（3）资源配置：见评标办法前附表；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（4）监理大纲：见评标办法前附表；</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（5）投标报价：见评标办法前附表；</w:t>
      </w:r>
    </w:p>
    <w:p>
      <w:pPr>
        <w:autoSpaceDE w:val="0"/>
        <w:autoSpaceDN w:val="0"/>
        <w:adjustRightInd w:val="0"/>
        <w:spacing w:beforeLines="100" w:afterLines="50" w:line="360" w:lineRule="auto"/>
        <w:jc w:val="left"/>
        <w:outlineLvl w:val="2"/>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3、评标程序</w:t>
      </w:r>
      <w:bookmarkEnd w:id="169"/>
      <w:bookmarkEnd w:id="170"/>
    </w:p>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bookmarkStart w:id="171" w:name="_bookmark89"/>
      <w:bookmarkEnd w:id="171"/>
      <w:r>
        <w:rPr>
          <w:rFonts w:hint="eastAsia" w:ascii="宋体" w:hAnsi="宋体" w:cs="宋体"/>
          <w:b/>
          <w:bCs/>
          <w:color w:val="auto"/>
          <w:kern w:val="0"/>
          <w:sz w:val="21"/>
          <w:szCs w:val="21"/>
          <w:highlight w:val="none"/>
        </w:rPr>
        <w:t>3.1 初步评审</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3.1.1评标委员会依据本章第 2.1.1、2.1.2、2.1.3 款规定的标准对投标文件进行初步评审。有一项不符合评审标准的，评标委员会应当否决其投标。</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3.1.2投标人有以下情形之一的，评标委员会应当否决其投标：</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（1）投标文件没有对招标文件的实质性要求和条件作出响应，或者对招标文件的偏差超出招标文件规定的偏差范围或最高项数；</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（2）有串通投标、弄虚作假、行贿等违法行为。</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3.1.3投标报价有算术错误及其他错误的，评标委员会按以下原则要求投标人对投标报价进行修正，并要求投标人书面澄清确认。投标人拒不澄清确认的，评标委员会应当否决其投标：</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（1）投标文件中的大写金额与小写金额不一致的，以大写金额为准；</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（2）总价金额与单价金额不一致的，以单价金额为准，但单价金额小数点有明显错误的除外。</w:t>
      </w:r>
    </w:p>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bookmarkStart w:id="172" w:name="_bookmark90"/>
      <w:bookmarkEnd w:id="172"/>
      <w:r>
        <w:rPr>
          <w:rFonts w:hint="eastAsia" w:ascii="宋体" w:hAnsi="宋体" w:cs="宋体"/>
          <w:b/>
          <w:bCs/>
          <w:color w:val="auto"/>
          <w:kern w:val="0"/>
          <w:sz w:val="21"/>
          <w:szCs w:val="21"/>
          <w:highlight w:val="none"/>
        </w:rPr>
        <w:t>3.2 详细评审</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3.2.1评标委员会按本章</w:t>
      </w:r>
      <w:r>
        <w:rPr>
          <w:rFonts w:hint="eastAsia" w:ascii="宋体" w:hAnsi="宋体" w:cs="宋体"/>
          <w:color w:val="auto"/>
          <w:spacing w:val="-7"/>
          <w:sz w:val="21"/>
          <w:szCs w:val="21"/>
          <w:highlight w:val="none"/>
        </w:rPr>
        <w:t>第2.2.1款</w:t>
      </w:r>
      <w:r>
        <w:rPr>
          <w:rFonts w:hint="eastAsia" w:ascii="宋体" w:hAnsi="宋体" w:cs="宋体"/>
          <w:color w:val="auto"/>
          <w:sz w:val="21"/>
          <w:szCs w:val="21"/>
          <w:highlight w:val="none"/>
        </w:rPr>
        <w:t>规定的量化因素和分值进行打分，并计算出综合评估得分。</w:t>
      </w:r>
    </w:p>
    <w:p>
      <w:pPr>
        <w:pStyle w:val="74"/>
        <w:tabs>
          <w:tab w:val="left" w:pos="1190"/>
        </w:tabs>
        <w:spacing w:line="500" w:lineRule="exact"/>
        <w:ind w:left="0" w:firstLine="392" w:firstLineChars="200"/>
        <w:rPr>
          <w:color w:val="auto"/>
          <w:kern w:val="2"/>
          <w:sz w:val="21"/>
          <w:szCs w:val="21"/>
          <w:highlight w:val="none"/>
          <w:lang w:val="en-US"/>
        </w:rPr>
      </w:pPr>
      <w:r>
        <w:rPr>
          <w:rFonts w:hint="eastAsia"/>
          <w:color w:val="auto"/>
          <w:spacing w:val="-7"/>
          <w:sz w:val="21"/>
          <w:szCs w:val="21"/>
          <w:highlight w:val="none"/>
        </w:rPr>
        <w:t>（</w:t>
      </w:r>
      <w:r>
        <w:rPr>
          <w:rFonts w:hint="eastAsia"/>
          <w:color w:val="auto"/>
          <w:spacing w:val="-7"/>
          <w:sz w:val="21"/>
          <w:szCs w:val="21"/>
          <w:highlight w:val="none"/>
          <w:lang w:val="en-US"/>
        </w:rPr>
        <w:t>1</w:t>
      </w:r>
      <w:r>
        <w:rPr>
          <w:rFonts w:hint="eastAsia"/>
          <w:color w:val="auto"/>
          <w:spacing w:val="-7"/>
          <w:sz w:val="21"/>
          <w:szCs w:val="21"/>
          <w:highlight w:val="none"/>
        </w:rPr>
        <w:t>）按本章第2.2.</w:t>
      </w:r>
      <w:r>
        <w:rPr>
          <w:rFonts w:hint="eastAsia"/>
          <w:color w:val="auto"/>
          <w:spacing w:val="-7"/>
          <w:sz w:val="21"/>
          <w:szCs w:val="21"/>
          <w:highlight w:val="none"/>
          <w:lang w:val="en-US"/>
        </w:rPr>
        <w:t>2</w:t>
      </w:r>
      <w:r>
        <w:rPr>
          <w:rFonts w:hint="eastAsia"/>
          <w:color w:val="auto"/>
          <w:spacing w:val="-7"/>
          <w:sz w:val="21"/>
          <w:szCs w:val="21"/>
          <w:highlight w:val="none"/>
        </w:rPr>
        <w:t>（1）</w:t>
      </w:r>
      <w:r>
        <w:rPr>
          <w:rFonts w:hint="eastAsia"/>
          <w:color w:val="auto"/>
          <w:spacing w:val="-7"/>
          <w:sz w:val="21"/>
          <w:szCs w:val="21"/>
          <w:highlight w:val="none"/>
          <w:lang w:val="en-US"/>
        </w:rPr>
        <w:t>款</w:t>
      </w:r>
      <w:r>
        <w:rPr>
          <w:rFonts w:hint="eastAsia"/>
          <w:color w:val="auto"/>
          <w:spacing w:val="-3"/>
          <w:sz w:val="21"/>
          <w:szCs w:val="21"/>
          <w:highlight w:val="none"/>
        </w:rPr>
        <w:t>规定的评审因素和分</w:t>
      </w:r>
      <w:r>
        <w:rPr>
          <w:rFonts w:hint="eastAsia"/>
          <w:color w:val="auto"/>
          <w:kern w:val="2"/>
          <w:sz w:val="21"/>
          <w:szCs w:val="21"/>
          <w:highlight w:val="none"/>
          <w:lang w:val="en-US"/>
        </w:rPr>
        <w:t>值对</w:t>
      </w:r>
      <w:r>
        <w:rPr>
          <w:rFonts w:hint="eastAsia"/>
          <w:color w:val="auto"/>
          <w:szCs w:val="21"/>
          <w:highlight w:val="none"/>
        </w:rPr>
        <w:t>业绩和资信</w:t>
      </w:r>
      <w:r>
        <w:rPr>
          <w:rFonts w:hint="eastAsia"/>
          <w:color w:val="auto"/>
          <w:kern w:val="2"/>
          <w:sz w:val="21"/>
          <w:szCs w:val="21"/>
          <w:highlight w:val="none"/>
          <w:lang w:val="en-US"/>
        </w:rPr>
        <w:t>部分计算出得分A；</w:t>
      </w:r>
    </w:p>
    <w:p>
      <w:pPr>
        <w:pStyle w:val="74"/>
        <w:tabs>
          <w:tab w:val="left" w:pos="1190"/>
        </w:tabs>
        <w:spacing w:line="500" w:lineRule="exact"/>
        <w:ind w:left="0" w:firstLine="420" w:firstLineChars="200"/>
        <w:rPr>
          <w:color w:val="auto"/>
          <w:kern w:val="2"/>
          <w:sz w:val="21"/>
          <w:szCs w:val="21"/>
          <w:highlight w:val="none"/>
          <w:lang w:val="en-US"/>
        </w:rPr>
      </w:pPr>
      <w:r>
        <w:rPr>
          <w:rFonts w:hint="eastAsia"/>
          <w:color w:val="auto"/>
          <w:kern w:val="2"/>
          <w:sz w:val="21"/>
          <w:szCs w:val="21"/>
          <w:highlight w:val="none"/>
          <w:lang w:val="en-US"/>
        </w:rPr>
        <w:t>（2）按本章第2.2.2（2）款规定的评审因素和分值对</w:t>
      </w:r>
      <w:r>
        <w:rPr>
          <w:rFonts w:hint="eastAsia"/>
          <w:color w:val="auto"/>
          <w:szCs w:val="21"/>
          <w:highlight w:val="none"/>
        </w:rPr>
        <w:t>项目总监理工程师的素质和能力</w:t>
      </w:r>
      <w:r>
        <w:rPr>
          <w:rFonts w:hint="eastAsia"/>
          <w:color w:val="auto"/>
          <w:kern w:val="2"/>
          <w:sz w:val="21"/>
          <w:szCs w:val="21"/>
          <w:highlight w:val="none"/>
          <w:lang w:val="en-US"/>
        </w:rPr>
        <w:t>部分计算出得分B；</w:t>
      </w:r>
    </w:p>
    <w:p>
      <w:pPr>
        <w:pStyle w:val="74"/>
        <w:tabs>
          <w:tab w:val="left" w:pos="1190"/>
        </w:tabs>
        <w:spacing w:line="500" w:lineRule="exact"/>
        <w:ind w:left="0" w:right="-199" w:rightChars="-71" w:firstLine="420" w:firstLineChars="200"/>
        <w:rPr>
          <w:color w:val="auto"/>
          <w:kern w:val="2"/>
          <w:sz w:val="21"/>
          <w:szCs w:val="21"/>
          <w:highlight w:val="none"/>
          <w:lang w:val="en-US"/>
        </w:rPr>
      </w:pPr>
      <w:r>
        <w:rPr>
          <w:rFonts w:hint="eastAsia"/>
          <w:color w:val="auto"/>
          <w:kern w:val="2"/>
          <w:sz w:val="21"/>
          <w:szCs w:val="21"/>
          <w:highlight w:val="none"/>
          <w:lang w:val="en-US"/>
        </w:rPr>
        <w:t>（3）按本章第2.2.2（3）款规定的评审因素和分值对</w:t>
      </w:r>
      <w:r>
        <w:rPr>
          <w:rFonts w:hint="eastAsia"/>
          <w:color w:val="auto"/>
          <w:szCs w:val="21"/>
          <w:highlight w:val="none"/>
        </w:rPr>
        <w:t>资源配置</w:t>
      </w:r>
      <w:r>
        <w:rPr>
          <w:rFonts w:hint="eastAsia"/>
          <w:color w:val="auto"/>
          <w:kern w:val="2"/>
          <w:sz w:val="21"/>
          <w:szCs w:val="21"/>
          <w:highlight w:val="none"/>
          <w:lang w:val="en-US"/>
        </w:rPr>
        <w:t>部分计算出得分C；</w:t>
      </w:r>
    </w:p>
    <w:p>
      <w:pPr>
        <w:pStyle w:val="74"/>
        <w:tabs>
          <w:tab w:val="left" w:pos="1190"/>
        </w:tabs>
        <w:spacing w:line="500" w:lineRule="exact"/>
        <w:ind w:left="0" w:firstLine="420" w:firstLineChars="200"/>
        <w:rPr>
          <w:color w:val="auto"/>
          <w:sz w:val="21"/>
          <w:szCs w:val="21"/>
          <w:highlight w:val="none"/>
        </w:rPr>
      </w:pPr>
      <w:r>
        <w:rPr>
          <w:rFonts w:hint="eastAsia"/>
          <w:color w:val="auto"/>
          <w:kern w:val="2"/>
          <w:sz w:val="21"/>
          <w:szCs w:val="21"/>
          <w:highlight w:val="none"/>
          <w:lang w:val="en-US"/>
        </w:rPr>
        <w:t>（4）按本章第2.2.2（4）款规定的评审因素和分值对</w:t>
      </w:r>
      <w:r>
        <w:rPr>
          <w:rFonts w:hint="eastAsia"/>
          <w:color w:val="auto"/>
          <w:szCs w:val="21"/>
          <w:highlight w:val="none"/>
        </w:rPr>
        <w:t>监理大纲</w:t>
      </w:r>
      <w:r>
        <w:rPr>
          <w:rFonts w:hint="eastAsia"/>
          <w:color w:val="auto"/>
          <w:kern w:val="2"/>
          <w:sz w:val="21"/>
          <w:szCs w:val="21"/>
          <w:highlight w:val="none"/>
          <w:lang w:val="en-US"/>
        </w:rPr>
        <w:t>部</w:t>
      </w:r>
      <w:r>
        <w:rPr>
          <w:rFonts w:hint="eastAsia"/>
          <w:color w:val="auto"/>
          <w:sz w:val="21"/>
          <w:szCs w:val="21"/>
          <w:highlight w:val="none"/>
          <w:lang w:val="en-US"/>
        </w:rPr>
        <w:t>分</w:t>
      </w:r>
      <w:r>
        <w:rPr>
          <w:rFonts w:hint="eastAsia"/>
          <w:color w:val="auto"/>
          <w:sz w:val="21"/>
          <w:szCs w:val="21"/>
          <w:highlight w:val="none"/>
        </w:rPr>
        <w:t>计算出得分D。评标委员会中所有评标专家评分中去掉一最高分、去掉一个最低分后的算术平均值为投标人技术评审得分。</w:t>
      </w:r>
    </w:p>
    <w:p>
      <w:pPr>
        <w:pStyle w:val="74"/>
        <w:tabs>
          <w:tab w:val="left" w:pos="1190"/>
        </w:tabs>
        <w:spacing w:line="500" w:lineRule="exact"/>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）按本章第2.2.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w:t>
      </w:r>
      <w:r>
        <w:rPr>
          <w:rFonts w:hint="eastAsia"/>
          <w:color w:val="auto"/>
          <w:sz w:val="21"/>
          <w:szCs w:val="21"/>
          <w:highlight w:val="none"/>
          <w:lang w:val="en-US"/>
        </w:rPr>
        <w:t>款</w:t>
      </w:r>
      <w:r>
        <w:rPr>
          <w:rFonts w:hint="eastAsia"/>
          <w:color w:val="auto"/>
          <w:sz w:val="21"/>
          <w:szCs w:val="21"/>
          <w:highlight w:val="none"/>
        </w:rPr>
        <w:t>规定的评审因素和分值</w:t>
      </w:r>
      <w:r>
        <w:rPr>
          <w:rFonts w:hint="eastAsia"/>
          <w:color w:val="auto"/>
          <w:sz w:val="21"/>
          <w:szCs w:val="21"/>
          <w:highlight w:val="none"/>
          <w:lang w:val="en-US"/>
        </w:rPr>
        <w:t>对</w:t>
      </w:r>
      <w:r>
        <w:rPr>
          <w:rFonts w:hint="eastAsia"/>
          <w:color w:val="auto"/>
          <w:szCs w:val="21"/>
          <w:highlight w:val="none"/>
        </w:rPr>
        <w:t>投标报价</w:t>
      </w:r>
      <w:r>
        <w:rPr>
          <w:rFonts w:hint="eastAsia"/>
          <w:color w:val="auto"/>
          <w:sz w:val="21"/>
          <w:szCs w:val="21"/>
          <w:highlight w:val="none"/>
          <w:lang w:val="en-US"/>
        </w:rPr>
        <w:t>部分</w:t>
      </w:r>
      <w:r>
        <w:rPr>
          <w:rFonts w:hint="eastAsia"/>
          <w:color w:val="auto"/>
          <w:sz w:val="21"/>
          <w:szCs w:val="21"/>
          <w:highlight w:val="none"/>
        </w:rPr>
        <w:t>计算出得分E。</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3.2.2评分分值计算保留小数点后三位，小数点后第四位“四舍五入”。</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3.2.3投标人得分= A+B+C+D+E。</w:t>
      </w:r>
    </w:p>
    <w:p>
      <w:pPr>
        <w:adjustRightInd w:val="0"/>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adjustRightInd w:val="0"/>
        <w:snapToGrid w:val="0"/>
        <w:spacing w:line="500" w:lineRule="exact"/>
        <w:ind w:firstLine="420" w:firstLineChars="20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3.2.5</w:t>
      </w:r>
      <w:bookmarkStart w:id="173" w:name="OLE_LINK2"/>
      <w:r>
        <w:rPr>
          <w:rFonts w:hint="eastAsia" w:ascii="宋体" w:hAnsi="宋体" w:eastAsia="宋体" w:cs="宋体"/>
          <w:b w:val="0"/>
          <w:color w:val="auto"/>
          <w:kern w:val="2"/>
          <w:sz w:val="21"/>
          <w:szCs w:val="21"/>
          <w:highlight w:val="none"/>
          <w:lang w:val="en-US" w:eastAsia="zh-CN" w:bidi="ar-SA"/>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pPr>
        <w:pStyle w:val="22"/>
        <w:rPr>
          <w:rFonts w:hint="default" w:eastAsia="宋体"/>
          <w:color w:val="auto"/>
          <w:highlight w:val="none"/>
          <w:lang w:val="en-US" w:eastAsia="zh-CN"/>
        </w:rPr>
      </w:pPr>
    </w:p>
    <w:bookmarkEnd w:id="173"/>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bookmarkStart w:id="174" w:name="_bookmark91"/>
      <w:bookmarkEnd w:id="174"/>
      <w:r>
        <w:rPr>
          <w:rFonts w:hint="eastAsia" w:ascii="宋体" w:hAnsi="宋体" w:cs="宋体"/>
          <w:b/>
          <w:bCs/>
          <w:color w:val="auto"/>
          <w:kern w:val="0"/>
          <w:sz w:val="21"/>
          <w:szCs w:val="21"/>
          <w:highlight w:val="none"/>
        </w:rPr>
        <w:t>3.3 投标文件的澄清</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3.3.2澄清、说明或补正不得超出投标文件的范围且不得改变投标文件的实质性内容，并构成投标文件的组成部分。</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3.3.3评标委员会对投标人提交的澄清、说明或补正有疑问的，可以要求投标人进一步澄清、说明或补正，直至满足评标委员会的要求。</w:t>
      </w:r>
    </w:p>
    <w:p>
      <w:pPr>
        <w:autoSpaceDE w:val="0"/>
        <w:autoSpaceDN w:val="0"/>
        <w:adjustRightInd w:val="0"/>
        <w:spacing w:line="500" w:lineRule="exact"/>
        <w:ind w:right="-1025" w:rightChars="-366"/>
        <w:jc w:val="left"/>
        <w:rPr>
          <w:rFonts w:ascii="宋体" w:hAnsi="宋体" w:cs="宋体"/>
          <w:b/>
          <w:bCs/>
          <w:color w:val="auto"/>
          <w:kern w:val="0"/>
          <w:sz w:val="21"/>
          <w:szCs w:val="21"/>
          <w:highlight w:val="none"/>
        </w:rPr>
      </w:pPr>
      <w:bookmarkStart w:id="175" w:name="_bookmark92"/>
      <w:bookmarkEnd w:id="175"/>
      <w:r>
        <w:rPr>
          <w:rFonts w:hint="eastAsia" w:ascii="宋体" w:hAnsi="宋体" w:cs="宋体"/>
          <w:b/>
          <w:bCs/>
          <w:color w:val="auto"/>
          <w:kern w:val="0"/>
          <w:sz w:val="21"/>
          <w:szCs w:val="21"/>
          <w:highlight w:val="none"/>
        </w:rPr>
        <w:t>3.4 评标结果</w:t>
      </w:r>
    </w:p>
    <w:p>
      <w:pPr>
        <w:adjustRightInd w:val="0"/>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3.4.1除第二章“投标人须知”前附表授权直接确定中标人外，评标委员会按照得分由高到低的顺序推荐中标候选人，并标明排序。</w:t>
      </w:r>
    </w:p>
    <w:p>
      <w:pPr>
        <w:adjustRightInd w:val="0"/>
        <w:snapToGrid w:val="0"/>
        <w:spacing w:line="500" w:lineRule="exact"/>
        <w:ind w:firstLine="420" w:firstLineChars="200"/>
        <w:rPr>
          <w:rFonts w:ascii="宋体" w:hAnsi="宋体" w:cs="宋体"/>
          <w:color w:val="auto"/>
          <w:sz w:val="21"/>
          <w:szCs w:val="21"/>
          <w:highlight w:val="none"/>
        </w:rPr>
        <w:sectPr>
          <w:pgSz w:w="11905" w:h="16838"/>
          <w:pgMar w:top="1417" w:right="1417" w:bottom="1417" w:left="1417" w:header="850" w:footer="992" w:gutter="0"/>
          <w:cols w:space="720" w:num="1"/>
          <w:docGrid w:type="lines" w:linePitch="389" w:charSpace="0"/>
        </w:sectPr>
      </w:pPr>
      <w:r>
        <w:rPr>
          <w:rFonts w:hint="eastAsia" w:ascii="宋体" w:hAnsi="宋体" w:cs="宋体"/>
          <w:color w:val="auto"/>
          <w:sz w:val="21"/>
          <w:szCs w:val="21"/>
          <w:highlight w:val="none"/>
        </w:rPr>
        <w:t>3.4.2评标委员会完成评标后，应当向招标人提交书面评标报告和中标候选人名单。</w:t>
      </w:r>
    </w:p>
    <w:p>
      <w:pPr>
        <w:pStyle w:val="21"/>
        <w:rPr>
          <w:color w:val="auto"/>
          <w:highlight w:val="none"/>
        </w:rPr>
      </w:pPr>
      <w:bookmarkStart w:id="176" w:name="_Toc4926"/>
      <w:bookmarkStart w:id="177" w:name="_Toc12146"/>
      <w:bookmarkStart w:id="178" w:name="_Toc2983_WPSOffice_Level2"/>
      <w:r>
        <w:rPr>
          <w:rFonts w:hint="eastAsia"/>
          <w:color w:val="auto"/>
          <w:highlight w:val="none"/>
        </w:rPr>
        <w:t>第四章、合同文件</w:t>
      </w:r>
      <w:bookmarkEnd w:id="176"/>
      <w:bookmarkEnd w:id="177"/>
      <w:bookmarkStart w:id="179" w:name="_Toc268692118"/>
      <w:bookmarkStart w:id="180" w:name="_Toc260744686"/>
      <w:bookmarkStart w:id="181" w:name="_Toc266018909"/>
      <w:bookmarkStart w:id="182" w:name="_Toc266176418"/>
    </w:p>
    <w:bookmarkEnd w:id="179"/>
    <w:bookmarkEnd w:id="180"/>
    <w:bookmarkEnd w:id="181"/>
    <w:bookmarkEnd w:id="182"/>
    <w:p>
      <w:pPr>
        <w:jc w:val="center"/>
        <w:outlineLvl w:val="1"/>
        <w:rPr>
          <w:b/>
          <w:color w:val="auto"/>
          <w:sz w:val="32"/>
          <w:szCs w:val="32"/>
          <w:highlight w:val="none"/>
        </w:rPr>
      </w:pPr>
      <w:bookmarkStart w:id="183" w:name="_Toc21495"/>
      <w:r>
        <w:rPr>
          <w:rFonts w:hint="eastAsia"/>
          <w:b/>
          <w:color w:val="auto"/>
          <w:sz w:val="32"/>
          <w:szCs w:val="32"/>
          <w:highlight w:val="none"/>
        </w:rPr>
        <w:t>水利工程施工监理合同书</w:t>
      </w:r>
      <w:bookmarkEnd w:id="183"/>
    </w:p>
    <w:p>
      <w:pPr>
        <w:spacing w:line="440" w:lineRule="exact"/>
        <w:ind w:firstLine="5940" w:firstLineChars="2113"/>
        <w:rPr>
          <w:rFonts w:ascii="宋体" w:hAnsi="宋体"/>
          <w:b/>
          <w:color w:val="auto"/>
          <w:szCs w:val="21"/>
          <w:highlight w:val="none"/>
        </w:rPr>
      </w:pPr>
    </w:p>
    <w:p>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委 托 人:</w:t>
      </w:r>
      <w:r>
        <w:rPr>
          <w:rFonts w:hint="eastAsia" w:ascii="宋体" w:hAnsi="宋体"/>
          <w:color w:val="auto"/>
          <w:sz w:val="24"/>
          <w:highlight w:val="none"/>
          <w:u w:val="single"/>
        </w:rPr>
        <w:t xml:space="preserve">                                  </w:t>
      </w:r>
    </w:p>
    <w:p>
      <w:pPr>
        <w:spacing w:line="360" w:lineRule="auto"/>
        <w:ind w:firstLine="482" w:firstLineChars="200"/>
        <w:rPr>
          <w:rFonts w:ascii="宋体" w:hAnsi="宋体"/>
          <w:color w:val="auto"/>
          <w:sz w:val="24"/>
          <w:highlight w:val="none"/>
          <w:u w:val="single"/>
        </w:rPr>
      </w:pPr>
      <w:r>
        <w:rPr>
          <w:rFonts w:hint="eastAsia" w:ascii="宋体" w:hAnsi="宋体"/>
          <w:b/>
          <w:bCs/>
          <w:color w:val="auto"/>
          <w:sz w:val="24"/>
          <w:highlight w:val="none"/>
        </w:rPr>
        <w:t>监</w:t>
      </w:r>
      <w:r>
        <w:rPr>
          <w:rFonts w:ascii="宋体" w:hAnsi="宋体"/>
          <w:b/>
          <w:bCs/>
          <w:color w:val="auto"/>
          <w:sz w:val="24"/>
          <w:highlight w:val="none"/>
        </w:rPr>
        <w:t xml:space="preserve"> </w:t>
      </w:r>
      <w:r>
        <w:rPr>
          <w:rFonts w:hint="eastAsia" w:ascii="宋体" w:hAnsi="宋体"/>
          <w:b/>
          <w:bCs/>
          <w:color w:val="auto"/>
          <w:sz w:val="24"/>
          <w:highlight w:val="none"/>
        </w:rPr>
        <w:t>理</w:t>
      </w:r>
      <w:r>
        <w:rPr>
          <w:rFonts w:ascii="宋体" w:hAnsi="宋体"/>
          <w:b/>
          <w:bCs/>
          <w:color w:val="auto"/>
          <w:sz w:val="24"/>
          <w:highlight w:val="none"/>
        </w:rPr>
        <w:t xml:space="preserve"> </w:t>
      </w:r>
      <w:r>
        <w:rPr>
          <w:rFonts w:hint="eastAsia" w:ascii="宋体" w:hAnsi="宋体"/>
          <w:b/>
          <w:bCs/>
          <w:color w:val="auto"/>
          <w:sz w:val="24"/>
          <w:highlight w:val="none"/>
        </w:rPr>
        <w:t>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line="360" w:lineRule="auto"/>
        <w:ind w:firstLine="482" w:firstLineChars="200"/>
        <w:rPr>
          <w:rFonts w:ascii="宋体" w:hAnsi="宋体"/>
          <w:color w:val="auto"/>
          <w:sz w:val="24"/>
          <w:highlight w:val="none"/>
          <w:u w:val="single"/>
        </w:rPr>
      </w:pPr>
      <w:r>
        <w:rPr>
          <w:rFonts w:hint="eastAsia" w:ascii="宋体" w:hAnsi="宋体"/>
          <w:b/>
          <w:bCs/>
          <w:color w:val="auto"/>
          <w:sz w:val="24"/>
          <w:highlight w:val="none"/>
        </w:rPr>
        <w:t>合同编号：</w:t>
      </w:r>
      <w:r>
        <w:rPr>
          <w:rFonts w:hint="eastAsia" w:ascii="宋体" w:hAnsi="宋体"/>
          <w:color w:val="auto"/>
          <w:sz w:val="24"/>
          <w:highlight w:val="none"/>
          <w:u w:val="single"/>
        </w:rPr>
        <w:t xml:space="preserve">                               </w:t>
      </w:r>
    </w:p>
    <w:p>
      <w:pPr>
        <w:spacing w:line="360" w:lineRule="auto"/>
        <w:ind w:firstLine="482" w:firstLineChars="200"/>
        <w:rPr>
          <w:rFonts w:ascii="宋体" w:hAnsi="宋体"/>
          <w:color w:val="auto"/>
          <w:sz w:val="24"/>
          <w:highlight w:val="none"/>
          <w:u w:val="single"/>
        </w:rPr>
      </w:pPr>
      <w:r>
        <w:rPr>
          <w:rFonts w:hint="eastAsia" w:ascii="宋体" w:hAnsi="宋体"/>
          <w:b/>
          <w:bCs/>
          <w:color w:val="auto"/>
          <w:sz w:val="24"/>
          <w:highlight w:val="none"/>
        </w:rPr>
        <w:t>合同名称：</w:t>
      </w:r>
      <w:r>
        <w:rPr>
          <w:rFonts w:hint="eastAsia" w:ascii="宋体" w:hAnsi="宋体"/>
          <w:color w:val="auto"/>
          <w:sz w:val="24"/>
          <w:highlight w:val="none"/>
          <w:u w:val="single"/>
        </w:rPr>
        <w:t xml:space="preserve">                      监理合同</w:t>
      </w:r>
    </w:p>
    <w:p>
      <w:pPr>
        <w:spacing w:line="360" w:lineRule="auto"/>
        <w:ind w:firstLine="403" w:firstLineChars="192"/>
        <w:rPr>
          <w:rFonts w:ascii="宋体" w:hAnsi="宋体"/>
          <w:bCs/>
          <w:color w:val="auto"/>
          <w:sz w:val="21"/>
          <w:szCs w:val="21"/>
          <w:highlight w:val="none"/>
        </w:rPr>
      </w:pPr>
      <w:r>
        <w:rPr>
          <w:rFonts w:hint="eastAsia" w:ascii="宋体" w:hAnsi="宋体"/>
          <w:color w:val="auto"/>
          <w:sz w:val="21"/>
          <w:szCs w:val="21"/>
          <w:highlight w:val="none"/>
        </w:rPr>
        <w:t>依据国家有关法律、法规，</w:t>
      </w:r>
      <w:r>
        <w:rPr>
          <w:rFonts w:hint="eastAsia" w:ascii="宋体" w:hAnsi="宋体"/>
          <w:color w:val="auto"/>
          <w:sz w:val="21"/>
          <w:szCs w:val="21"/>
          <w:highlight w:val="none"/>
          <w:u w:val="single"/>
        </w:rPr>
        <w:t xml:space="preserve">                   公司   </w:t>
      </w:r>
      <w:r>
        <w:rPr>
          <w:rFonts w:hint="eastAsia" w:ascii="宋体" w:hAnsi="宋体"/>
          <w:color w:val="auto"/>
          <w:sz w:val="21"/>
          <w:szCs w:val="21"/>
          <w:highlight w:val="none"/>
        </w:rPr>
        <w:t>（以下简称委托人），委托</w:t>
      </w:r>
      <w:r>
        <w:rPr>
          <w:rFonts w:hint="eastAsia" w:ascii="宋体" w:hAnsi="宋体"/>
          <w:color w:val="auto"/>
          <w:sz w:val="21"/>
          <w:szCs w:val="21"/>
          <w:highlight w:val="none"/>
          <w:u w:val="single"/>
        </w:rPr>
        <w:t xml:space="preserve">   （监理人名称）  </w:t>
      </w:r>
      <w:r>
        <w:rPr>
          <w:rFonts w:hint="eastAsia" w:ascii="宋体" w:hAnsi="宋体"/>
          <w:color w:val="auto"/>
          <w:sz w:val="21"/>
          <w:szCs w:val="21"/>
          <w:highlight w:val="none"/>
        </w:rPr>
        <w:t>（以下简称监理人）提供</w:t>
      </w:r>
      <w:r>
        <w:rPr>
          <w:rFonts w:hint="eastAsia" w:ascii="宋体" w:hAnsi="宋体"/>
          <w:color w:val="auto"/>
          <w:sz w:val="21"/>
          <w:szCs w:val="21"/>
          <w:highlight w:val="none"/>
          <w:u w:val="single"/>
        </w:rPr>
        <w:t xml:space="preserve">     （工程名称）     </w:t>
      </w:r>
      <w:r>
        <w:rPr>
          <w:rFonts w:hint="eastAsia" w:ascii="宋体" w:hAnsi="宋体"/>
          <w:color w:val="auto"/>
          <w:sz w:val="21"/>
          <w:szCs w:val="21"/>
          <w:highlight w:val="none"/>
        </w:rPr>
        <w:t>监理服务，经双方协商一致，订立本合同。</w:t>
      </w:r>
    </w:p>
    <w:p>
      <w:pPr>
        <w:spacing w:line="360" w:lineRule="auto"/>
        <w:ind w:firstLine="420" w:firstLineChars="200"/>
        <w:outlineLvl w:val="1"/>
        <w:rPr>
          <w:rFonts w:ascii="宋体" w:hAnsi="宋体"/>
          <w:color w:val="auto"/>
          <w:sz w:val="21"/>
          <w:szCs w:val="21"/>
          <w:highlight w:val="none"/>
        </w:rPr>
      </w:pPr>
      <w:bookmarkStart w:id="184" w:name="_Toc15482"/>
      <w:r>
        <w:rPr>
          <w:rFonts w:hint="eastAsia" w:ascii="宋体" w:hAnsi="宋体"/>
          <w:color w:val="auto"/>
          <w:sz w:val="21"/>
          <w:szCs w:val="21"/>
          <w:highlight w:val="none"/>
        </w:rPr>
        <w:t>一、工程概况</w:t>
      </w:r>
      <w:bookmarkEnd w:id="184"/>
    </w:p>
    <w:p>
      <w:pPr>
        <w:spacing w:line="360" w:lineRule="auto"/>
        <w:ind w:firstLine="441" w:firstLineChars="210"/>
        <w:rPr>
          <w:rFonts w:ascii="宋体" w:hAnsi="宋体"/>
          <w:color w:val="auto"/>
          <w:sz w:val="21"/>
          <w:szCs w:val="21"/>
          <w:highlight w:val="none"/>
        </w:rPr>
      </w:pPr>
      <w:r>
        <w:rPr>
          <w:rFonts w:hint="eastAsia" w:ascii="宋体" w:hAnsi="宋体"/>
          <w:color w:val="auto"/>
          <w:sz w:val="21"/>
          <w:szCs w:val="21"/>
          <w:highlight w:val="none"/>
        </w:rPr>
        <w:t>1、工程名称：</w:t>
      </w:r>
      <w:r>
        <w:rPr>
          <w:rFonts w:hint="eastAsia" w:hAnsi="宋体"/>
          <w:color w:val="auto"/>
          <w:sz w:val="21"/>
          <w:szCs w:val="21"/>
          <w:highlight w:val="none"/>
          <w:u w:val="single"/>
        </w:rPr>
        <w:t xml:space="preserve">           </w:t>
      </w:r>
    </w:p>
    <w:p>
      <w:pPr>
        <w:spacing w:line="360" w:lineRule="auto"/>
        <w:ind w:firstLine="441" w:firstLineChars="210"/>
        <w:rPr>
          <w:rFonts w:ascii="宋体" w:hAnsi="宋体"/>
          <w:color w:val="auto"/>
          <w:sz w:val="21"/>
          <w:szCs w:val="21"/>
          <w:highlight w:val="none"/>
        </w:rPr>
      </w:pPr>
      <w:r>
        <w:rPr>
          <w:rFonts w:hint="eastAsia" w:ascii="宋体" w:hAnsi="宋体"/>
          <w:color w:val="auto"/>
          <w:sz w:val="21"/>
          <w:szCs w:val="21"/>
          <w:highlight w:val="none"/>
        </w:rPr>
        <w:t>2、建设地点：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境内。</w:t>
      </w:r>
    </w:p>
    <w:p>
      <w:pPr>
        <w:spacing w:line="360" w:lineRule="auto"/>
        <w:ind w:firstLine="441" w:firstLineChars="210"/>
        <w:rPr>
          <w:rFonts w:ascii="宋体" w:hAnsi="宋体"/>
          <w:color w:val="auto"/>
          <w:sz w:val="21"/>
          <w:szCs w:val="21"/>
          <w:highlight w:val="none"/>
        </w:rPr>
      </w:pPr>
      <w:r>
        <w:rPr>
          <w:rFonts w:hint="eastAsia" w:ascii="宋体" w:hAnsi="宋体"/>
          <w:color w:val="auto"/>
          <w:sz w:val="21"/>
          <w:szCs w:val="21"/>
          <w:highlight w:val="none"/>
        </w:rPr>
        <w:t xml:space="preserve">3、工程等别（级）： </w:t>
      </w:r>
    </w:p>
    <w:p>
      <w:pPr>
        <w:spacing w:line="360" w:lineRule="auto"/>
        <w:ind w:firstLine="464" w:firstLineChars="221"/>
        <w:rPr>
          <w:rFonts w:ascii="宋体" w:hAnsi="宋体"/>
          <w:color w:val="auto"/>
          <w:sz w:val="21"/>
          <w:szCs w:val="21"/>
          <w:highlight w:val="none"/>
        </w:rPr>
      </w:pPr>
      <w:r>
        <w:rPr>
          <w:rFonts w:hint="eastAsia" w:ascii="宋体" w:hAnsi="宋体"/>
          <w:color w:val="auto"/>
          <w:sz w:val="21"/>
          <w:szCs w:val="21"/>
          <w:highlight w:val="none"/>
        </w:rPr>
        <w:t xml:space="preserve">4、工程总投资(人民币，下同)：      </w:t>
      </w:r>
    </w:p>
    <w:p>
      <w:pPr>
        <w:autoSpaceDE w:val="0"/>
        <w:autoSpaceDN w:val="0"/>
        <w:adjustRightInd w:val="0"/>
        <w:spacing w:line="360" w:lineRule="auto"/>
        <w:ind w:firstLine="464" w:firstLineChars="221"/>
        <w:jc w:val="left"/>
        <w:rPr>
          <w:rFonts w:ascii="宋体" w:hAnsi="宋体"/>
          <w:color w:val="auto"/>
          <w:sz w:val="21"/>
          <w:szCs w:val="21"/>
          <w:highlight w:val="none"/>
        </w:rPr>
      </w:pPr>
      <w:r>
        <w:rPr>
          <w:rFonts w:hint="eastAsia" w:ascii="宋体" w:hAnsi="宋体"/>
          <w:color w:val="auto"/>
          <w:sz w:val="21"/>
          <w:szCs w:val="21"/>
          <w:highlight w:val="none"/>
        </w:rPr>
        <w:t>5、工期：</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03" w:firstLineChars="192"/>
        <w:outlineLvl w:val="1"/>
        <w:rPr>
          <w:rFonts w:ascii="宋体" w:hAnsi="宋体"/>
          <w:color w:val="auto"/>
          <w:sz w:val="21"/>
          <w:szCs w:val="21"/>
          <w:highlight w:val="none"/>
        </w:rPr>
      </w:pPr>
      <w:bookmarkStart w:id="185" w:name="_Toc9049"/>
      <w:r>
        <w:rPr>
          <w:rFonts w:hint="eastAsia" w:ascii="宋体" w:hAnsi="宋体"/>
          <w:color w:val="auto"/>
          <w:sz w:val="21"/>
          <w:szCs w:val="21"/>
          <w:highlight w:val="none"/>
        </w:rPr>
        <w:t>二、监理范围</w:t>
      </w:r>
      <w:bookmarkEnd w:id="185"/>
    </w:p>
    <w:p>
      <w:pPr>
        <w:spacing w:line="360" w:lineRule="auto"/>
        <w:ind w:firstLine="415" w:firstLineChars="198"/>
        <w:rPr>
          <w:rFonts w:hAnsi="宋体"/>
          <w:color w:val="auto"/>
          <w:sz w:val="21"/>
          <w:szCs w:val="21"/>
          <w:highlight w:val="none"/>
        </w:rPr>
      </w:pPr>
      <w:r>
        <w:rPr>
          <w:rFonts w:hint="eastAsia" w:ascii="宋体" w:hAnsi="宋体"/>
          <w:color w:val="auto"/>
          <w:sz w:val="21"/>
          <w:szCs w:val="21"/>
          <w:highlight w:val="none"/>
        </w:rPr>
        <w:t>1、监理项目名称：</w:t>
      </w:r>
      <w:r>
        <w:rPr>
          <w:rFonts w:hint="eastAsia" w:hAnsi="宋体"/>
          <w:color w:val="auto"/>
          <w:sz w:val="21"/>
          <w:szCs w:val="21"/>
          <w:highlight w:val="none"/>
          <w:u w:val="single"/>
        </w:rPr>
        <w:t xml:space="preserve">              </w:t>
      </w:r>
    </w:p>
    <w:p>
      <w:pPr>
        <w:spacing w:line="360" w:lineRule="auto"/>
        <w:ind w:firstLine="415" w:firstLineChars="198"/>
        <w:rPr>
          <w:rFonts w:ascii="宋体" w:hAnsi="宋体"/>
          <w:b/>
          <w:color w:val="auto"/>
          <w:sz w:val="21"/>
          <w:szCs w:val="21"/>
          <w:highlight w:val="none"/>
          <w:u w:val="single"/>
        </w:rPr>
      </w:pPr>
      <w:r>
        <w:rPr>
          <w:rFonts w:hint="eastAsia" w:ascii="宋体" w:hAnsi="宋体"/>
          <w:color w:val="auto"/>
          <w:sz w:val="21"/>
          <w:szCs w:val="21"/>
          <w:highlight w:val="none"/>
        </w:rPr>
        <w:t xml:space="preserve">2、监理项目内容及主要特性参数： </w:t>
      </w:r>
    </w:p>
    <w:p>
      <w:pPr>
        <w:spacing w:line="360" w:lineRule="auto"/>
        <w:ind w:firstLine="415" w:firstLineChars="198"/>
        <w:rPr>
          <w:rFonts w:ascii="宋体" w:hAnsi="宋体"/>
          <w:color w:val="auto"/>
          <w:sz w:val="21"/>
          <w:szCs w:val="21"/>
          <w:highlight w:val="none"/>
          <w:u w:val="single"/>
        </w:rPr>
      </w:pPr>
      <w:r>
        <w:rPr>
          <w:rFonts w:hint="eastAsia" w:ascii="宋体" w:hAnsi="宋体"/>
          <w:color w:val="auto"/>
          <w:sz w:val="21"/>
          <w:szCs w:val="21"/>
          <w:highlight w:val="none"/>
        </w:rPr>
        <w:t xml:space="preserve">3、监理项目投资：   </w:t>
      </w:r>
    </w:p>
    <w:p>
      <w:pPr>
        <w:spacing w:line="360" w:lineRule="auto"/>
        <w:ind w:firstLine="415" w:firstLineChars="198"/>
        <w:rPr>
          <w:rFonts w:ascii="宋体" w:hAnsi="宋体"/>
          <w:color w:val="auto"/>
          <w:sz w:val="21"/>
          <w:szCs w:val="21"/>
          <w:highlight w:val="none"/>
          <w:u w:val="single"/>
        </w:rPr>
      </w:pPr>
      <w:r>
        <w:rPr>
          <w:rFonts w:hint="eastAsia" w:ascii="宋体" w:hAnsi="宋体"/>
          <w:color w:val="auto"/>
          <w:sz w:val="21"/>
          <w:szCs w:val="21"/>
          <w:highlight w:val="none"/>
        </w:rPr>
        <w:t>4、监理阶段：施工期监理及保修期监理服务。</w:t>
      </w:r>
    </w:p>
    <w:p>
      <w:pPr>
        <w:spacing w:line="360" w:lineRule="auto"/>
        <w:ind w:firstLine="420" w:firstLineChars="200"/>
        <w:outlineLvl w:val="1"/>
        <w:rPr>
          <w:rFonts w:ascii="宋体" w:hAnsi="宋体"/>
          <w:color w:val="auto"/>
          <w:sz w:val="21"/>
          <w:szCs w:val="21"/>
          <w:highlight w:val="none"/>
        </w:rPr>
      </w:pPr>
      <w:bookmarkStart w:id="186" w:name="_Toc27702"/>
      <w:r>
        <w:rPr>
          <w:rFonts w:hint="eastAsia" w:ascii="宋体" w:hAnsi="宋体"/>
          <w:color w:val="auto"/>
          <w:sz w:val="21"/>
          <w:szCs w:val="21"/>
          <w:highlight w:val="none"/>
        </w:rPr>
        <w:t>三、监理服务内容、期限</w:t>
      </w:r>
      <w:bookmarkEnd w:id="186"/>
    </w:p>
    <w:p>
      <w:pPr>
        <w:spacing w:line="360" w:lineRule="auto"/>
        <w:ind w:firstLine="451" w:firstLineChars="215"/>
        <w:rPr>
          <w:rFonts w:ascii="宋体" w:hAnsi="宋体"/>
          <w:color w:val="auto"/>
          <w:sz w:val="21"/>
          <w:szCs w:val="21"/>
          <w:highlight w:val="none"/>
        </w:rPr>
      </w:pPr>
      <w:r>
        <w:rPr>
          <w:rFonts w:hint="eastAsia" w:ascii="宋体" w:hAnsi="宋体"/>
          <w:color w:val="auto"/>
          <w:sz w:val="21"/>
          <w:szCs w:val="21"/>
          <w:highlight w:val="none"/>
        </w:rPr>
        <w:t>1、监理服务内容： 按专用合同条款约定。</w:t>
      </w:r>
    </w:p>
    <w:p>
      <w:pPr>
        <w:spacing w:line="360" w:lineRule="auto"/>
        <w:ind w:firstLine="451" w:firstLineChars="215"/>
        <w:rPr>
          <w:rFonts w:ascii="宋体" w:hAnsi="宋体"/>
          <w:color w:val="auto"/>
          <w:sz w:val="21"/>
          <w:szCs w:val="21"/>
          <w:highlight w:val="none"/>
        </w:rPr>
      </w:pPr>
      <w:r>
        <w:rPr>
          <w:rFonts w:hint="eastAsia" w:ascii="宋体" w:hAnsi="宋体"/>
          <w:color w:val="auto"/>
          <w:sz w:val="21"/>
          <w:szCs w:val="21"/>
          <w:highlight w:val="none"/>
        </w:rPr>
        <w:t xml:space="preserve">2、监理服务期限： </w:t>
      </w:r>
    </w:p>
    <w:p>
      <w:pPr>
        <w:spacing w:line="360" w:lineRule="auto"/>
        <w:ind w:left="420" w:firstLine="480"/>
        <w:rPr>
          <w:rFonts w:ascii="宋体" w:hAnsi="宋体"/>
          <w:color w:val="auto"/>
          <w:sz w:val="21"/>
          <w:szCs w:val="21"/>
          <w:highlight w:val="none"/>
        </w:rPr>
      </w:pPr>
      <w:r>
        <w:rPr>
          <w:rFonts w:hint="eastAsia" w:ascii="宋体" w:hAnsi="宋体"/>
          <w:color w:val="auto"/>
          <w:sz w:val="21"/>
          <w:szCs w:val="21"/>
          <w:highlight w:val="none"/>
        </w:rPr>
        <w:t>自</w:t>
      </w:r>
      <w:r>
        <w:rPr>
          <w:rFonts w:hint="eastAsia" w:ascii="宋体" w:hAnsi="宋体"/>
          <w:color w:val="auto"/>
          <w:sz w:val="21"/>
          <w:szCs w:val="21"/>
          <w:highlight w:val="none"/>
          <w:u w:val="single"/>
        </w:rPr>
        <w:t xml:space="preserve">     年    月     日至     年  月  日，保修期12个月</w:t>
      </w:r>
      <w:r>
        <w:rPr>
          <w:rFonts w:hint="eastAsia" w:ascii="宋体" w:hAnsi="宋体"/>
          <w:color w:val="auto"/>
          <w:sz w:val="21"/>
          <w:szCs w:val="21"/>
          <w:highlight w:val="none"/>
        </w:rPr>
        <w:t>。</w:t>
      </w:r>
    </w:p>
    <w:p>
      <w:pPr>
        <w:spacing w:line="360" w:lineRule="auto"/>
        <w:ind w:firstLine="420" w:firstLineChars="200"/>
        <w:outlineLvl w:val="1"/>
        <w:rPr>
          <w:rFonts w:ascii="宋体" w:hAnsi="宋体"/>
          <w:color w:val="auto"/>
          <w:sz w:val="21"/>
          <w:szCs w:val="21"/>
          <w:highlight w:val="none"/>
        </w:rPr>
      </w:pPr>
      <w:bookmarkStart w:id="187" w:name="_Toc15652"/>
      <w:r>
        <w:rPr>
          <w:rFonts w:hint="eastAsia" w:ascii="宋体" w:hAnsi="宋体"/>
          <w:color w:val="auto"/>
          <w:sz w:val="21"/>
          <w:szCs w:val="21"/>
          <w:highlight w:val="none"/>
        </w:rPr>
        <w:t>四、监理服务酬金</w:t>
      </w:r>
      <w:bookmarkEnd w:id="187"/>
    </w:p>
    <w:p>
      <w:pPr>
        <w:spacing w:line="360" w:lineRule="auto"/>
        <w:ind w:firstLine="390" w:firstLineChars="186"/>
        <w:rPr>
          <w:rFonts w:ascii="宋体" w:hAnsi="宋体"/>
          <w:color w:val="auto"/>
          <w:sz w:val="21"/>
          <w:szCs w:val="21"/>
          <w:highlight w:val="none"/>
        </w:rPr>
      </w:pPr>
      <w:r>
        <w:rPr>
          <w:rFonts w:hint="eastAsia" w:ascii="宋体" w:hAnsi="宋体"/>
          <w:color w:val="auto"/>
          <w:sz w:val="21"/>
          <w:szCs w:val="21"/>
          <w:highlight w:val="none"/>
        </w:rPr>
        <w:t>监理服务酬金暂定为（大写）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元，由委托人按专用合同条款约定的方式、时间向监理人支付。</w:t>
      </w:r>
    </w:p>
    <w:p>
      <w:pPr>
        <w:spacing w:line="360" w:lineRule="auto"/>
        <w:ind w:firstLine="420" w:firstLineChars="200"/>
        <w:outlineLvl w:val="1"/>
        <w:rPr>
          <w:rFonts w:ascii="宋体" w:hAnsi="宋体"/>
          <w:color w:val="auto"/>
          <w:sz w:val="21"/>
          <w:szCs w:val="21"/>
          <w:highlight w:val="none"/>
        </w:rPr>
      </w:pPr>
      <w:bookmarkStart w:id="188" w:name="_Toc7156"/>
      <w:r>
        <w:rPr>
          <w:rFonts w:hint="eastAsia" w:ascii="宋体" w:hAnsi="宋体"/>
          <w:color w:val="auto"/>
          <w:sz w:val="21"/>
          <w:szCs w:val="21"/>
          <w:highlight w:val="none"/>
        </w:rPr>
        <w:t>五、监理合同的组成文件及解释顺序</w:t>
      </w:r>
      <w:bookmarkEnd w:id="188"/>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1、监理合同书(含补充协议)；</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2、中标通知书；</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3、投标报价书；</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4、专用合同条款；</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5、通用合同条款；</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6、招、投标文件；</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7、监理大纲；</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8、双方确认需进入合同的其他文件；</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9、项目实施过程中双方共同签署的补充文件。</w:t>
      </w:r>
    </w:p>
    <w:p>
      <w:pPr>
        <w:spacing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六、本合同书经双方法定代表人或其授权代表人签名并加盖本单位公章后生效。</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七、本合同书正本一式贰份，具有同等法律效力，由委托人及监理人双方各执一份；副本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份，委托人执</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份，监理人执</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w:t>
      </w:r>
    </w:p>
    <w:p>
      <w:pPr>
        <w:spacing w:line="360" w:lineRule="auto"/>
        <w:ind w:left="200" w:firstLine="750"/>
        <w:rPr>
          <w:rFonts w:ascii="宋体" w:hAnsi="宋体"/>
          <w:color w:val="auto"/>
          <w:sz w:val="21"/>
          <w:szCs w:val="21"/>
          <w:highlight w:val="none"/>
        </w:rPr>
      </w:pPr>
      <w:r>
        <w:rPr>
          <w:rFonts w:hint="eastAsia" w:ascii="宋体" w:hAnsi="宋体"/>
          <w:color w:val="auto"/>
          <w:sz w:val="21"/>
          <w:szCs w:val="21"/>
          <w:highlight w:val="none"/>
        </w:rPr>
        <w:t xml:space="preserve"> </w:t>
      </w:r>
    </w:p>
    <w:p>
      <w:pPr>
        <w:spacing w:line="360" w:lineRule="auto"/>
        <w:ind w:firstLine="550" w:firstLineChars="262"/>
        <w:rPr>
          <w:rFonts w:ascii="宋体" w:hAnsi="宋体"/>
          <w:color w:val="auto"/>
          <w:sz w:val="21"/>
          <w:szCs w:val="21"/>
          <w:highlight w:val="none"/>
        </w:rPr>
      </w:pPr>
      <w:r>
        <w:rPr>
          <w:rFonts w:hint="eastAsia" w:ascii="宋体" w:hAnsi="宋体"/>
          <w:color w:val="auto"/>
          <w:sz w:val="21"/>
          <w:szCs w:val="21"/>
          <w:highlight w:val="none"/>
        </w:rPr>
        <w:t>委托人：</w:t>
      </w:r>
      <w:r>
        <w:rPr>
          <w:rFonts w:hint="eastAsia" w:ascii="宋体" w:hAnsi="宋体"/>
          <w:color w:val="auto"/>
          <w:sz w:val="21"/>
          <w:szCs w:val="21"/>
          <w:highlight w:val="none"/>
          <w:u w:val="single"/>
        </w:rPr>
        <w:t xml:space="preserve">   （盖章）         </w:t>
      </w:r>
      <w:r>
        <w:rPr>
          <w:rFonts w:hint="eastAsia" w:ascii="宋体" w:hAnsi="宋体"/>
          <w:color w:val="auto"/>
          <w:sz w:val="21"/>
          <w:szCs w:val="21"/>
          <w:highlight w:val="none"/>
        </w:rPr>
        <w:t xml:space="preserve">         监理人：</w:t>
      </w:r>
      <w:r>
        <w:rPr>
          <w:rFonts w:hint="eastAsia" w:ascii="宋体" w:hAnsi="宋体"/>
          <w:color w:val="auto"/>
          <w:sz w:val="21"/>
          <w:szCs w:val="21"/>
          <w:highlight w:val="none"/>
          <w:u w:val="single"/>
        </w:rPr>
        <w:t xml:space="preserve">  （盖章）        </w:t>
      </w:r>
    </w:p>
    <w:p>
      <w:pPr>
        <w:spacing w:line="360" w:lineRule="auto"/>
        <w:ind w:left="200" w:firstLine="388" w:firstLineChars="185"/>
        <w:rPr>
          <w:rFonts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（签名）     </w:t>
      </w:r>
      <w:r>
        <w:rPr>
          <w:rFonts w:hint="eastAsia" w:ascii="宋体" w:hAnsi="宋体"/>
          <w:color w:val="auto"/>
          <w:sz w:val="21"/>
          <w:szCs w:val="21"/>
          <w:highlight w:val="none"/>
        </w:rPr>
        <w:t xml:space="preserve">         法定代表人：</w:t>
      </w:r>
      <w:r>
        <w:rPr>
          <w:rFonts w:hint="eastAsia" w:ascii="宋体" w:hAnsi="宋体"/>
          <w:color w:val="auto"/>
          <w:sz w:val="21"/>
          <w:szCs w:val="21"/>
          <w:highlight w:val="none"/>
          <w:u w:val="single"/>
        </w:rPr>
        <w:t xml:space="preserve"> （签名）     </w:t>
      </w:r>
    </w:p>
    <w:p>
      <w:pPr>
        <w:spacing w:line="360" w:lineRule="auto"/>
        <w:ind w:left="200" w:firstLine="388" w:firstLineChars="185"/>
        <w:rPr>
          <w:rFonts w:ascii="宋体" w:hAnsi="宋体"/>
          <w:color w:val="auto"/>
          <w:sz w:val="21"/>
          <w:szCs w:val="21"/>
          <w:highlight w:val="none"/>
          <w:u w:val="single"/>
        </w:rPr>
      </w:pPr>
      <w:r>
        <w:rPr>
          <w:rFonts w:hint="eastAsia" w:ascii="宋体" w:hAnsi="宋体"/>
          <w:color w:val="auto"/>
          <w:sz w:val="21"/>
          <w:szCs w:val="21"/>
          <w:highlight w:val="none"/>
        </w:rPr>
        <w:t>或授权代表人：</w:t>
      </w:r>
      <w:r>
        <w:rPr>
          <w:rFonts w:hint="eastAsia" w:ascii="宋体" w:hAnsi="宋体"/>
          <w:color w:val="auto"/>
          <w:sz w:val="21"/>
          <w:szCs w:val="21"/>
          <w:highlight w:val="none"/>
          <w:u w:val="single"/>
        </w:rPr>
        <w:t xml:space="preserve">  （签名）    </w:t>
      </w:r>
      <w:r>
        <w:rPr>
          <w:rFonts w:hint="eastAsia" w:ascii="宋体" w:hAnsi="宋体"/>
          <w:color w:val="auto"/>
          <w:sz w:val="21"/>
          <w:szCs w:val="21"/>
          <w:highlight w:val="none"/>
        </w:rPr>
        <w:t xml:space="preserve">         或授权代表人：</w:t>
      </w:r>
      <w:r>
        <w:rPr>
          <w:rFonts w:hint="eastAsia" w:ascii="宋体" w:hAnsi="宋体"/>
          <w:color w:val="auto"/>
          <w:sz w:val="21"/>
          <w:szCs w:val="21"/>
          <w:highlight w:val="none"/>
          <w:u w:val="single"/>
        </w:rPr>
        <w:t xml:space="preserve"> （签名）   </w:t>
      </w:r>
    </w:p>
    <w:p>
      <w:pPr>
        <w:spacing w:line="360" w:lineRule="auto"/>
        <w:ind w:left="200" w:firstLine="388" w:firstLineChars="185"/>
        <w:rPr>
          <w:rFonts w:ascii="宋体" w:hAnsi="宋体"/>
          <w:color w:val="auto"/>
          <w:sz w:val="21"/>
          <w:szCs w:val="21"/>
          <w:highlight w:val="none"/>
        </w:rPr>
      </w:pPr>
      <w:r>
        <w:rPr>
          <w:rFonts w:hint="eastAsia" w:ascii="宋体" w:hAnsi="宋体"/>
          <w:color w:val="auto"/>
          <w:sz w:val="21"/>
          <w:szCs w:val="21"/>
          <w:highlight w:val="none"/>
        </w:rPr>
        <w:t>单位地址：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 xml:space="preserve">                </w:t>
      </w:r>
    </w:p>
    <w:p>
      <w:pPr>
        <w:spacing w:line="360" w:lineRule="auto"/>
        <w:ind w:left="200" w:firstLine="388" w:firstLineChars="185"/>
        <w:rPr>
          <w:rFonts w:ascii="宋体" w:hAnsi="宋体"/>
          <w:color w:val="auto"/>
          <w:sz w:val="21"/>
          <w:szCs w:val="21"/>
          <w:highlight w:val="none"/>
        </w:rPr>
      </w:pPr>
      <w:r>
        <w:rPr>
          <w:rFonts w:hint="eastAsia" w:ascii="宋体" w:hAnsi="宋体"/>
          <w:color w:val="auto"/>
          <w:sz w:val="21"/>
          <w:szCs w:val="21"/>
          <w:highlight w:val="none"/>
        </w:rPr>
        <w:t>邮政编码：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 xml:space="preserve">                </w:t>
      </w:r>
    </w:p>
    <w:p>
      <w:pPr>
        <w:spacing w:line="360" w:lineRule="auto"/>
        <w:ind w:left="200" w:firstLine="388" w:firstLineChars="185"/>
        <w:rPr>
          <w:rFonts w:ascii="宋体" w:hAnsi="宋体"/>
          <w:color w:val="auto"/>
          <w:sz w:val="21"/>
          <w:szCs w:val="21"/>
          <w:highlight w:val="none"/>
        </w:rPr>
      </w:pPr>
      <w:r>
        <w:rPr>
          <w:rFonts w:hint="eastAsia"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    话：</w:t>
      </w:r>
      <w:r>
        <w:rPr>
          <w:rFonts w:hint="eastAsia" w:ascii="宋体" w:hAnsi="宋体"/>
          <w:color w:val="auto"/>
          <w:sz w:val="21"/>
          <w:szCs w:val="21"/>
          <w:highlight w:val="none"/>
          <w:u w:val="single"/>
        </w:rPr>
        <w:t xml:space="preserve">                </w:t>
      </w:r>
    </w:p>
    <w:p>
      <w:pPr>
        <w:spacing w:line="360" w:lineRule="auto"/>
        <w:ind w:left="200" w:firstLine="388" w:firstLineChars="185"/>
        <w:rPr>
          <w:rFonts w:ascii="宋体" w:hAnsi="宋体"/>
          <w:color w:val="auto"/>
          <w:sz w:val="21"/>
          <w:szCs w:val="21"/>
          <w:highlight w:val="none"/>
          <w:u w:val="single"/>
        </w:rPr>
      </w:pPr>
      <w:r>
        <w:rPr>
          <w:rFonts w:hint="eastAsia" w:ascii="宋体" w:hAnsi="宋体"/>
          <w:color w:val="auto"/>
          <w:sz w:val="21"/>
          <w:szCs w:val="21"/>
          <w:highlight w:val="none"/>
        </w:rPr>
        <w:t>电子信箱：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电子信箱：</w:t>
      </w:r>
      <w:r>
        <w:rPr>
          <w:rFonts w:hint="eastAsia" w:ascii="宋体" w:hAnsi="宋体"/>
          <w:color w:val="auto"/>
          <w:sz w:val="21"/>
          <w:szCs w:val="21"/>
          <w:highlight w:val="none"/>
          <w:u w:val="single"/>
        </w:rPr>
        <w:t xml:space="preserve">                </w:t>
      </w:r>
    </w:p>
    <w:p>
      <w:pPr>
        <w:spacing w:line="360" w:lineRule="auto"/>
        <w:ind w:left="200" w:firstLine="388" w:firstLineChars="185"/>
        <w:rPr>
          <w:rFonts w:ascii="宋体" w:hAnsi="宋体"/>
          <w:color w:val="auto"/>
          <w:sz w:val="21"/>
          <w:szCs w:val="21"/>
          <w:highlight w:val="none"/>
        </w:rPr>
      </w:pPr>
      <w:r>
        <w:rPr>
          <w:rFonts w:hint="eastAsia" w:ascii="宋体" w:hAnsi="宋体"/>
          <w:color w:val="auto"/>
          <w:sz w:val="21"/>
          <w:szCs w:val="21"/>
          <w:highlight w:val="none"/>
        </w:rPr>
        <w:t>传    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    真：</w:t>
      </w:r>
      <w:r>
        <w:rPr>
          <w:rFonts w:hint="eastAsia" w:ascii="宋体" w:hAnsi="宋体"/>
          <w:color w:val="auto"/>
          <w:sz w:val="21"/>
          <w:szCs w:val="21"/>
          <w:highlight w:val="none"/>
          <w:u w:val="single"/>
        </w:rPr>
        <w:t xml:space="preserve">                </w:t>
      </w:r>
    </w:p>
    <w:p>
      <w:pPr>
        <w:spacing w:line="360" w:lineRule="auto"/>
        <w:ind w:left="200" w:firstLine="388" w:firstLineChars="185"/>
        <w:rPr>
          <w:rFonts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开户银行：</w:t>
      </w:r>
      <w:r>
        <w:rPr>
          <w:rFonts w:hint="eastAsia" w:ascii="宋体" w:hAnsi="宋体"/>
          <w:color w:val="auto"/>
          <w:sz w:val="21"/>
          <w:szCs w:val="21"/>
          <w:highlight w:val="none"/>
          <w:u w:val="single"/>
        </w:rPr>
        <w:t xml:space="preserve">                </w:t>
      </w:r>
    </w:p>
    <w:p>
      <w:pPr>
        <w:spacing w:line="360" w:lineRule="auto"/>
        <w:ind w:firstLine="644" w:firstLineChars="307"/>
        <w:rPr>
          <w:rFonts w:ascii="宋体" w:hAnsi="宋体"/>
          <w:color w:val="auto"/>
          <w:sz w:val="21"/>
          <w:szCs w:val="21"/>
          <w:highlight w:val="none"/>
          <w:u w:val="single"/>
        </w:rPr>
      </w:pPr>
      <w:r>
        <w:rPr>
          <w:rFonts w:hint="eastAsia" w:ascii="宋体" w:hAnsi="宋体"/>
          <w:color w:val="auto"/>
          <w:sz w:val="21"/>
          <w:szCs w:val="21"/>
          <w:highlight w:val="none"/>
        </w:rPr>
        <w:t>帐    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帐    号：</w:t>
      </w:r>
      <w:r>
        <w:rPr>
          <w:rFonts w:hint="eastAsia" w:ascii="宋体" w:hAnsi="宋体"/>
          <w:color w:val="auto"/>
          <w:sz w:val="21"/>
          <w:szCs w:val="21"/>
          <w:highlight w:val="none"/>
          <w:u w:val="single"/>
        </w:rPr>
        <w:t xml:space="preserve">                </w:t>
      </w:r>
    </w:p>
    <w:p>
      <w:pPr>
        <w:spacing w:line="360" w:lineRule="auto"/>
        <w:ind w:firstLine="537" w:firstLineChars="256"/>
        <w:rPr>
          <w:rFonts w:ascii="宋体" w:hAnsi="宋体"/>
          <w:color w:val="auto"/>
          <w:sz w:val="21"/>
          <w:szCs w:val="21"/>
          <w:highlight w:val="none"/>
        </w:rPr>
      </w:pPr>
    </w:p>
    <w:p>
      <w:pPr>
        <w:spacing w:line="360" w:lineRule="auto"/>
        <w:ind w:firstLine="537" w:firstLineChars="256"/>
        <w:rPr>
          <w:rFonts w:ascii="宋体" w:hAnsi="宋体"/>
          <w:color w:val="auto"/>
          <w:sz w:val="21"/>
          <w:szCs w:val="21"/>
          <w:highlight w:val="none"/>
        </w:rPr>
      </w:pPr>
      <w:r>
        <w:rPr>
          <w:rFonts w:hint="eastAsia" w:ascii="宋体" w:hAnsi="宋体"/>
          <w:color w:val="auto"/>
          <w:sz w:val="21"/>
          <w:szCs w:val="21"/>
          <w:highlight w:val="none"/>
        </w:rPr>
        <w:t>签订地点</w:t>
      </w:r>
      <w:r>
        <w:rPr>
          <w:rFonts w:hint="eastAsia" w:ascii="宋体" w:hAnsi="宋体"/>
          <w:b/>
          <w:bCs/>
          <w:color w:val="auto"/>
          <w:sz w:val="21"/>
          <w:szCs w:val="21"/>
          <w:highlight w:val="none"/>
        </w:rPr>
        <w:t>：</w:t>
      </w:r>
      <w:r>
        <w:rPr>
          <w:rFonts w:hint="eastAsia" w:ascii="宋体" w:hAnsi="宋体"/>
          <w:color w:val="auto"/>
          <w:sz w:val="21"/>
          <w:szCs w:val="21"/>
          <w:highlight w:val="none"/>
          <w:u w:val="single"/>
        </w:rPr>
        <w:t xml:space="preserve">                  </w:t>
      </w:r>
    </w:p>
    <w:p>
      <w:pPr>
        <w:spacing w:line="360" w:lineRule="auto"/>
        <w:ind w:firstLine="537" w:firstLineChars="256"/>
        <w:rPr>
          <w:rFonts w:ascii="宋体" w:hAnsi="宋体"/>
          <w:color w:val="auto"/>
          <w:sz w:val="21"/>
          <w:szCs w:val="21"/>
          <w:highlight w:val="none"/>
        </w:rPr>
      </w:pPr>
      <w:r>
        <w:rPr>
          <w:rFonts w:hint="eastAsia" w:ascii="宋体" w:hAnsi="宋体"/>
          <w:color w:val="auto"/>
          <w:sz w:val="21"/>
          <w:szCs w:val="21"/>
          <w:highlight w:val="none"/>
        </w:rPr>
        <w:t>签订时间：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440" w:lineRule="exact"/>
        <w:jc w:val="center"/>
        <w:outlineLvl w:val="2"/>
        <w:rPr>
          <w:rFonts w:ascii="宋体" w:hAnsi="宋体"/>
          <w:b/>
          <w:color w:val="auto"/>
          <w:sz w:val="32"/>
          <w:highlight w:val="none"/>
        </w:rPr>
      </w:pPr>
      <w:r>
        <w:rPr>
          <w:rFonts w:ascii="宋体" w:hAnsi="宋体"/>
          <w:b/>
          <w:color w:val="auto"/>
          <w:sz w:val="32"/>
          <w:highlight w:val="none"/>
        </w:rPr>
        <w:br w:type="page"/>
      </w:r>
      <w:bookmarkEnd w:id="178"/>
      <w:bookmarkStart w:id="189" w:name="_Toc20006"/>
      <w:bookmarkStart w:id="190" w:name="_Toc216346074"/>
      <w:bookmarkStart w:id="191" w:name="_Toc260744687"/>
      <w:bookmarkStart w:id="192" w:name="_Toc202697120"/>
      <w:bookmarkStart w:id="193" w:name="_Toc3730"/>
      <w:bookmarkStart w:id="194" w:name="_Toc356988088"/>
      <w:r>
        <w:rPr>
          <w:rFonts w:hint="eastAsia" w:ascii="宋体" w:hAnsi="宋体"/>
          <w:b/>
          <w:color w:val="auto"/>
          <w:sz w:val="32"/>
          <w:highlight w:val="none"/>
        </w:rPr>
        <w:t>第一部分   通用合同条款</w:t>
      </w:r>
      <w:bookmarkEnd w:id="189"/>
    </w:p>
    <w:p>
      <w:pPr>
        <w:tabs>
          <w:tab w:val="left" w:pos="-180"/>
        </w:tabs>
        <w:spacing w:beforeLines="50" w:afterLines="50" w:line="440" w:lineRule="exact"/>
        <w:jc w:val="center"/>
        <w:rPr>
          <w:rFonts w:ascii="宋体" w:hAnsi="宋体"/>
          <w:b/>
          <w:color w:val="auto"/>
          <w:szCs w:val="21"/>
          <w:highlight w:val="none"/>
        </w:rPr>
      </w:pPr>
      <w:r>
        <w:rPr>
          <w:rFonts w:hint="eastAsia" w:ascii="宋体" w:hAnsi="宋体"/>
          <w:b/>
          <w:color w:val="auto"/>
          <w:szCs w:val="21"/>
          <w:highlight w:val="none"/>
        </w:rPr>
        <w:t>词语涵义及适用语言</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第一条</w:t>
      </w:r>
      <w:r>
        <w:rPr>
          <w:rFonts w:hint="eastAsia" w:ascii="宋体" w:hAnsi="宋体" w:cs="宋体"/>
          <w:color w:val="auto"/>
          <w:sz w:val="21"/>
          <w:szCs w:val="21"/>
          <w:highlight w:val="none"/>
        </w:rPr>
        <w:t xml:space="preserve"> 下列名词和用语，除上下文另有约定外，具有本条所赋予的涵义：</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一、“委托人”指承担工程建设项目直接建设管理责任，委托监理业务的法人或其合法继承人。</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二、“监理人”指受委托人委托，提供监理服务的法人或其合法继承人。</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三、“承包人”指与委托人(发包人)签订了施工合同，承担工程施工的法人或其合法继承人。</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四、“监理机构”指监理人派驻工程现场直接开展监理业务的组织，由总监理工程师、监理工程师和监理员以及其他人员组成。</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五、“监理项目”是指委托人委托监理人实施施工监理的工程建设项目。</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六、“服务”是指监理人根据监理合同约定所承担的各项工作，包括正常服务和附加服务。</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七、“正常服务”指监理人按照合同约定的监理范围、内容和期限所提供的服务。</w:t>
      </w:r>
    </w:p>
    <w:p>
      <w:pPr>
        <w:tabs>
          <w:tab w:val="left" w:pos="-180"/>
        </w:tabs>
        <w:spacing w:line="460" w:lineRule="exact"/>
        <w:ind w:firstLine="420" w:firstLineChars="200"/>
        <w:outlineLvl w:val="1"/>
        <w:rPr>
          <w:rFonts w:ascii="宋体" w:hAnsi="宋体" w:cs="宋体"/>
          <w:color w:val="auto"/>
          <w:sz w:val="21"/>
          <w:szCs w:val="21"/>
          <w:highlight w:val="none"/>
        </w:rPr>
      </w:pPr>
      <w:bookmarkStart w:id="195" w:name="_Toc16732"/>
      <w:r>
        <w:rPr>
          <w:rFonts w:hint="eastAsia" w:ascii="宋体" w:hAnsi="宋体" w:cs="宋体"/>
          <w:color w:val="auto"/>
          <w:sz w:val="21"/>
          <w:szCs w:val="21"/>
          <w:highlight w:val="none"/>
        </w:rPr>
        <w:t>八、“附加服务”指监理人为委托人提供正常服务以外的服务。</w:t>
      </w:r>
      <w:bookmarkEnd w:id="195"/>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九、“服务酬金”指本合同中监理人完成“正常服务”、“附加服务”应得到的正常服务酬金和附加服务酬金。</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十、“天”指日历天。</w:t>
      </w:r>
    </w:p>
    <w:p>
      <w:pPr>
        <w:tabs>
          <w:tab w:val="left" w:pos="-180"/>
        </w:tabs>
        <w:spacing w:line="460" w:lineRule="exact"/>
        <w:ind w:firstLine="420" w:firstLineChars="200"/>
        <w:rPr>
          <w:rFonts w:ascii="宋体" w:hAnsi="宋体" w:cs="宋体"/>
          <w:color w:val="auto"/>
          <w:sz w:val="21"/>
          <w:szCs w:val="21"/>
          <w:highlight w:val="none"/>
          <w:shd w:val="pct10" w:color="auto" w:fill="FFFFFF"/>
        </w:rPr>
      </w:pPr>
      <w:r>
        <w:rPr>
          <w:rFonts w:hint="eastAsia" w:ascii="宋体" w:hAnsi="宋体" w:cs="宋体"/>
          <w:color w:val="auto"/>
          <w:sz w:val="21"/>
          <w:szCs w:val="21"/>
          <w:highlight w:val="none"/>
        </w:rPr>
        <w:t>十一、“现场”指监理项目实施的场所。</w:t>
      </w:r>
    </w:p>
    <w:p>
      <w:pPr>
        <w:tabs>
          <w:tab w:val="left" w:pos="-180"/>
        </w:tabs>
        <w:spacing w:line="460" w:lineRule="exact"/>
        <w:ind w:firstLine="422" w:firstLineChars="200"/>
        <w:outlineLvl w:val="2"/>
        <w:rPr>
          <w:rFonts w:ascii="宋体" w:hAnsi="宋体" w:cs="宋体"/>
          <w:color w:val="auto"/>
          <w:sz w:val="21"/>
          <w:szCs w:val="21"/>
          <w:highlight w:val="none"/>
        </w:rPr>
      </w:pPr>
      <w:bookmarkStart w:id="196" w:name="_Toc10569"/>
      <w:r>
        <w:rPr>
          <w:rFonts w:hint="eastAsia" w:ascii="宋体" w:hAnsi="宋体" w:cs="宋体"/>
          <w:b/>
          <w:color w:val="auto"/>
          <w:sz w:val="21"/>
          <w:szCs w:val="21"/>
          <w:highlight w:val="none"/>
        </w:rPr>
        <w:t xml:space="preserve">第二条 </w:t>
      </w:r>
      <w:r>
        <w:rPr>
          <w:rFonts w:hint="eastAsia" w:ascii="宋体" w:hAnsi="宋体" w:cs="宋体"/>
          <w:color w:val="auto"/>
          <w:sz w:val="21"/>
          <w:szCs w:val="21"/>
          <w:highlight w:val="none"/>
        </w:rPr>
        <w:t>本合同适用的语言文字为汉语文字。</w:t>
      </w:r>
      <w:bookmarkEnd w:id="196"/>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依 据</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第三条</w:t>
      </w:r>
      <w:r>
        <w:rPr>
          <w:rFonts w:hint="eastAsia" w:ascii="宋体" w:hAnsi="宋体" w:cs="宋体"/>
          <w:color w:val="auto"/>
          <w:sz w:val="21"/>
          <w:szCs w:val="21"/>
          <w:highlight w:val="none"/>
        </w:rPr>
        <w:t xml:space="preserve"> 监理的依据是有关工程建设的法律、法规、规章和规范性文件；工程建设强制性条文、有关技术标准；经批准的工程建设项目设计文件及其相关文件；监理合同、施工合同等合同文件。具体内容在专用合同条款中约定。</w:t>
      </w:r>
    </w:p>
    <w:p>
      <w:pPr>
        <w:tabs>
          <w:tab w:val="left" w:pos="-180"/>
        </w:tabs>
        <w:spacing w:line="460" w:lineRule="exact"/>
        <w:ind w:firstLine="422" w:firstLineChars="200"/>
        <w:jc w:val="center"/>
        <w:rPr>
          <w:rFonts w:ascii="宋体" w:hAnsi="宋体" w:cs="宋体"/>
          <w:b/>
          <w:color w:val="auto"/>
          <w:sz w:val="21"/>
          <w:szCs w:val="21"/>
          <w:highlight w:val="none"/>
        </w:rPr>
      </w:pPr>
    </w:p>
    <w:p>
      <w:pPr>
        <w:tabs>
          <w:tab w:val="left" w:pos="-180"/>
        </w:tabs>
        <w:spacing w:line="460" w:lineRule="exact"/>
        <w:ind w:firstLine="422" w:firstLineChars="200"/>
        <w:jc w:val="center"/>
        <w:rPr>
          <w:rFonts w:ascii="宋体" w:hAnsi="宋体" w:cs="宋体"/>
          <w:b/>
          <w:color w:val="auto"/>
          <w:sz w:val="21"/>
          <w:szCs w:val="21"/>
          <w:highlight w:val="none"/>
        </w:rPr>
      </w:pPr>
      <w:r>
        <w:rPr>
          <w:rFonts w:hint="eastAsia" w:ascii="宋体" w:hAnsi="宋体" w:cs="宋体"/>
          <w:b/>
          <w:color w:val="auto"/>
          <w:sz w:val="21"/>
          <w:szCs w:val="21"/>
          <w:highlight w:val="none"/>
        </w:rPr>
        <w:t>通 知 和 联 系</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第四条 </w:t>
      </w:r>
      <w:r>
        <w:rPr>
          <w:rFonts w:hint="eastAsia" w:ascii="宋体" w:hAnsi="宋体" w:cs="宋体"/>
          <w:color w:val="auto"/>
          <w:sz w:val="21"/>
          <w:szCs w:val="21"/>
          <w:highlight w:val="none"/>
        </w:rPr>
        <w:t>委托人应指定一名联系人，负责与监理机构联系。更换联系人时，应提前通知监理人。</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第五条</w:t>
      </w:r>
      <w:r>
        <w:rPr>
          <w:rFonts w:hint="eastAsia" w:ascii="宋体" w:hAnsi="宋体" w:cs="宋体"/>
          <w:color w:val="auto"/>
          <w:sz w:val="21"/>
          <w:szCs w:val="21"/>
          <w:highlight w:val="none"/>
        </w:rPr>
        <w:t xml:space="preserve"> 在监理合同实施过程中，双方的联系均应以书面函件为准。在不做出紧急处理即可能导致安全、质量事故的情况下，可先以口头形式通知，并在48小时内补做书面通知。</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第六条</w:t>
      </w:r>
      <w:r>
        <w:rPr>
          <w:rFonts w:hint="eastAsia" w:ascii="宋体" w:hAnsi="宋体" w:cs="宋体"/>
          <w:color w:val="auto"/>
          <w:sz w:val="21"/>
          <w:szCs w:val="21"/>
          <w:highlight w:val="none"/>
        </w:rPr>
        <w:t xml:space="preserve"> 委托人对委托监理范围内工程项目实施的意见和决策，应通过监理机构下达，法律、法规另有规定的除外。</w:t>
      </w: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委 托 人 的 权 利</w:t>
      </w:r>
    </w:p>
    <w:p>
      <w:pPr>
        <w:numPr>
          <w:ilvl w:val="0"/>
          <w:numId w:val="4"/>
        </w:numPr>
        <w:tabs>
          <w:tab w:val="left" w:pos="-180"/>
        </w:tabs>
        <w:spacing w:line="460" w:lineRule="exact"/>
        <w:outlineLvl w:val="2"/>
        <w:rPr>
          <w:rFonts w:ascii="宋体" w:hAnsi="宋体" w:cs="宋体"/>
          <w:color w:val="auto"/>
          <w:sz w:val="21"/>
          <w:szCs w:val="21"/>
          <w:highlight w:val="none"/>
        </w:rPr>
      </w:pPr>
      <w:bookmarkStart w:id="197" w:name="_Toc20486"/>
      <w:r>
        <w:rPr>
          <w:rFonts w:hint="eastAsia" w:ascii="宋体" w:hAnsi="宋体" w:cs="宋体"/>
          <w:color w:val="auto"/>
          <w:sz w:val="21"/>
          <w:szCs w:val="21"/>
          <w:highlight w:val="none"/>
        </w:rPr>
        <w:t>委托人享有如下权利：</w:t>
      </w:r>
      <w:bookmarkEnd w:id="197"/>
    </w:p>
    <w:p>
      <w:pPr>
        <w:tabs>
          <w:tab w:val="left" w:pos="-180"/>
        </w:tabs>
        <w:spacing w:line="460" w:lineRule="exact"/>
        <w:ind w:firstLine="476" w:firstLineChars="227"/>
        <w:rPr>
          <w:rFonts w:ascii="宋体" w:hAnsi="宋体" w:cs="宋体"/>
          <w:color w:val="auto"/>
          <w:sz w:val="21"/>
          <w:szCs w:val="21"/>
          <w:highlight w:val="none"/>
        </w:rPr>
      </w:pPr>
      <w:r>
        <w:rPr>
          <w:rFonts w:hint="eastAsia" w:ascii="宋体" w:hAnsi="宋体" w:cs="宋体"/>
          <w:color w:val="auto"/>
          <w:sz w:val="21"/>
          <w:szCs w:val="21"/>
          <w:highlight w:val="none"/>
        </w:rPr>
        <w:t>一、对监理工作进行监督、检查，并提出撤换不能胜任监理工作人员的建议或要求；</w:t>
      </w:r>
    </w:p>
    <w:p>
      <w:pPr>
        <w:tabs>
          <w:tab w:val="left" w:pos="-180"/>
        </w:tabs>
        <w:spacing w:line="460" w:lineRule="exact"/>
        <w:ind w:firstLine="479" w:firstLineChars="227"/>
        <w:rPr>
          <w:rFonts w:ascii="宋体" w:hAnsi="宋体" w:cs="宋体"/>
          <w:color w:val="auto"/>
          <w:sz w:val="21"/>
          <w:szCs w:val="21"/>
          <w:highlight w:val="none"/>
        </w:rPr>
      </w:pPr>
      <w:r>
        <w:rPr>
          <w:rFonts w:hint="eastAsia" w:ascii="宋体" w:hAnsi="宋体" w:cs="宋体"/>
          <w:b/>
          <w:color w:val="auto"/>
          <w:sz w:val="21"/>
          <w:szCs w:val="21"/>
          <w:highlight w:val="none"/>
        </w:rPr>
        <w:t>二、</w:t>
      </w:r>
      <w:r>
        <w:rPr>
          <w:rFonts w:hint="eastAsia" w:ascii="宋体" w:hAnsi="宋体" w:cs="宋体"/>
          <w:color w:val="auto"/>
          <w:sz w:val="21"/>
          <w:szCs w:val="21"/>
          <w:highlight w:val="none"/>
        </w:rPr>
        <w:t>对工程建设中质量、安全、投资、进度方面的重大问题的决策权；</w:t>
      </w:r>
    </w:p>
    <w:p>
      <w:pPr>
        <w:tabs>
          <w:tab w:val="left" w:pos="-180"/>
        </w:tabs>
        <w:spacing w:line="460" w:lineRule="exact"/>
        <w:ind w:firstLine="479" w:firstLineChars="227"/>
        <w:outlineLvl w:val="1"/>
        <w:rPr>
          <w:rFonts w:ascii="宋体" w:hAnsi="宋体" w:cs="宋体"/>
          <w:color w:val="auto"/>
          <w:sz w:val="21"/>
          <w:szCs w:val="21"/>
          <w:highlight w:val="none"/>
        </w:rPr>
      </w:pPr>
      <w:bookmarkStart w:id="198" w:name="_Toc5814"/>
      <w:r>
        <w:rPr>
          <w:rFonts w:hint="eastAsia" w:ascii="宋体" w:hAnsi="宋体" w:cs="宋体"/>
          <w:b/>
          <w:color w:val="auto"/>
          <w:sz w:val="21"/>
          <w:szCs w:val="21"/>
          <w:highlight w:val="none"/>
        </w:rPr>
        <w:t>三、</w:t>
      </w:r>
      <w:r>
        <w:rPr>
          <w:rFonts w:hint="eastAsia" w:ascii="宋体" w:hAnsi="宋体" w:cs="宋体"/>
          <w:bCs/>
          <w:color w:val="auto"/>
          <w:sz w:val="21"/>
          <w:szCs w:val="21"/>
          <w:highlight w:val="none"/>
        </w:rPr>
        <w:t>核定监理人签发的工程计量、付款凭证</w:t>
      </w:r>
      <w:r>
        <w:rPr>
          <w:rFonts w:hint="eastAsia" w:ascii="宋体" w:hAnsi="宋体" w:cs="宋体"/>
          <w:color w:val="auto"/>
          <w:sz w:val="21"/>
          <w:szCs w:val="21"/>
          <w:highlight w:val="none"/>
        </w:rPr>
        <w:t>；</w:t>
      </w:r>
      <w:bookmarkEnd w:id="198"/>
    </w:p>
    <w:p>
      <w:pPr>
        <w:tabs>
          <w:tab w:val="left" w:pos="-180"/>
        </w:tabs>
        <w:spacing w:line="460" w:lineRule="exact"/>
        <w:ind w:firstLine="476" w:firstLineChars="227"/>
        <w:rPr>
          <w:rFonts w:ascii="宋体" w:hAnsi="宋体" w:cs="宋体"/>
          <w:b/>
          <w:color w:val="auto"/>
          <w:sz w:val="21"/>
          <w:szCs w:val="21"/>
          <w:highlight w:val="none"/>
        </w:rPr>
      </w:pPr>
      <w:r>
        <w:rPr>
          <w:rFonts w:hint="eastAsia" w:ascii="宋体" w:hAnsi="宋体" w:cs="宋体"/>
          <w:color w:val="auto"/>
          <w:sz w:val="21"/>
          <w:szCs w:val="21"/>
          <w:highlight w:val="none"/>
        </w:rPr>
        <w:t>四、要求监理人提交监理月报、监理专题报告、监理工作报告和监理工作总结报告；</w:t>
      </w:r>
    </w:p>
    <w:p>
      <w:pPr>
        <w:tabs>
          <w:tab w:val="left" w:pos="-180"/>
        </w:tabs>
        <w:spacing w:line="460" w:lineRule="exact"/>
        <w:ind w:firstLine="476" w:firstLineChars="227"/>
        <w:rPr>
          <w:rFonts w:ascii="宋体" w:hAnsi="宋体" w:cs="宋体"/>
          <w:b/>
          <w:color w:val="auto"/>
          <w:sz w:val="21"/>
          <w:szCs w:val="21"/>
          <w:highlight w:val="none"/>
        </w:rPr>
      </w:pPr>
      <w:r>
        <w:rPr>
          <w:rFonts w:hint="eastAsia" w:ascii="宋体" w:hAnsi="宋体" w:cs="宋体"/>
          <w:color w:val="auto"/>
          <w:sz w:val="21"/>
          <w:szCs w:val="21"/>
          <w:highlight w:val="none"/>
        </w:rPr>
        <w:t>五、</w:t>
      </w:r>
      <w:r>
        <w:rPr>
          <w:rFonts w:hint="eastAsia" w:ascii="宋体" w:hAnsi="宋体" w:cs="宋体"/>
          <w:bCs/>
          <w:color w:val="auto"/>
          <w:sz w:val="21"/>
          <w:szCs w:val="21"/>
          <w:highlight w:val="none"/>
        </w:rPr>
        <w:t>当</w:t>
      </w:r>
      <w:r>
        <w:rPr>
          <w:rFonts w:hint="eastAsia" w:ascii="宋体" w:hAnsi="宋体" w:cs="宋体"/>
          <w:color w:val="auto"/>
          <w:sz w:val="21"/>
          <w:szCs w:val="21"/>
          <w:highlight w:val="none"/>
        </w:rPr>
        <w:t>监理人发生本合同专用条款约定的违约情形时，有权解除本合同。</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人 的 权 利</w:t>
      </w:r>
    </w:p>
    <w:p>
      <w:pPr>
        <w:tabs>
          <w:tab w:val="left" w:pos="-180"/>
        </w:tabs>
        <w:spacing w:line="460" w:lineRule="exact"/>
        <w:ind w:firstLine="422" w:firstLineChars="200"/>
        <w:outlineLvl w:val="2"/>
        <w:rPr>
          <w:rFonts w:ascii="宋体" w:hAnsi="宋体" w:cs="宋体"/>
          <w:color w:val="auto"/>
          <w:sz w:val="21"/>
          <w:szCs w:val="21"/>
          <w:highlight w:val="none"/>
        </w:rPr>
      </w:pPr>
      <w:bookmarkStart w:id="199" w:name="_Toc20126"/>
      <w:r>
        <w:rPr>
          <w:rFonts w:hint="eastAsia" w:ascii="宋体" w:hAnsi="宋体" w:cs="宋体"/>
          <w:b/>
          <w:color w:val="auto"/>
          <w:sz w:val="21"/>
          <w:szCs w:val="21"/>
          <w:highlight w:val="none"/>
        </w:rPr>
        <w:t xml:space="preserve">第八条 </w:t>
      </w:r>
      <w:r>
        <w:rPr>
          <w:rFonts w:hint="eastAsia" w:ascii="宋体" w:hAnsi="宋体" w:cs="宋体"/>
          <w:color w:val="auto"/>
          <w:sz w:val="21"/>
          <w:szCs w:val="21"/>
          <w:highlight w:val="none"/>
        </w:rPr>
        <w:t>委托人赋予监理人如下权利：</w:t>
      </w:r>
      <w:bookmarkEnd w:id="199"/>
    </w:p>
    <w:p>
      <w:pPr>
        <w:tabs>
          <w:tab w:val="left" w:pos="-180"/>
        </w:tabs>
        <w:spacing w:line="460" w:lineRule="exact"/>
        <w:ind w:firstLine="420" w:firstLineChars="200"/>
        <w:outlineLvl w:val="1"/>
        <w:rPr>
          <w:rFonts w:ascii="宋体" w:hAnsi="宋体" w:cs="宋体"/>
          <w:color w:val="auto"/>
          <w:sz w:val="21"/>
          <w:szCs w:val="21"/>
          <w:highlight w:val="none"/>
        </w:rPr>
      </w:pPr>
      <w:bookmarkStart w:id="200" w:name="_Toc3307"/>
      <w:r>
        <w:rPr>
          <w:rFonts w:hint="eastAsia" w:ascii="宋体" w:hAnsi="宋体" w:cs="宋体"/>
          <w:color w:val="auto"/>
          <w:sz w:val="21"/>
          <w:szCs w:val="21"/>
          <w:highlight w:val="none"/>
        </w:rPr>
        <w:t>一、审查承包人拟选择的分包项目和分包人</w:t>
      </w:r>
      <w:r>
        <w:rPr>
          <w:rFonts w:hint="eastAsia" w:ascii="宋体" w:hAnsi="宋体" w:cs="宋体"/>
          <w:color w:val="auto"/>
          <w:sz w:val="21"/>
          <w:szCs w:val="21"/>
          <w:highlight w:val="none"/>
          <w:shd w:val="clear" w:color="auto" w:fill="FFFFFF"/>
        </w:rPr>
        <w:t>，报委托人批准</w:t>
      </w:r>
      <w:r>
        <w:rPr>
          <w:rFonts w:hint="eastAsia" w:ascii="宋体" w:hAnsi="宋体" w:cs="宋体"/>
          <w:color w:val="auto"/>
          <w:sz w:val="21"/>
          <w:szCs w:val="21"/>
          <w:highlight w:val="none"/>
        </w:rPr>
        <w:t>；</w:t>
      </w:r>
      <w:bookmarkEnd w:id="200"/>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二、审查承包人提交的施工组织设计、安全技术措施及专项施工方案等各类文件；</w:t>
      </w:r>
    </w:p>
    <w:p>
      <w:pPr>
        <w:tabs>
          <w:tab w:val="left" w:pos="-180"/>
        </w:tabs>
        <w:spacing w:line="460" w:lineRule="exact"/>
        <w:ind w:firstLine="420" w:firstLineChars="200"/>
        <w:outlineLvl w:val="1"/>
        <w:rPr>
          <w:rFonts w:ascii="宋体" w:hAnsi="宋体" w:cs="宋体"/>
          <w:color w:val="auto"/>
          <w:sz w:val="21"/>
          <w:szCs w:val="21"/>
          <w:highlight w:val="none"/>
        </w:rPr>
      </w:pPr>
      <w:bookmarkStart w:id="201" w:name="_Toc16939"/>
      <w:r>
        <w:rPr>
          <w:rFonts w:hint="eastAsia" w:ascii="宋体" w:hAnsi="宋体" w:cs="宋体"/>
          <w:color w:val="auto"/>
          <w:sz w:val="21"/>
          <w:szCs w:val="21"/>
          <w:highlight w:val="none"/>
        </w:rPr>
        <w:t>三、核查并签发施工图纸；</w:t>
      </w:r>
      <w:bookmarkEnd w:id="201"/>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四、签发合同项目开工令、暂停施工</w:t>
      </w:r>
      <w:r>
        <w:rPr>
          <w:rFonts w:hint="eastAsia" w:ascii="宋体" w:hAnsi="宋体" w:cs="宋体"/>
          <w:color w:val="auto"/>
          <w:sz w:val="21"/>
          <w:szCs w:val="21"/>
          <w:highlight w:val="none"/>
          <w:shd w:val="clear" w:color="auto" w:fill="FFFFFF"/>
        </w:rPr>
        <w:t>指示</w:t>
      </w:r>
      <w:r>
        <w:rPr>
          <w:rFonts w:hint="eastAsia" w:ascii="宋体" w:hAnsi="宋体" w:cs="宋体"/>
          <w:color w:val="auto"/>
          <w:sz w:val="21"/>
          <w:szCs w:val="21"/>
          <w:highlight w:val="none"/>
        </w:rPr>
        <w:t>，但应事先征得委托人同意；签发进场通知、复工通知；</w:t>
      </w:r>
    </w:p>
    <w:p>
      <w:pPr>
        <w:tabs>
          <w:tab w:val="left" w:pos="-180"/>
        </w:tabs>
        <w:spacing w:line="460" w:lineRule="exact"/>
        <w:ind w:firstLine="420" w:firstLineChars="200"/>
        <w:outlineLvl w:val="1"/>
        <w:rPr>
          <w:rFonts w:ascii="宋体" w:hAnsi="宋体" w:cs="宋体"/>
          <w:color w:val="auto"/>
          <w:sz w:val="21"/>
          <w:szCs w:val="21"/>
          <w:highlight w:val="none"/>
        </w:rPr>
      </w:pPr>
      <w:bookmarkStart w:id="202" w:name="_Toc11109"/>
      <w:r>
        <w:rPr>
          <w:rFonts w:hint="eastAsia" w:ascii="宋体" w:hAnsi="宋体" w:cs="宋体"/>
          <w:color w:val="auto"/>
          <w:sz w:val="21"/>
          <w:szCs w:val="21"/>
          <w:highlight w:val="none"/>
        </w:rPr>
        <w:t>五、审核和签发工程计量、付款凭证；</w:t>
      </w:r>
      <w:bookmarkEnd w:id="202"/>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六、核查承包人现场工作人员数量及相应岗位资格，有权要求承包人撤换不称职的现场工作人员；</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七、发现承包人使用的施工设备影响工程质量或进度时，有权要求承包人增加或更换施工设备；</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w:t>
      </w:r>
      <w:r>
        <w:rPr>
          <w:rFonts w:hint="eastAsia" w:ascii="宋体" w:hAnsi="宋体" w:cs="宋体"/>
          <w:bCs/>
          <w:color w:val="auto"/>
          <w:sz w:val="21"/>
          <w:szCs w:val="21"/>
          <w:highlight w:val="none"/>
        </w:rPr>
        <w:t>当</w:t>
      </w:r>
      <w:r>
        <w:rPr>
          <w:rFonts w:hint="eastAsia" w:ascii="宋体" w:hAnsi="宋体" w:cs="宋体"/>
          <w:color w:val="auto"/>
          <w:sz w:val="21"/>
          <w:szCs w:val="21"/>
          <w:highlight w:val="none"/>
        </w:rPr>
        <w:t>委托人发生本合同专用条款约定的违约情形时，有权解除本合同；</w:t>
      </w:r>
    </w:p>
    <w:p>
      <w:pPr>
        <w:tabs>
          <w:tab w:val="left" w:pos="-180"/>
        </w:tabs>
        <w:spacing w:line="460" w:lineRule="exact"/>
        <w:ind w:firstLine="420" w:firstLineChars="200"/>
        <w:outlineLvl w:val="1"/>
        <w:rPr>
          <w:rFonts w:ascii="宋体" w:hAnsi="宋体" w:cs="宋体"/>
          <w:color w:val="auto"/>
          <w:sz w:val="21"/>
          <w:szCs w:val="21"/>
          <w:highlight w:val="none"/>
        </w:rPr>
      </w:pPr>
      <w:bookmarkStart w:id="203" w:name="_Toc2171"/>
      <w:r>
        <w:rPr>
          <w:rFonts w:hint="eastAsia" w:ascii="宋体" w:hAnsi="宋体" w:cs="宋体"/>
          <w:color w:val="auto"/>
          <w:sz w:val="21"/>
          <w:szCs w:val="21"/>
          <w:highlight w:val="none"/>
        </w:rPr>
        <w:t>九、专用合同条款约定的其他权利。</w:t>
      </w:r>
      <w:bookmarkEnd w:id="203"/>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委 托 人 的 义 务</w:t>
      </w:r>
    </w:p>
    <w:p>
      <w:pPr>
        <w:tabs>
          <w:tab w:val="left" w:pos="-180"/>
        </w:tabs>
        <w:spacing w:line="460" w:lineRule="exact"/>
        <w:ind w:firstLine="422" w:firstLineChars="200"/>
        <w:outlineLvl w:val="2"/>
        <w:rPr>
          <w:rFonts w:ascii="宋体" w:hAnsi="宋体" w:cs="宋体"/>
          <w:color w:val="auto"/>
          <w:sz w:val="21"/>
          <w:szCs w:val="21"/>
          <w:highlight w:val="none"/>
        </w:rPr>
      </w:pPr>
      <w:bookmarkStart w:id="204" w:name="_Toc19419"/>
      <w:r>
        <w:rPr>
          <w:rFonts w:hint="eastAsia" w:ascii="宋体" w:hAnsi="宋体" w:cs="宋体"/>
          <w:b/>
          <w:color w:val="auto"/>
          <w:sz w:val="21"/>
          <w:szCs w:val="21"/>
          <w:highlight w:val="none"/>
        </w:rPr>
        <w:t xml:space="preserve">第九条 </w:t>
      </w:r>
      <w:r>
        <w:rPr>
          <w:rFonts w:hint="eastAsia" w:ascii="宋体" w:hAnsi="宋体" w:cs="宋体"/>
          <w:color w:val="auto"/>
          <w:sz w:val="21"/>
          <w:szCs w:val="21"/>
          <w:highlight w:val="none"/>
        </w:rPr>
        <w:t>工程建设外部环境的协调工作。</w:t>
      </w:r>
      <w:bookmarkEnd w:id="204"/>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第十条 </w:t>
      </w:r>
      <w:r>
        <w:rPr>
          <w:rFonts w:hint="eastAsia" w:ascii="宋体" w:hAnsi="宋体" w:cs="宋体"/>
          <w:color w:val="auto"/>
          <w:sz w:val="21"/>
          <w:szCs w:val="21"/>
          <w:highlight w:val="none"/>
        </w:rPr>
        <w:t>按专用合同条款约定的时间、数量、方式，免费向监理机构提供开展监理服务的有关本工程建设的资料。</w:t>
      </w:r>
    </w:p>
    <w:p>
      <w:pPr>
        <w:tabs>
          <w:tab w:val="left" w:pos="-180"/>
        </w:tabs>
        <w:spacing w:line="460" w:lineRule="exact"/>
        <w:ind w:firstLine="422" w:firstLineChars="200"/>
        <w:rPr>
          <w:rFonts w:ascii="宋体" w:hAnsi="宋体" w:cs="宋体"/>
          <w:dstrike/>
          <w:color w:val="auto"/>
          <w:sz w:val="21"/>
          <w:szCs w:val="21"/>
          <w:highlight w:val="none"/>
        </w:rPr>
      </w:pPr>
      <w:r>
        <w:rPr>
          <w:rFonts w:hint="eastAsia" w:ascii="宋体" w:hAnsi="宋体" w:cs="宋体"/>
          <w:b/>
          <w:color w:val="auto"/>
          <w:sz w:val="21"/>
          <w:szCs w:val="21"/>
          <w:highlight w:val="none"/>
        </w:rPr>
        <w:t>第十一条</w:t>
      </w:r>
      <w:r>
        <w:rPr>
          <w:rFonts w:hint="eastAsia" w:ascii="宋体" w:hAnsi="宋体" w:cs="宋体"/>
          <w:color w:val="auto"/>
          <w:sz w:val="21"/>
          <w:szCs w:val="21"/>
          <w:highlight w:val="none"/>
        </w:rPr>
        <w:t xml:space="preserve"> 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pPr>
        <w:tabs>
          <w:tab w:val="left" w:pos="-180"/>
        </w:tabs>
        <w:spacing w:line="460" w:lineRule="exact"/>
        <w:ind w:firstLine="422" w:firstLineChars="200"/>
        <w:rPr>
          <w:rFonts w:ascii="宋体" w:hAnsi="宋体" w:cs="宋体"/>
          <w:color w:val="auto"/>
          <w:sz w:val="21"/>
          <w:szCs w:val="21"/>
          <w:highlight w:val="none"/>
          <w:shd w:val="pct10" w:color="auto" w:fill="FFFFFF"/>
        </w:rPr>
      </w:pPr>
      <w:r>
        <w:rPr>
          <w:rFonts w:hint="eastAsia" w:ascii="宋体" w:hAnsi="宋体" w:cs="宋体"/>
          <w:b/>
          <w:color w:val="auto"/>
          <w:sz w:val="21"/>
          <w:szCs w:val="21"/>
          <w:highlight w:val="none"/>
        </w:rPr>
        <w:t xml:space="preserve">第十二条 </w:t>
      </w:r>
      <w:r>
        <w:rPr>
          <w:rFonts w:hint="eastAsia" w:ascii="宋体" w:hAnsi="宋体" w:cs="宋体"/>
          <w:color w:val="auto"/>
          <w:sz w:val="21"/>
          <w:szCs w:val="21"/>
          <w:highlight w:val="none"/>
          <w:shd w:val="clear" w:color="auto" w:fill="FFFFFF"/>
        </w:rPr>
        <w:t>与承包人签订的施工合同中明确其赋予监理人的权限，并在工程开工前将监理单位、总监理工程师通知承包人。</w:t>
      </w:r>
    </w:p>
    <w:p>
      <w:pPr>
        <w:tabs>
          <w:tab w:val="left" w:pos="-180"/>
        </w:tabs>
        <w:spacing w:line="460" w:lineRule="exact"/>
        <w:ind w:firstLine="422" w:firstLineChars="200"/>
        <w:rPr>
          <w:rFonts w:ascii="宋体" w:hAnsi="宋体" w:cs="宋体"/>
          <w:color w:val="auto"/>
          <w:sz w:val="21"/>
          <w:szCs w:val="21"/>
          <w:highlight w:val="none"/>
          <w:shd w:val="clear" w:color="auto" w:fill="FFFFFF"/>
        </w:rPr>
      </w:pPr>
      <w:r>
        <w:rPr>
          <w:rFonts w:hint="eastAsia" w:ascii="宋体" w:hAnsi="宋体" w:cs="宋体"/>
          <w:b/>
          <w:color w:val="auto"/>
          <w:sz w:val="21"/>
          <w:szCs w:val="21"/>
          <w:highlight w:val="none"/>
        </w:rPr>
        <w:t>第十三条</w:t>
      </w:r>
      <w:r>
        <w:rPr>
          <w:rFonts w:hint="eastAsia" w:ascii="宋体" w:hAnsi="宋体" w:cs="宋体"/>
          <w:color w:val="auto"/>
          <w:sz w:val="21"/>
          <w:szCs w:val="21"/>
          <w:highlight w:val="none"/>
          <w:shd w:val="clear" w:color="auto" w:fill="FFFFFF"/>
        </w:rPr>
        <w:t xml:space="preserve"> 提供监理人员在现场的工作和生活条件，具体内容在专用合同条款中明确。如果不能提供上述条件的，应按实际发生费用给予监理人补偿。</w:t>
      </w:r>
    </w:p>
    <w:p>
      <w:pPr>
        <w:tabs>
          <w:tab w:val="left" w:pos="-180"/>
        </w:tabs>
        <w:spacing w:line="460" w:lineRule="exact"/>
        <w:ind w:firstLine="422" w:firstLineChars="200"/>
        <w:outlineLvl w:val="2"/>
        <w:rPr>
          <w:rFonts w:ascii="宋体" w:hAnsi="宋体" w:cs="宋体"/>
          <w:color w:val="auto"/>
          <w:sz w:val="21"/>
          <w:szCs w:val="21"/>
          <w:highlight w:val="none"/>
        </w:rPr>
      </w:pPr>
      <w:bookmarkStart w:id="205" w:name="_Toc17156"/>
      <w:r>
        <w:rPr>
          <w:rFonts w:hint="eastAsia" w:ascii="宋体" w:hAnsi="宋体" w:cs="宋体"/>
          <w:b/>
          <w:color w:val="auto"/>
          <w:sz w:val="21"/>
          <w:szCs w:val="21"/>
          <w:highlight w:val="none"/>
        </w:rPr>
        <w:t>第十四条</w:t>
      </w:r>
      <w:r>
        <w:rPr>
          <w:rFonts w:hint="eastAsia" w:ascii="宋体" w:hAnsi="宋体" w:cs="宋体"/>
          <w:color w:val="auto"/>
          <w:sz w:val="21"/>
          <w:szCs w:val="21"/>
          <w:highlight w:val="none"/>
        </w:rPr>
        <w:t xml:space="preserve"> 按本合同约定及时、足额支付监理服务酬金。</w:t>
      </w:r>
      <w:bookmarkEnd w:id="205"/>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第十五条 </w:t>
      </w:r>
      <w:r>
        <w:rPr>
          <w:rFonts w:hint="eastAsia" w:ascii="宋体" w:hAnsi="宋体" w:cs="宋体"/>
          <w:color w:val="auto"/>
          <w:sz w:val="21"/>
          <w:szCs w:val="21"/>
          <w:highlight w:val="none"/>
        </w:rPr>
        <w:t>为监理机构指定具有检验、试验资质的机构并承担检验、试验相关费用。</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第十六条 </w:t>
      </w:r>
      <w:r>
        <w:rPr>
          <w:rFonts w:hint="eastAsia" w:ascii="宋体" w:hAnsi="宋体" w:cs="宋体"/>
          <w:color w:val="auto"/>
          <w:sz w:val="21"/>
          <w:szCs w:val="21"/>
          <w:highlight w:val="none"/>
        </w:rPr>
        <w:t>维护监理机构工作的独立性，不干涉监理机构正常开展监理业务，不擅自作出有悖于监理机构在合同授权范围内所作出的指示的决定；未经监理机构签字确认，不得支付工程款。</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第十七条</w:t>
      </w:r>
      <w:r>
        <w:rPr>
          <w:rFonts w:hint="eastAsia" w:ascii="宋体" w:hAnsi="宋体" w:cs="宋体"/>
          <w:color w:val="auto"/>
          <w:sz w:val="21"/>
          <w:szCs w:val="21"/>
          <w:highlight w:val="none"/>
        </w:rPr>
        <w:t xml:space="preserve"> 为监理人员投保人身意外伤害险和第三者责任险。如要求监理人自己投保，则应同意监理人将投保的费用计入报价中。</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第十八条</w:t>
      </w:r>
      <w:r>
        <w:rPr>
          <w:rFonts w:hint="eastAsia" w:ascii="宋体" w:hAnsi="宋体" w:cs="宋体"/>
          <w:color w:val="auto"/>
          <w:sz w:val="21"/>
          <w:szCs w:val="21"/>
          <w:highlight w:val="none"/>
        </w:rPr>
        <w:t xml:space="preserve"> 将投保的“建筑工程一切险”的保险合同和保单提供给监理人作为工程合同管理的一部分。</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第十九条</w:t>
      </w:r>
      <w:r>
        <w:rPr>
          <w:rFonts w:hint="eastAsia" w:ascii="宋体" w:hAnsi="宋体" w:cs="宋体"/>
          <w:color w:val="auto"/>
          <w:sz w:val="21"/>
          <w:szCs w:val="21"/>
          <w:highlight w:val="none"/>
        </w:rPr>
        <w:t xml:space="preserve"> 未经监理人同意，不得将监理人用于本工程监理服务的</w:t>
      </w:r>
      <w:r>
        <w:rPr>
          <w:rFonts w:hint="eastAsia" w:ascii="宋体" w:hAnsi="宋体" w:cs="宋体"/>
          <w:color w:val="auto"/>
          <w:sz w:val="21"/>
          <w:szCs w:val="21"/>
          <w:highlight w:val="none"/>
          <w:shd w:val="clear" w:color="auto" w:fill="FFFFFF"/>
        </w:rPr>
        <w:t>任何</w:t>
      </w:r>
      <w:r>
        <w:rPr>
          <w:rFonts w:hint="eastAsia" w:ascii="宋体" w:hAnsi="宋体" w:cs="宋体"/>
          <w:color w:val="auto"/>
          <w:sz w:val="21"/>
          <w:szCs w:val="21"/>
          <w:highlight w:val="none"/>
        </w:rPr>
        <w:t>文件直接或间接用于其他工程建设之中。</w:t>
      </w:r>
      <w:r>
        <w:rPr>
          <w:rFonts w:hint="eastAsia" w:ascii="宋体" w:hAnsi="宋体" w:cs="宋体"/>
          <w:b/>
          <w:color w:val="auto"/>
          <w:sz w:val="21"/>
          <w:szCs w:val="21"/>
          <w:highlight w:val="none"/>
        </w:rPr>
        <w:t xml:space="preserve"> </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人 的 义 务</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第二十条</w:t>
      </w:r>
      <w:r>
        <w:rPr>
          <w:rFonts w:hint="eastAsia" w:ascii="宋体" w:hAnsi="宋体" w:cs="宋体"/>
          <w:color w:val="auto"/>
          <w:sz w:val="21"/>
          <w:szCs w:val="21"/>
          <w:highlight w:val="none"/>
        </w:rPr>
        <w:t xml:space="preserve"> 本着“守法、诚信、公正、科学”的原则，运用合理的技能，按专用合同条款约定的监理服务内容为委托人提供优质服务。  </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第二十一条</w:t>
      </w:r>
      <w:r>
        <w:rPr>
          <w:rFonts w:hint="eastAsia" w:ascii="宋体" w:hAnsi="宋体" w:cs="宋体"/>
          <w:color w:val="auto"/>
          <w:sz w:val="21"/>
          <w:szCs w:val="21"/>
          <w:highlight w:val="none"/>
        </w:rPr>
        <w:t xml:space="preserve">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第二十二条 </w:t>
      </w:r>
      <w:r>
        <w:rPr>
          <w:rFonts w:hint="eastAsia" w:ascii="宋体" w:hAnsi="宋体" w:cs="宋体"/>
          <w:color w:val="auto"/>
          <w:sz w:val="21"/>
          <w:szCs w:val="21"/>
          <w:highlight w:val="none"/>
        </w:rPr>
        <w:t>发现设计文件不符合有关规定或合同约定时，应向委托人报告。</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第二十三条 </w:t>
      </w:r>
      <w:r>
        <w:rPr>
          <w:rFonts w:hint="eastAsia" w:ascii="宋体" w:hAnsi="宋体" w:cs="宋体"/>
          <w:color w:val="auto"/>
          <w:sz w:val="21"/>
          <w:szCs w:val="21"/>
          <w:highlight w:val="none"/>
        </w:rPr>
        <w:t>核验建筑材料、建筑构配件和设备质量，检查、检验并确认工程的施工质量；检查施工安全生产情况。发现存在质量、安全事故隐患，或发生质量、安全事故，应按有关规定及时采取相应的监理措施。</w:t>
      </w:r>
    </w:p>
    <w:p>
      <w:pPr>
        <w:tabs>
          <w:tab w:val="left" w:pos="-180"/>
        </w:tabs>
        <w:spacing w:line="460" w:lineRule="exact"/>
        <w:ind w:firstLine="422" w:firstLineChars="200"/>
        <w:outlineLvl w:val="2"/>
        <w:rPr>
          <w:rFonts w:ascii="宋体" w:hAnsi="宋体" w:cs="宋体"/>
          <w:color w:val="auto"/>
          <w:sz w:val="21"/>
          <w:szCs w:val="21"/>
          <w:highlight w:val="none"/>
        </w:rPr>
      </w:pPr>
      <w:bookmarkStart w:id="206" w:name="_Toc26143"/>
      <w:r>
        <w:rPr>
          <w:rFonts w:hint="eastAsia" w:ascii="宋体" w:hAnsi="宋体" w:cs="宋体"/>
          <w:b/>
          <w:bCs/>
          <w:color w:val="auto"/>
          <w:sz w:val="21"/>
          <w:szCs w:val="21"/>
          <w:highlight w:val="none"/>
        </w:rPr>
        <w:t>第二十</w:t>
      </w:r>
      <w:r>
        <w:rPr>
          <w:rFonts w:hint="eastAsia" w:ascii="宋体" w:hAnsi="宋体" w:cs="宋体"/>
          <w:b/>
          <w:color w:val="auto"/>
          <w:sz w:val="21"/>
          <w:szCs w:val="21"/>
          <w:highlight w:val="none"/>
        </w:rPr>
        <w:t>四</w:t>
      </w:r>
      <w:r>
        <w:rPr>
          <w:rFonts w:hint="eastAsia" w:ascii="宋体" w:hAnsi="宋体" w:cs="宋体"/>
          <w:b/>
          <w:bCs/>
          <w:color w:val="auto"/>
          <w:sz w:val="21"/>
          <w:szCs w:val="21"/>
          <w:highlight w:val="none"/>
        </w:rPr>
        <w:t>条</w:t>
      </w:r>
      <w:r>
        <w:rPr>
          <w:rFonts w:hint="eastAsia" w:ascii="宋体" w:hAnsi="宋体" w:cs="宋体"/>
          <w:color w:val="auto"/>
          <w:sz w:val="21"/>
          <w:szCs w:val="21"/>
          <w:highlight w:val="none"/>
        </w:rPr>
        <w:t xml:space="preserve"> 监督、检查工程施工进度。</w:t>
      </w:r>
      <w:bookmarkEnd w:id="206"/>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第二十</w:t>
      </w:r>
      <w:r>
        <w:rPr>
          <w:rFonts w:hint="eastAsia" w:ascii="宋体" w:hAnsi="宋体" w:cs="宋体"/>
          <w:b/>
          <w:bCs/>
          <w:color w:val="auto"/>
          <w:sz w:val="21"/>
          <w:szCs w:val="21"/>
          <w:highlight w:val="none"/>
        </w:rPr>
        <w:t>五</w:t>
      </w:r>
      <w:r>
        <w:rPr>
          <w:rFonts w:hint="eastAsia" w:ascii="宋体" w:hAnsi="宋体" w:cs="宋体"/>
          <w:b/>
          <w:color w:val="auto"/>
          <w:sz w:val="21"/>
          <w:szCs w:val="21"/>
          <w:highlight w:val="none"/>
        </w:rPr>
        <w:t>条</w:t>
      </w:r>
      <w:r>
        <w:rPr>
          <w:rFonts w:hint="eastAsia" w:ascii="宋体" w:hAnsi="宋体" w:cs="宋体"/>
          <w:color w:val="auto"/>
          <w:sz w:val="21"/>
          <w:szCs w:val="21"/>
          <w:highlight w:val="none"/>
        </w:rPr>
        <w:t xml:space="preserve"> 按照委托人签订的工程保险合同，做好施工现场工程保险合同的管理。协助委托人向保险公司及时提供一切必要的材料和证据。</w:t>
      </w:r>
    </w:p>
    <w:p>
      <w:pPr>
        <w:tabs>
          <w:tab w:val="left" w:pos="-180"/>
        </w:tabs>
        <w:spacing w:line="460" w:lineRule="exact"/>
        <w:ind w:firstLine="422" w:firstLineChars="200"/>
        <w:outlineLvl w:val="2"/>
        <w:rPr>
          <w:rFonts w:ascii="宋体" w:hAnsi="宋体" w:cs="宋体"/>
          <w:color w:val="auto"/>
          <w:sz w:val="21"/>
          <w:szCs w:val="21"/>
          <w:highlight w:val="none"/>
        </w:rPr>
      </w:pPr>
      <w:bookmarkStart w:id="207" w:name="_Toc15803"/>
      <w:r>
        <w:rPr>
          <w:rFonts w:hint="eastAsia" w:ascii="宋体" w:hAnsi="宋体" w:cs="宋体"/>
          <w:b/>
          <w:color w:val="auto"/>
          <w:sz w:val="21"/>
          <w:szCs w:val="21"/>
          <w:highlight w:val="none"/>
        </w:rPr>
        <w:t>第二十六条</w:t>
      </w:r>
      <w:r>
        <w:rPr>
          <w:rFonts w:hint="eastAsia" w:ascii="宋体" w:hAnsi="宋体" w:cs="宋体"/>
          <w:color w:val="auto"/>
          <w:sz w:val="21"/>
          <w:szCs w:val="21"/>
          <w:highlight w:val="none"/>
        </w:rPr>
        <w:t xml:space="preserve"> 协调施工合同各方之间的关系。</w:t>
      </w:r>
      <w:bookmarkEnd w:id="207"/>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第二十七条</w:t>
      </w:r>
      <w:r>
        <w:rPr>
          <w:rFonts w:hint="eastAsia" w:ascii="宋体" w:hAnsi="宋体" w:cs="宋体"/>
          <w:color w:val="auto"/>
          <w:sz w:val="21"/>
          <w:szCs w:val="21"/>
          <w:highlight w:val="none"/>
        </w:rPr>
        <w:t xml:space="preserve"> 按照施工作业程序，采取旁站、巡视、跟踪检测和平行检测等方法实施监理。需要旁站的重要部位和关键工序在专用合同条款中约定。</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第二十八条 </w:t>
      </w:r>
      <w:r>
        <w:rPr>
          <w:rFonts w:hint="eastAsia" w:ascii="宋体" w:hAnsi="宋体" w:cs="宋体"/>
          <w:color w:val="auto"/>
          <w:sz w:val="21"/>
          <w:szCs w:val="21"/>
          <w:highlight w:val="none"/>
        </w:rPr>
        <w:t>及时做好工程施工</w:t>
      </w:r>
      <w:r>
        <w:rPr>
          <w:rFonts w:hint="eastAsia" w:ascii="宋体" w:hAnsi="宋体" w:cs="宋体"/>
          <w:color w:val="auto"/>
          <w:sz w:val="21"/>
          <w:szCs w:val="21"/>
          <w:highlight w:val="none"/>
          <w:shd w:val="clear" w:color="auto" w:fill="FFFFFF"/>
        </w:rPr>
        <w:t>过程</w:t>
      </w:r>
      <w:r>
        <w:rPr>
          <w:rFonts w:hint="eastAsia" w:ascii="宋体" w:hAnsi="宋体" w:cs="宋体"/>
          <w:color w:val="auto"/>
          <w:sz w:val="21"/>
          <w:szCs w:val="21"/>
          <w:highlight w:val="none"/>
        </w:rPr>
        <w:t>各种监理信息的收集、整理和归档，并保证现场记录、试验、检验、检查等资料的完整和真实。</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第二十九条 </w:t>
      </w:r>
      <w:r>
        <w:rPr>
          <w:rFonts w:hint="eastAsia" w:ascii="宋体" w:hAnsi="宋体" w:cs="宋体"/>
          <w:color w:val="auto"/>
          <w:sz w:val="21"/>
          <w:szCs w:val="21"/>
          <w:highlight w:val="none"/>
        </w:rPr>
        <w:t>编制《监理日志》，并向委托人提交监理月报、监理专题报告、监理工作报告和监理工作总结报告。</w:t>
      </w:r>
    </w:p>
    <w:p>
      <w:pPr>
        <w:tabs>
          <w:tab w:val="left" w:pos="-180"/>
        </w:tabs>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 xml:space="preserve">第三十条 </w:t>
      </w:r>
      <w:r>
        <w:rPr>
          <w:rFonts w:hint="eastAsia" w:ascii="宋体" w:hAnsi="宋体" w:cs="宋体"/>
          <w:color w:val="auto"/>
          <w:sz w:val="21"/>
          <w:szCs w:val="21"/>
          <w:highlight w:val="none"/>
        </w:rPr>
        <w:t>按有关规定参加工程验收，做好相关配合工作。</w:t>
      </w:r>
      <w:r>
        <w:rPr>
          <w:rFonts w:hint="eastAsia" w:ascii="宋体" w:hAnsi="宋体" w:cs="宋体"/>
          <w:bCs/>
          <w:color w:val="auto"/>
          <w:sz w:val="21"/>
          <w:szCs w:val="21"/>
          <w:highlight w:val="none"/>
        </w:rPr>
        <w:t>委托人委托监理人主持的分部工程验收由专用合同条款约定。</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第三十一条</w:t>
      </w:r>
      <w:r>
        <w:rPr>
          <w:rFonts w:hint="eastAsia" w:ascii="宋体" w:hAnsi="宋体" w:cs="宋体"/>
          <w:color w:val="auto"/>
          <w:sz w:val="21"/>
          <w:szCs w:val="21"/>
          <w:highlight w:val="none"/>
        </w:rPr>
        <w:t xml:space="preserve"> 妥善做好委托人所提供的工程建设文件资料的保存、回收及保密工作。在本合同期限内或</w:t>
      </w:r>
      <w:r>
        <w:rPr>
          <w:rFonts w:hint="eastAsia" w:ascii="宋体" w:hAnsi="宋体" w:cs="宋体"/>
          <w:color w:val="auto"/>
          <w:sz w:val="21"/>
          <w:szCs w:val="21"/>
          <w:highlight w:val="none"/>
          <w:shd w:val="clear" w:color="auto" w:fill="FFFFFF"/>
        </w:rPr>
        <w:t>专用合同条款约定的合同终止后的一定期限内</w:t>
      </w:r>
      <w:r>
        <w:rPr>
          <w:rFonts w:hint="eastAsia" w:ascii="宋体" w:hAnsi="宋体" w:cs="宋体"/>
          <w:color w:val="auto"/>
          <w:sz w:val="21"/>
          <w:szCs w:val="21"/>
          <w:highlight w:val="none"/>
        </w:rPr>
        <w:t>，未征得委托人同意，不得公开涉及委托人的专利、专有技术或其他需保密的资料，不得泄露与本合同业务有关的技术、商务等</w:t>
      </w:r>
      <w:r>
        <w:rPr>
          <w:rFonts w:hint="eastAsia" w:ascii="宋体" w:hAnsi="宋体" w:cs="宋体"/>
          <w:color w:val="auto"/>
          <w:sz w:val="21"/>
          <w:szCs w:val="21"/>
          <w:highlight w:val="none"/>
          <w:shd w:val="clear" w:color="auto" w:fill="FFFFFF"/>
        </w:rPr>
        <w:t>秘密</w:t>
      </w:r>
      <w:r>
        <w:rPr>
          <w:rFonts w:hint="eastAsia" w:ascii="宋体" w:hAnsi="宋体" w:cs="宋体"/>
          <w:color w:val="auto"/>
          <w:sz w:val="21"/>
          <w:szCs w:val="21"/>
          <w:highlight w:val="none"/>
        </w:rPr>
        <w:t xml:space="preserve">。 </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服 务 酬 金</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第三十二条</w:t>
      </w:r>
      <w:r>
        <w:rPr>
          <w:rFonts w:hint="eastAsia" w:ascii="宋体" w:hAnsi="宋体" w:cs="宋体"/>
          <w:color w:val="auto"/>
          <w:sz w:val="21"/>
          <w:szCs w:val="21"/>
          <w:highlight w:val="none"/>
        </w:rPr>
        <w:t xml:space="preserve"> 监理正常服务酬金的支付时间和支付方式在专用合同条款中约定。</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第三十三条</w:t>
      </w:r>
      <w:r>
        <w:rPr>
          <w:rFonts w:hint="eastAsia" w:ascii="宋体" w:hAnsi="宋体" w:cs="宋体"/>
          <w:color w:val="auto"/>
          <w:sz w:val="21"/>
          <w:szCs w:val="21"/>
          <w:highlight w:val="none"/>
        </w:rPr>
        <w:t xml:space="preserve"> 除</w:t>
      </w:r>
      <w:r>
        <w:rPr>
          <w:rFonts w:hint="eastAsia" w:ascii="宋体" w:hAnsi="宋体" w:cs="宋体"/>
          <w:bCs/>
          <w:color w:val="auto"/>
          <w:sz w:val="21"/>
          <w:szCs w:val="21"/>
          <w:highlight w:val="none"/>
        </w:rPr>
        <w:t>不可抗力外，</w:t>
      </w:r>
      <w:r>
        <w:rPr>
          <w:rFonts w:hint="eastAsia" w:ascii="宋体" w:hAnsi="宋体" w:cs="宋体"/>
          <w:color w:val="auto"/>
          <w:sz w:val="21"/>
          <w:szCs w:val="21"/>
          <w:highlight w:val="none"/>
        </w:rPr>
        <w:t>有下列情形之一且由此引起监理工作量增加或服务期限延长，均应视为监理机构的附加服务，监理人应得到监理附加服务酬金：</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一、由于委托人、第三方责任、</w:t>
      </w:r>
      <w:r>
        <w:rPr>
          <w:rFonts w:hint="eastAsia" w:ascii="宋体" w:hAnsi="宋体" w:cs="宋体"/>
          <w:color w:val="auto"/>
          <w:sz w:val="21"/>
          <w:szCs w:val="21"/>
          <w:highlight w:val="none"/>
          <w:shd w:val="clear" w:color="auto" w:fill="FFFFFF"/>
        </w:rPr>
        <w:t>设计变更</w:t>
      </w:r>
      <w:r>
        <w:rPr>
          <w:rFonts w:hint="eastAsia" w:ascii="宋体" w:hAnsi="宋体" w:cs="宋体"/>
          <w:color w:val="auto"/>
          <w:sz w:val="21"/>
          <w:szCs w:val="21"/>
          <w:highlight w:val="none"/>
        </w:rPr>
        <w:t>及不良地质条件等非监理人原因致使正常的监理服务受到阻碍或延误；</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二、在本合同履行过程中，委托人要求监理机构完成监理合同约定范围和内容以外的服务；</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三、由于非监理人原因暂停或终止监理业务时，其善后工作或恢复执行监理业务的工作。</w:t>
      </w:r>
    </w:p>
    <w:p>
      <w:pPr>
        <w:tabs>
          <w:tab w:val="left" w:pos="-180"/>
        </w:tabs>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监理人完成附加服务应得到的酬金，按</w:t>
      </w:r>
      <w:r>
        <w:rPr>
          <w:rFonts w:hint="eastAsia" w:ascii="宋体" w:hAnsi="宋体" w:cs="宋体"/>
          <w:color w:val="auto"/>
          <w:sz w:val="21"/>
          <w:szCs w:val="21"/>
          <w:highlight w:val="none"/>
          <w:shd w:val="clear" w:color="auto" w:fill="FFFFFF"/>
        </w:rPr>
        <w:t>专用合同条款约定的方法或</w:t>
      </w:r>
      <w:r>
        <w:rPr>
          <w:rFonts w:hint="eastAsia" w:ascii="宋体" w:hAnsi="宋体" w:cs="宋体"/>
          <w:color w:val="auto"/>
          <w:sz w:val="21"/>
          <w:szCs w:val="21"/>
          <w:highlight w:val="none"/>
        </w:rPr>
        <w:t>监理补充协议计取和支付。</w:t>
      </w:r>
    </w:p>
    <w:p>
      <w:pPr>
        <w:tabs>
          <w:tab w:val="left" w:pos="-180"/>
        </w:tabs>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 xml:space="preserve">第三十四条 </w:t>
      </w:r>
      <w:r>
        <w:rPr>
          <w:rFonts w:hint="eastAsia" w:ascii="宋体" w:hAnsi="宋体" w:cs="宋体"/>
          <w:color w:val="auto"/>
          <w:sz w:val="21"/>
          <w:szCs w:val="21"/>
          <w:highlight w:val="none"/>
        </w:rPr>
        <w:t>国家有关法律、法规、规章和监理酬金标准发生变化时，应按有关规定调整监理服务酬金。</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第三十五条</w:t>
      </w:r>
      <w:r>
        <w:rPr>
          <w:rFonts w:hint="eastAsia" w:ascii="宋体" w:hAnsi="宋体" w:cs="宋体"/>
          <w:color w:val="auto"/>
          <w:sz w:val="21"/>
          <w:szCs w:val="21"/>
          <w:highlight w:val="none"/>
        </w:rPr>
        <w:t xml:space="preserve"> 委托人对监理人</w:t>
      </w:r>
      <w:r>
        <w:rPr>
          <w:rFonts w:hint="eastAsia" w:ascii="宋体" w:hAnsi="宋体" w:cs="宋体"/>
          <w:color w:val="auto"/>
          <w:sz w:val="21"/>
          <w:szCs w:val="21"/>
          <w:highlight w:val="none"/>
          <w:shd w:val="clear" w:color="auto" w:fill="FFFFFF"/>
        </w:rPr>
        <w:t>申请支付的</w:t>
      </w:r>
      <w:r>
        <w:rPr>
          <w:rFonts w:hint="eastAsia" w:ascii="宋体" w:hAnsi="宋体" w:cs="宋体"/>
          <w:color w:val="auto"/>
          <w:sz w:val="21"/>
          <w:szCs w:val="21"/>
          <w:highlight w:val="none"/>
        </w:rPr>
        <w:t>监理酬金项目及金额有异议时，应当在收到监理人支付申请书</w:t>
      </w:r>
      <w:r>
        <w:rPr>
          <w:rFonts w:hint="eastAsia" w:ascii="宋体" w:hAnsi="宋体" w:cs="宋体"/>
          <w:color w:val="auto"/>
          <w:sz w:val="21"/>
          <w:szCs w:val="21"/>
          <w:highlight w:val="none"/>
          <w:shd w:val="clear" w:color="auto" w:fill="FFFFFF"/>
        </w:rPr>
        <w:t>后</w:t>
      </w:r>
      <w:r>
        <w:rPr>
          <w:rFonts w:hint="eastAsia" w:ascii="宋体" w:hAnsi="宋体" w:cs="宋体"/>
          <w:color w:val="auto"/>
          <w:sz w:val="21"/>
          <w:szCs w:val="21"/>
          <w:highlight w:val="none"/>
        </w:rPr>
        <w:t>7天内向监理人发出异议通知，由双方协商解决。7天内未发出异议通知，则按通用合同条款第三十二条、第三十三条、第三十四条的约定支付。</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合 同 变 更 与 终 止</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 xml:space="preserve">第三十六条 </w:t>
      </w:r>
      <w:r>
        <w:rPr>
          <w:rFonts w:hint="eastAsia" w:ascii="宋体" w:hAnsi="宋体" w:cs="宋体"/>
          <w:color w:val="auto"/>
          <w:sz w:val="21"/>
          <w:szCs w:val="21"/>
          <w:highlight w:val="none"/>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tabs>
          <w:tab w:val="left" w:pos="-180"/>
        </w:tabs>
        <w:spacing w:line="460" w:lineRule="exact"/>
        <w:ind w:firstLine="422" w:firstLineChars="200"/>
        <w:rPr>
          <w:rFonts w:ascii="宋体" w:hAnsi="宋体" w:cs="宋体"/>
          <w:color w:val="auto"/>
          <w:sz w:val="21"/>
          <w:szCs w:val="21"/>
          <w:highlight w:val="none"/>
          <w:u w:val="single"/>
          <w:shd w:val="pct10" w:color="auto" w:fill="FFFFFF"/>
        </w:rPr>
      </w:pPr>
      <w:r>
        <w:rPr>
          <w:rFonts w:hint="eastAsia" w:ascii="宋体" w:hAnsi="宋体" w:cs="宋体"/>
          <w:b/>
          <w:color w:val="auto"/>
          <w:sz w:val="21"/>
          <w:szCs w:val="21"/>
          <w:highlight w:val="none"/>
        </w:rPr>
        <w:t>第</w:t>
      </w:r>
      <w:r>
        <w:rPr>
          <w:rFonts w:hint="eastAsia" w:ascii="宋体" w:hAnsi="宋体" w:cs="宋体"/>
          <w:b/>
          <w:color w:val="auto"/>
          <w:sz w:val="21"/>
          <w:szCs w:val="21"/>
          <w:highlight w:val="none"/>
          <w:shd w:val="clear" w:color="auto" w:fill="FFFFFF"/>
        </w:rPr>
        <w:t>三十</w:t>
      </w:r>
      <w:r>
        <w:rPr>
          <w:rFonts w:hint="eastAsia" w:ascii="宋体" w:hAnsi="宋体" w:cs="宋体"/>
          <w:b/>
          <w:color w:val="auto"/>
          <w:sz w:val="21"/>
          <w:szCs w:val="21"/>
          <w:highlight w:val="none"/>
        </w:rPr>
        <w:t>七</w:t>
      </w:r>
      <w:r>
        <w:rPr>
          <w:rFonts w:hint="eastAsia" w:ascii="宋体" w:hAnsi="宋体" w:cs="宋体"/>
          <w:b/>
          <w:color w:val="auto"/>
          <w:sz w:val="21"/>
          <w:szCs w:val="21"/>
          <w:highlight w:val="none"/>
          <w:shd w:val="clear" w:color="auto" w:fill="FFFFFF"/>
        </w:rPr>
        <w:t>条</w:t>
      </w:r>
      <w:r>
        <w:rPr>
          <w:rFonts w:hint="eastAsia" w:ascii="宋体" w:hAnsi="宋体" w:cs="宋体"/>
          <w:color w:val="auto"/>
          <w:sz w:val="21"/>
          <w:szCs w:val="21"/>
          <w:highlight w:val="none"/>
          <w:shd w:val="clear" w:color="auto" w:fill="FFFFFF"/>
        </w:rPr>
        <w:t xml:space="preserve">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第三十八条</w:t>
      </w:r>
      <w:r>
        <w:rPr>
          <w:rFonts w:hint="eastAsia" w:ascii="宋体" w:hAnsi="宋体" w:cs="宋体"/>
          <w:color w:val="auto"/>
          <w:sz w:val="21"/>
          <w:szCs w:val="21"/>
          <w:highlight w:val="none"/>
        </w:rPr>
        <w:t xml:space="preserve"> 在监理服务期内，由于国家政策致使工程建设计划重大调整，或不可抗力致使合同不能履行时，双方协商解决因合同终止所产生的遗留问题。</w:t>
      </w:r>
    </w:p>
    <w:p>
      <w:pPr>
        <w:tabs>
          <w:tab w:val="left" w:pos="-180"/>
        </w:tabs>
        <w:spacing w:line="460" w:lineRule="exact"/>
        <w:ind w:firstLine="422" w:firstLineChars="200"/>
        <w:outlineLvl w:val="2"/>
        <w:rPr>
          <w:rFonts w:ascii="宋体" w:hAnsi="宋体" w:cs="宋体"/>
          <w:color w:val="auto"/>
          <w:sz w:val="21"/>
          <w:szCs w:val="21"/>
          <w:highlight w:val="none"/>
        </w:rPr>
      </w:pPr>
      <w:bookmarkStart w:id="208" w:name="_Toc9237"/>
      <w:r>
        <w:rPr>
          <w:rFonts w:hint="eastAsia" w:ascii="宋体" w:hAnsi="宋体" w:cs="宋体"/>
          <w:b/>
          <w:color w:val="auto"/>
          <w:sz w:val="21"/>
          <w:szCs w:val="21"/>
          <w:highlight w:val="none"/>
        </w:rPr>
        <w:t>第三十九条</w:t>
      </w:r>
      <w:r>
        <w:rPr>
          <w:rFonts w:hint="eastAsia" w:ascii="宋体" w:hAnsi="宋体" w:cs="宋体"/>
          <w:color w:val="auto"/>
          <w:sz w:val="21"/>
          <w:szCs w:val="21"/>
          <w:highlight w:val="none"/>
        </w:rPr>
        <w:t xml:space="preserve"> 本合同在监理期限届满并结清监理服务酬金后即终止。</w:t>
      </w:r>
      <w:bookmarkEnd w:id="208"/>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违 约 责 任</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第四十条</w:t>
      </w:r>
      <w:r>
        <w:rPr>
          <w:rFonts w:hint="eastAsia" w:ascii="宋体" w:hAnsi="宋体" w:cs="宋体"/>
          <w:color w:val="auto"/>
          <w:sz w:val="21"/>
          <w:szCs w:val="21"/>
          <w:highlight w:val="none"/>
        </w:rPr>
        <w:t xml:space="preserve"> 委托人未履行合同条款第十条、第十一条、第十三条、第十四条、第十五条、第十六条、第十七条、第十九条约定的义务和责任，除按专用合同条款约定向监理人支付违约金外，还应继续履行合同约定的义务和责任。</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第四十一条</w:t>
      </w:r>
      <w:r>
        <w:rPr>
          <w:rFonts w:hint="eastAsia" w:ascii="宋体" w:hAnsi="宋体" w:cs="宋体"/>
          <w:color w:val="auto"/>
          <w:sz w:val="21"/>
          <w:szCs w:val="21"/>
          <w:highlight w:val="none"/>
        </w:rPr>
        <w:t xml:space="preserve"> 委托人未按合同条款第三十二条、第三十三条、第三十四条约定支付监理服务酬金，除按专用合同条款约定向监理人支付逾期付款违约金外，还应继续履行合同约定的支付义务。</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第四十二条</w:t>
      </w:r>
      <w:r>
        <w:rPr>
          <w:rFonts w:hint="eastAsia" w:ascii="宋体" w:hAnsi="宋体" w:cs="宋体"/>
          <w:color w:val="auto"/>
          <w:sz w:val="21"/>
          <w:szCs w:val="21"/>
          <w:highlight w:val="none"/>
        </w:rPr>
        <w:t xml:space="preserve">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争 议 的 解 决</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第四十三条</w:t>
      </w:r>
      <w:r>
        <w:rPr>
          <w:rFonts w:hint="eastAsia" w:ascii="宋体" w:hAnsi="宋体" w:cs="宋体"/>
          <w:color w:val="auto"/>
          <w:sz w:val="21"/>
          <w:szCs w:val="21"/>
          <w:highlight w:val="none"/>
        </w:rPr>
        <w:t xml:space="preserve">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第四十四条</w:t>
      </w:r>
      <w:r>
        <w:rPr>
          <w:rFonts w:hint="eastAsia" w:ascii="宋体" w:hAnsi="宋体" w:cs="宋体"/>
          <w:color w:val="auto"/>
          <w:sz w:val="21"/>
          <w:szCs w:val="21"/>
          <w:highlight w:val="none"/>
        </w:rPr>
        <w:t xml:space="preserve"> 在争议协商、调解、仲裁或起诉过程中，双方仍应继续履行本合同约定的责任和义务。</w:t>
      </w:r>
    </w:p>
    <w:p>
      <w:pPr>
        <w:tabs>
          <w:tab w:val="left" w:pos="-180"/>
        </w:tabs>
        <w:spacing w:line="460" w:lineRule="exact"/>
        <w:jc w:val="center"/>
        <w:rPr>
          <w:rFonts w:ascii="宋体" w:hAnsi="宋体" w:cs="宋体"/>
          <w:b/>
          <w:bCs/>
          <w:color w:val="auto"/>
          <w:sz w:val="21"/>
          <w:szCs w:val="21"/>
          <w:highlight w:val="none"/>
        </w:rPr>
      </w:pPr>
    </w:p>
    <w:p>
      <w:pPr>
        <w:tabs>
          <w:tab w:val="left" w:pos="-180"/>
        </w:tabs>
        <w:spacing w:line="46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其   他</w:t>
      </w:r>
    </w:p>
    <w:p>
      <w:pPr>
        <w:tabs>
          <w:tab w:val="left" w:pos="-180"/>
        </w:tabs>
        <w:spacing w:line="4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第四十五条</w:t>
      </w:r>
      <w:r>
        <w:rPr>
          <w:rFonts w:hint="eastAsia" w:ascii="宋体" w:hAnsi="宋体" w:cs="宋体"/>
          <w:color w:val="auto"/>
          <w:sz w:val="21"/>
          <w:szCs w:val="21"/>
          <w:highlight w:val="none"/>
        </w:rPr>
        <w:t xml:space="preserve"> 委托人可以对监理人提出并落实的合理化建议给予奖励。奖励办法在专用合同条款中约定。</w:t>
      </w:r>
    </w:p>
    <w:p>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br w:type="page"/>
      </w:r>
      <w:r>
        <w:rPr>
          <w:rFonts w:hint="eastAsia" w:ascii="宋体" w:hAnsi="宋体" w:cs="宋体"/>
          <w:b/>
          <w:color w:val="auto"/>
          <w:sz w:val="21"/>
          <w:szCs w:val="21"/>
          <w:highlight w:val="none"/>
        </w:rPr>
        <w:t>第二部分  专用合同条款</w:t>
      </w: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依 据</w:t>
      </w:r>
    </w:p>
    <w:p>
      <w:pPr>
        <w:snapToGrid w:val="0"/>
        <w:spacing w:line="460" w:lineRule="exact"/>
        <w:ind w:firstLine="422" w:firstLineChars="200"/>
        <w:outlineLvl w:val="2"/>
        <w:rPr>
          <w:rFonts w:ascii="宋体" w:hAnsi="宋体" w:cs="宋体"/>
          <w:color w:val="auto"/>
          <w:sz w:val="21"/>
          <w:szCs w:val="21"/>
          <w:highlight w:val="none"/>
        </w:rPr>
      </w:pPr>
      <w:bookmarkStart w:id="209" w:name="_Toc22955"/>
      <w:r>
        <w:rPr>
          <w:rFonts w:hint="eastAsia" w:ascii="宋体" w:hAnsi="宋体" w:cs="宋体"/>
          <w:b/>
          <w:color w:val="auto"/>
          <w:sz w:val="21"/>
          <w:szCs w:val="21"/>
          <w:highlight w:val="none"/>
        </w:rPr>
        <w:t>第三条</w:t>
      </w:r>
      <w:r>
        <w:rPr>
          <w:rFonts w:hint="eastAsia" w:ascii="宋体" w:hAnsi="宋体" w:cs="宋体"/>
          <w:color w:val="auto"/>
          <w:sz w:val="21"/>
          <w:szCs w:val="21"/>
          <w:highlight w:val="none"/>
        </w:rPr>
        <w:t xml:space="preserve"> 本合同的监理依据为：</w:t>
      </w:r>
      <w:bookmarkEnd w:id="209"/>
      <w:r>
        <w:rPr>
          <w:rFonts w:hint="eastAsia" w:ascii="宋体" w:hAnsi="宋体" w:cs="宋体"/>
          <w:color w:val="auto"/>
          <w:sz w:val="21"/>
          <w:szCs w:val="21"/>
          <w:highlight w:val="none"/>
        </w:rPr>
        <w:t xml:space="preserve"> </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1、委托人与监理人签订的本工程建设监理合同及补充文件等；</w:t>
      </w:r>
    </w:p>
    <w:p>
      <w:pPr>
        <w:adjustRightInd w:val="0"/>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2、委托人与承包人签订的本工程施工承包合同及补充文件等；</w:t>
      </w:r>
    </w:p>
    <w:p>
      <w:pPr>
        <w:snapToGrid w:val="0"/>
        <w:spacing w:line="46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3、委托人与其他单位签订的、与本工程项目建设有关的合同或协议等；</w:t>
      </w:r>
    </w:p>
    <w:p>
      <w:pPr>
        <w:snapToGrid w:val="0"/>
        <w:spacing w:line="46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4、有关的设计文件、图纸等；</w:t>
      </w:r>
    </w:p>
    <w:p>
      <w:pPr>
        <w:snapToGrid w:val="0"/>
        <w:spacing w:line="46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5、水利工程建设监理规定、水利工程建设项目施工监理规范及有关的法律、法规、技术规程、规范、标准；</w:t>
      </w:r>
    </w:p>
    <w:p>
      <w:pPr>
        <w:snapToGrid w:val="0"/>
        <w:spacing w:line="46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6、委托人在监理合同执行过程中发出的有关通知、文函等。</w:t>
      </w:r>
    </w:p>
    <w:p>
      <w:pPr>
        <w:spacing w:line="460" w:lineRule="exact"/>
        <w:jc w:val="center"/>
        <w:rPr>
          <w:rFonts w:ascii="宋体" w:hAnsi="宋体" w:cs="宋体"/>
          <w:b/>
          <w:color w:val="auto"/>
          <w:sz w:val="21"/>
          <w:szCs w:val="21"/>
          <w:highlight w:val="none"/>
        </w:rPr>
      </w:pPr>
    </w:p>
    <w:p>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通 知 和 联 系</w:t>
      </w:r>
    </w:p>
    <w:p>
      <w:pPr>
        <w:spacing w:line="460" w:lineRule="exact"/>
        <w:ind w:firstLine="422" w:firstLineChars="200"/>
        <w:outlineLvl w:val="2"/>
        <w:rPr>
          <w:rFonts w:ascii="宋体" w:hAnsi="宋体" w:cs="宋体"/>
          <w:b/>
          <w:color w:val="auto"/>
          <w:sz w:val="21"/>
          <w:szCs w:val="21"/>
          <w:highlight w:val="none"/>
        </w:rPr>
      </w:pPr>
      <w:bookmarkStart w:id="210" w:name="_Toc11881"/>
      <w:r>
        <w:rPr>
          <w:rFonts w:hint="eastAsia" w:ascii="宋体" w:hAnsi="宋体" w:cs="宋体"/>
          <w:b/>
          <w:color w:val="auto"/>
          <w:sz w:val="21"/>
          <w:szCs w:val="21"/>
          <w:highlight w:val="none"/>
        </w:rPr>
        <w:t xml:space="preserve">第四条 </w:t>
      </w:r>
      <w:r>
        <w:rPr>
          <w:rFonts w:hint="eastAsia" w:ascii="宋体" w:hAnsi="宋体" w:cs="宋体"/>
          <w:color w:val="auto"/>
          <w:sz w:val="21"/>
          <w:szCs w:val="21"/>
          <w:highlight w:val="none"/>
        </w:rPr>
        <w:t>委托人指定联系人是：</w:t>
      </w:r>
      <w:bookmarkEnd w:id="210"/>
    </w:p>
    <w:p>
      <w:pPr>
        <w:spacing w:line="460" w:lineRule="exact"/>
        <w:jc w:val="center"/>
        <w:rPr>
          <w:rFonts w:ascii="宋体" w:hAnsi="宋体" w:cs="宋体"/>
          <w:b/>
          <w:color w:val="auto"/>
          <w:sz w:val="21"/>
          <w:szCs w:val="21"/>
          <w:highlight w:val="none"/>
        </w:rPr>
      </w:pPr>
    </w:p>
    <w:p>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委 托 人 的 权 利</w:t>
      </w:r>
    </w:p>
    <w:p>
      <w:pPr>
        <w:spacing w:line="460" w:lineRule="exact"/>
        <w:ind w:firstLine="422" w:firstLineChars="200"/>
        <w:outlineLvl w:val="2"/>
        <w:rPr>
          <w:rFonts w:ascii="宋体" w:hAnsi="宋体" w:cs="宋体"/>
          <w:b/>
          <w:color w:val="auto"/>
          <w:sz w:val="21"/>
          <w:szCs w:val="21"/>
          <w:highlight w:val="none"/>
        </w:rPr>
      </w:pPr>
      <w:bookmarkStart w:id="211" w:name="_Toc349"/>
      <w:r>
        <w:rPr>
          <w:rFonts w:hint="eastAsia" w:ascii="宋体" w:hAnsi="宋体" w:cs="宋体"/>
          <w:b/>
          <w:color w:val="auto"/>
          <w:sz w:val="21"/>
          <w:szCs w:val="21"/>
          <w:highlight w:val="none"/>
        </w:rPr>
        <w:t>第七条</w:t>
      </w:r>
      <w:bookmarkEnd w:id="211"/>
    </w:p>
    <w:p>
      <w:pPr>
        <w:spacing w:line="460" w:lineRule="exact"/>
        <w:ind w:firstLine="445" w:firstLineChars="211"/>
        <w:rPr>
          <w:rFonts w:ascii="宋体" w:hAnsi="宋体" w:cs="宋体"/>
          <w:b/>
          <w:color w:val="auto"/>
          <w:sz w:val="21"/>
          <w:szCs w:val="21"/>
          <w:highlight w:val="none"/>
        </w:rPr>
      </w:pPr>
      <w:r>
        <w:rPr>
          <w:rFonts w:hint="eastAsia" w:ascii="宋体" w:hAnsi="宋体" w:cs="宋体"/>
          <w:b/>
          <w:color w:val="auto"/>
          <w:sz w:val="21"/>
          <w:szCs w:val="21"/>
          <w:highlight w:val="none"/>
        </w:rPr>
        <w:t>一、本条修改为：</w:t>
      </w:r>
      <w:r>
        <w:rPr>
          <w:rFonts w:hint="eastAsia" w:ascii="宋体" w:hAnsi="宋体" w:cs="宋体"/>
          <w:color w:val="auto"/>
          <w:sz w:val="21"/>
          <w:szCs w:val="21"/>
          <w:highlight w:val="none"/>
        </w:rPr>
        <w:t>对监理工作进行监督、检查，有权要求监理人撤换不称职的现场监理工作人员；</w:t>
      </w:r>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三、本条增加：委托人有权核查监理人现场签定的现场签证单和监理人设计变更权限内审查的设计变更，发现不合理可要求其改正。</w:t>
      </w:r>
    </w:p>
    <w:p>
      <w:pPr>
        <w:spacing w:line="460" w:lineRule="exact"/>
        <w:ind w:firstLine="443" w:firstLineChars="211"/>
        <w:outlineLvl w:val="1"/>
        <w:rPr>
          <w:rFonts w:ascii="宋体" w:hAnsi="宋体" w:cs="宋体"/>
          <w:bCs/>
          <w:color w:val="auto"/>
          <w:sz w:val="21"/>
          <w:szCs w:val="21"/>
          <w:highlight w:val="none"/>
        </w:rPr>
      </w:pPr>
      <w:bookmarkStart w:id="212" w:name="_Toc16360"/>
      <w:r>
        <w:rPr>
          <w:rFonts w:hint="eastAsia" w:ascii="宋体" w:hAnsi="宋体" w:cs="宋体"/>
          <w:bCs/>
          <w:color w:val="auto"/>
          <w:sz w:val="21"/>
          <w:szCs w:val="21"/>
          <w:highlight w:val="none"/>
        </w:rPr>
        <w:t>五、当监理人发生下列违约情形时，委托人有权解除合同：</w:t>
      </w:r>
      <w:bookmarkEnd w:id="212"/>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1、合同执行过程中，监理人服务质量不满足监理合同要求，经委托人要求整改仍达不到合同要求的；</w:t>
      </w:r>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2、由于监理人过失，超越授权下达错误指令，给委托人造成重大损失的；</w:t>
      </w:r>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3、合同执行过程中，监理人不能公正处理相关事务，有徇私舞弊行为的；</w:t>
      </w:r>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4、监理人不按经委托人批准的监理规划及监理实施细则实施监理工作；</w:t>
      </w:r>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5、监理人如在计量或变更设计工作中弄虚作假；</w:t>
      </w:r>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6、监理人凭借本身的影响，违规向施工单位介绍分包队伍、推销原材料；</w:t>
      </w:r>
    </w:p>
    <w:p>
      <w:pPr>
        <w:spacing w:line="460" w:lineRule="exact"/>
        <w:ind w:firstLine="443" w:firstLineChars="211"/>
        <w:rPr>
          <w:rFonts w:ascii="宋体" w:hAnsi="宋体" w:cs="宋体"/>
          <w:bCs/>
          <w:color w:val="auto"/>
          <w:sz w:val="21"/>
          <w:szCs w:val="21"/>
          <w:highlight w:val="none"/>
        </w:rPr>
      </w:pPr>
      <w:r>
        <w:rPr>
          <w:rFonts w:hint="eastAsia" w:ascii="宋体" w:hAnsi="宋体" w:cs="宋体"/>
          <w:bCs/>
          <w:color w:val="auto"/>
          <w:sz w:val="21"/>
          <w:szCs w:val="21"/>
          <w:highlight w:val="none"/>
        </w:rPr>
        <w:t>7、监理人转包或者分包监理业务的。</w:t>
      </w:r>
    </w:p>
    <w:p>
      <w:pPr>
        <w:pStyle w:val="2"/>
        <w:rPr>
          <w:color w:val="auto"/>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人 的 权 利</w:t>
      </w:r>
    </w:p>
    <w:p>
      <w:pPr>
        <w:spacing w:line="460" w:lineRule="exact"/>
        <w:ind w:firstLine="422" w:firstLineChars="200"/>
        <w:outlineLvl w:val="2"/>
        <w:rPr>
          <w:rFonts w:ascii="宋体" w:hAnsi="宋体" w:cs="宋体"/>
          <w:b/>
          <w:color w:val="auto"/>
          <w:sz w:val="21"/>
          <w:szCs w:val="21"/>
          <w:highlight w:val="none"/>
        </w:rPr>
      </w:pPr>
      <w:bookmarkStart w:id="213" w:name="_Toc7493"/>
      <w:r>
        <w:rPr>
          <w:rFonts w:hint="eastAsia" w:ascii="宋体" w:hAnsi="宋体" w:cs="宋体"/>
          <w:b/>
          <w:color w:val="auto"/>
          <w:sz w:val="21"/>
          <w:szCs w:val="21"/>
          <w:highlight w:val="none"/>
        </w:rPr>
        <w:t>第八条</w:t>
      </w:r>
      <w:bookmarkEnd w:id="213"/>
    </w:p>
    <w:p>
      <w:pPr>
        <w:spacing w:line="460" w:lineRule="exact"/>
        <w:ind w:firstLine="420" w:firstLineChars="200"/>
        <w:outlineLvl w:val="1"/>
        <w:rPr>
          <w:rFonts w:ascii="宋体" w:hAnsi="宋体" w:cs="宋体"/>
          <w:bCs/>
          <w:color w:val="auto"/>
          <w:sz w:val="21"/>
          <w:szCs w:val="21"/>
          <w:highlight w:val="none"/>
        </w:rPr>
      </w:pPr>
      <w:bookmarkStart w:id="214" w:name="_Toc15525"/>
      <w:r>
        <w:rPr>
          <w:rFonts w:hint="eastAsia" w:ascii="宋体" w:hAnsi="宋体" w:cs="宋体"/>
          <w:color w:val="auto"/>
          <w:sz w:val="21"/>
          <w:szCs w:val="21"/>
          <w:highlight w:val="none"/>
        </w:rPr>
        <w:t>八、</w:t>
      </w:r>
      <w:r>
        <w:rPr>
          <w:rFonts w:hint="eastAsia" w:ascii="宋体" w:hAnsi="宋体" w:cs="宋体"/>
          <w:bCs/>
          <w:color w:val="auto"/>
          <w:sz w:val="21"/>
          <w:szCs w:val="21"/>
          <w:highlight w:val="none"/>
        </w:rPr>
        <w:t>当委托人发生下列违约情形时，监理人有权解除合同：</w:t>
      </w:r>
      <w:bookmarkEnd w:id="214"/>
    </w:p>
    <w:p>
      <w:pPr>
        <w:spacing w:line="460" w:lineRule="exact"/>
        <w:ind w:firstLine="420" w:firstLineChars="200"/>
        <w:outlineLvl w:val="2"/>
        <w:rPr>
          <w:rFonts w:ascii="宋体" w:hAnsi="宋体" w:cs="宋体"/>
          <w:bCs/>
          <w:color w:val="auto"/>
          <w:sz w:val="21"/>
          <w:szCs w:val="21"/>
          <w:highlight w:val="none"/>
          <w:u w:val="single"/>
        </w:rPr>
      </w:pPr>
      <w:bookmarkStart w:id="215" w:name="_Toc28881"/>
      <w:r>
        <w:rPr>
          <w:rFonts w:hint="eastAsia" w:ascii="宋体" w:hAnsi="宋体" w:cs="宋体"/>
          <w:bCs/>
          <w:color w:val="auto"/>
          <w:sz w:val="21"/>
          <w:szCs w:val="21"/>
          <w:highlight w:val="none"/>
        </w:rPr>
        <w:t>1、委托人无故不按时支付监理费用；</w:t>
      </w:r>
      <w:bookmarkEnd w:id="215"/>
    </w:p>
    <w:p>
      <w:pPr>
        <w:spacing w:line="460" w:lineRule="exact"/>
        <w:ind w:firstLine="420" w:firstLineChars="200"/>
        <w:outlineLvl w:val="1"/>
        <w:rPr>
          <w:rFonts w:ascii="宋体" w:hAnsi="宋体" w:cs="宋体"/>
          <w:color w:val="auto"/>
          <w:sz w:val="21"/>
          <w:szCs w:val="21"/>
          <w:highlight w:val="none"/>
        </w:rPr>
      </w:pPr>
      <w:bookmarkStart w:id="216" w:name="_Toc13143"/>
      <w:r>
        <w:rPr>
          <w:rFonts w:hint="eastAsia" w:ascii="宋体" w:hAnsi="宋体" w:cs="宋体"/>
          <w:color w:val="auto"/>
          <w:sz w:val="21"/>
          <w:szCs w:val="21"/>
          <w:highlight w:val="none"/>
        </w:rPr>
        <w:t>九、委托人</w:t>
      </w:r>
      <w:r>
        <w:rPr>
          <w:rFonts w:hint="eastAsia" w:ascii="宋体" w:hAnsi="宋体" w:cs="宋体"/>
          <w:color w:val="auto"/>
          <w:sz w:val="21"/>
          <w:szCs w:val="21"/>
          <w:highlight w:val="none"/>
          <w:shd w:val="clear" w:color="auto" w:fill="FFFFFF"/>
        </w:rPr>
        <w:t>赋</w:t>
      </w:r>
      <w:r>
        <w:rPr>
          <w:rFonts w:hint="eastAsia" w:ascii="宋体" w:hAnsi="宋体" w:cs="宋体"/>
          <w:color w:val="auto"/>
          <w:sz w:val="21"/>
          <w:szCs w:val="21"/>
          <w:highlight w:val="none"/>
        </w:rPr>
        <w:t>予监理人的其他权利：</w:t>
      </w:r>
      <w:bookmarkEnd w:id="216"/>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1、签发工程移交证书；</w:t>
      </w:r>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2、签发保修责任终止证书；</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outlineLvl w:val="2"/>
        <w:rPr>
          <w:rFonts w:ascii="宋体" w:hAnsi="宋体" w:cs="宋体"/>
          <w:b/>
          <w:color w:val="auto"/>
          <w:sz w:val="21"/>
          <w:szCs w:val="21"/>
          <w:highlight w:val="none"/>
        </w:rPr>
      </w:pPr>
      <w:bookmarkStart w:id="217" w:name="_Toc19670"/>
      <w:r>
        <w:rPr>
          <w:rFonts w:hint="eastAsia" w:ascii="宋体" w:hAnsi="宋体" w:cs="宋体"/>
          <w:b/>
          <w:color w:val="auto"/>
          <w:sz w:val="21"/>
          <w:szCs w:val="21"/>
          <w:highlight w:val="none"/>
        </w:rPr>
        <w:t>委托人的义务</w:t>
      </w:r>
      <w:bookmarkEnd w:id="217"/>
    </w:p>
    <w:p>
      <w:pPr>
        <w:spacing w:line="460" w:lineRule="exact"/>
        <w:ind w:firstLine="422" w:firstLineChars="200"/>
        <w:outlineLvl w:val="2"/>
        <w:rPr>
          <w:rFonts w:ascii="宋体" w:hAnsi="宋体" w:cs="宋体"/>
          <w:color w:val="auto"/>
          <w:sz w:val="21"/>
          <w:szCs w:val="21"/>
          <w:highlight w:val="none"/>
        </w:rPr>
      </w:pPr>
      <w:bookmarkStart w:id="218" w:name="_Toc8849"/>
      <w:r>
        <w:rPr>
          <w:rFonts w:hint="eastAsia" w:ascii="宋体" w:hAnsi="宋体" w:cs="宋体"/>
          <w:b/>
          <w:color w:val="auto"/>
          <w:sz w:val="21"/>
          <w:szCs w:val="21"/>
          <w:highlight w:val="none"/>
        </w:rPr>
        <w:t xml:space="preserve">第十条 </w:t>
      </w:r>
      <w:r>
        <w:rPr>
          <w:rFonts w:hint="eastAsia" w:ascii="宋体" w:hAnsi="宋体" w:cs="宋体"/>
          <w:color w:val="auto"/>
          <w:sz w:val="21"/>
          <w:szCs w:val="21"/>
          <w:highlight w:val="none"/>
        </w:rPr>
        <w:t>委托人向监理机构免费提供的资料为：</w:t>
      </w:r>
      <w:bookmarkEnd w:id="218"/>
    </w:p>
    <w:tbl>
      <w:tblPr>
        <w:tblStyle w:val="2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04"/>
        <w:gridCol w:w="720"/>
        <w:gridCol w:w="1440"/>
        <w:gridCol w:w="18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104" w:type="dxa"/>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资料名称</w:t>
            </w:r>
          </w:p>
        </w:tc>
        <w:tc>
          <w:tcPr>
            <w:tcW w:w="720" w:type="dxa"/>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份数</w:t>
            </w:r>
          </w:p>
        </w:tc>
        <w:tc>
          <w:tcPr>
            <w:tcW w:w="1440" w:type="dxa"/>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提供时间</w:t>
            </w:r>
          </w:p>
        </w:tc>
        <w:tc>
          <w:tcPr>
            <w:tcW w:w="1800" w:type="dxa"/>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收回时间</w:t>
            </w:r>
          </w:p>
        </w:tc>
        <w:tc>
          <w:tcPr>
            <w:tcW w:w="2340" w:type="dxa"/>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保存和保密要求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104" w:type="dxa"/>
            <w:vAlign w:val="center"/>
          </w:tcPr>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施工招标文件</w:t>
            </w:r>
          </w:p>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中标人投标文件</w:t>
            </w:r>
          </w:p>
        </w:tc>
        <w:tc>
          <w:tcPr>
            <w:tcW w:w="72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44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项目招标后</w:t>
            </w:r>
          </w:p>
        </w:tc>
        <w:tc>
          <w:tcPr>
            <w:tcW w:w="180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监理业务完成或监理合同终止后</w:t>
            </w:r>
          </w:p>
        </w:tc>
        <w:tc>
          <w:tcPr>
            <w:tcW w:w="2340" w:type="dxa"/>
            <w:vAlign w:val="center"/>
          </w:tcPr>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妥善保管，不丢失，不得向第三方泄露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104" w:type="dxa"/>
            <w:vAlign w:val="center"/>
          </w:tcPr>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本工程有关合同</w:t>
            </w:r>
          </w:p>
        </w:tc>
        <w:tc>
          <w:tcPr>
            <w:tcW w:w="72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44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合同签订后</w:t>
            </w:r>
          </w:p>
        </w:tc>
        <w:tc>
          <w:tcPr>
            <w:tcW w:w="180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监理业务完成或监理合同终止后</w:t>
            </w:r>
          </w:p>
        </w:tc>
        <w:tc>
          <w:tcPr>
            <w:tcW w:w="2340" w:type="dxa"/>
            <w:vAlign w:val="center"/>
          </w:tcPr>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妥善保管，不丢失</w:t>
            </w:r>
          </w:p>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不得向第三方泄露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104" w:type="dxa"/>
            <w:vAlign w:val="center"/>
          </w:tcPr>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施工图纸</w:t>
            </w:r>
          </w:p>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设计说明</w:t>
            </w:r>
          </w:p>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设计技术文件</w:t>
            </w:r>
          </w:p>
        </w:tc>
        <w:tc>
          <w:tcPr>
            <w:tcW w:w="72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440" w:type="dxa"/>
            <w:vAlign w:val="center"/>
          </w:tcPr>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依据施工进度</w:t>
            </w:r>
          </w:p>
        </w:tc>
        <w:tc>
          <w:tcPr>
            <w:tcW w:w="1800" w:type="dxa"/>
            <w:vAlign w:val="center"/>
          </w:tcPr>
          <w:p>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监理业务完成或监理合同终止后</w:t>
            </w:r>
          </w:p>
        </w:tc>
        <w:tc>
          <w:tcPr>
            <w:tcW w:w="2340" w:type="dxa"/>
            <w:vAlign w:val="center"/>
          </w:tcPr>
          <w:p>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妥善保管，不丢失，不得向第三方泄露</w:t>
            </w:r>
          </w:p>
        </w:tc>
      </w:tr>
    </w:tbl>
    <w:p>
      <w:pPr>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第十一条</w:t>
      </w:r>
      <w:r>
        <w:rPr>
          <w:rFonts w:hint="eastAsia" w:ascii="宋体" w:hAnsi="宋体" w:cs="宋体"/>
          <w:color w:val="auto"/>
          <w:sz w:val="21"/>
          <w:szCs w:val="21"/>
          <w:highlight w:val="none"/>
        </w:rPr>
        <w:t xml:space="preserve"> 委托人对监理机构书面提交并要求作出决定的事宜作出书面决定并送达的时限：</w:t>
      </w:r>
    </w:p>
    <w:p>
      <w:pPr>
        <w:spacing w:line="460" w:lineRule="exact"/>
        <w:ind w:firstLine="435"/>
        <w:rPr>
          <w:rFonts w:ascii="宋体" w:hAnsi="宋体" w:cs="宋体"/>
          <w:color w:val="auto"/>
          <w:sz w:val="21"/>
          <w:szCs w:val="21"/>
          <w:highlight w:val="none"/>
        </w:rPr>
      </w:pPr>
      <w:r>
        <w:rPr>
          <w:rFonts w:hint="eastAsia" w:ascii="宋体" w:hAnsi="宋体" w:cs="宋体"/>
          <w:color w:val="auto"/>
          <w:sz w:val="21"/>
          <w:szCs w:val="21"/>
          <w:highlight w:val="none"/>
        </w:rPr>
        <w:t>一般文件7天；紧急事项3天；变更文件7天。</w:t>
      </w:r>
    </w:p>
    <w:p>
      <w:pPr>
        <w:numPr>
          <w:ilvl w:val="0"/>
          <w:numId w:val="5"/>
        </w:numPr>
        <w:spacing w:line="360" w:lineRule="auto"/>
        <w:ind w:left="73" w:leftChars="26" w:firstLine="420" w:firstLineChars="200"/>
        <w:rPr>
          <w:rFonts w:ascii="宋体" w:hAnsi="宋体" w:cs="宋体"/>
          <w:color w:val="auto"/>
          <w:sz w:val="21"/>
          <w:szCs w:val="21"/>
          <w:highlight w:val="none"/>
        </w:rPr>
      </w:pPr>
      <w:bookmarkStart w:id="219" w:name="_Toc10855"/>
      <w:r>
        <w:rPr>
          <w:rFonts w:hint="eastAsia" w:ascii="宋体" w:hAnsi="宋体" w:cs="宋体"/>
          <w:color w:val="auto"/>
          <w:sz w:val="21"/>
          <w:szCs w:val="21"/>
          <w:highlight w:val="none"/>
        </w:rPr>
        <w:t>委托人无偿向监理机构提供的工作、生活条件为：</w:t>
      </w:r>
      <w:bookmarkEnd w:id="219"/>
    </w:p>
    <w:p>
      <w:pPr>
        <w:spacing w:line="460" w:lineRule="exact"/>
        <w:ind w:firstLine="435"/>
        <w:rPr>
          <w:rFonts w:ascii="宋体" w:hAnsi="宋体" w:cs="宋体"/>
          <w:color w:val="auto"/>
          <w:sz w:val="21"/>
          <w:szCs w:val="21"/>
          <w:highlight w:val="none"/>
        </w:rPr>
      </w:pPr>
      <w:r>
        <w:rPr>
          <w:rFonts w:ascii="宋体" w:hAnsi="宋体" w:cs="宋体"/>
          <w:color w:val="auto"/>
          <w:sz w:val="21"/>
          <w:szCs w:val="21"/>
          <w:highlight w:val="none"/>
        </w:rPr>
        <w:t>委托人不向监理机构提供任何设施、设备，也不向监理机构支付房屋、设施、设备的使用、维护与运行等费用，监理人在投标时已将有关费用包含在监理服务</w:t>
      </w:r>
      <w:r>
        <w:rPr>
          <w:rFonts w:hint="eastAsia" w:ascii="宋体" w:hAnsi="宋体" w:cs="宋体"/>
          <w:color w:val="auto"/>
          <w:sz w:val="21"/>
          <w:szCs w:val="21"/>
          <w:highlight w:val="none"/>
        </w:rPr>
        <w:t>酬金</w:t>
      </w:r>
      <w:r>
        <w:rPr>
          <w:rFonts w:ascii="宋体" w:hAnsi="宋体" w:cs="宋体"/>
          <w:color w:val="auto"/>
          <w:sz w:val="21"/>
          <w:szCs w:val="21"/>
          <w:highlight w:val="none"/>
        </w:rPr>
        <w:t>中。</w:t>
      </w:r>
    </w:p>
    <w:p>
      <w:pPr>
        <w:spacing w:line="460" w:lineRule="exact"/>
        <w:ind w:firstLine="435"/>
        <w:rPr>
          <w:rFonts w:ascii="宋体" w:hAnsi="宋体" w:cs="宋体"/>
          <w:color w:val="auto"/>
          <w:sz w:val="21"/>
          <w:szCs w:val="21"/>
          <w:highlight w:val="none"/>
        </w:rPr>
      </w:pPr>
      <w:r>
        <w:rPr>
          <w:rFonts w:ascii="宋体" w:hAnsi="宋体" w:cs="宋体"/>
          <w:color w:val="auto"/>
          <w:sz w:val="21"/>
          <w:szCs w:val="21"/>
          <w:highlight w:val="none"/>
        </w:rPr>
        <w:t>委托人不向监理机构提供生活、办公、交通、通讯费用，监理人在投标时已将有关费用包含在监理服务</w:t>
      </w:r>
      <w:r>
        <w:rPr>
          <w:rFonts w:hint="eastAsia" w:ascii="宋体" w:hAnsi="宋体" w:cs="宋体"/>
          <w:color w:val="auto"/>
          <w:sz w:val="21"/>
          <w:szCs w:val="21"/>
          <w:highlight w:val="none"/>
        </w:rPr>
        <w:t>酬金</w:t>
      </w:r>
      <w:r>
        <w:rPr>
          <w:rFonts w:ascii="宋体" w:hAnsi="宋体" w:cs="宋体"/>
          <w:color w:val="auto"/>
          <w:sz w:val="21"/>
          <w:szCs w:val="21"/>
          <w:highlight w:val="none"/>
        </w:rPr>
        <w:t>中。</w:t>
      </w:r>
    </w:p>
    <w:p>
      <w:pPr>
        <w:spacing w:line="460" w:lineRule="exact"/>
        <w:ind w:firstLine="435"/>
        <w:rPr>
          <w:rFonts w:ascii="宋体" w:hAnsi="宋体" w:cs="宋体"/>
          <w:bCs/>
          <w:color w:val="auto"/>
          <w:sz w:val="21"/>
          <w:szCs w:val="21"/>
          <w:highlight w:val="none"/>
        </w:rPr>
      </w:pPr>
      <w:r>
        <w:rPr>
          <w:rFonts w:hint="eastAsia" w:ascii="宋体" w:hAnsi="宋体" w:cs="宋体"/>
          <w:b/>
          <w:color w:val="auto"/>
          <w:sz w:val="21"/>
          <w:szCs w:val="21"/>
          <w:highlight w:val="none"/>
        </w:rPr>
        <w:t>第十七条</w:t>
      </w:r>
      <w:r>
        <w:rPr>
          <w:rFonts w:hint="eastAsia" w:ascii="宋体" w:hAnsi="宋体" w:cs="宋体"/>
          <w:color w:val="auto"/>
          <w:sz w:val="21"/>
          <w:szCs w:val="21"/>
          <w:highlight w:val="none"/>
        </w:rPr>
        <w:t>　</w:t>
      </w:r>
      <w:r>
        <w:rPr>
          <w:rFonts w:hint="eastAsia" w:ascii="宋体" w:hAnsi="宋体" w:cs="宋体"/>
          <w:bCs/>
          <w:color w:val="auto"/>
          <w:sz w:val="21"/>
          <w:szCs w:val="21"/>
          <w:highlight w:val="none"/>
        </w:rPr>
        <w:t>监理人应为其监理人员投保人身意外伤害险和第三者责任险，投保的费用计入报价中。</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人 的 义 务</w:t>
      </w:r>
    </w:p>
    <w:p>
      <w:pPr>
        <w:spacing w:line="460" w:lineRule="exact"/>
        <w:ind w:firstLine="422" w:firstLineChars="200"/>
        <w:outlineLvl w:val="2"/>
        <w:rPr>
          <w:rFonts w:ascii="宋体" w:hAnsi="宋体" w:cs="宋体"/>
          <w:b/>
          <w:color w:val="auto"/>
          <w:sz w:val="21"/>
          <w:szCs w:val="21"/>
          <w:highlight w:val="none"/>
        </w:rPr>
      </w:pPr>
      <w:bookmarkStart w:id="220" w:name="_Toc26816"/>
      <w:r>
        <w:rPr>
          <w:rFonts w:hint="eastAsia" w:ascii="宋体" w:hAnsi="宋体" w:cs="宋体"/>
          <w:b/>
          <w:color w:val="auto"/>
          <w:sz w:val="21"/>
          <w:szCs w:val="21"/>
          <w:highlight w:val="none"/>
        </w:rPr>
        <w:t xml:space="preserve">第二十条  </w:t>
      </w:r>
      <w:r>
        <w:rPr>
          <w:rFonts w:hint="eastAsia" w:ascii="宋体" w:hAnsi="宋体" w:cs="宋体"/>
          <w:bCs/>
          <w:color w:val="auto"/>
          <w:sz w:val="21"/>
          <w:szCs w:val="21"/>
          <w:highlight w:val="none"/>
        </w:rPr>
        <w:t>监理服务内容：</w:t>
      </w:r>
      <w:r>
        <w:rPr>
          <w:rFonts w:hint="eastAsia" w:ascii="宋体" w:hAnsi="宋体" w:cs="宋体"/>
          <w:bCs/>
          <w:color w:val="auto"/>
          <w:sz w:val="21"/>
          <w:szCs w:val="21"/>
          <w:highlight w:val="none"/>
          <w:u w:val="single"/>
        </w:rPr>
        <w:t>见第三部分附件</w:t>
      </w:r>
      <w:r>
        <w:rPr>
          <w:rFonts w:hint="eastAsia" w:ascii="宋体" w:hAnsi="宋体" w:cs="宋体"/>
          <w:bCs/>
          <w:color w:val="auto"/>
          <w:sz w:val="21"/>
          <w:szCs w:val="21"/>
          <w:highlight w:val="none"/>
        </w:rPr>
        <w:t>。</w:t>
      </w:r>
      <w:bookmarkEnd w:id="220"/>
    </w:p>
    <w:p>
      <w:pPr>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第二十一条</w:t>
      </w:r>
      <w:r>
        <w:rPr>
          <w:rFonts w:hint="eastAsia" w:ascii="宋体" w:hAnsi="宋体" w:cs="宋体"/>
          <w:color w:val="auto"/>
          <w:sz w:val="21"/>
          <w:szCs w:val="21"/>
          <w:highlight w:val="none"/>
        </w:rPr>
        <w:t xml:space="preserve"> 监理人应当在本合同生效后组建监理机构，接到委托人通知后3天内进驻现场， 并将监理机构人员名单提交委托人。</w:t>
      </w:r>
      <w:r>
        <w:rPr>
          <w:rFonts w:ascii="宋体" w:hAnsi="宋体"/>
          <w:color w:val="auto"/>
          <w:kern w:val="0"/>
          <w:sz w:val="21"/>
          <w:szCs w:val="21"/>
          <w:highlight w:val="none"/>
        </w:rPr>
        <w:t>现场监理人员</w:t>
      </w:r>
      <w:r>
        <w:rPr>
          <w:rFonts w:hint="eastAsia" w:ascii="宋体" w:hAnsi="宋体"/>
          <w:color w:val="auto"/>
          <w:kern w:val="0"/>
          <w:sz w:val="21"/>
          <w:szCs w:val="21"/>
          <w:highlight w:val="none"/>
        </w:rPr>
        <w:t>的</w:t>
      </w:r>
      <w:r>
        <w:rPr>
          <w:rFonts w:ascii="宋体" w:hAnsi="宋体"/>
          <w:color w:val="auto"/>
          <w:kern w:val="0"/>
          <w:sz w:val="21"/>
          <w:szCs w:val="21"/>
          <w:highlight w:val="none"/>
        </w:rPr>
        <w:t>配备</w:t>
      </w:r>
      <w:r>
        <w:rPr>
          <w:rFonts w:hint="eastAsia" w:ascii="宋体" w:hAnsi="宋体"/>
          <w:color w:val="auto"/>
          <w:kern w:val="0"/>
          <w:sz w:val="21"/>
          <w:szCs w:val="21"/>
          <w:highlight w:val="none"/>
        </w:rPr>
        <w:t>必须</w:t>
      </w:r>
      <w:r>
        <w:rPr>
          <w:rFonts w:ascii="宋体" w:hAnsi="宋体"/>
          <w:color w:val="auto"/>
          <w:kern w:val="0"/>
          <w:sz w:val="21"/>
          <w:szCs w:val="21"/>
          <w:highlight w:val="none"/>
        </w:rPr>
        <w:t>符合《水利工程建设监理规定》（水利部令第28号，2017年第49号修改）及《水利工程施工监理规范》（SL288-2014）要求的资质和数量，</w:t>
      </w:r>
      <w:r>
        <w:rPr>
          <w:rFonts w:hint="eastAsia" w:ascii="宋体" w:hAnsi="宋体"/>
          <w:color w:val="auto"/>
          <w:kern w:val="0"/>
          <w:sz w:val="21"/>
          <w:szCs w:val="21"/>
          <w:highlight w:val="none"/>
        </w:rPr>
        <w:t>人员</w:t>
      </w:r>
      <w:r>
        <w:rPr>
          <w:rFonts w:ascii="宋体" w:hAnsi="宋体"/>
          <w:color w:val="auto"/>
          <w:kern w:val="0"/>
          <w:sz w:val="21"/>
          <w:szCs w:val="21"/>
          <w:highlight w:val="none"/>
        </w:rPr>
        <w:t>专业配备齐全</w:t>
      </w:r>
      <w:r>
        <w:rPr>
          <w:rFonts w:hint="eastAsia" w:ascii="宋体" w:hAnsi="宋体"/>
          <w:color w:val="auto"/>
          <w:kern w:val="0"/>
          <w:sz w:val="21"/>
          <w:szCs w:val="21"/>
          <w:highlight w:val="none"/>
        </w:rPr>
        <w:t>，具备各专业</w:t>
      </w:r>
      <w:r>
        <w:rPr>
          <w:rFonts w:ascii="宋体" w:hAnsi="宋体"/>
          <w:color w:val="auto"/>
          <w:kern w:val="0"/>
          <w:sz w:val="21"/>
          <w:szCs w:val="21"/>
          <w:highlight w:val="none"/>
        </w:rPr>
        <w:t>相应的资格(岗位)证书，保证和满足施工进度要求。</w:t>
      </w:r>
      <w:r>
        <w:rPr>
          <w:rFonts w:hint="eastAsia" w:ascii="宋体" w:hAnsi="宋体"/>
          <w:color w:val="auto"/>
          <w:kern w:val="0"/>
          <w:sz w:val="21"/>
          <w:szCs w:val="21"/>
          <w:highlight w:val="none"/>
        </w:rPr>
        <w:t>总监理工程师在施工期间必须常驻施工现场。</w:t>
      </w:r>
    </w:p>
    <w:p>
      <w:pPr>
        <w:spacing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第二十七条</w:t>
      </w:r>
      <w:r>
        <w:rPr>
          <w:rFonts w:hint="eastAsia" w:ascii="宋体" w:hAnsi="宋体" w:cs="宋体"/>
          <w:color w:val="auto"/>
          <w:sz w:val="21"/>
          <w:szCs w:val="21"/>
          <w:highlight w:val="none"/>
        </w:rPr>
        <w:t xml:space="preserve"> </w:t>
      </w:r>
      <w:r>
        <w:rPr>
          <w:rFonts w:ascii="宋体" w:hAnsi="宋体" w:cs="宋体"/>
          <w:b/>
          <w:bCs/>
          <w:color w:val="auto"/>
          <w:sz w:val="21"/>
          <w:szCs w:val="21"/>
          <w:highlight w:val="none"/>
        </w:rPr>
        <w:t>补充修改为</w:t>
      </w:r>
      <w:r>
        <w:rPr>
          <w:rFonts w:hint="eastAsia" w:ascii="宋体" w:hAnsi="宋体" w:cs="宋体"/>
          <w:b/>
          <w:bCs/>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1、需旁站监理的工程重要部位是：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1)基准点、基准线的测量放样；</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2)基础开挖成型后鉴定；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3)基础处理；</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w:t>
      </w:r>
      <w:r>
        <w:rPr>
          <w:rFonts w:hint="eastAsia" w:ascii="宋体" w:hAnsi="宋体"/>
          <w:color w:val="auto"/>
          <w:kern w:val="0"/>
          <w:sz w:val="21"/>
          <w:szCs w:val="21"/>
          <w:highlight w:val="none"/>
        </w:rPr>
        <w:t>施工缝处理；</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)隐蔽工程</w:t>
      </w:r>
      <w:r>
        <w:rPr>
          <w:rFonts w:hint="eastAsia" w:ascii="宋体" w:hAnsi="宋体"/>
          <w:color w:val="auto"/>
          <w:sz w:val="21"/>
          <w:szCs w:val="21"/>
          <w:highlight w:val="none"/>
        </w:rPr>
        <w:t>；</w:t>
      </w:r>
    </w:p>
    <w:p>
      <w:pPr>
        <w:widowControl/>
        <w:spacing w:line="360" w:lineRule="auto"/>
        <w:ind w:firstLine="480"/>
        <w:rPr>
          <w:rFonts w:ascii="宋体" w:hAnsi="宋体"/>
          <w:color w:val="auto"/>
          <w:kern w:val="0"/>
          <w:sz w:val="21"/>
          <w:szCs w:val="21"/>
          <w:highlight w:val="none"/>
        </w:rPr>
      </w:pPr>
      <w:r>
        <w:rPr>
          <w:rFonts w:hint="eastAsia" w:ascii="宋体" w:hAnsi="宋体"/>
          <w:color w:val="auto"/>
          <w:kern w:val="0"/>
          <w:sz w:val="21"/>
          <w:szCs w:val="21"/>
          <w:highlight w:val="none"/>
        </w:rPr>
        <w:t>6)土方回填。</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2、需旁站监理的关键工序是：</w:t>
      </w:r>
    </w:p>
    <w:p>
      <w:pPr>
        <w:spacing w:line="460" w:lineRule="exact"/>
        <w:ind w:firstLine="411" w:firstLineChars="196"/>
        <w:rPr>
          <w:rFonts w:ascii="宋体" w:hAnsi="宋体"/>
          <w:color w:val="auto"/>
          <w:sz w:val="21"/>
          <w:szCs w:val="21"/>
          <w:highlight w:val="none"/>
        </w:rPr>
      </w:pPr>
      <w:r>
        <w:rPr>
          <w:rFonts w:ascii="宋体" w:hAnsi="宋体"/>
          <w:color w:val="auto"/>
          <w:sz w:val="21"/>
          <w:szCs w:val="21"/>
          <w:highlight w:val="none"/>
        </w:rPr>
        <w:t>基础和板、梁、柱等重要构件钢筋绑扎、混凝土浇筑、混凝土试样、土方试样、原材料等见证取样并送检等关键工序。</w:t>
      </w:r>
    </w:p>
    <w:p>
      <w:pPr>
        <w:spacing w:line="460" w:lineRule="exact"/>
        <w:ind w:firstLine="411" w:firstLineChars="196"/>
        <w:rPr>
          <w:rFonts w:ascii="宋体" w:hAnsi="宋体"/>
          <w:color w:val="auto"/>
          <w:sz w:val="21"/>
          <w:szCs w:val="21"/>
          <w:highlight w:val="none"/>
        </w:rPr>
      </w:pPr>
      <w:r>
        <w:rPr>
          <w:rFonts w:ascii="宋体" w:hAnsi="宋体"/>
          <w:color w:val="auto"/>
          <w:sz w:val="21"/>
          <w:szCs w:val="21"/>
          <w:highlight w:val="none"/>
        </w:rPr>
        <w:t>3、检测要求：</w:t>
      </w:r>
      <w:r>
        <w:rPr>
          <w:rFonts w:hint="eastAsia" w:ascii="宋体" w:hAnsi="宋体"/>
          <w:color w:val="auto"/>
          <w:sz w:val="21"/>
          <w:szCs w:val="21"/>
          <w:highlight w:val="none"/>
        </w:rPr>
        <w:t>跟踪检测的项目和数量：混凝土式样应不少于承包人检测数量的7%，土方试样应不少于承包人检测数量的10%</w:t>
      </w:r>
      <w:r>
        <w:rPr>
          <w:rFonts w:ascii="宋体" w:hAnsi="宋体"/>
          <w:color w:val="auto"/>
          <w:sz w:val="21"/>
          <w:szCs w:val="21"/>
          <w:highlight w:val="none"/>
        </w:rPr>
        <w:t>。</w:t>
      </w:r>
      <w:r>
        <w:rPr>
          <w:rFonts w:hint="eastAsia" w:ascii="宋体" w:hAnsi="宋体"/>
          <w:color w:val="auto"/>
          <w:sz w:val="21"/>
          <w:szCs w:val="21"/>
          <w:highlight w:val="none"/>
        </w:rPr>
        <w:t>平行检测的项目和数量：混凝土式样应不少于承包人检测数量的3%，重要部位至少取样1组；土方试样应不少于承包人检测数量的5%，重要部位至少取样3组，施工过程中，监理机构可根据工程质量控制工作需要和工程质量状况等确定跟踪检测和平行检测的频次分布。</w:t>
      </w:r>
      <w:r>
        <w:rPr>
          <w:rFonts w:ascii="宋体" w:hAnsi="宋体"/>
          <w:color w:val="auto"/>
          <w:sz w:val="21"/>
          <w:szCs w:val="21"/>
          <w:highlight w:val="none"/>
        </w:rPr>
        <w:t>检测费用包含在监理服务</w:t>
      </w:r>
      <w:r>
        <w:rPr>
          <w:rFonts w:hint="eastAsia" w:ascii="宋体" w:hAnsi="宋体"/>
          <w:color w:val="auto"/>
          <w:sz w:val="21"/>
          <w:szCs w:val="21"/>
          <w:highlight w:val="none"/>
        </w:rPr>
        <w:t>酬金</w:t>
      </w:r>
      <w:r>
        <w:rPr>
          <w:rFonts w:ascii="宋体" w:hAnsi="宋体"/>
          <w:color w:val="auto"/>
          <w:sz w:val="21"/>
          <w:szCs w:val="21"/>
          <w:highlight w:val="none"/>
        </w:rPr>
        <w:t>中。</w:t>
      </w:r>
    </w:p>
    <w:p>
      <w:pPr>
        <w:tabs>
          <w:tab w:val="left" w:pos="-180"/>
        </w:tabs>
        <w:spacing w:line="460" w:lineRule="exact"/>
        <w:ind w:firstLine="405" w:firstLineChars="192"/>
        <w:rPr>
          <w:rFonts w:ascii="宋体" w:hAnsi="宋体" w:cs="宋体"/>
          <w:color w:val="auto"/>
          <w:sz w:val="21"/>
          <w:szCs w:val="21"/>
          <w:highlight w:val="none"/>
        </w:rPr>
      </w:pPr>
      <w:r>
        <w:rPr>
          <w:rFonts w:hint="eastAsia" w:ascii="宋体" w:hAnsi="宋体" w:cs="宋体"/>
          <w:b/>
          <w:color w:val="auto"/>
          <w:sz w:val="21"/>
          <w:szCs w:val="21"/>
          <w:highlight w:val="none"/>
        </w:rPr>
        <w:t xml:space="preserve">第三十条 </w:t>
      </w:r>
      <w:r>
        <w:rPr>
          <w:rFonts w:hint="eastAsia" w:ascii="宋体" w:hAnsi="宋体" w:cs="宋体"/>
          <w:bCs/>
          <w:color w:val="auto"/>
          <w:sz w:val="21"/>
          <w:szCs w:val="21"/>
          <w:highlight w:val="none"/>
        </w:rPr>
        <w:t>委托人委托监理人主持的分部工程验收：</w:t>
      </w:r>
      <w:r>
        <w:rPr>
          <w:rFonts w:hint="eastAsia" w:ascii="宋体" w:hAnsi="宋体" w:cs="宋体"/>
          <w:color w:val="auto"/>
          <w:sz w:val="21"/>
          <w:szCs w:val="21"/>
          <w:highlight w:val="none"/>
          <w:u w:val="single"/>
        </w:rPr>
        <w:t xml:space="preserve"> 所有分部工程验收  </w:t>
      </w:r>
      <w:r>
        <w:rPr>
          <w:rFonts w:hint="eastAsia" w:ascii="宋体" w:hAnsi="宋体" w:cs="宋体"/>
          <w:color w:val="auto"/>
          <w:sz w:val="21"/>
          <w:szCs w:val="21"/>
          <w:highlight w:val="none"/>
        </w:rPr>
        <w:t>。</w:t>
      </w:r>
    </w:p>
    <w:p>
      <w:pPr>
        <w:spacing w:line="460" w:lineRule="exact"/>
        <w:ind w:firstLine="405" w:firstLineChars="192"/>
        <w:rPr>
          <w:rFonts w:ascii="宋体" w:hAnsi="宋体" w:cs="宋体"/>
          <w:color w:val="auto"/>
          <w:sz w:val="21"/>
          <w:szCs w:val="21"/>
          <w:highlight w:val="none"/>
        </w:rPr>
      </w:pPr>
      <w:r>
        <w:rPr>
          <w:rFonts w:hint="eastAsia" w:ascii="宋体" w:hAnsi="宋体" w:cs="宋体"/>
          <w:b/>
          <w:color w:val="auto"/>
          <w:sz w:val="21"/>
          <w:szCs w:val="21"/>
          <w:highlight w:val="none"/>
        </w:rPr>
        <w:t xml:space="preserve">第三十一条 </w:t>
      </w:r>
      <w:r>
        <w:rPr>
          <w:rFonts w:hint="eastAsia" w:ascii="宋体" w:hAnsi="宋体" w:cs="宋体"/>
          <w:color w:val="auto"/>
          <w:sz w:val="21"/>
          <w:szCs w:val="21"/>
          <w:highlight w:val="none"/>
        </w:rPr>
        <w:t>在本合同终止后</w:t>
      </w:r>
      <w:r>
        <w:rPr>
          <w:rFonts w:hint="eastAsia" w:ascii="宋体" w:hAnsi="宋体" w:cs="宋体"/>
          <w:color w:val="auto"/>
          <w:sz w:val="21"/>
          <w:szCs w:val="21"/>
          <w:highlight w:val="none"/>
          <w:u w:val="single"/>
          <w:shd w:val="clear" w:color="auto" w:fill="FFFFFF"/>
        </w:rPr>
        <w:t xml:space="preserve"> 365  </w:t>
      </w:r>
      <w:r>
        <w:rPr>
          <w:rFonts w:hint="eastAsia" w:ascii="宋体" w:hAnsi="宋体" w:cs="宋体"/>
          <w:color w:val="auto"/>
          <w:sz w:val="21"/>
          <w:szCs w:val="21"/>
          <w:highlight w:val="none"/>
          <w:shd w:val="clear" w:color="auto" w:fill="FFFFFF"/>
        </w:rPr>
        <w:t>天内</w:t>
      </w:r>
      <w:r>
        <w:rPr>
          <w:rFonts w:hint="eastAsia" w:ascii="宋体" w:hAnsi="宋体" w:cs="宋体"/>
          <w:color w:val="auto"/>
          <w:sz w:val="21"/>
          <w:szCs w:val="21"/>
          <w:highlight w:val="none"/>
        </w:rPr>
        <w:t>，未征得委托人同意，不得泄露与本合同业务有关的技术、商务等</w:t>
      </w:r>
      <w:r>
        <w:rPr>
          <w:rFonts w:hint="eastAsia" w:ascii="宋体" w:hAnsi="宋体" w:cs="宋体"/>
          <w:color w:val="auto"/>
          <w:sz w:val="21"/>
          <w:szCs w:val="21"/>
          <w:highlight w:val="none"/>
          <w:shd w:val="clear" w:color="auto" w:fill="FFFFFF"/>
        </w:rPr>
        <w:t>秘密</w:t>
      </w:r>
      <w:r>
        <w:rPr>
          <w:rFonts w:hint="eastAsia" w:ascii="宋体" w:hAnsi="宋体" w:cs="宋体"/>
          <w:color w:val="auto"/>
          <w:sz w:val="21"/>
          <w:szCs w:val="21"/>
          <w:highlight w:val="none"/>
        </w:rPr>
        <w:t>。</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监 理 服 务 酬 金</w:t>
      </w:r>
    </w:p>
    <w:p>
      <w:pPr>
        <w:spacing w:line="460" w:lineRule="exact"/>
        <w:ind w:firstLine="422" w:firstLineChars="200"/>
        <w:outlineLvl w:val="2"/>
        <w:rPr>
          <w:rFonts w:ascii="宋体" w:hAnsi="宋体" w:cs="宋体"/>
          <w:color w:val="auto"/>
          <w:sz w:val="21"/>
          <w:szCs w:val="21"/>
          <w:highlight w:val="none"/>
        </w:rPr>
      </w:pPr>
      <w:bookmarkStart w:id="221" w:name="_Toc6490"/>
      <w:r>
        <w:rPr>
          <w:rFonts w:hint="eastAsia" w:ascii="宋体" w:hAnsi="宋体" w:cs="宋体"/>
          <w:b/>
          <w:color w:val="auto"/>
          <w:sz w:val="21"/>
          <w:szCs w:val="21"/>
          <w:highlight w:val="none"/>
        </w:rPr>
        <w:t xml:space="preserve">第三十二条 </w:t>
      </w:r>
      <w:r>
        <w:rPr>
          <w:rFonts w:hint="eastAsia" w:ascii="宋体" w:hAnsi="宋体" w:cs="宋体"/>
          <w:color w:val="auto"/>
          <w:sz w:val="21"/>
          <w:szCs w:val="21"/>
          <w:highlight w:val="none"/>
        </w:rPr>
        <w:t>监理正常服务酬金支付方法：</w:t>
      </w:r>
      <w:bookmarkEnd w:id="221"/>
    </w:p>
    <w:p>
      <w:pPr>
        <w:pStyle w:val="66"/>
        <w:spacing w:beforeAutospacing="0" w:afterAutospacing="0" w:line="460" w:lineRule="exact"/>
        <w:ind w:firstLine="420" w:firstLineChars="200"/>
        <w:rPr>
          <w:color w:val="auto"/>
          <w:sz w:val="21"/>
          <w:szCs w:val="21"/>
          <w:highlight w:val="none"/>
        </w:rPr>
      </w:pPr>
      <w:bookmarkStart w:id="222" w:name="_Toc15634"/>
      <w:r>
        <w:rPr>
          <w:rFonts w:hint="eastAsia"/>
          <w:color w:val="auto"/>
          <w:sz w:val="21"/>
          <w:szCs w:val="21"/>
          <w:highlight w:val="none"/>
        </w:rPr>
        <w:t>本合同施工监理服务酬金已包括了监理正常服务酬金和监理附加服务酬金，监理服务酬金在本招标项目监理服务期限内不进行调整。</w:t>
      </w:r>
    </w:p>
    <w:p>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一、支付方式</w:t>
      </w:r>
      <w:bookmarkEnd w:id="222"/>
      <w:r>
        <w:rPr>
          <w:rFonts w:hint="eastAsia" w:ascii="宋体" w:hAnsi="宋体" w:cs="宋体"/>
          <w:color w:val="auto"/>
          <w:sz w:val="21"/>
          <w:szCs w:val="21"/>
          <w:highlight w:val="none"/>
        </w:rPr>
        <w:t>为：</w:t>
      </w:r>
    </w:p>
    <w:p>
      <w:pPr>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1、本项目支付</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%监理服务费预付款；</w:t>
      </w:r>
    </w:p>
    <w:p>
      <w:pPr>
        <w:spacing w:line="460" w:lineRule="exact"/>
        <w:ind w:firstLine="470" w:firstLineChars="224"/>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2、完成合同完工验收后支付至合同总价的80%；</w:t>
      </w:r>
    </w:p>
    <w:p>
      <w:pPr>
        <w:spacing w:line="460" w:lineRule="exact"/>
        <w:ind w:firstLine="470" w:firstLineChars="22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工程竣工验收合格备案，经委托人或委托人委托的第三方审核机构结算定案后支付至监理结算价的100%。</w:t>
      </w:r>
    </w:p>
    <w:p>
      <w:pPr>
        <w:spacing w:line="460" w:lineRule="exact"/>
        <w:ind w:firstLine="472" w:firstLineChars="224"/>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费用支付时间最终以财政拨付的时间为准。因财政基本建设资金的支付需财政部门的审批和办理，发包人不对财政部门审批和办理所需时间承担任何责任。因财政部门办理资金集中支付审批等情况影响延期支付时，不支付任何利息。承包人须协助办理有关集中支付所需的资料。</w:t>
      </w:r>
    </w:p>
    <w:p>
      <w:pPr>
        <w:pStyle w:val="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二、监理费结算</w:t>
      </w:r>
    </w:p>
    <w:p>
      <w:pPr>
        <w:spacing w:line="460" w:lineRule="exact"/>
        <w:ind w:firstLine="470" w:firstLineChars="224"/>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监理服务费结算价在项目的合同价范围内按实结算</w:t>
      </w:r>
      <w:r>
        <w:rPr>
          <w:rFonts w:hint="eastAsia" w:ascii="宋体" w:hAnsi="宋体" w:eastAsia="宋体" w:cs="宋体"/>
          <w:color w:val="auto"/>
          <w:sz w:val="21"/>
          <w:szCs w:val="21"/>
          <w:highlight w:val="none"/>
          <w:lang w:val="en-US" w:eastAsia="zh-CN"/>
        </w:rPr>
        <w:t>（签约合同价=招标控制价*中标人中标费率）</w:t>
      </w:r>
      <w:r>
        <w:rPr>
          <w:rFonts w:hint="default" w:ascii="宋体" w:hAnsi="宋体" w:eastAsia="宋体" w:cs="宋体"/>
          <w:color w:val="auto"/>
          <w:sz w:val="21"/>
          <w:szCs w:val="21"/>
          <w:highlight w:val="none"/>
          <w:lang w:val="en-US" w:eastAsia="zh-CN"/>
        </w:rPr>
        <w:t>，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招标人指定的审核机构审定为准。</w:t>
      </w:r>
    </w:p>
    <w:p>
      <w:pPr>
        <w:spacing w:line="460" w:lineRule="exact"/>
        <w:ind w:firstLine="405" w:firstLineChars="192"/>
        <w:rPr>
          <w:rFonts w:ascii="宋体" w:hAnsi="宋体" w:cs="宋体"/>
          <w:color w:val="auto"/>
          <w:sz w:val="21"/>
          <w:szCs w:val="21"/>
          <w:highlight w:val="none"/>
        </w:rPr>
      </w:pPr>
      <w:r>
        <w:rPr>
          <w:rFonts w:hint="eastAsia" w:ascii="宋体" w:hAnsi="宋体" w:cs="宋体"/>
          <w:b/>
          <w:color w:val="auto"/>
          <w:sz w:val="21"/>
          <w:szCs w:val="21"/>
          <w:highlight w:val="none"/>
        </w:rPr>
        <w:t xml:space="preserve">第三十三条 </w:t>
      </w:r>
      <w:r>
        <w:rPr>
          <w:rFonts w:hint="eastAsia" w:ascii="宋体" w:hAnsi="宋体" w:cs="宋体"/>
          <w:color w:val="auto"/>
          <w:sz w:val="21"/>
          <w:szCs w:val="21"/>
          <w:highlight w:val="none"/>
        </w:rPr>
        <w:t>监理附加服务酬金的计取与支付方法：不支付。</w:t>
      </w:r>
    </w:p>
    <w:p>
      <w:pPr>
        <w:spacing w:line="460" w:lineRule="exact"/>
        <w:ind w:firstLine="405" w:firstLineChars="192"/>
        <w:rPr>
          <w:rFonts w:ascii="宋体" w:hAnsi="宋体" w:cs="宋体"/>
          <w:color w:val="auto"/>
          <w:sz w:val="21"/>
          <w:szCs w:val="21"/>
          <w:highlight w:val="none"/>
        </w:rPr>
      </w:pPr>
      <w:r>
        <w:rPr>
          <w:rFonts w:hint="eastAsia" w:ascii="宋体" w:hAnsi="宋体" w:cs="宋体"/>
          <w:b/>
          <w:color w:val="auto"/>
          <w:sz w:val="21"/>
          <w:szCs w:val="21"/>
          <w:highlight w:val="none"/>
        </w:rPr>
        <w:t xml:space="preserve">第三十四条 </w:t>
      </w:r>
      <w:r>
        <w:rPr>
          <w:rFonts w:hint="eastAsia" w:ascii="宋体" w:hAnsi="宋体" w:cs="宋体"/>
          <w:color w:val="auto"/>
          <w:sz w:val="21"/>
          <w:szCs w:val="21"/>
          <w:highlight w:val="none"/>
        </w:rPr>
        <w:t>国家有关法律、法规、规章和监理酬金标准发生变化时，不调整监理服务酬金。</w:t>
      </w:r>
    </w:p>
    <w:p>
      <w:pPr>
        <w:spacing w:line="460" w:lineRule="exact"/>
        <w:ind w:firstLine="405" w:firstLineChars="192"/>
        <w:rPr>
          <w:rFonts w:ascii="宋体" w:hAnsi="宋体" w:cs="宋体"/>
          <w:b/>
          <w:color w:val="auto"/>
          <w:sz w:val="21"/>
          <w:szCs w:val="21"/>
          <w:highlight w:val="none"/>
        </w:rPr>
      </w:pPr>
      <w:r>
        <w:rPr>
          <w:rFonts w:hint="eastAsia" w:ascii="宋体" w:hAnsi="宋体" w:cs="宋体"/>
          <w:b/>
          <w:color w:val="auto"/>
          <w:sz w:val="21"/>
          <w:szCs w:val="21"/>
          <w:highlight w:val="none"/>
        </w:rPr>
        <w:t xml:space="preserve">第三十六条 </w:t>
      </w:r>
      <w:r>
        <w:rPr>
          <w:rFonts w:hint="eastAsia" w:ascii="宋体" w:hAnsi="宋体" w:cs="宋体"/>
          <w:color w:val="auto"/>
          <w:sz w:val="21"/>
          <w:szCs w:val="21"/>
          <w:highlight w:val="none"/>
        </w:rPr>
        <w:t>非监理人原因致使超过监理服务期限，由此造成监理服务期延长的，委托人按月支付延期监理费，每月延期监理费=合同监理总额/监理服务期限。</w:t>
      </w: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违 约 责 任</w:t>
      </w:r>
    </w:p>
    <w:p>
      <w:pPr>
        <w:spacing w:line="460" w:lineRule="exact"/>
        <w:ind w:firstLine="540"/>
        <w:rPr>
          <w:rFonts w:ascii="宋体" w:hAnsi="宋体" w:cs="宋体"/>
          <w:color w:val="auto"/>
          <w:sz w:val="21"/>
          <w:szCs w:val="21"/>
          <w:highlight w:val="none"/>
        </w:rPr>
      </w:pPr>
      <w:r>
        <w:rPr>
          <w:rFonts w:hint="eastAsia" w:ascii="宋体" w:hAnsi="宋体" w:cs="宋体"/>
          <w:b/>
          <w:color w:val="auto"/>
          <w:sz w:val="21"/>
          <w:szCs w:val="21"/>
          <w:highlight w:val="none"/>
        </w:rPr>
        <w:t>第四十条</w:t>
      </w:r>
      <w:r>
        <w:rPr>
          <w:rFonts w:hint="eastAsia" w:ascii="宋体" w:hAnsi="宋体" w:cs="宋体"/>
          <w:color w:val="auto"/>
          <w:sz w:val="21"/>
          <w:szCs w:val="21"/>
          <w:highlight w:val="none"/>
        </w:rPr>
        <w:t xml:space="preserve"> 委托人违约，应支付给监理人违约金。</w:t>
      </w:r>
    </w:p>
    <w:p>
      <w:pPr>
        <w:spacing w:line="460" w:lineRule="exact"/>
        <w:ind w:firstLine="540"/>
        <w:rPr>
          <w:rFonts w:ascii="宋体" w:hAnsi="宋体" w:cs="宋体"/>
          <w:color w:val="auto"/>
          <w:sz w:val="21"/>
          <w:szCs w:val="21"/>
          <w:highlight w:val="none"/>
        </w:rPr>
      </w:pPr>
      <w:r>
        <w:rPr>
          <w:rFonts w:hint="eastAsia" w:ascii="宋体" w:hAnsi="宋体" w:cs="宋体"/>
          <w:color w:val="auto"/>
          <w:sz w:val="21"/>
          <w:szCs w:val="21"/>
          <w:highlight w:val="none"/>
        </w:rPr>
        <w:t>委托人违反本合同给定造成监理人损失的，委托人应予以赔偿。</w:t>
      </w:r>
    </w:p>
    <w:p>
      <w:pPr>
        <w:spacing w:line="360" w:lineRule="auto"/>
        <w:ind w:firstLine="540"/>
        <w:rPr>
          <w:rFonts w:ascii="宋体" w:hAnsi="宋体" w:cs="宋体"/>
          <w:color w:val="auto"/>
          <w:sz w:val="21"/>
          <w:szCs w:val="21"/>
          <w:highlight w:val="none"/>
          <w:u w:val="single"/>
        </w:rPr>
      </w:pPr>
      <w:r>
        <w:rPr>
          <w:rFonts w:hint="eastAsia" w:ascii="宋体" w:hAnsi="宋体" w:cs="宋体"/>
          <w:b/>
          <w:color w:val="auto"/>
          <w:sz w:val="21"/>
          <w:szCs w:val="21"/>
          <w:highlight w:val="none"/>
        </w:rPr>
        <w:t>第四十一条</w:t>
      </w:r>
      <w:r>
        <w:rPr>
          <w:rFonts w:hint="eastAsia" w:ascii="宋体" w:hAnsi="宋体" w:cs="宋体"/>
          <w:color w:val="auto"/>
          <w:sz w:val="21"/>
          <w:szCs w:val="21"/>
          <w:highlight w:val="none"/>
        </w:rPr>
        <w:t xml:space="preserve"> 若委托人不能按期支付监理服务酬金，委托人按中国人民银行同期贷款利率向监理人支付逾期付款利息。因财政集中支付等原因造成延迟支付的，委托人不承担因此造成的责任。</w:t>
      </w:r>
    </w:p>
    <w:p>
      <w:pPr>
        <w:spacing w:line="460" w:lineRule="exact"/>
        <w:ind w:firstLine="540"/>
        <w:rPr>
          <w:rFonts w:ascii="宋体" w:hAnsi="宋体" w:cs="宋体"/>
          <w:color w:val="auto"/>
          <w:sz w:val="21"/>
          <w:szCs w:val="21"/>
          <w:highlight w:val="none"/>
        </w:rPr>
      </w:pPr>
      <w:r>
        <w:rPr>
          <w:rFonts w:hint="eastAsia" w:ascii="宋体" w:hAnsi="宋体" w:cs="宋体"/>
          <w:b/>
          <w:color w:val="auto"/>
          <w:sz w:val="21"/>
          <w:szCs w:val="21"/>
          <w:highlight w:val="none"/>
        </w:rPr>
        <w:t>第四十二条</w:t>
      </w:r>
      <w:r>
        <w:rPr>
          <w:rFonts w:hint="eastAsia" w:ascii="宋体" w:hAnsi="宋体" w:cs="宋体"/>
          <w:color w:val="auto"/>
          <w:sz w:val="21"/>
          <w:szCs w:val="21"/>
          <w:highlight w:val="none"/>
        </w:rPr>
        <w:t xml:space="preserve"> 监理人违约，应支付给委托人违约金。</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监理人的违约情况包括：</w:t>
      </w:r>
    </w:p>
    <w:p>
      <w:pPr>
        <w:spacing w:line="460" w:lineRule="exact"/>
        <w:ind w:firstLine="540"/>
        <w:outlineLvl w:val="2"/>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．违约责任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1 若由于监理单位的过错或失职，对委托人造成损失的，监理人必须依法承担赔偿责任。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 xml:space="preserve">2本工程质量必须达到合格标准。若因监理人原因，工程在竣工验收或分部工程验收时没有达到此标准，监理人按监理合同价款（指监理结算价款）的10％向委托人返纳质量违约金，并对委托人的损失依法承担赔偿责任。 </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3 监理人必须按投标文件中的服务承诺条款履行合同。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4监理人须提供符合招标人要求的发票，委托人收到符合要求的发票后方可支付监理费。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5 监理人在监理期间应严格遵守国家、省、市有关防火、爆破和监理安全以及文明监理、深夜监理、环卫城管等规定，建立规章制度和防护措施。否则，由此造成的经济和法律责任，均由监理人负责。</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6 监理人应按安全监理的要求，采取严格科学的安全措施，确保监理安全和第三者的安全，承担由于自身安全措施不力所造成的事故责任和发生的费用。</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8 监理人须服从委托人及政府工程质量监督部门对监理工程全方位的监督，监理资料应及时报送委托人审查备案。</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9监理人在施工过程中若发生工程变更时，按委托人工程变更管理办法执行。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12</w:t>
      </w:r>
      <w:r>
        <w:rPr>
          <w:rFonts w:hint="eastAsia" w:ascii="宋体" w:hAnsi="宋体" w:cs="宋体"/>
          <w:color w:val="auto"/>
          <w:sz w:val="21"/>
          <w:szCs w:val="21"/>
          <w:highlight w:val="none"/>
          <w:lang w:val="en-US" w:eastAsia="zh-CN"/>
        </w:rPr>
        <w:t>监理人</w:t>
      </w:r>
      <w:r>
        <w:rPr>
          <w:rFonts w:hint="eastAsia" w:ascii="宋体" w:hAnsi="宋体" w:cs="宋体"/>
          <w:color w:val="auto"/>
          <w:sz w:val="21"/>
          <w:szCs w:val="21"/>
          <w:highlight w:val="none"/>
        </w:rPr>
        <w:t>每月驻现场不少于28天，未经招标人书面同意，每少1天，视为监理人发生监理不良行为一次，承担一般违约责任一次，监理人向委托人交纳违约金2000元。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14监理人必须保证严格遵守有关法律法规及廉政规定。如监理人及其工作人员违反本承诺规定，给发包人造成经济损失的，依法给予赔偿。</w:t>
      </w:r>
    </w:p>
    <w:p>
      <w:pPr>
        <w:spacing w:line="460" w:lineRule="exact"/>
        <w:ind w:firstLine="540"/>
        <w:outlineLvl w:val="2"/>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 监理人的服务内容：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1工程施工阶段服务内容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本工程施工阶段工作，具体包括施工前期准备阶段，施工阶段，竣工验收阶段和工程保修阶段的监理工作。</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1.1参与审阅施工图纸。</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1.2协助招标人审核各项工程和设备质量，提出审核意见，并协助起草合同、完善合同条款。</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1.3协助招标人办理开工手续。</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1.4组织相关单位进行设计交底和施工图会审，负责做好会议记录和图纸会审记录。</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1.5现场的移交：对现场的原始场平进行测量，作出书面记录，并在开工之前及时向施工单位移交，其次是测量放线定位的移交。</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1.6审查施工单位提出的施工组织设计、施工技术方案、施工进度计划、施工质量保证体系和施工安全保证体系。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1.7督促、检查施工单位严格执行工程承包合同和国家工程技术规范、标准，协调招标人和施工单位之间的关系。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1.8审核施工单位提供的材料、设备、构配件和实际的数量及质量，按照规范和质监站的要求，对相关的材料进行见证取样复验。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1.9根据施工单位提交的施工进度计划协助招标人督促现场施工进度；审核经质量验收合格的工程量，协助招标人进行工程竣工验收工作。</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1.11督促施工单位严格按现行规范、规程、强制性质量控制标准和设计要求施工、控制工程质量。</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1.12在实施过程中，监理采取程序报验检查、平行检查、旁站检查、巡视检查、定期与不定期检查等各种手段，按照规范和施工组织设计的要求，克服施工过程中的质量通病。</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1.13督促、检查施工单位落实施工安全保证措施。</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1.14协调参建各方之间的争议和冲突，协调各专业施工单位之间的关系，协调各专业施工作业的交接。</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1.15组织分项工程和隐蔽工程的检查、验收，签发工程验收凭证。</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1.16督促承建商整理合同文件和技术档案资料。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1.17组织招标人、施工单位、设计单位进行竣工预验收。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1.18提出工程质量评估报告。</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1.19检查工程状况，如发生质量事故，则参与事故的分析和处理，并鉴定质量责任。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1.20督促施工单位在工程竣工验收后，整理工程交工资料和竣工图纸。</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1.21督促完善签署工程保修协议，督促施工单位回访。</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1.22督促施工单位及时完成未完工程尾项，协助招标人督促施工单位按照国家有关规定和保修协议开展维修工作，维修工程出现的缺陷，保证维修工作顺利进行。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1.23保修期间如出现工程质量问题，接招标人通知后参与调查、分析，确定发生工程质量问题的原因责任，共同研究修补措施，并负责监督责任单位修补工作。</w:t>
      </w:r>
    </w:p>
    <w:p>
      <w:pPr>
        <w:spacing w:line="460" w:lineRule="exact"/>
        <w:ind w:firstLine="540"/>
        <w:outlineLvl w:val="2"/>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3.</w:t>
      </w:r>
      <w:r>
        <w:rPr>
          <w:rFonts w:hint="eastAsia" w:ascii="宋体" w:hAnsi="宋体" w:cs="宋体"/>
          <w:b/>
          <w:bCs/>
          <w:color w:val="auto"/>
          <w:sz w:val="21"/>
          <w:szCs w:val="21"/>
          <w:highlight w:val="none"/>
        </w:rPr>
        <w:t xml:space="preserve"> 监理人违约及违约责任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1监理不良行为违约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1.1监理不良行为违约的认定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监理人的不良行为一旦被发现，由委托人管理人员在“监理行为记录档案”作记录，无论是否造成损失，即构成监理人违约。若该行为已造成实际损失，按本附件界定的监理过失违约规定处理。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所有监理不良行为违约发生的违约金均从监理人进度款中扣除，监理服务费结算以扣除违约金总数后的金额为准。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 监理不良行为违约的责任承担</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监理人发生监理不良行为一次，承担一般违约责任一次，监理人向委托人交纳违约金1000元。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1.2.1 总监每月驻现场不少于10天，未经招标人书面同意，每少1天，视为监理人发生监理不良行为一次，承担一般违约责任一次，监理人向委托人交纳违约金2000元。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1.2.2  总监或总监代表如果无故缺席例会或招标人组织的会议，每次交纳违约金2000元。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1.2.3 其他监理人员必须按配备要求在现场驻场监理，离开项目现场必须经委托人书面同意，如委托人发现监理人员非正常离岗，监理人向委托人每人次交纳违约金2000元。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1.2.4 不按规定委派专业人员，不按时、准时参加各项验收和抽查的，不及时签署检查、验收记录的，一次向建设（委托）单位交纳违约金¥1000元/次、项。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1.2.5 不按规定委派相关人员参加项目竣工验收的，一次向建设（委托）单位交纳违约金¥5000元/项，不签署意见的交纳违约金¥5000元；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1.2.6 不按时交纳资料的，交纳违约金¥5万元，造成损失的，承担相应责任；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1.2.7 同一问题未能按时整改，每重复一次监理人向委托人缴纳违约金2000元。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2 监理过失事件违约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2.1 监理过失事件违约的认定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2.2 监理过失事件违约的责任承担</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2.2.1 监理人发生监理过失事件违约一次，承担严重违约责任一次，监理人向委托人交纳违约金5000元。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 xml:space="preserve">2.2.2 如因监理人的原因而造成的经济损失，按如下规定向委托人赔偿： </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2.2.3 监理人发生监理过失违约后，当委托人认为监理人无正当理由而又未履行监理义务时，有权部分解除合同或完全解除合同。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 监理渎职事件违约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3.1 监理渎职事件违约的认定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3.2监理渎职事件违约的责任承担</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3.2.1 监理人发生监理渎职违约一次，承担非常严重违约责任一次，扣除监理人违约金5000元。</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3.2.2 委托人勒令监理人更换监理人员，直至解除合同（合同解除办法同上）。</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3.2.3 如监理人的原因造成委托人或工程损失的，监理人承担全部赔偿责任。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1）禁止向委托人及承包人推销材料、设备，或以倾向性、排他性变相推销；</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2）禁止与承包人串通，对不合格材料、产品、工程进行包庇及验收；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3）禁止与承包人串通，对材料用量、工程量进行虚假签认；</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4）禁止与承包人串通，不合理提高施工难度及增加材料用量，以增大施工费用，获取不正当收益。</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5）禁止接受承包人的请吃送礼或变相受礼；</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6）禁止向承包人介绍分包或推销材料、设备等；</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7）禁止故意刁难承包人以谋取私利，损害委托人的合法利益。</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 监理不达标造成的违约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4.1 监理不达标违约的认定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工程竣工结算后，监理协议书第三项监理目标的任何一项目标的不达标，均视为监理人的监理目标违约。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4.2 监理目标违约的责任承担</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4.2.1 质量控制不达标：工程竣工验收质量未达到施工合同等级要求的，不管任何原因，结算扣减监理合同价款的3％。</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4.2.2 投资控制不达标：由监理单位编制投资控制计划和投资控制措施，报建设单位审核，若监理单位未能落实控制措施，出现投资增加，工程建安费结算价突破投资控制值的，每突破1％，结算扣减监理合同价款的1％。</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4.2.3 进度控制不达标：工程竣工验收通过日延误的，委托人视监理人的责任情况结算扣减监理合同价款的1％－3％。</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4.2.4 安全管理不达标：工程发生一般安全生产事故，或被上级主管部门通报批评、被新闻媒体曝光的，结算扣减监理合同价款的 1 ％；发生较大以上安全质量事故（按国家及合同有关规定界定）的，结算扣减监理合同价款的 3 ％。情节严重的，委托人有权部分或全部解除合同。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4.2.5 监理人应保证每季度进度计量（价）数据的准确性，如发生计量（价）误差＞5%，则视为监理人违约一次，扣除监理人违约金2000/次。</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4.2.6 对监理人上述违约处罚，不免除追究当事人和监理人的法律责任和相关赔偿责任。</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5 监理违约的处理程序</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5.1 由委托人管理人员在“监理行为记录档案”中将监理人的具体违约情况记录，并将记录内容书面告知监理人。</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5.2 委托人不定期将有关监理人的违约情况以记录、通知、会议纪要等书面形式通知监理人，指明其未能履约的内容和委托人要求其承担违约责任的等级。</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5.4 委托人将进一步将监理人执行国家强制性规范、标准和履行合同、招投标文件义务的情况（包括但不限于由委托人组织的考核、考评通报、违约责任处理决定等）再报当地建设行政主管部门并在媒体上公开披露。</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pPr>
        <w:spacing w:line="460" w:lineRule="exact"/>
        <w:ind w:firstLine="540"/>
        <w:outlineLvl w:val="2"/>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4.</w:t>
      </w:r>
      <w:r>
        <w:rPr>
          <w:rFonts w:hint="eastAsia" w:ascii="宋体" w:hAnsi="宋体" w:cs="宋体"/>
          <w:b/>
          <w:bCs/>
          <w:color w:val="auto"/>
          <w:sz w:val="21"/>
          <w:szCs w:val="21"/>
          <w:highlight w:val="none"/>
        </w:rPr>
        <w:t xml:space="preserve"> 工程质量、造价、进度控制及安全生产管理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 工程质量控制：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 工程开工前，项目监理机构应审查施工单位现场的质量管理组织机构、管理制度及专职管理人员和特种作业人员的资格。</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1.2 总监理工程师应组织专业监理工程师审查施工单位报审的施工方案，符合要求后应予以签认。施工方案审查应包括下列基本内容：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（1）编审程序应符合相关规定。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（2）工程质量保证措施应符合有关标准。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1.3 施工方案报审表应按相应规范的要求填写。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1.4 专业监理工程师应审查施工单位报送的新材料、新工艺、新技术、新设备的质量认证材料和相关验收标准的适用性，必要时，应要求施工单位组织专题论证，审查合格后报总监理工程师签认。</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（1）施工单位测量人员的资格证书及测量设备检定证书。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（2）施工平面控制网、高程控制网和临时水准点的测量成果及控制桩的保护措施。</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1.6 施工控制测量成果报验表应按相应规范的要求填写。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1.7 专业监理工程师应检查施工单位为工程提供服务的试验室。</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试验室的检查应包括下列内容：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（1）试验室的资质等级及试验范围。</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（2）法定计量部门对试验设备出具的计量检定证明。</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（3）试验室管理制度。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（4）试验人员资格证书。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1.8 施工单位的试验室报审表应按相应规范的要求填写。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1.10 专业监理工程师应审查施工单位定期提交影响工程质量的计量设备的检查和检定报告。</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1.11 项目监理机构应根据工程特点和施工单位报送的施工组织设计，确定旁站的关键部位、关键工序，安排监理人员进行旁站，并应及时记录旁站情况。旁站记录应按相应规范的要求填写。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1.12 项目监理机构应安排监理人员对工程施工质量进行巡视。巡视应包括下列主要内容：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（1）施工单位是否按工程设计文件、工程建设标准和批准的施工组织设计、(专项)施工方案施工。</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（2）使用的工程材料、构配件和设备是否合格。</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（3）施工现场管理人员，特别是施工质量管理人员是否到位。</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（4）特种作业人员是否持证上岗。</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1.13 项目监理机构应根据工程特点、专业要求，以及建设工程监理合同约定，对施工质量进行平行检验。</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1.16 对需要返工处理或加固补强的质量缺陷，项目监理机构应要求施工单位报送经设计等相关单位认可的处理方案，并应对质量缺陷的处理过程进行跟踪检查，同时应对处理结果进行验收。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1.19 工程竣工预验收合格后，项目监理机构应编写工程质量评估报告，并应经总监理工程师和工程监理单位技术负责人审核签字后报建设单位。</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1.20 项目监理机构应参加由建设单位组织的竣工验收，对验收中提出的整改问题，应督促施工单位及时整改。工程质量符合要求的，总监理工程师应在工程竣工验收报告中签署意见。</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1.21 保修期满后，项目监理机构应参与保修期满质量复检，对复检中发现的问题提出整改意见并督促施工单位整改；整改合格后，总监理工程师在复检报告中签署意见。</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3%向招标人返纳质量违约金，并无条件免费监理服务至工程质量达到合格止。</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2 工程造价控制：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2.1 项目监理机构应按下列程序进行工程计量和付款签证：</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（1）专业监理工程师对施工单位在工程款支付报审表中提交的工程量和支付金额进行复核，确定实际完成的工程量，提出到期应支付给施工单位的金额，并提出相应的支持性材料。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（2）总监理工程师对专业监理工程师的审查意见进行审核，签认后报建设单位审批。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（3）总监理工程师根据建设单位的审批意见，向施工单位签发工程款支付证书。</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工程款支付报审表及工程款支付证书应按相应规范的要求填写。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2.2项目监理机构应编制月完成工程量统计表，对实际完成量与计划完成量进行比较分析，发现偏差的，应提出调整建议，并应在监理月报中向建设单位报告。</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2.3 项目监理机构应按下列程序进行竣工结算款审核：</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（1）专业监理工程师审查施工单位提交的竣工结算款支付申请，提出审查意见。</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工程竣工结算款支付报审表及竣工结算款支付证书应按相应规范的要求填写。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2.4项目监理单位应按上述要求和有关规定控制本项目的工程造价，若由于项目监理单位的过失造成工程造价提高，招标人按所提高造价额的50%从监理服务费中扣除，扣除累计不超过监理服务费的70%。</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3 工程进度控制：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3.1 项目监理机构应审查施工单位报审的施工总进度计划和阶段性施工进度计划，提出审查意见，并应由总监理工程师审核后报建设单位。</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施工进度计划审查应包括下列基本内容：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（1）施工进度计划应符合施工合同中工期的约定。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（2）施工进度计划中主要工程项目无遗漏，应满足分批投入试运、分批动用的需要，阶段性施工进度计划应满足总进度控制目标的要求。</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（3）施工顺序的安排应符合施工工艺要求。</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（4）施工人员、工程材料、施工机械等资源供应计划应满足施工进度计划的需要。</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（5）施工进度计划应符合建设单位提供的资金、施工图纸、施工场地、物资等施工条件。</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施工进度计划报审表应按相应规范的要求填写。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3.3 项目监理机构应比较分析工程施工实际进度与计划进度，预测实际进度对工程总工期的影响，并应在监理月报中向建设单位报告工程实际进展情况。</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4 工程安全生产管理：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4.1 项目监理机构应根据法律法规、工程建设强制性标准，履行建设工程安全生产管理的监理职责，并应将安全生产管理的监理工作内容、方法和措施纳入监理规划及监理实施细则。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专项施工方案审查应包括下列基本内容：</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（1）编审程序应符合相关规定。</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（2）安全技术措施应符合工程建设强制性标准。</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专项施工方案报审表应按相应规范的要求填写。</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4.4项目监理机构应巡视检查危险性较大的分部分项工程专项施工方案实施情况。发现未按专项施工方案实施时，应签发监理通知单，要求施工单位按专项施工方案实施。</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pPr>
        <w:spacing w:line="460" w:lineRule="exact"/>
        <w:ind w:firstLine="54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监理报告应按相应规范的要求填写。</w:t>
      </w:r>
    </w:p>
    <w:p>
      <w:pPr>
        <w:spacing w:line="460" w:lineRule="exact"/>
        <w:ind w:firstLine="540"/>
        <w:outlineLvl w:val="2"/>
        <w:rPr>
          <w:rFonts w:ascii="宋体" w:hAnsi="宋体" w:cs="宋体"/>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p>
    <w:p>
      <w:pPr>
        <w:tabs>
          <w:tab w:val="left" w:pos="-180"/>
        </w:tabs>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争 议 的 解 决</w:t>
      </w:r>
    </w:p>
    <w:p>
      <w:pPr>
        <w:spacing w:line="460" w:lineRule="exact"/>
        <w:ind w:left="435" w:firstLine="78" w:firstLineChars="37"/>
        <w:rPr>
          <w:rFonts w:ascii="宋体" w:hAnsi="宋体" w:cs="宋体"/>
          <w:color w:val="auto"/>
          <w:sz w:val="21"/>
          <w:szCs w:val="21"/>
          <w:highlight w:val="none"/>
        </w:rPr>
      </w:pPr>
      <w:r>
        <w:rPr>
          <w:rFonts w:hint="eastAsia" w:ascii="宋体" w:hAnsi="宋体" w:cs="宋体"/>
          <w:b/>
          <w:color w:val="auto"/>
          <w:sz w:val="21"/>
          <w:szCs w:val="21"/>
          <w:highlight w:val="none"/>
        </w:rPr>
        <w:t>第四十三条</w:t>
      </w:r>
      <w:r>
        <w:rPr>
          <w:rFonts w:hint="eastAsia" w:ascii="宋体" w:hAnsi="宋体" w:cs="宋体"/>
          <w:color w:val="auto"/>
          <w:sz w:val="21"/>
          <w:szCs w:val="21"/>
          <w:highlight w:val="none"/>
        </w:rPr>
        <w:t xml:space="preserve"> 争议调解、仲裁机构：</w:t>
      </w:r>
    </w:p>
    <w:p>
      <w:pPr>
        <w:spacing w:line="460" w:lineRule="exact"/>
        <w:ind w:left="435" w:firstLine="77" w:firstLineChars="37"/>
        <w:rPr>
          <w:rFonts w:ascii="宋体" w:hAnsi="宋体" w:cs="宋体"/>
          <w:color w:val="auto"/>
          <w:sz w:val="21"/>
          <w:szCs w:val="21"/>
          <w:highlight w:val="none"/>
        </w:rPr>
      </w:pPr>
      <w:r>
        <w:rPr>
          <w:rFonts w:hint="eastAsia" w:ascii="宋体" w:hAnsi="宋体" w:cs="宋体"/>
          <w:color w:val="auto"/>
          <w:sz w:val="21"/>
          <w:szCs w:val="21"/>
          <w:highlight w:val="none"/>
        </w:rPr>
        <w:t>当合同发生争议，由当事人双方协商解决；也可由工程项目主管部门或合同争议调解机构调解；协商或调解未果时申请仲裁。</w:t>
      </w:r>
    </w:p>
    <w:p>
      <w:pPr>
        <w:spacing w:line="460" w:lineRule="exact"/>
        <w:ind w:left="435" w:firstLine="77" w:firstLineChars="37"/>
        <w:rPr>
          <w:rFonts w:ascii="宋体" w:hAnsi="宋体" w:cs="宋体"/>
          <w:color w:val="auto"/>
          <w:sz w:val="21"/>
          <w:szCs w:val="21"/>
          <w:highlight w:val="none"/>
        </w:rPr>
      </w:pPr>
      <w:r>
        <w:rPr>
          <w:rFonts w:hint="eastAsia" w:ascii="宋体" w:hAnsi="宋体" w:cs="宋体"/>
          <w:color w:val="auto"/>
          <w:sz w:val="21"/>
          <w:szCs w:val="21"/>
          <w:highlight w:val="none"/>
        </w:rPr>
        <w:t>一、争议调解机构为：</w:t>
      </w:r>
      <w:r>
        <w:rPr>
          <w:rFonts w:hint="eastAsia" w:ascii="宋体" w:hAnsi="宋体" w:cs="宋体"/>
          <w:color w:val="auto"/>
          <w:sz w:val="21"/>
          <w:szCs w:val="21"/>
          <w:highlight w:val="none"/>
          <w:u w:val="single"/>
          <w:lang w:val="en-US" w:eastAsia="zh-CN"/>
        </w:rPr>
        <w:t>XXXXXXXXX</w:t>
      </w:r>
      <w:r>
        <w:rPr>
          <w:rFonts w:hint="eastAsia" w:ascii="宋体" w:hAnsi="宋体" w:cs="宋体"/>
          <w:color w:val="auto"/>
          <w:sz w:val="21"/>
          <w:szCs w:val="21"/>
          <w:highlight w:val="none"/>
        </w:rPr>
        <w:t>。</w:t>
      </w:r>
    </w:p>
    <w:p>
      <w:pPr>
        <w:spacing w:line="460" w:lineRule="exact"/>
        <w:ind w:left="435" w:firstLine="77" w:firstLineChars="37"/>
        <w:rPr>
          <w:rFonts w:ascii="宋体" w:hAnsi="宋体" w:cs="宋体"/>
          <w:color w:val="auto"/>
          <w:sz w:val="21"/>
          <w:szCs w:val="21"/>
          <w:highlight w:val="none"/>
        </w:rPr>
      </w:pPr>
      <w:r>
        <w:rPr>
          <w:rFonts w:hint="eastAsia" w:ascii="宋体" w:hAnsi="宋体" w:cs="宋体"/>
          <w:color w:val="auto"/>
          <w:sz w:val="21"/>
          <w:szCs w:val="21"/>
          <w:highlight w:val="none"/>
        </w:rPr>
        <w:t>二、仲裁机构为：</w:t>
      </w:r>
      <w:r>
        <w:rPr>
          <w:rFonts w:hint="eastAsia" w:ascii="宋体" w:hAnsi="宋体" w:cs="宋体"/>
          <w:color w:val="auto"/>
          <w:sz w:val="21"/>
          <w:szCs w:val="21"/>
          <w:highlight w:val="none"/>
          <w:u w:val="single"/>
        </w:rPr>
        <w:t>韶关市</w:t>
      </w:r>
      <w:r>
        <w:rPr>
          <w:rFonts w:hint="eastAsia" w:ascii="宋体" w:hAnsi="宋体" w:cs="宋体"/>
          <w:color w:val="auto"/>
          <w:sz w:val="21"/>
          <w:szCs w:val="21"/>
          <w:highlight w:val="none"/>
          <w:u w:val="single"/>
          <w:lang w:val="en-US" w:eastAsia="zh-CN"/>
        </w:rPr>
        <w:t>武江区</w:t>
      </w:r>
      <w:r>
        <w:rPr>
          <w:rFonts w:hint="eastAsia" w:ascii="宋体" w:hAnsi="宋体" w:cs="宋体"/>
          <w:color w:val="auto"/>
          <w:sz w:val="21"/>
          <w:szCs w:val="21"/>
          <w:highlight w:val="none"/>
          <w:u w:val="single"/>
        </w:rPr>
        <w:t>仲裁委员会</w:t>
      </w:r>
      <w:r>
        <w:rPr>
          <w:rFonts w:hint="eastAsia" w:ascii="宋体" w:hAnsi="宋体" w:cs="宋体"/>
          <w:color w:val="auto"/>
          <w:sz w:val="21"/>
          <w:szCs w:val="21"/>
          <w:highlight w:val="none"/>
        </w:rPr>
        <w:t>。</w:t>
      </w:r>
    </w:p>
    <w:p>
      <w:pPr>
        <w:spacing w:line="460" w:lineRule="exact"/>
        <w:ind w:left="435" w:firstLine="78" w:firstLineChars="37"/>
        <w:rPr>
          <w:rFonts w:ascii="宋体" w:hAnsi="宋体" w:cs="宋体"/>
          <w:color w:val="auto"/>
          <w:sz w:val="21"/>
          <w:szCs w:val="21"/>
          <w:highlight w:val="none"/>
        </w:rPr>
      </w:pPr>
      <w:r>
        <w:rPr>
          <w:rFonts w:hint="eastAsia" w:ascii="宋体" w:hAnsi="宋体" w:cs="宋体"/>
          <w:b/>
          <w:color w:val="auto"/>
          <w:sz w:val="21"/>
          <w:szCs w:val="21"/>
          <w:highlight w:val="none"/>
        </w:rPr>
        <w:t>第四十四条</w:t>
      </w:r>
      <w:r>
        <w:rPr>
          <w:rFonts w:hint="eastAsia" w:ascii="宋体" w:hAnsi="宋体" w:cs="宋体"/>
          <w:color w:val="auto"/>
          <w:sz w:val="21"/>
          <w:szCs w:val="21"/>
          <w:highlight w:val="none"/>
        </w:rPr>
        <w:t xml:space="preserve"> 在争议协商、调解、起诉过程中，双方仍应继续履行本合同约定的责任和义务。</w:t>
      </w:r>
    </w:p>
    <w:p>
      <w:pPr>
        <w:spacing w:line="460" w:lineRule="exact"/>
        <w:ind w:left="435" w:firstLine="78" w:firstLineChars="37"/>
        <w:jc w:val="center"/>
        <w:rPr>
          <w:rFonts w:ascii="宋体" w:hAnsi="宋体" w:cs="宋体"/>
          <w:b/>
          <w:bCs/>
          <w:color w:val="auto"/>
          <w:sz w:val="21"/>
          <w:szCs w:val="21"/>
          <w:highlight w:val="none"/>
        </w:rPr>
      </w:pPr>
    </w:p>
    <w:p>
      <w:pPr>
        <w:spacing w:line="460" w:lineRule="exact"/>
        <w:ind w:left="435" w:firstLine="78" w:firstLineChars="37"/>
        <w:jc w:val="center"/>
        <w:rPr>
          <w:rFonts w:ascii="宋体" w:hAnsi="宋体" w:cs="宋体"/>
          <w:b/>
          <w:color w:val="auto"/>
          <w:sz w:val="21"/>
          <w:szCs w:val="21"/>
          <w:highlight w:val="none"/>
        </w:rPr>
      </w:pPr>
      <w:r>
        <w:rPr>
          <w:rFonts w:hint="eastAsia" w:ascii="宋体" w:hAnsi="宋体" w:cs="宋体"/>
          <w:b/>
          <w:bCs/>
          <w:color w:val="auto"/>
          <w:sz w:val="21"/>
          <w:szCs w:val="21"/>
          <w:highlight w:val="none"/>
        </w:rPr>
        <w:t>其   他</w:t>
      </w:r>
    </w:p>
    <w:p>
      <w:pPr>
        <w:spacing w:line="460" w:lineRule="exact"/>
        <w:ind w:left="435" w:firstLine="78" w:firstLineChars="37"/>
        <w:rPr>
          <w:rFonts w:ascii="宋体" w:hAnsi="宋体" w:cs="宋体"/>
          <w:color w:val="auto"/>
          <w:sz w:val="21"/>
          <w:szCs w:val="21"/>
          <w:highlight w:val="none"/>
          <w:u w:val="single"/>
        </w:rPr>
      </w:pPr>
      <w:r>
        <w:rPr>
          <w:rFonts w:hint="eastAsia" w:ascii="宋体" w:hAnsi="宋体" w:cs="宋体"/>
          <w:b/>
          <w:color w:val="auto"/>
          <w:sz w:val="21"/>
          <w:szCs w:val="21"/>
          <w:highlight w:val="none"/>
        </w:rPr>
        <w:t xml:space="preserve">第四十五条 </w:t>
      </w:r>
      <w:r>
        <w:rPr>
          <w:rFonts w:hint="eastAsia" w:ascii="宋体" w:hAnsi="宋体" w:cs="宋体"/>
          <w:bCs/>
          <w:color w:val="auto"/>
          <w:sz w:val="21"/>
          <w:szCs w:val="21"/>
          <w:highlight w:val="none"/>
        </w:rPr>
        <w:t>委托人对监理人提出并落实的合理化建议的奖励办法为：</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w:t>
      </w:r>
    </w:p>
    <w:p>
      <w:pPr>
        <w:spacing w:line="460" w:lineRule="exact"/>
        <w:ind w:left="435" w:firstLine="78" w:firstLineChars="37"/>
        <w:rPr>
          <w:rFonts w:ascii="宋体" w:hAnsi="宋体" w:cs="宋体"/>
          <w:color w:val="auto"/>
          <w:sz w:val="21"/>
          <w:szCs w:val="21"/>
          <w:highlight w:val="none"/>
        </w:rPr>
      </w:pPr>
      <w:r>
        <w:rPr>
          <w:rFonts w:hint="eastAsia" w:ascii="宋体" w:hAnsi="宋体" w:cs="宋体"/>
          <w:b/>
          <w:color w:val="auto"/>
          <w:sz w:val="21"/>
          <w:szCs w:val="21"/>
          <w:highlight w:val="none"/>
        </w:rPr>
        <w:t xml:space="preserve">第四十六条 </w:t>
      </w:r>
      <w:r>
        <w:rPr>
          <w:rFonts w:hint="eastAsia" w:ascii="宋体" w:hAnsi="宋体" w:cs="宋体"/>
          <w:color w:val="auto"/>
          <w:sz w:val="21"/>
          <w:szCs w:val="21"/>
          <w:highlight w:val="none"/>
        </w:rPr>
        <w:t>质量控制目标和奖励：</w:t>
      </w:r>
    </w:p>
    <w:p>
      <w:pPr>
        <w:spacing w:line="460" w:lineRule="exact"/>
        <w:ind w:left="435" w:firstLine="77" w:firstLineChars="37"/>
        <w:outlineLvl w:val="1"/>
        <w:rPr>
          <w:rFonts w:ascii="宋体" w:hAnsi="宋体" w:cs="宋体"/>
          <w:color w:val="auto"/>
          <w:sz w:val="21"/>
          <w:szCs w:val="21"/>
          <w:highlight w:val="none"/>
        </w:rPr>
      </w:pPr>
      <w:bookmarkStart w:id="223" w:name="_Toc22033"/>
      <w:r>
        <w:rPr>
          <w:rFonts w:hint="eastAsia" w:ascii="宋体" w:hAnsi="宋体" w:cs="宋体"/>
          <w:color w:val="auto"/>
          <w:sz w:val="21"/>
          <w:szCs w:val="21"/>
          <w:highlight w:val="none"/>
        </w:rPr>
        <w:t>一、质量控制目标</w:t>
      </w:r>
      <w:bookmarkEnd w:id="223"/>
    </w:p>
    <w:p>
      <w:pPr>
        <w:spacing w:line="460" w:lineRule="exact"/>
        <w:ind w:left="435" w:firstLine="77" w:firstLineChars="37"/>
        <w:rPr>
          <w:rFonts w:ascii="宋体" w:hAnsi="宋体" w:cs="宋体"/>
          <w:bCs/>
          <w:color w:val="auto"/>
          <w:sz w:val="21"/>
          <w:szCs w:val="21"/>
          <w:highlight w:val="none"/>
        </w:rPr>
      </w:pPr>
      <w:r>
        <w:rPr>
          <w:rFonts w:hint="eastAsia" w:ascii="宋体" w:hAnsi="宋体" w:cs="宋体"/>
          <w:bCs/>
          <w:color w:val="auto"/>
          <w:sz w:val="21"/>
          <w:szCs w:val="21"/>
          <w:highlight w:val="none"/>
        </w:rPr>
        <w:t>1、完建的工程满足设计文件、国家强制性标准和施工合同文件规定的质量要求；</w:t>
      </w:r>
    </w:p>
    <w:p>
      <w:pPr>
        <w:spacing w:line="460" w:lineRule="exact"/>
        <w:ind w:left="435" w:firstLine="77" w:firstLineChars="37"/>
        <w:outlineLvl w:val="2"/>
        <w:rPr>
          <w:rFonts w:ascii="宋体" w:hAnsi="宋体" w:cs="宋体"/>
          <w:bCs/>
          <w:color w:val="auto"/>
          <w:sz w:val="21"/>
          <w:szCs w:val="21"/>
          <w:highlight w:val="none"/>
        </w:rPr>
      </w:pPr>
      <w:bookmarkStart w:id="224" w:name="_Toc29488"/>
      <w:r>
        <w:rPr>
          <w:rFonts w:hint="eastAsia" w:ascii="宋体" w:hAnsi="宋体" w:cs="宋体"/>
          <w:bCs/>
          <w:color w:val="auto"/>
          <w:sz w:val="21"/>
          <w:szCs w:val="21"/>
          <w:highlight w:val="none"/>
        </w:rPr>
        <w:t>2、在合同工程的整个施工期不出现质量责任事故。</w:t>
      </w:r>
      <w:bookmarkEnd w:id="224"/>
    </w:p>
    <w:p>
      <w:pPr>
        <w:spacing w:afterLines="50" w:line="440" w:lineRule="exact"/>
        <w:jc w:val="center"/>
        <w:rPr>
          <w:rFonts w:ascii="宋体" w:hAnsi="宋体"/>
          <w:b/>
          <w:color w:val="auto"/>
          <w:szCs w:val="28"/>
          <w:highlight w:val="none"/>
        </w:rPr>
      </w:pPr>
      <w:r>
        <w:rPr>
          <w:rFonts w:ascii="宋体" w:hAnsi="宋体"/>
          <w:b/>
          <w:color w:val="auto"/>
          <w:sz w:val="21"/>
          <w:szCs w:val="21"/>
          <w:highlight w:val="none"/>
        </w:rPr>
        <w:br w:type="page"/>
      </w:r>
      <w:r>
        <w:rPr>
          <w:rFonts w:hint="eastAsia" w:ascii="宋体" w:hAnsi="宋体"/>
          <w:b/>
          <w:color w:val="auto"/>
          <w:szCs w:val="28"/>
          <w:highlight w:val="none"/>
        </w:rPr>
        <w:t>第三部分  附  件</w:t>
      </w:r>
      <w:bookmarkStart w:id="225" w:name="_Toc518465495"/>
      <w:bookmarkStart w:id="226" w:name="_Toc518465206"/>
      <w:bookmarkStart w:id="227" w:name="_Toc518464566"/>
      <w:bookmarkStart w:id="228" w:name="_Toc501535569"/>
      <w:bookmarkStart w:id="229" w:name="_Toc501512825"/>
      <w:bookmarkStart w:id="230" w:name="_Toc501512357"/>
      <w:bookmarkStart w:id="231" w:name="_Toc520953926"/>
      <w:bookmarkStart w:id="232" w:name="_Toc501535849"/>
      <w:bookmarkStart w:id="233" w:name="_Toc518463677"/>
      <w:bookmarkStart w:id="234" w:name="_Toc518465438"/>
      <w:r>
        <w:rPr>
          <w:rFonts w:hint="eastAsia" w:ascii="宋体" w:hAnsi="宋体"/>
          <w:b/>
          <w:color w:val="auto"/>
          <w:szCs w:val="28"/>
          <w:highlight w:val="none"/>
        </w:rPr>
        <w:t xml:space="preserve"> </w:t>
      </w:r>
    </w:p>
    <w:bookmarkEnd w:id="225"/>
    <w:bookmarkEnd w:id="226"/>
    <w:bookmarkEnd w:id="227"/>
    <w:bookmarkEnd w:id="228"/>
    <w:bookmarkEnd w:id="229"/>
    <w:bookmarkEnd w:id="230"/>
    <w:bookmarkEnd w:id="231"/>
    <w:bookmarkEnd w:id="232"/>
    <w:bookmarkEnd w:id="233"/>
    <w:bookmarkEnd w:id="234"/>
    <w:p>
      <w:pPr>
        <w:pStyle w:val="69"/>
        <w:spacing w:line="460" w:lineRule="exact"/>
        <w:ind w:firstLine="0" w:firstLineChars="0"/>
        <w:rPr>
          <w:color w:val="auto"/>
          <w:sz w:val="21"/>
          <w:highlight w:val="none"/>
        </w:rPr>
      </w:pPr>
      <w:r>
        <w:rPr>
          <w:rFonts w:hint="eastAsia"/>
          <w:color w:val="auto"/>
          <w:sz w:val="21"/>
          <w:highlight w:val="none"/>
        </w:rPr>
        <w:t>本合同监理服务内容：</w:t>
      </w:r>
      <w:r>
        <w:rPr>
          <w:rFonts w:hint="eastAsia"/>
          <w:color w:val="auto"/>
          <w:sz w:val="21"/>
          <w:highlight w:val="none"/>
          <w:u w:val="single"/>
        </w:rPr>
        <w:t>（具体内容由双方协商确定）</w:t>
      </w:r>
    </w:p>
    <w:p>
      <w:pPr>
        <w:autoSpaceDE w:val="0"/>
        <w:autoSpaceDN w:val="0"/>
        <w:adjustRightIn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（一）设计方面</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1.核查并签发施工图，发现问题向委托人反映，重大问题向委托人做出专题报告。</w:t>
      </w:r>
    </w:p>
    <w:p>
      <w:pPr>
        <w:spacing w:line="460" w:lineRule="exact"/>
        <w:ind w:firstLine="540"/>
        <w:outlineLvl w:val="2"/>
        <w:rPr>
          <w:rFonts w:ascii="宋体" w:hAnsi="宋体"/>
          <w:color w:val="auto"/>
          <w:sz w:val="21"/>
          <w:szCs w:val="21"/>
          <w:highlight w:val="none"/>
        </w:rPr>
      </w:pPr>
      <w:bookmarkStart w:id="235" w:name="_Toc29220"/>
      <w:r>
        <w:rPr>
          <w:rFonts w:hint="eastAsia" w:ascii="宋体" w:hAnsi="宋体"/>
          <w:color w:val="auto"/>
          <w:sz w:val="21"/>
          <w:szCs w:val="21"/>
          <w:highlight w:val="none"/>
        </w:rPr>
        <w:t>2.主持或与委托人联合主持设计技术交底会议，编写会议纪要。</w:t>
      </w:r>
      <w:bookmarkEnd w:id="235"/>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3.协助委托人会同设计人对重大技术问题和优化设计进行专题讨论。</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4.审核承包人对施工图的意见和建议，协助委托人会同设计人进行研究。</w:t>
      </w:r>
    </w:p>
    <w:p>
      <w:pPr>
        <w:spacing w:line="460" w:lineRule="exact"/>
        <w:ind w:firstLine="540"/>
        <w:outlineLvl w:val="2"/>
        <w:rPr>
          <w:rFonts w:ascii="宋体" w:hAnsi="宋体"/>
          <w:color w:val="auto"/>
          <w:sz w:val="21"/>
          <w:szCs w:val="21"/>
          <w:highlight w:val="none"/>
        </w:rPr>
      </w:pPr>
      <w:bookmarkStart w:id="236" w:name="_Toc26949"/>
      <w:r>
        <w:rPr>
          <w:rFonts w:hint="eastAsia" w:ascii="宋体" w:hAnsi="宋体"/>
          <w:color w:val="auto"/>
          <w:sz w:val="21"/>
          <w:szCs w:val="21"/>
          <w:highlight w:val="none"/>
        </w:rPr>
        <w:t>5.其他相关业务。</w:t>
      </w:r>
      <w:bookmarkEnd w:id="236"/>
    </w:p>
    <w:p>
      <w:pPr>
        <w:autoSpaceDE w:val="0"/>
        <w:autoSpaceDN w:val="0"/>
        <w:adjustRightIn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（二）采购方面</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1.协助委托人进行采购招标。</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2.协助委托人对进场的永久工程设备进行质量检验与到货验收。</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3.其他相关业务。</w:t>
      </w:r>
    </w:p>
    <w:p>
      <w:pPr>
        <w:autoSpaceDE w:val="0"/>
        <w:autoSpaceDN w:val="0"/>
        <w:adjustRightInd w:val="0"/>
        <w:spacing w:line="460" w:lineRule="exact"/>
        <w:jc w:val="left"/>
        <w:rPr>
          <w:rFonts w:ascii="宋体" w:hAnsi="宋体"/>
          <w:color w:val="auto"/>
          <w:sz w:val="21"/>
          <w:szCs w:val="21"/>
          <w:highlight w:val="none"/>
        </w:rPr>
      </w:pPr>
      <w:r>
        <w:rPr>
          <w:rFonts w:hint="eastAsia" w:ascii="宋体" w:hAnsi="宋体"/>
          <w:color w:val="auto"/>
          <w:sz w:val="21"/>
          <w:szCs w:val="21"/>
          <w:highlight w:val="none"/>
        </w:rPr>
        <w:t>（三）施工方面</w:t>
      </w:r>
    </w:p>
    <w:p>
      <w:pPr>
        <w:spacing w:line="460" w:lineRule="exact"/>
        <w:ind w:firstLine="540"/>
        <w:outlineLvl w:val="2"/>
        <w:rPr>
          <w:rFonts w:ascii="宋体" w:hAnsi="宋体"/>
          <w:color w:val="auto"/>
          <w:sz w:val="21"/>
          <w:szCs w:val="21"/>
          <w:highlight w:val="none"/>
        </w:rPr>
      </w:pPr>
      <w:bookmarkStart w:id="237" w:name="_Toc794"/>
      <w:r>
        <w:rPr>
          <w:rFonts w:hint="eastAsia" w:ascii="宋体" w:hAnsi="宋体"/>
          <w:color w:val="auto"/>
          <w:sz w:val="21"/>
          <w:szCs w:val="21"/>
          <w:highlight w:val="none"/>
        </w:rPr>
        <w:t>1.协助委托人进行工程施工招标和签订工程施工合同。</w:t>
      </w:r>
      <w:bookmarkEnd w:id="237"/>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2.全面管理工程施工合同，审查承包人选择的分包单位，并报委托人批准。</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3.督促委托人按工程施工合同的约定，落实必须提供的施工条件；检查承包人的开工准备工作。</w:t>
      </w:r>
    </w:p>
    <w:p>
      <w:pPr>
        <w:spacing w:line="460" w:lineRule="exact"/>
        <w:ind w:firstLine="540"/>
        <w:outlineLvl w:val="2"/>
        <w:rPr>
          <w:rFonts w:ascii="宋体" w:hAnsi="宋体"/>
          <w:color w:val="auto"/>
          <w:sz w:val="21"/>
          <w:szCs w:val="21"/>
          <w:highlight w:val="none"/>
        </w:rPr>
      </w:pPr>
      <w:bookmarkStart w:id="238" w:name="_Toc26209"/>
      <w:r>
        <w:rPr>
          <w:rFonts w:hint="eastAsia" w:ascii="宋体" w:hAnsi="宋体"/>
          <w:color w:val="auto"/>
          <w:sz w:val="21"/>
          <w:szCs w:val="21"/>
          <w:highlight w:val="none"/>
        </w:rPr>
        <w:t>4.审核按工程施工合同文件约定应由承包人提交的设计文件。</w:t>
      </w:r>
      <w:bookmarkEnd w:id="238"/>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5.审查承包人提交的施工组织设计、施工进度计划、施工措施计划；审核工艺试验成果等。</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7.施工质量控制。审查承包人的质量保证体系和措施；审查承包人的实验室条件；依据工程施工合同文件、设计文件、技术标准，对施工全过程进行检查，对重要部位、关键工序进行旁站监理；按照有关规定，对承包人进场的设备、建筑材料、建筑构配件、中间产品进行跟踪检测和平行检测，复核承包人自评的工程质量等级；审核承包人提出的工程质量缺陷处理方案，参与调查质量事故。</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8.资金控制。协助委托人编制付款计划；审查承包人提交的资金计划；核定承包人完成的工程量，审核承包人提交的支付申请，签发付款凭证；受理索赔申请，提出处理建议意见；处理工程变更。</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9.施工安全控制。审查承包人提出的安全技术措施、专项施工方案，并检查实施情况；检查防洪度汛措施落实情况；参与安全事故调查。</w:t>
      </w:r>
    </w:p>
    <w:p>
      <w:pPr>
        <w:spacing w:line="460" w:lineRule="exact"/>
        <w:ind w:firstLine="540"/>
        <w:outlineLvl w:val="2"/>
        <w:rPr>
          <w:rFonts w:ascii="宋体" w:hAnsi="宋体"/>
          <w:color w:val="auto"/>
          <w:sz w:val="21"/>
          <w:szCs w:val="21"/>
          <w:highlight w:val="none"/>
        </w:rPr>
      </w:pPr>
      <w:bookmarkStart w:id="239" w:name="_Toc24299"/>
      <w:r>
        <w:rPr>
          <w:rFonts w:hint="eastAsia" w:ascii="宋体" w:hAnsi="宋体"/>
          <w:color w:val="auto"/>
          <w:sz w:val="21"/>
          <w:szCs w:val="21"/>
          <w:highlight w:val="none"/>
        </w:rPr>
        <w:t>10.协调施工合同各方之间的关系。</w:t>
      </w:r>
      <w:bookmarkEnd w:id="239"/>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11.按有关规定参加工程验收，负责完成监理资料的汇总整理，协助委托人检查承包人的合同执行情况；做好验收的各项准备工作或者配合工作，提供工程监理资料，提交监理工作报告。</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12.档案管理。做好施工现场的监理记录与信息反馈，做好监理文档管理工作，合同期限届满时按照档案管理要求整理、归档并移交委托人。</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13.监督承包人执行保修期工作计划，检查和验收尾工项目，对已移交工程中出现的质量缺陷等调查原因并提出处理意见。</w:t>
      </w:r>
    </w:p>
    <w:p>
      <w:pPr>
        <w:spacing w:line="460" w:lineRule="exact"/>
        <w:ind w:firstLine="540"/>
        <w:rPr>
          <w:rFonts w:ascii="宋体" w:hAnsi="宋体"/>
          <w:color w:val="auto"/>
          <w:sz w:val="21"/>
          <w:szCs w:val="21"/>
          <w:highlight w:val="none"/>
        </w:rPr>
      </w:pPr>
      <w:r>
        <w:rPr>
          <w:rFonts w:hint="eastAsia" w:ascii="宋体" w:hAnsi="宋体"/>
          <w:color w:val="auto"/>
          <w:sz w:val="21"/>
          <w:szCs w:val="21"/>
          <w:highlight w:val="none"/>
        </w:rPr>
        <w:t>14.按照委托人签订的工程保险合同，做好施工现场工程保险合同的管理。协助委托人向保险公司及时提供一切必要的材料和证据。</w:t>
      </w:r>
    </w:p>
    <w:p>
      <w:pPr>
        <w:spacing w:line="460" w:lineRule="exact"/>
        <w:ind w:firstLine="540"/>
        <w:outlineLvl w:val="2"/>
        <w:rPr>
          <w:rFonts w:ascii="宋体" w:hAnsi="宋体"/>
          <w:color w:val="auto"/>
          <w:sz w:val="21"/>
          <w:szCs w:val="21"/>
          <w:highlight w:val="none"/>
        </w:rPr>
      </w:pPr>
      <w:bookmarkStart w:id="240" w:name="_Toc12318"/>
      <w:r>
        <w:rPr>
          <w:rFonts w:hint="eastAsia" w:ascii="宋体" w:hAnsi="宋体"/>
          <w:color w:val="auto"/>
          <w:sz w:val="21"/>
          <w:szCs w:val="21"/>
          <w:highlight w:val="none"/>
        </w:rPr>
        <w:t>15.其他相关工作。</w:t>
      </w:r>
      <w:bookmarkEnd w:id="240"/>
    </w:p>
    <w:p>
      <w:pPr>
        <w:autoSpaceDE w:val="0"/>
        <w:autoSpaceDN w:val="0"/>
        <w:adjustRightInd w:val="0"/>
        <w:spacing w:line="360" w:lineRule="auto"/>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spacing w:line="440" w:lineRule="exact"/>
        <w:jc w:val="center"/>
        <w:outlineLvl w:val="2"/>
        <w:rPr>
          <w:color w:val="auto"/>
          <w:highlight w:val="none"/>
        </w:rPr>
      </w:pPr>
    </w:p>
    <w:p>
      <w:pPr>
        <w:pStyle w:val="21"/>
        <w:outlineLvl w:val="9"/>
        <w:rPr>
          <w:color w:val="auto"/>
          <w:highlight w:val="none"/>
        </w:rPr>
      </w:pPr>
    </w:p>
    <w:p>
      <w:pPr>
        <w:pStyle w:val="21"/>
        <w:outlineLvl w:val="9"/>
        <w:rPr>
          <w:color w:val="auto"/>
          <w:highlight w:val="none"/>
        </w:rPr>
      </w:pPr>
    </w:p>
    <w:p>
      <w:pPr>
        <w:pStyle w:val="21"/>
        <w:outlineLvl w:val="9"/>
        <w:rPr>
          <w:color w:val="auto"/>
          <w:highlight w:val="none"/>
        </w:rPr>
      </w:pPr>
    </w:p>
    <w:p>
      <w:pPr>
        <w:pStyle w:val="21"/>
        <w:outlineLvl w:val="9"/>
        <w:rPr>
          <w:color w:val="auto"/>
          <w:highlight w:val="none"/>
        </w:rPr>
      </w:pPr>
    </w:p>
    <w:p>
      <w:pPr>
        <w:rPr>
          <w:color w:val="auto"/>
          <w:highlight w:val="none"/>
        </w:rPr>
      </w:pPr>
    </w:p>
    <w:p>
      <w:pPr>
        <w:pStyle w:val="36"/>
        <w:rPr>
          <w:color w:val="auto"/>
          <w:highlight w:val="none"/>
        </w:rPr>
      </w:pPr>
    </w:p>
    <w:p>
      <w:pPr>
        <w:pStyle w:val="36"/>
        <w:rPr>
          <w:color w:val="auto"/>
          <w:highlight w:val="none"/>
        </w:rPr>
      </w:pPr>
    </w:p>
    <w:p>
      <w:pPr>
        <w:pStyle w:val="21"/>
        <w:rPr>
          <w:color w:val="auto"/>
          <w:highlight w:val="none"/>
        </w:rPr>
      </w:pPr>
      <w:bookmarkStart w:id="241" w:name="_Toc26179"/>
      <w:r>
        <w:rPr>
          <w:rFonts w:hint="eastAsia"/>
          <w:color w:val="auto"/>
          <w:highlight w:val="none"/>
        </w:rPr>
        <w:t>第五章   投标文件格式</w:t>
      </w:r>
      <w:bookmarkEnd w:id="190"/>
      <w:bookmarkEnd w:id="191"/>
      <w:bookmarkEnd w:id="192"/>
      <w:bookmarkEnd w:id="193"/>
      <w:bookmarkEnd w:id="194"/>
      <w:bookmarkEnd w:id="241"/>
    </w:p>
    <w:p>
      <w:pPr>
        <w:rPr>
          <w:color w:val="auto"/>
          <w:highlight w:val="none"/>
        </w:rPr>
      </w:pPr>
    </w:p>
    <w:p>
      <w:pPr>
        <w:autoSpaceDE w:val="0"/>
        <w:autoSpaceDN w:val="0"/>
        <w:adjustRightInd w:val="0"/>
        <w:spacing w:line="800" w:lineRule="exact"/>
        <w:jc w:val="right"/>
        <w:rPr>
          <w:rFonts w:ascii="宋体" w:cs="宋体"/>
          <w:b/>
          <w:bCs/>
          <w:color w:val="auto"/>
          <w:kern w:val="0"/>
          <w:sz w:val="32"/>
          <w:szCs w:val="32"/>
          <w:highlight w:val="none"/>
        </w:rPr>
      </w:pPr>
      <w:r>
        <w:rPr>
          <w:rFonts w:ascii="宋体" w:cs="宋体"/>
          <w:color w:val="auto"/>
          <w:kern w:val="0"/>
          <w:sz w:val="24"/>
          <w:highlight w:val="none"/>
        </w:rPr>
        <w:br w:type="page"/>
      </w:r>
      <w:bookmarkStart w:id="242" w:name="_Toc202697122"/>
      <w:bookmarkStart w:id="243" w:name="_Toc21266000"/>
      <w:bookmarkStart w:id="244" w:name="_Toc21265999"/>
      <w:bookmarkStart w:id="245" w:name="_Toc31097_WPSOffice_Level1"/>
      <w:bookmarkStart w:id="246" w:name="_Toc8088_WPSOffice_Level1"/>
      <w:bookmarkStart w:id="247" w:name="_Toc202697121"/>
    </w:p>
    <w:p>
      <w:pPr>
        <w:autoSpaceDE w:val="0"/>
        <w:autoSpaceDN w:val="0"/>
        <w:adjustRightInd w:val="0"/>
        <w:spacing w:line="800" w:lineRule="exact"/>
        <w:jc w:val="center"/>
        <w:rPr>
          <w:rFonts w:ascii="宋体" w:hAnsi="宋体" w:cs="仿宋_GB2312"/>
          <w:b/>
          <w:bCs/>
          <w:color w:val="auto"/>
          <w:spacing w:val="-10"/>
          <w:sz w:val="48"/>
          <w:szCs w:val="48"/>
          <w:highlight w:val="none"/>
          <w:u w:val="single"/>
        </w:rPr>
      </w:pPr>
    </w:p>
    <w:p>
      <w:pPr>
        <w:autoSpaceDE w:val="0"/>
        <w:autoSpaceDN w:val="0"/>
        <w:adjustRightInd w:val="0"/>
        <w:spacing w:line="800" w:lineRule="exact"/>
        <w:jc w:val="center"/>
        <w:outlineLvl w:val="1"/>
        <w:rPr>
          <w:rFonts w:hint="default" w:ascii="宋体" w:hAnsi="宋体" w:eastAsia="宋体" w:cs="仿宋_GB2312"/>
          <w:b/>
          <w:bCs/>
          <w:color w:val="auto"/>
          <w:spacing w:val="-10"/>
          <w:sz w:val="56"/>
          <w:szCs w:val="56"/>
          <w:highlight w:val="none"/>
          <w:u w:val="single"/>
          <w:lang w:val="en-US" w:eastAsia="zh-CN"/>
        </w:rPr>
      </w:pPr>
      <w:r>
        <w:rPr>
          <w:rFonts w:hint="eastAsia" w:ascii="宋体" w:hAnsi="宋体" w:cs="仿宋_GB2312"/>
          <w:b/>
          <w:bCs/>
          <w:color w:val="auto"/>
          <w:spacing w:val="-10"/>
          <w:sz w:val="48"/>
          <w:szCs w:val="48"/>
          <w:highlight w:val="none"/>
          <w:u w:val="single"/>
          <w:lang w:eastAsia="zh-CN"/>
        </w:rPr>
        <w:t>韶关市武江区西河镇2025年农业产业基础设施建设项目</w:t>
      </w:r>
      <w:r>
        <w:rPr>
          <w:rFonts w:hint="eastAsia" w:ascii="宋体" w:hAnsi="宋体" w:cs="仿宋_GB2312"/>
          <w:b/>
          <w:bCs/>
          <w:color w:val="auto"/>
          <w:spacing w:val="-10"/>
          <w:sz w:val="48"/>
          <w:szCs w:val="48"/>
          <w:highlight w:val="none"/>
          <w:u w:val="single"/>
          <w:lang w:val="en-US" w:eastAsia="zh-CN"/>
        </w:rPr>
        <w:t>监理</w:t>
      </w:r>
    </w:p>
    <w:p>
      <w:pPr>
        <w:pStyle w:val="2"/>
        <w:rPr>
          <w:color w:val="auto"/>
          <w:highlight w:val="none"/>
        </w:rPr>
      </w:pPr>
    </w:p>
    <w:p>
      <w:pPr>
        <w:pStyle w:val="2"/>
        <w:rPr>
          <w:color w:val="auto"/>
          <w:highlight w:val="none"/>
        </w:rPr>
      </w:pPr>
    </w:p>
    <w:p>
      <w:pPr>
        <w:autoSpaceDE w:val="0"/>
        <w:autoSpaceDN w:val="0"/>
        <w:adjustRightInd w:val="0"/>
        <w:spacing w:line="800" w:lineRule="exact"/>
        <w:jc w:val="center"/>
        <w:rPr>
          <w:rFonts w:ascii="宋体" w:hAnsi="宋体" w:cs="宋体"/>
          <w:color w:val="auto"/>
          <w:kern w:val="0"/>
          <w:sz w:val="72"/>
          <w:szCs w:val="26"/>
          <w:highlight w:val="none"/>
        </w:rPr>
      </w:pPr>
    </w:p>
    <w:p>
      <w:pPr>
        <w:autoSpaceDE w:val="0"/>
        <w:autoSpaceDN w:val="0"/>
        <w:adjustRightInd w:val="0"/>
        <w:spacing w:line="800" w:lineRule="exact"/>
        <w:jc w:val="center"/>
        <w:rPr>
          <w:rFonts w:ascii="宋体" w:hAnsi="宋体" w:cs="宋体"/>
          <w:color w:val="auto"/>
          <w:kern w:val="0"/>
          <w:sz w:val="72"/>
          <w:szCs w:val="26"/>
          <w:highlight w:val="none"/>
        </w:rPr>
      </w:pPr>
    </w:p>
    <w:p>
      <w:pPr>
        <w:pStyle w:val="7"/>
        <w:rPr>
          <w:color w:val="auto"/>
          <w:highlight w:val="none"/>
        </w:rPr>
      </w:pPr>
    </w:p>
    <w:p>
      <w:pPr>
        <w:autoSpaceDE w:val="0"/>
        <w:autoSpaceDN w:val="0"/>
        <w:adjustRightInd w:val="0"/>
        <w:spacing w:line="800" w:lineRule="exact"/>
        <w:jc w:val="center"/>
        <w:rPr>
          <w:rFonts w:ascii="宋体" w:hAnsi="宋体" w:cs="宋体"/>
          <w:color w:val="auto"/>
          <w:kern w:val="0"/>
          <w:sz w:val="72"/>
          <w:szCs w:val="26"/>
          <w:highlight w:val="none"/>
        </w:rPr>
      </w:pPr>
      <w:r>
        <w:rPr>
          <w:rFonts w:hint="eastAsia" w:ascii="宋体" w:hAnsi="宋体" w:cs="宋体"/>
          <w:color w:val="auto"/>
          <w:kern w:val="0"/>
          <w:sz w:val="72"/>
          <w:szCs w:val="26"/>
          <w:highlight w:val="none"/>
        </w:rPr>
        <w:t xml:space="preserve"> 投标文件</w:t>
      </w:r>
    </w:p>
    <w:p>
      <w:pPr>
        <w:autoSpaceDE w:val="0"/>
        <w:autoSpaceDN w:val="0"/>
        <w:adjustRightInd w:val="0"/>
        <w:spacing w:line="800" w:lineRule="exact"/>
        <w:rPr>
          <w:rFonts w:ascii="宋体" w:hAnsi="宋体" w:cs="宋体"/>
          <w:b/>
          <w:bCs/>
          <w:color w:val="auto"/>
          <w:kern w:val="0"/>
          <w:sz w:val="32"/>
          <w:szCs w:val="26"/>
          <w:highlight w:val="none"/>
        </w:rPr>
      </w:pPr>
    </w:p>
    <w:p>
      <w:pPr>
        <w:autoSpaceDE w:val="0"/>
        <w:autoSpaceDN w:val="0"/>
        <w:adjustRightInd w:val="0"/>
        <w:spacing w:line="800" w:lineRule="exact"/>
        <w:ind w:firstLine="964" w:firstLineChars="300"/>
        <w:rPr>
          <w:rFonts w:ascii="宋体" w:hAnsi="宋体" w:cs="宋体"/>
          <w:b/>
          <w:bCs/>
          <w:color w:val="auto"/>
          <w:kern w:val="0"/>
          <w:sz w:val="32"/>
          <w:szCs w:val="26"/>
          <w:highlight w:val="none"/>
        </w:rPr>
      </w:pPr>
    </w:p>
    <w:p>
      <w:pPr>
        <w:autoSpaceDE w:val="0"/>
        <w:autoSpaceDN w:val="0"/>
        <w:adjustRightInd w:val="0"/>
        <w:spacing w:line="800" w:lineRule="exact"/>
        <w:ind w:firstLine="964" w:firstLineChars="300"/>
        <w:rPr>
          <w:rFonts w:ascii="宋体" w:hAnsi="宋体" w:cs="宋体"/>
          <w:b/>
          <w:bCs/>
          <w:color w:val="auto"/>
          <w:kern w:val="0"/>
          <w:sz w:val="32"/>
          <w:szCs w:val="26"/>
          <w:highlight w:val="none"/>
        </w:rPr>
      </w:pPr>
    </w:p>
    <w:p>
      <w:pPr>
        <w:autoSpaceDE w:val="0"/>
        <w:autoSpaceDN w:val="0"/>
        <w:adjustRightInd w:val="0"/>
        <w:spacing w:line="800" w:lineRule="exact"/>
        <w:ind w:firstLine="964" w:firstLineChars="300"/>
        <w:rPr>
          <w:rFonts w:ascii="宋体" w:hAnsi="宋体" w:cs="宋体"/>
          <w:b/>
          <w:bCs/>
          <w:color w:val="auto"/>
          <w:kern w:val="0"/>
          <w:sz w:val="32"/>
          <w:szCs w:val="26"/>
          <w:highlight w:val="none"/>
        </w:rPr>
      </w:pPr>
    </w:p>
    <w:p>
      <w:pPr>
        <w:autoSpaceDE w:val="0"/>
        <w:autoSpaceDN w:val="0"/>
        <w:adjustRightInd w:val="0"/>
        <w:spacing w:line="800" w:lineRule="exact"/>
        <w:ind w:firstLine="964" w:firstLineChars="300"/>
        <w:rPr>
          <w:rFonts w:ascii="宋体" w:hAnsi="宋体" w:cs="宋体"/>
          <w:b/>
          <w:bCs/>
          <w:color w:val="auto"/>
          <w:kern w:val="0"/>
          <w:sz w:val="32"/>
          <w:szCs w:val="26"/>
          <w:highlight w:val="none"/>
          <w:u w:val="single"/>
        </w:rPr>
      </w:pPr>
      <w:r>
        <w:rPr>
          <w:rFonts w:hint="eastAsia" w:ascii="宋体" w:hAnsi="宋体" w:cs="宋体"/>
          <w:b/>
          <w:bCs/>
          <w:color w:val="auto"/>
          <w:kern w:val="0"/>
          <w:sz w:val="32"/>
          <w:szCs w:val="26"/>
          <w:highlight w:val="none"/>
        </w:rPr>
        <w:t xml:space="preserve">   投标人：</w:t>
      </w:r>
      <w:r>
        <w:rPr>
          <w:rFonts w:hint="eastAsia" w:ascii="宋体" w:hAnsi="宋体" w:cs="宋体"/>
          <w:b/>
          <w:bCs/>
          <w:color w:val="auto"/>
          <w:kern w:val="0"/>
          <w:sz w:val="32"/>
          <w:szCs w:val="26"/>
          <w:highlight w:val="none"/>
          <w:u w:val="single"/>
        </w:rPr>
        <w:t xml:space="preserve">  （全称并加盖公章）   </w:t>
      </w:r>
    </w:p>
    <w:p>
      <w:pPr>
        <w:autoSpaceDE w:val="0"/>
        <w:autoSpaceDN w:val="0"/>
        <w:adjustRightInd w:val="0"/>
        <w:spacing w:line="800" w:lineRule="exact"/>
        <w:ind w:firstLine="964" w:firstLineChars="300"/>
        <w:rPr>
          <w:rFonts w:ascii="宋体" w:hAnsi="宋体" w:cs="宋体"/>
          <w:b/>
          <w:bCs/>
          <w:color w:val="auto"/>
          <w:kern w:val="0"/>
          <w:sz w:val="32"/>
          <w:szCs w:val="26"/>
          <w:highlight w:val="none"/>
        </w:rPr>
      </w:pPr>
      <w:r>
        <w:rPr>
          <w:rFonts w:hint="eastAsia" w:ascii="宋体" w:hAnsi="宋体" w:cs="宋体"/>
          <w:b/>
          <w:bCs/>
          <w:color w:val="auto"/>
          <w:kern w:val="0"/>
          <w:sz w:val="32"/>
          <w:szCs w:val="26"/>
          <w:highlight w:val="none"/>
        </w:rPr>
        <w:t xml:space="preserve">   法定代表人（或委托代理人）：</w:t>
      </w:r>
      <w:r>
        <w:rPr>
          <w:rFonts w:hint="eastAsia" w:ascii="宋体" w:hAnsi="宋体" w:cs="宋体"/>
          <w:b/>
          <w:bCs/>
          <w:color w:val="auto"/>
          <w:kern w:val="0"/>
          <w:sz w:val="32"/>
          <w:szCs w:val="26"/>
          <w:highlight w:val="none"/>
          <w:u w:val="single"/>
        </w:rPr>
        <w:t xml:space="preserve">（签字或盖章） </w:t>
      </w:r>
      <w:r>
        <w:rPr>
          <w:rFonts w:hint="eastAsia" w:ascii="宋体" w:hAnsi="宋体" w:cs="宋体"/>
          <w:b/>
          <w:bCs/>
          <w:color w:val="auto"/>
          <w:kern w:val="0"/>
          <w:sz w:val="32"/>
          <w:szCs w:val="26"/>
          <w:highlight w:val="none"/>
        </w:rPr>
        <w:t xml:space="preserve">       </w:t>
      </w:r>
    </w:p>
    <w:p>
      <w:pPr>
        <w:autoSpaceDE w:val="0"/>
        <w:autoSpaceDN w:val="0"/>
        <w:adjustRightInd w:val="0"/>
        <w:spacing w:line="800" w:lineRule="exact"/>
        <w:ind w:firstLine="2409" w:firstLineChars="750"/>
        <w:rPr>
          <w:rFonts w:ascii="宋体" w:hAnsi="宋体" w:cs="宋体"/>
          <w:b/>
          <w:bCs/>
          <w:color w:val="auto"/>
          <w:kern w:val="0"/>
          <w:sz w:val="32"/>
          <w:szCs w:val="26"/>
          <w:highlight w:val="none"/>
        </w:rPr>
      </w:pPr>
      <w:r>
        <w:rPr>
          <w:rFonts w:hint="eastAsia" w:ascii="宋体" w:hAnsi="宋体" w:cs="宋体"/>
          <w:b/>
          <w:bCs/>
          <w:color w:val="auto"/>
          <w:kern w:val="0"/>
          <w:sz w:val="32"/>
          <w:szCs w:val="26"/>
          <w:highlight w:val="none"/>
          <w:u w:val="single"/>
        </w:rPr>
        <w:t xml:space="preserve">     </w:t>
      </w:r>
      <w:r>
        <w:rPr>
          <w:rFonts w:hint="eastAsia" w:ascii="宋体" w:hAnsi="宋体" w:cs="宋体"/>
          <w:b/>
          <w:bCs/>
          <w:color w:val="auto"/>
          <w:kern w:val="0"/>
          <w:sz w:val="32"/>
          <w:szCs w:val="26"/>
          <w:highlight w:val="none"/>
        </w:rPr>
        <w:t>年</w:t>
      </w:r>
      <w:r>
        <w:rPr>
          <w:rFonts w:hint="eastAsia" w:ascii="宋体" w:hAnsi="宋体" w:cs="宋体"/>
          <w:b/>
          <w:bCs/>
          <w:color w:val="auto"/>
          <w:kern w:val="0"/>
          <w:sz w:val="32"/>
          <w:szCs w:val="26"/>
          <w:highlight w:val="none"/>
          <w:u w:val="single"/>
        </w:rPr>
        <w:t xml:space="preserve">      </w:t>
      </w:r>
      <w:r>
        <w:rPr>
          <w:rFonts w:hint="eastAsia" w:ascii="宋体" w:hAnsi="宋体" w:cs="宋体"/>
          <w:b/>
          <w:bCs/>
          <w:color w:val="auto"/>
          <w:kern w:val="0"/>
          <w:sz w:val="32"/>
          <w:szCs w:val="26"/>
          <w:highlight w:val="none"/>
        </w:rPr>
        <w:t>月</w:t>
      </w:r>
      <w:r>
        <w:rPr>
          <w:rFonts w:hint="eastAsia" w:ascii="宋体" w:hAnsi="宋体" w:cs="宋体"/>
          <w:b/>
          <w:bCs/>
          <w:color w:val="auto"/>
          <w:kern w:val="0"/>
          <w:sz w:val="32"/>
          <w:szCs w:val="26"/>
          <w:highlight w:val="none"/>
          <w:u w:val="single"/>
        </w:rPr>
        <w:t xml:space="preserve">    </w:t>
      </w:r>
      <w:r>
        <w:rPr>
          <w:rFonts w:hint="eastAsia" w:ascii="宋体" w:hAnsi="宋体" w:cs="宋体"/>
          <w:b/>
          <w:bCs/>
          <w:color w:val="auto"/>
          <w:kern w:val="0"/>
          <w:sz w:val="32"/>
          <w:szCs w:val="26"/>
          <w:highlight w:val="none"/>
        </w:rPr>
        <w:t>日</w:t>
      </w:r>
    </w:p>
    <w:p>
      <w:pPr>
        <w:tabs>
          <w:tab w:val="left" w:pos="7425"/>
        </w:tabs>
        <w:jc w:val="center"/>
        <w:rPr>
          <w:b/>
          <w:color w:val="auto"/>
          <w:szCs w:val="28"/>
          <w:highlight w:val="none"/>
        </w:rPr>
      </w:pPr>
      <w:r>
        <w:rPr>
          <w:rFonts w:hAnsi="宋体" w:cs="宋体"/>
          <w:color w:val="auto"/>
          <w:kern w:val="0"/>
          <w:sz w:val="26"/>
          <w:szCs w:val="26"/>
          <w:highlight w:val="none"/>
        </w:rPr>
        <w:br w:type="page"/>
      </w:r>
      <w:r>
        <w:rPr>
          <w:b/>
          <w:color w:val="auto"/>
          <w:szCs w:val="28"/>
          <w:highlight w:val="none"/>
        </w:rPr>
        <w:t>评审因素索引表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1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6313"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2159"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1</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2</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3</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4</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5</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6</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7</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8</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9</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10</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11</w:t>
            </w:r>
          </w:p>
        </w:tc>
        <w:tc>
          <w:tcPr>
            <w:tcW w:w="6313" w:type="dxa"/>
            <w:vAlign w:val="center"/>
          </w:tcPr>
          <w:p>
            <w:pPr>
              <w:jc w:val="center"/>
              <w:rPr>
                <w:rFonts w:ascii="宋体" w:hAnsi="宋体" w:cs="宋体"/>
                <w:color w:val="auto"/>
                <w:sz w:val="21"/>
                <w:szCs w:val="21"/>
                <w:highlight w:val="none"/>
              </w:rPr>
            </w:pP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28" w:type="dxa"/>
            <w:vAlign w:val="center"/>
          </w:tcPr>
          <w:p>
            <w:pPr>
              <w:jc w:val="center"/>
              <w:rPr>
                <w:rFonts w:ascii="宋体" w:hAnsi="宋体" w:cs="宋体"/>
                <w:b/>
                <w:color w:val="auto"/>
                <w:sz w:val="21"/>
                <w:szCs w:val="21"/>
                <w:highlight w:val="none"/>
              </w:rPr>
            </w:pPr>
          </w:p>
        </w:tc>
        <w:tc>
          <w:tcPr>
            <w:tcW w:w="6313" w:type="dxa"/>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159" w:type="dxa"/>
            <w:vAlign w:val="center"/>
          </w:tcPr>
          <w:p>
            <w:pPr>
              <w:ind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~P</w:t>
            </w:r>
            <w:r>
              <w:rPr>
                <w:rFonts w:hint="eastAsia" w:ascii="宋体" w:hAnsi="宋体" w:cs="宋体"/>
                <w:color w:val="auto"/>
                <w:sz w:val="21"/>
                <w:szCs w:val="21"/>
                <w:highlight w:val="none"/>
                <w:u w:val="single"/>
              </w:rPr>
              <w:t xml:space="preserve">     </w:t>
            </w:r>
          </w:p>
        </w:tc>
      </w:tr>
    </w:tbl>
    <w:p>
      <w:pPr>
        <w:pStyle w:val="4"/>
        <w:numPr>
          <w:ilvl w:val="0"/>
          <w:numId w:val="0"/>
        </w:numPr>
        <w:spacing w:line="525" w:lineRule="exact"/>
        <w:ind w:right="457"/>
        <w:jc w:val="center"/>
        <w:rPr>
          <w:rFonts w:ascii="宋体" w:hAnsi="宋体" w:cs="宋体"/>
          <w:color w:val="auto"/>
          <w:highlight w:val="none"/>
        </w:rPr>
      </w:pPr>
    </w:p>
    <w:p>
      <w:pPr>
        <w:rPr>
          <w:color w:val="auto"/>
          <w:highlight w:val="none"/>
        </w:rPr>
      </w:pPr>
    </w:p>
    <w:p>
      <w:pPr>
        <w:pStyle w:val="4"/>
        <w:numPr>
          <w:ilvl w:val="0"/>
          <w:numId w:val="0"/>
        </w:numPr>
        <w:spacing w:line="525" w:lineRule="exact"/>
        <w:ind w:right="457"/>
        <w:jc w:val="center"/>
        <w:rPr>
          <w:rFonts w:ascii="宋体" w:hAnsi="宋体"/>
          <w:color w:val="auto"/>
          <w:highlight w:val="none"/>
        </w:rPr>
      </w:pPr>
      <w:bookmarkStart w:id="248" w:name="_Toc20928"/>
      <w:r>
        <w:rPr>
          <w:rFonts w:hint="eastAsia" w:ascii="宋体" w:hAnsi="宋体" w:cs="宋体"/>
          <w:color w:val="auto"/>
          <w:highlight w:val="none"/>
        </w:rPr>
        <w:t>目   录</w:t>
      </w:r>
      <w:bookmarkEnd w:id="248"/>
    </w:p>
    <w:p>
      <w:pPr>
        <w:pStyle w:val="10"/>
        <w:rPr>
          <w:b/>
          <w:bCs/>
          <w:color w:val="auto"/>
          <w:sz w:val="20"/>
          <w:szCs w:val="20"/>
          <w:highlight w:val="none"/>
        </w:rPr>
      </w:pPr>
    </w:p>
    <w:p>
      <w:pPr>
        <w:pStyle w:val="10"/>
        <w:rPr>
          <w:b/>
          <w:bCs/>
          <w:color w:val="auto"/>
          <w:sz w:val="20"/>
          <w:szCs w:val="20"/>
          <w:highlight w:val="none"/>
        </w:rPr>
      </w:pPr>
    </w:p>
    <w:p>
      <w:pPr>
        <w:pStyle w:val="10"/>
        <w:spacing w:before="1" w:line="360" w:lineRule="auto"/>
        <w:rPr>
          <w:b/>
          <w:bCs/>
          <w:color w:val="auto"/>
          <w:szCs w:val="28"/>
          <w:highlight w:val="none"/>
        </w:rPr>
      </w:pPr>
    </w:p>
    <w:p>
      <w:pPr>
        <w:numPr>
          <w:ilvl w:val="0"/>
          <w:numId w:val="6"/>
        </w:numPr>
        <w:autoSpaceDE w:val="0"/>
        <w:autoSpaceDN w:val="0"/>
        <w:spacing w:line="360" w:lineRule="auto"/>
        <w:jc w:val="left"/>
        <w:rPr>
          <w:color w:val="auto"/>
          <w:sz w:val="21"/>
          <w:szCs w:val="21"/>
          <w:highlight w:val="none"/>
        </w:rPr>
      </w:pPr>
      <w:r>
        <w:rPr>
          <w:rFonts w:hint="eastAsia"/>
          <w:color w:val="auto"/>
          <w:sz w:val="21"/>
          <w:szCs w:val="21"/>
          <w:highlight w:val="none"/>
        </w:rPr>
        <w:t>投标函</w:t>
      </w:r>
    </w:p>
    <w:p>
      <w:pPr>
        <w:numPr>
          <w:ilvl w:val="0"/>
          <w:numId w:val="6"/>
        </w:numPr>
        <w:autoSpaceDE w:val="0"/>
        <w:autoSpaceDN w:val="0"/>
        <w:spacing w:line="360" w:lineRule="auto"/>
        <w:jc w:val="left"/>
        <w:rPr>
          <w:color w:val="auto"/>
          <w:sz w:val="21"/>
          <w:szCs w:val="21"/>
          <w:highlight w:val="none"/>
        </w:rPr>
      </w:pPr>
      <w:r>
        <w:rPr>
          <w:rFonts w:hint="eastAsia"/>
          <w:color w:val="auto"/>
          <w:sz w:val="21"/>
          <w:szCs w:val="21"/>
          <w:highlight w:val="none"/>
        </w:rPr>
        <w:t>法定代表人身份证明或授权委托书</w:t>
      </w:r>
    </w:p>
    <w:p>
      <w:pPr>
        <w:numPr>
          <w:ilvl w:val="0"/>
          <w:numId w:val="6"/>
        </w:numPr>
        <w:autoSpaceDE w:val="0"/>
        <w:autoSpaceDN w:val="0"/>
        <w:spacing w:line="360" w:lineRule="auto"/>
        <w:jc w:val="left"/>
        <w:rPr>
          <w:color w:val="auto"/>
          <w:sz w:val="21"/>
          <w:szCs w:val="21"/>
          <w:highlight w:val="none"/>
        </w:rPr>
      </w:pPr>
      <w:r>
        <w:rPr>
          <w:rFonts w:hint="eastAsia"/>
          <w:color w:val="auto"/>
          <w:sz w:val="21"/>
          <w:szCs w:val="21"/>
          <w:highlight w:val="none"/>
        </w:rPr>
        <w:t>投标保证金</w:t>
      </w:r>
    </w:p>
    <w:p>
      <w:pPr>
        <w:numPr>
          <w:ilvl w:val="0"/>
          <w:numId w:val="6"/>
        </w:numPr>
        <w:autoSpaceDE w:val="0"/>
        <w:autoSpaceDN w:val="0"/>
        <w:spacing w:line="360" w:lineRule="auto"/>
        <w:jc w:val="left"/>
        <w:rPr>
          <w:color w:val="auto"/>
          <w:sz w:val="21"/>
          <w:szCs w:val="21"/>
          <w:highlight w:val="none"/>
        </w:rPr>
      </w:pPr>
      <w:r>
        <w:rPr>
          <w:rFonts w:hint="eastAsia"/>
          <w:color w:val="auto"/>
          <w:sz w:val="21"/>
          <w:szCs w:val="21"/>
          <w:highlight w:val="none"/>
        </w:rPr>
        <w:t>资格审查资料</w:t>
      </w:r>
    </w:p>
    <w:p>
      <w:pPr>
        <w:numPr>
          <w:ilvl w:val="0"/>
          <w:numId w:val="6"/>
        </w:numPr>
        <w:autoSpaceDE w:val="0"/>
        <w:autoSpaceDN w:val="0"/>
        <w:spacing w:line="360" w:lineRule="auto"/>
        <w:jc w:val="left"/>
        <w:rPr>
          <w:color w:val="auto"/>
          <w:sz w:val="21"/>
          <w:szCs w:val="21"/>
          <w:highlight w:val="none"/>
        </w:rPr>
      </w:pPr>
      <w:bookmarkStart w:id="249" w:name="_Toc1506_WPSOffice_Level1"/>
      <w:bookmarkStart w:id="250" w:name="_Toc20757_WPSOffice_Level1"/>
      <w:r>
        <w:rPr>
          <w:rFonts w:hint="eastAsia"/>
          <w:color w:val="auto"/>
          <w:sz w:val="21"/>
          <w:szCs w:val="21"/>
          <w:highlight w:val="none"/>
        </w:rPr>
        <w:t>监理大纲</w:t>
      </w:r>
      <w:bookmarkEnd w:id="249"/>
      <w:bookmarkEnd w:id="250"/>
    </w:p>
    <w:p>
      <w:pPr>
        <w:numPr>
          <w:ilvl w:val="0"/>
          <w:numId w:val="6"/>
        </w:numPr>
        <w:autoSpaceDE w:val="0"/>
        <w:autoSpaceDN w:val="0"/>
        <w:spacing w:line="360" w:lineRule="auto"/>
        <w:jc w:val="left"/>
        <w:rPr>
          <w:color w:val="auto"/>
          <w:sz w:val="21"/>
          <w:szCs w:val="21"/>
          <w:highlight w:val="none"/>
        </w:rPr>
        <w:sectPr>
          <w:pgSz w:w="11905" w:h="16838"/>
          <w:pgMar w:top="1417" w:right="1417" w:bottom="1417" w:left="1417" w:header="850" w:footer="992" w:gutter="0"/>
          <w:cols w:space="720" w:num="1"/>
          <w:docGrid w:type="lines" w:linePitch="389" w:charSpace="0"/>
        </w:sectPr>
      </w:pPr>
      <w:r>
        <w:rPr>
          <w:rFonts w:hint="eastAsia"/>
          <w:color w:val="auto"/>
          <w:sz w:val="21"/>
          <w:szCs w:val="21"/>
          <w:highlight w:val="none"/>
        </w:rPr>
        <w:t>招标文件要求提供的其他资料。</w:t>
      </w:r>
    </w:p>
    <w:bookmarkEnd w:id="242"/>
    <w:bookmarkEnd w:id="243"/>
    <w:bookmarkEnd w:id="244"/>
    <w:bookmarkEnd w:id="245"/>
    <w:bookmarkEnd w:id="246"/>
    <w:bookmarkEnd w:id="247"/>
    <w:p>
      <w:pPr>
        <w:jc w:val="center"/>
        <w:rPr>
          <w:rFonts w:ascii="宋体" w:hAnsi="宋体" w:cs="宋体"/>
          <w:b/>
          <w:color w:val="auto"/>
          <w:szCs w:val="28"/>
          <w:highlight w:val="none"/>
        </w:rPr>
      </w:pPr>
      <w:bookmarkStart w:id="251" w:name="_Toc27608_WPSOffice_Level1"/>
      <w:bookmarkStart w:id="252" w:name="_Toc25107_WPSOffice_Level1"/>
      <w:r>
        <w:rPr>
          <w:rFonts w:hint="eastAsia" w:ascii="宋体" w:hAnsi="宋体" w:cs="宋体"/>
          <w:b/>
          <w:color w:val="auto"/>
          <w:szCs w:val="28"/>
          <w:highlight w:val="none"/>
        </w:rPr>
        <w:t>一、投标函</w:t>
      </w:r>
    </w:p>
    <w:p>
      <w:pPr>
        <w:rPr>
          <w:rFonts w:ascii="宋体" w:hAnsi="宋体" w:cs="宋体"/>
          <w:b/>
          <w:color w:val="auto"/>
          <w:sz w:val="24"/>
          <w:highlight w:val="none"/>
        </w:rPr>
      </w:pPr>
    </w:p>
    <w:p>
      <w:pPr>
        <w:spacing w:line="360" w:lineRule="auto"/>
        <w:rPr>
          <w:rFonts w:ascii="宋体" w:hAnsi="宋体" w:cs="宋体"/>
          <w:color w:val="auto"/>
          <w:sz w:val="21"/>
          <w:szCs w:val="21"/>
          <w:highlight w:val="none"/>
          <w:u w:val="single"/>
        </w:rPr>
      </w:pPr>
      <w:r>
        <w:rPr>
          <w:rFonts w:hint="eastAsia" w:ascii="宋体" w:hAnsi="宋体" w:cs="宋体"/>
          <w:color w:val="auto"/>
          <w:kern w:val="0"/>
          <w:sz w:val="21"/>
          <w:szCs w:val="21"/>
          <w:highlight w:val="none"/>
          <w:u w:val="single"/>
        </w:rPr>
        <w:t xml:space="preserve">                    （招标人名称）：</w:t>
      </w:r>
    </w:p>
    <w:p>
      <w:pPr>
        <w:spacing w:line="360" w:lineRule="auto"/>
        <w:rPr>
          <w:rFonts w:ascii="宋体" w:hAnsi="宋体" w:cs="宋体"/>
          <w:color w:val="auto"/>
          <w:sz w:val="18"/>
          <w:szCs w:val="18"/>
          <w:highlight w:val="none"/>
        </w:rPr>
      </w:pPr>
      <w:r>
        <w:rPr>
          <w:rFonts w:hint="eastAsia" w:ascii="宋体" w:hAnsi="宋体" w:cs="宋体"/>
          <w:color w:val="auto"/>
          <w:sz w:val="21"/>
          <w:szCs w:val="21"/>
          <w:highlight w:val="none"/>
        </w:rPr>
        <w:t xml:space="preserve">    1、</w:t>
      </w:r>
      <w:r>
        <w:rPr>
          <w:rFonts w:hint="eastAsia" w:ascii="宋体" w:hAnsi="宋体" w:eastAsia="宋体" w:cs="宋体"/>
          <w:snapToGrid w:val="0"/>
          <w:color w:val="auto"/>
          <w:kern w:val="0"/>
          <w:sz w:val="21"/>
          <w:szCs w:val="21"/>
          <w:highlight w:val="none"/>
        </w:rPr>
        <w:t>我方在仔细研究</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（项目名称）</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（以下简称“本项目”）招标文件的全部内容后，结合自身资质、能力和特点，愿意接受招标文件的全部内容和条件。兹以人民币（大写）：</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）的投标总价（其中，增值税税率为</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）竞投本项目</w:t>
      </w:r>
      <w:r>
        <w:rPr>
          <w:rFonts w:hint="eastAsia" w:ascii="宋体" w:hAnsi="宋体" w:eastAsia="宋体" w:cs="宋体"/>
          <w:snapToGrid w:val="0"/>
          <w:color w:val="auto"/>
          <w:kern w:val="0"/>
          <w:sz w:val="21"/>
          <w:szCs w:val="21"/>
          <w:highlight w:val="none"/>
          <w:u w:val="single"/>
        </w:rPr>
        <w:t xml:space="preserve">  监理及相关服务 </w:t>
      </w:r>
      <w:r>
        <w:rPr>
          <w:rFonts w:hint="eastAsia" w:ascii="宋体" w:hAnsi="宋体" w:eastAsia="宋体" w:cs="宋体"/>
          <w:snapToGrid w:val="0"/>
          <w:color w:val="auto"/>
          <w:kern w:val="0"/>
          <w:sz w:val="21"/>
          <w:szCs w:val="21"/>
          <w:highlight w:val="none"/>
        </w:rPr>
        <w:t>，投标取费费率为</w:t>
      </w:r>
      <w:r>
        <w:rPr>
          <w:rFonts w:hint="eastAsia" w:ascii="宋体" w:hAnsi="宋体" w:eastAsia="宋体" w:cs="宋体"/>
          <w:snapToGrid w:val="0"/>
          <w:color w:val="auto"/>
          <w:kern w:val="0"/>
          <w:sz w:val="21"/>
          <w:szCs w:val="21"/>
          <w:highlight w:val="none"/>
          <w:u w:val="single"/>
        </w:rPr>
        <w:t xml:space="preserve">     % </w:t>
      </w:r>
      <w:r>
        <w:rPr>
          <w:rFonts w:hint="eastAsia" w:ascii="宋体" w:hAnsi="宋体" w:eastAsia="宋体" w:cs="宋体"/>
          <w:snapToGrid w:val="0"/>
          <w:color w:val="auto"/>
          <w:kern w:val="0"/>
          <w:sz w:val="21"/>
          <w:szCs w:val="21"/>
          <w:highlight w:val="none"/>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2、我方提交的投标文件(包括投标报价书和其它投标文件)在投标截止时间后的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天内有效，在此期间被你方接受的上述文件对我方一直具有约束力。我方保证在投标文件的有效期内不撤回投标文件，除招标文件另有规定外，不修改投标文件。</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3、随同本投标报价书附上投标保证金一份，作为我方投标的担保。</w:t>
      </w:r>
    </w:p>
    <w:p>
      <w:pPr>
        <w:spacing w:line="360" w:lineRule="auto"/>
        <w:outlineLvl w:val="1"/>
        <w:rPr>
          <w:rFonts w:ascii="宋体" w:hAnsi="宋体" w:cs="宋体"/>
          <w:color w:val="auto"/>
          <w:sz w:val="21"/>
          <w:szCs w:val="21"/>
          <w:highlight w:val="none"/>
        </w:rPr>
      </w:pPr>
      <w:r>
        <w:rPr>
          <w:rFonts w:hint="eastAsia" w:ascii="宋体" w:hAnsi="宋体" w:cs="宋体"/>
          <w:color w:val="auto"/>
          <w:sz w:val="21"/>
          <w:szCs w:val="21"/>
          <w:highlight w:val="none"/>
        </w:rPr>
        <w:t xml:space="preserve">    </w:t>
      </w:r>
      <w:bookmarkStart w:id="253" w:name="_Toc21615"/>
      <w:r>
        <w:rPr>
          <w:rFonts w:hint="eastAsia" w:ascii="宋体" w:hAnsi="宋体" w:cs="宋体"/>
          <w:color w:val="auto"/>
          <w:sz w:val="21"/>
          <w:szCs w:val="21"/>
          <w:highlight w:val="none"/>
        </w:rPr>
        <w:t>4、若我方中标：</w:t>
      </w:r>
      <w:bookmarkEnd w:id="253"/>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(1) 我方保证在收到你方的中标通知书后，按招标文件规定的期限，及时派代表前去签订合同。</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(2) 我方保证向你方按时提交招标文件规定的履约担保证件，作为我方的履约担保。</w:t>
      </w:r>
    </w:p>
    <w:p>
      <w:pPr>
        <w:spacing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(3)我方完全理解你方不保证投标价最低的投标人中标。</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5、我方在此声明，所递交的投标文件及有关资料内容完整、真实和准确，且不存在第二章投标人须知第1.4.3款规定的任何一种情形。</w:t>
      </w:r>
    </w:p>
    <w:p>
      <w:pPr>
        <w:spacing w:line="360" w:lineRule="auto"/>
        <w:ind w:firstLine="420" w:firstLineChars="200"/>
        <w:outlineLvl w:val="1"/>
        <w:rPr>
          <w:rFonts w:ascii="宋体" w:hAnsi="宋体" w:cs="宋体"/>
          <w:color w:val="auto"/>
          <w:sz w:val="21"/>
          <w:szCs w:val="21"/>
          <w:highlight w:val="none"/>
        </w:rPr>
      </w:pPr>
      <w:bookmarkStart w:id="254" w:name="_Toc9760"/>
      <w:r>
        <w:rPr>
          <w:rFonts w:hint="eastAsia" w:ascii="宋体" w:hAnsi="宋体" w:cs="宋体"/>
          <w:color w:val="auto"/>
          <w:sz w:val="21"/>
          <w:szCs w:val="21"/>
          <w:highlight w:val="none"/>
        </w:rPr>
        <w:t>6、质量标准：合格。</w:t>
      </w:r>
      <w:bookmarkEnd w:id="254"/>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7、（其它补充说明）。</w:t>
      </w:r>
    </w:p>
    <w:p>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投标人：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法定代表人(或委托代理人)：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                            地    址：</w:t>
      </w:r>
      <w:r>
        <w:rPr>
          <w:rFonts w:hint="eastAsia" w:ascii="宋体" w:hAnsi="宋体" w:cs="宋体"/>
          <w:color w:val="auto"/>
          <w:sz w:val="21"/>
          <w:szCs w:val="21"/>
          <w:highlight w:val="none"/>
          <w:u w:val="single"/>
        </w:rPr>
        <w:t xml:space="preserve">                  </w:t>
      </w:r>
    </w:p>
    <w:p>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电    话：</w:t>
      </w:r>
      <w:r>
        <w:rPr>
          <w:rFonts w:hint="eastAsia" w:ascii="宋体" w:hAnsi="宋体" w:cs="宋体"/>
          <w:color w:val="auto"/>
          <w:sz w:val="21"/>
          <w:szCs w:val="21"/>
          <w:highlight w:val="none"/>
          <w:u w:val="single"/>
        </w:rPr>
        <w:t xml:space="preserve">                   </w:t>
      </w:r>
    </w:p>
    <w:p>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w:t>
      </w:r>
    </w:p>
    <w:p>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邮政编码：</w:t>
      </w:r>
      <w:r>
        <w:rPr>
          <w:rFonts w:hint="eastAsia" w:ascii="宋体" w:hAnsi="宋体" w:cs="宋体"/>
          <w:color w:val="auto"/>
          <w:sz w:val="21"/>
          <w:szCs w:val="21"/>
          <w:highlight w:val="none"/>
          <w:u w:val="single"/>
        </w:rPr>
        <w:t xml:space="preserve">                   </w:t>
      </w:r>
    </w:p>
    <w:p>
      <w:pPr>
        <w:pStyle w:val="10"/>
        <w:tabs>
          <w:tab w:val="left" w:pos="7381"/>
        </w:tabs>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　</w:t>
      </w:r>
    </w:p>
    <w:bookmarkEnd w:id="251"/>
    <w:bookmarkEnd w:id="252"/>
    <w:p>
      <w:pPr>
        <w:jc w:val="center"/>
        <w:rPr>
          <w:rFonts w:ascii="宋体" w:hAnsi="宋体" w:cs="宋体"/>
          <w:b/>
          <w:color w:val="auto"/>
          <w:szCs w:val="28"/>
          <w:highlight w:val="none"/>
        </w:rPr>
      </w:pPr>
      <w:bookmarkStart w:id="255" w:name="_Toc24198_WPSOffice_Level1"/>
      <w:bookmarkStart w:id="256" w:name="_Toc571_WPSOffice_Level1"/>
      <w:bookmarkStart w:id="257" w:name="_Toc202697127"/>
    </w:p>
    <w:p>
      <w:pPr>
        <w:jc w:val="center"/>
        <w:rPr>
          <w:rFonts w:ascii="宋体" w:hAnsi="宋体" w:cs="宋体"/>
          <w:b/>
          <w:color w:val="auto"/>
          <w:szCs w:val="28"/>
          <w:highlight w:val="none"/>
        </w:rPr>
      </w:pPr>
    </w:p>
    <w:p>
      <w:pPr>
        <w:jc w:val="center"/>
        <w:rPr>
          <w:rFonts w:ascii="宋体" w:hAnsi="宋体" w:cs="宋体"/>
          <w:b/>
          <w:color w:val="auto"/>
          <w:szCs w:val="28"/>
          <w:highlight w:val="none"/>
        </w:rPr>
      </w:pPr>
    </w:p>
    <w:p>
      <w:pPr>
        <w:jc w:val="center"/>
        <w:rPr>
          <w:rFonts w:ascii="宋体" w:hAnsi="宋体" w:cs="宋体"/>
          <w:b/>
          <w:color w:val="auto"/>
          <w:szCs w:val="28"/>
          <w:highlight w:val="none"/>
        </w:rPr>
      </w:pPr>
    </w:p>
    <w:p>
      <w:pPr>
        <w:jc w:val="center"/>
        <w:outlineLvl w:val="2"/>
        <w:rPr>
          <w:rFonts w:ascii="宋体" w:hAnsi="宋体" w:cs="宋体"/>
          <w:b/>
          <w:color w:val="auto"/>
          <w:szCs w:val="28"/>
          <w:highlight w:val="none"/>
        </w:rPr>
      </w:pPr>
      <w:bookmarkStart w:id="258" w:name="_Toc18499"/>
      <w:r>
        <w:rPr>
          <w:rFonts w:hint="eastAsia" w:ascii="宋体" w:hAnsi="宋体" w:cs="宋体"/>
          <w:b/>
          <w:color w:val="auto"/>
          <w:szCs w:val="28"/>
          <w:highlight w:val="none"/>
        </w:rPr>
        <w:t>二、法定代表人身份证明或授权委托书</w:t>
      </w:r>
      <w:bookmarkEnd w:id="258"/>
    </w:p>
    <w:p>
      <w:pPr>
        <w:rPr>
          <w:rFonts w:ascii="宋体" w:hAnsi="宋体" w:cs="宋体"/>
          <w:color w:val="auto"/>
          <w:sz w:val="24"/>
          <w:highlight w:val="none"/>
        </w:rPr>
      </w:pPr>
    </w:p>
    <w:p>
      <w:pPr>
        <w:jc w:val="center"/>
        <w:rPr>
          <w:rFonts w:ascii="宋体" w:hAnsi="宋体" w:cs="宋体"/>
          <w:color w:val="auto"/>
          <w:sz w:val="24"/>
          <w:highlight w:val="none"/>
        </w:rPr>
      </w:pPr>
      <w:r>
        <w:rPr>
          <w:rFonts w:hint="eastAsia" w:ascii="宋体" w:hAnsi="宋体" w:cs="宋体"/>
          <w:color w:val="auto"/>
          <w:sz w:val="24"/>
          <w:highlight w:val="none"/>
        </w:rPr>
        <w:t>（一） 法定代表人身份证明书</w:t>
      </w:r>
    </w:p>
    <w:p>
      <w:pPr>
        <w:rPr>
          <w:rFonts w:ascii="宋体" w:hAnsi="宋体" w:cs="宋体"/>
          <w:color w:val="auto"/>
          <w:sz w:val="21"/>
          <w:szCs w:val="21"/>
          <w:highlight w:val="none"/>
        </w:rPr>
      </w:pPr>
    </w:p>
    <w:p>
      <w:pPr>
        <w:rPr>
          <w:rFonts w:ascii="宋体" w:hAnsi="宋体" w:cs="宋体"/>
          <w:color w:val="auto"/>
          <w:sz w:val="21"/>
          <w:szCs w:val="21"/>
          <w:highlight w:val="none"/>
        </w:rPr>
      </w:pP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职务：</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（投标人名称）的法定代表人。</w:t>
      </w:r>
    </w:p>
    <w:p>
      <w:pPr>
        <w:spacing w:line="360" w:lineRule="auto"/>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特此证明。</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附：法定代表人身份证彩色扫描件</w:t>
      </w:r>
    </w:p>
    <w:p>
      <w:pPr>
        <w:spacing w:line="360" w:lineRule="auto"/>
        <w:ind w:firstLine="420" w:firstLineChars="200"/>
        <w:rPr>
          <w:rFonts w:ascii="宋体" w:hAnsi="宋体" w:cs="宋体"/>
          <w:color w:val="auto"/>
          <w:sz w:val="21"/>
          <w:szCs w:val="21"/>
          <w:highlight w:val="none"/>
        </w:rPr>
      </w:pPr>
    </w:p>
    <w:p>
      <w:pPr>
        <w:spacing w:line="360" w:lineRule="auto"/>
        <w:ind w:firstLine="420" w:firstLineChars="200"/>
        <w:rPr>
          <w:rFonts w:ascii="宋体" w:hAnsi="宋体" w:cs="宋体"/>
          <w:color w:val="auto"/>
          <w:sz w:val="21"/>
          <w:szCs w:val="21"/>
          <w:highlight w:val="none"/>
        </w:rPr>
      </w:pPr>
    </w:p>
    <w:p>
      <w:pPr>
        <w:spacing w:line="360" w:lineRule="auto"/>
        <w:ind w:firstLine="420" w:firstLineChars="200"/>
        <w:rPr>
          <w:rFonts w:ascii="宋体" w:hAnsi="宋体" w:cs="宋体"/>
          <w:color w:val="auto"/>
          <w:sz w:val="21"/>
          <w:szCs w:val="21"/>
          <w:highlight w:val="none"/>
        </w:rPr>
      </w:pPr>
    </w:p>
    <w:p>
      <w:pPr>
        <w:spacing w:line="360" w:lineRule="auto"/>
        <w:ind w:firstLine="4200" w:firstLineChars="2000"/>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spacing w:line="360" w:lineRule="auto"/>
        <w:ind w:firstLine="4515" w:firstLineChars="2150"/>
        <w:rPr>
          <w:rFonts w:ascii="宋体" w:hAnsi="宋体" w:cs="宋体"/>
          <w:color w:val="auto"/>
          <w:sz w:val="21"/>
          <w:szCs w:val="21"/>
          <w:highlight w:val="none"/>
          <w:u w:val="single"/>
        </w:rPr>
      </w:pPr>
    </w:p>
    <w:p>
      <w:pPr>
        <w:spacing w:line="360" w:lineRule="auto"/>
        <w:ind w:firstLine="4515" w:firstLineChars="215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line="360" w:lineRule="auto"/>
        <w:ind w:firstLine="4515" w:firstLineChars="2150"/>
        <w:rPr>
          <w:rFonts w:ascii="宋体" w:hAnsi="宋体" w:cs="宋体"/>
          <w:color w:val="auto"/>
          <w:sz w:val="21"/>
          <w:szCs w:val="21"/>
          <w:highlight w:val="none"/>
        </w:rPr>
      </w:pPr>
    </w:p>
    <w:p>
      <w:pPr>
        <w:spacing w:line="360" w:lineRule="auto"/>
        <w:ind w:firstLine="4515" w:firstLineChars="2150"/>
        <w:rPr>
          <w:rFonts w:ascii="宋体" w:hAnsi="宋体" w:cs="宋体"/>
          <w:color w:val="auto"/>
          <w:sz w:val="21"/>
          <w:szCs w:val="21"/>
          <w:highlight w:val="none"/>
        </w:rPr>
      </w:pPr>
    </w:p>
    <w:p>
      <w:pPr>
        <w:spacing w:line="360" w:lineRule="auto"/>
        <w:ind w:firstLine="4515" w:firstLineChars="2150"/>
        <w:rPr>
          <w:rFonts w:ascii="宋体" w:hAnsi="宋体" w:cs="宋体"/>
          <w:color w:val="auto"/>
          <w:sz w:val="21"/>
          <w:szCs w:val="21"/>
          <w:highlight w:val="none"/>
        </w:rPr>
      </w:pPr>
    </w:p>
    <w:p>
      <w:pPr>
        <w:spacing w:line="360" w:lineRule="auto"/>
        <w:ind w:firstLine="4515" w:firstLineChars="2150"/>
        <w:rPr>
          <w:rFonts w:ascii="宋体" w:hAnsi="宋体" w:cs="宋体"/>
          <w:color w:val="auto"/>
          <w:sz w:val="21"/>
          <w:szCs w:val="21"/>
          <w:highlight w:val="none"/>
        </w:rPr>
      </w:pPr>
    </w:p>
    <w:p>
      <w:pPr>
        <w:spacing w:line="360" w:lineRule="auto"/>
        <w:ind w:firstLine="5160" w:firstLineChars="2150"/>
        <w:rPr>
          <w:rFonts w:ascii="宋体" w:hAnsi="宋体" w:cs="宋体"/>
          <w:color w:val="auto"/>
          <w:sz w:val="24"/>
          <w:highlight w:val="none"/>
        </w:rPr>
      </w:pPr>
    </w:p>
    <w:p>
      <w:pPr>
        <w:pStyle w:val="34"/>
        <w:rPr>
          <w:rFonts w:ascii="宋体" w:hAnsi="宋体" w:cs="宋体"/>
          <w:color w:val="auto"/>
          <w:sz w:val="24"/>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（二） 授 权 委 托 书</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（投标人名称）的法定代表人，现委托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（姓名）为我方代理人。代理人根据授权，以我方名义签署、澄清、说明、补正、递交、撤回、修改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（项目名称）投标文件、签订合同和处理有关事宜，其法律后果由我方承担。</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委托期限：</w:t>
      </w:r>
      <w:r>
        <w:rPr>
          <w:rFonts w:hint="eastAsia" w:ascii="宋体" w:hAnsi="宋体" w:cs="宋体"/>
          <w:color w:val="auto"/>
          <w:sz w:val="21"/>
          <w:szCs w:val="21"/>
          <w:highlight w:val="none"/>
          <w:u w:val="single"/>
        </w:rPr>
        <w:t xml:space="preserve"> 至投标有效期的期满之日止。 </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代理人无转委托权。</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附：授权委托人的身份证彩色扫描件。</w:t>
      </w:r>
    </w:p>
    <w:p>
      <w:pPr>
        <w:spacing w:line="360" w:lineRule="auto"/>
        <w:ind w:firstLine="420" w:firstLineChars="200"/>
        <w:rPr>
          <w:rFonts w:ascii="宋体" w:hAnsi="宋体" w:cs="宋体"/>
          <w:color w:val="auto"/>
          <w:sz w:val="21"/>
          <w:szCs w:val="21"/>
          <w:highlight w:val="none"/>
        </w:rPr>
      </w:pPr>
    </w:p>
    <w:p>
      <w:pPr>
        <w:spacing w:line="360" w:lineRule="auto"/>
        <w:ind w:firstLine="420" w:firstLineChars="200"/>
        <w:rPr>
          <w:rFonts w:ascii="宋体" w:hAnsi="宋体" w:cs="宋体"/>
          <w:color w:val="auto"/>
          <w:sz w:val="21"/>
          <w:szCs w:val="21"/>
          <w:highlight w:val="none"/>
        </w:rPr>
      </w:pPr>
    </w:p>
    <w:p>
      <w:pPr>
        <w:spacing w:line="360" w:lineRule="auto"/>
        <w:ind w:firstLine="420" w:firstLineChars="200"/>
        <w:rPr>
          <w:rFonts w:ascii="宋体" w:hAnsi="宋体" w:cs="宋体"/>
          <w:color w:val="auto"/>
          <w:sz w:val="21"/>
          <w:szCs w:val="21"/>
          <w:highlight w:val="none"/>
        </w:rPr>
      </w:pPr>
    </w:p>
    <w:p>
      <w:pPr>
        <w:spacing w:line="360" w:lineRule="auto"/>
        <w:ind w:firstLine="420" w:firstLineChars="200"/>
        <w:rPr>
          <w:rFonts w:ascii="宋体" w:hAnsi="宋体" w:cs="宋体"/>
          <w:color w:val="auto"/>
          <w:sz w:val="21"/>
          <w:szCs w:val="21"/>
          <w:highlight w:val="none"/>
        </w:rPr>
      </w:pPr>
    </w:p>
    <w:p>
      <w:pPr>
        <w:spacing w:line="360" w:lineRule="auto"/>
        <w:ind w:firstLine="4515" w:firstLineChars="2150"/>
        <w:rPr>
          <w:rFonts w:ascii="宋体" w:hAnsi="宋体" w:cs="宋体"/>
          <w:color w:val="auto"/>
          <w:sz w:val="21"/>
          <w:szCs w:val="21"/>
          <w:highlight w:val="none"/>
        </w:rPr>
      </w:pPr>
    </w:p>
    <w:p>
      <w:pPr>
        <w:spacing w:line="360" w:lineRule="auto"/>
        <w:jc w:val="righ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spacing w:line="360" w:lineRule="auto"/>
        <w:ind w:firstLine="5243" w:firstLineChars="2497"/>
        <w:rPr>
          <w:rFonts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pPr>
        <w:spacing w:line="360" w:lineRule="auto"/>
        <w:ind w:firstLine="5243" w:firstLineChars="2497"/>
        <w:rPr>
          <w:rFonts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spacing w:line="360" w:lineRule="auto"/>
        <w:ind w:firstLine="5243" w:firstLineChars="2497"/>
        <w:rPr>
          <w:rFonts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pPr>
        <w:spacing w:line="360" w:lineRule="auto"/>
        <w:ind w:firstLine="5145" w:firstLineChars="2450"/>
        <w:rPr>
          <w:rFonts w:ascii="宋体" w:hAnsi="宋体" w:cs="宋体"/>
          <w:color w:val="auto"/>
          <w:sz w:val="21"/>
          <w:szCs w:val="21"/>
          <w:highlight w:val="none"/>
          <w:u w:val="single"/>
        </w:rPr>
      </w:pPr>
    </w:p>
    <w:p>
      <w:pPr>
        <w:spacing w:line="360" w:lineRule="auto"/>
        <w:jc w:val="righ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line="360" w:lineRule="auto"/>
        <w:ind w:firstLine="4515" w:firstLineChars="2150"/>
        <w:rPr>
          <w:rFonts w:ascii="宋体" w:hAnsi="宋体" w:cs="宋体"/>
          <w:color w:val="auto"/>
          <w:sz w:val="21"/>
          <w:szCs w:val="21"/>
          <w:highlight w:val="none"/>
        </w:rPr>
      </w:pPr>
    </w:p>
    <w:p>
      <w:pPr>
        <w:autoSpaceDE w:val="0"/>
        <w:autoSpaceDN w:val="0"/>
        <w:adjustRightInd w:val="0"/>
        <w:snapToGrid w:val="0"/>
        <w:spacing w:beforeLines="50" w:afterLines="50" w:line="300" w:lineRule="auto"/>
        <w:jc w:val="left"/>
        <w:rPr>
          <w:rFonts w:ascii="宋体" w:hAnsi="宋体" w:cs="宋体"/>
          <w:b/>
          <w:bCs/>
          <w:color w:val="auto"/>
          <w:sz w:val="21"/>
          <w:szCs w:val="21"/>
          <w:highlight w:val="none"/>
        </w:rPr>
      </w:pPr>
      <w:r>
        <w:rPr>
          <w:rFonts w:hint="eastAsia" w:ascii="宋体" w:hAnsi="宋体" w:cs="宋体"/>
          <w:color w:val="auto"/>
          <w:sz w:val="21"/>
          <w:szCs w:val="21"/>
          <w:highlight w:val="none"/>
        </w:rPr>
        <w:t>注：如法人负责投标相关事宜，则无需提供授权委托书。</w:t>
      </w:r>
    </w:p>
    <w:p>
      <w:pPr>
        <w:spacing w:line="525" w:lineRule="exact"/>
        <w:ind w:right="457"/>
        <w:jc w:val="center"/>
        <w:rPr>
          <w:b/>
          <w:bCs/>
          <w:color w:val="auto"/>
          <w:szCs w:val="28"/>
          <w:highlight w:val="none"/>
        </w:rPr>
      </w:pPr>
    </w:p>
    <w:p>
      <w:pPr>
        <w:pStyle w:val="2"/>
        <w:rPr>
          <w:color w:val="auto"/>
          <w:highlight w:val="none"/>
        </w:rPr>
      </w:pPr>
    </w:p>
    <w:p>
      <w:pPr>
        <w:spacing w:line="525" w:lineRule="exact"/>
        <w:ind w:right="457"/>
        <w:jc w:val="center"/>
        <w:outlineLvl w:val="2"/>
        <w:rPr>
          <w:b/>
          <w:bCs/>
          <w:color w:val="auto"/>
          <w:szCs w:val="28"/>
          <w:highlight w:val="none"/>
        </w:rPr>
      </w:pPr>
      <w:bookmarkStart w:id="259" w:name="_Toc28394"/>
      <w:r>
        <w:rPr>
          <w:rFonts w:hint="eastAsia"/>
          <w:b/>
          <w:bCs/>
          <w:color w:val="auto"/>
          <w:szCs w:val="28"/>
          <w:highlight w:val="none"/>
        </w:rPr>
        <w:t>三、</w:t>
      </w:r>
      <w:bookmarkStart w:id="260" w:name="_bookmark182"/>
      <w:bookmarkEnd w:id="260"/>
      <w:r>
        <w:rPr>
          <w:rFonts w:hint="eastAsia"/>
          <w:b/>
          <w:bCs/>
          <w:color w:val="auto"/>
          <w:szCs w:val="28"/>
          <w:highlight w:val="none"/>
        </w:rPr>
        <w:t>投标保证金</w:t>
      </w:r>
      <w:bookmarkEnd w:id="255"/>
      <w:bookmarkEnd w:id="256"/>
      <w:bookmarkEnd w:id="259"/>
    </w:p>
    <w:p>
      <w:pPr>
        <w:pStyle w:val="10"/>
        <w:spacing w:before="5"/>
        <w:rPr>
          <w:b/>
          <w:bCs/>
          <w:color w:val="auto"/>
          <w:sz w:val="34"/>
          <w:szCs w:val="34"/>
          <w:highlight w:val="none"/>
        </w:rPr>
      </w:pPr>
    </w:p>
    <w:p>
      <w:pPr>
        <w:spacing w:line="525" w:lineRule="exact"/>
        <w:ind w:right="459" w:firstLine="420" w:firstLineChars="200"/>
        <w:jc w:val="left"/>
        <w:rPr>
          <w:color w:val="auto"/>
          <w:sz w:val="21"/>
          <w:szCs w:val="21"/>
          <w:highlight w:val="none"/>
        </w:rPr>
      </w:pPr>
      <w:bookmarkStart w:id="261" w:name="_bookmark183"/>
      <w:bookmarkEnd w:id="261"/>
      <w:r>
        <w:rPr>
          <w:rFonts w:hint="eastAsia"/>
          <w:color w:val="auto"/>
          <w:sz w:val="21"/>
          <w:szCs w:val="21"/>
          <w:highlight w:val="none"/>
        </w:rPr>
        <w:t>若采用投标保证金方式，投标人应在此提供汇款凭证的复印件。</w:t>
      </w:r>
    </w:p>
    <w:p>
      <w:pPr>
        <w:spacing w:line="525" w:lineRule="exact"/>
        <w:ind w:right="459" w:firstLine="420" w:firstLineChars="200"/>
        <w:jc w:val="left"/>
        <w:rPr>
          <w:color w:val="auto"/>
          <w:sz w:val="21"/>
          <w:szCs w:val="21"/>
          <w:highlight w:val="none"/>
        </w:rPr>
      </w:pPr>
      <w:r>
        <w:rPr>
          <w:rFonts w:hint="eastAsia"/>
          <w:color w:val="auto"/>
          <w:sz w:val="21"/>
          <w:szCs w:val="21"/>
          <w:highlight w:val="none"/>
        </w:rPr>
        <w:t>若采用投标保证担保方式，格式以各银行出具为准，投标人应在此提供银行保函的复印件。</w:t>
      </w:r>
    </w:p>
    <w:p>
      <w:pPr>
        <w:spacing w:line="525" w:lineRule="exact"/>
        <w:ind w:right="459" w:firstLine="420" w:firstLineChars="200"/>
        <w:jc w:val="left"/>
        <w:rPr>
          <w:color w:val="auto"/>
          <w:sz w:val="21"/>
          <w:szCs w:val="21"/>
          <w:highlight w:val="none"/>
        </w:rPr>
      </w:pPr>
      <w:r>
        <w:rPr>
          <w:rFonts w:hint="eastAsia"/>
          <w:color w:val="auto"/>
          <w:sz w:val="21"/>
          <w:szCs w:val="21"/>
          <w:highlight w:val="none"/>
        </w:rPr>
        <w:t>若采用投标保证保险方式，投标人应在此提供建设工程交易系统网上投保后的电子保单复印件或截图。</w:t>
      </w:r>
    </w:p>
    <w:p>
      <w:pPr>
        <w:spacing w:line="525" w:lineRule="exact"/>
        <w:ind w:right="459" w:firstLine="480" w:firstLineChars="200"/>
        <w:jc w:val="left"/>
        <w:rPr>
          <w:color w:val="auto"/>
          <w:sz w:val="24"/>
          <w:highlight w:val="none"/>
        </w:rPr>
      </w:pPr>
    </w:p>
    <w:p>
      <w:pPr>
        <w:spacing w:line="525" w:lineRule="exact"/>
        <w:ind w:right="458" w:firstLine="420" w:firstLineChars="200"/>
        <w:rPr>
          <w:color w:val="auto"/>
          <w:sz w:val="21"/>
          <w:szCs w:val="21"/>
          <w:highlight w:val="none"/>
        </w:rPr>
      </w:pPr>
    </w:p>
    <w:p>
      <w:pPr>
        <w:spacing w:line="538" w:lineRule="exact"/>
        <w:ind w:right="461"/>
        <w:rPr>
          <w:b/>
          <w:bCs/>
          <w:color w:val="auto"/>
          <w:sz w:val="32"/>
          <w:szCs w:val="32"/>
          <w:highlight w:val="none"/>
        </w:rPr>
      </w:pPr>
    </w:p>
    <w:p>
      <w:pPr>
        <w:spacing w:line="538" w:lineRule="exact"/>
        <w:ind w:right="461"/>
        <w:rPr>
          <w:b/>
          <w:bCs/>
          <w:color w:val="auto"/>
          <w:sz w:val="32"/>
          <w:szCs w:val="32"/>
          <w:highlight w:val="none"/>
        </w:rPr>
      </w:pPr>
    </w:p>
    <w:p>
      <w:pPr>
        <w:pStyle w:val="2"/>
        <w:jc w:val="center"/>
        <w:outlineLvl w:val="2"/>
        <w:rPr>
          <w:b/>
          <w:bCs/>
          <w:color w:val="auto"/>
          <w:sz w:val="28"/>
          <w:szCs w:val="28"/>
          <w:highlight w:val="none"/>
        </w:rPr>
      </w:pPr>
      <w:r>
        <w:rPr>
          <w:color w:val="auto"/>
          <w:highlight w:val="none"/>
        </w:rPr>
        <w:br w:type="page"/>
      </w:r>
      <w:bookmarkStart w:id="262" w:name="_Toc7088"/>
      <w:r>
        <w:rPr>
          <w:rFonts w:hint="eastAsia"/>
          <w:b/>
          <w:bCs/>
          <w:color w:val="auto"/>
          <w:sz w:val="28"/>
          <w:szCs w:val="28"/>
          <w:highlight w:val="none"/>
        </w:rPr>
        <w:t>四、资格审查资料</w:t>
      </w:r>
      <w:bookmarkEnd w:id="262"/>
    </w:p>
    <w:p>
      <w:pPr>
        <w:spacing w:before="62"/>
        <w:ind w:left="377"/>
        <w:rPr>
          <w:rFonts w:ascii="宋体" w:hAnsi="宋体" w:cs="宋体"/>
          <w:color w:val="auto"/>
          <w:sz w:val="21"/>
          <w:szCs w:val="21"/>
          <w:highlight w:val="none"/>
        </w:rPr>
      </w:pPr>
      <w:bookmarkStart w:id="263" w:name="_bookmark185"/>
      <w:bookmarkEnd w:id="263"/>
      <w:r>
        <w:rPr>
          <w:rFonts w:hint="eastAsia" w:ascii="宋体" w:hAnsi="宋体" w:cs="宋体"/>
          <w:color w:val="auto"/>
          <w:sz w:val="21"/>
          <w:szCs w:val="21"/>
          <w:highlight w:val="none"/>
        </w:rPr>
        <w:t>（一）投标人基本情况表</w:t>
      </w:r>
    </w:p>
    <w:p>
      <w:pPr>
        <w:tabs>
          <w:tab w:val="left" w:pos="2592"/>
        </w:tabs>
        <w:autoSpaceDE w:val="0"/>
        <w:autoSpaceDN w:val="0"/>
        <w:adjustRightInd w:val="0"/>
        <w:spacing w:line="633" w:lineRule="exact"/>
        <w:ind w:left="124" w:right="40"/>
        <w:jc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投标人基本情况表 ( 格式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7"/>
        <w:gridCol w:w="893"/>
        <w:gridCol w:w="566"/>
        <w:gridCol w:w="590"/>
        <w:gridCol w:w="1185"/>
        <w:gridCol w:w="6"/>
        <w:gridCol w:w="1073"/>
        <w:gridCol w:w="615"/>
        <w:gridCol w:w="105"/>
        <w:gridCol w:w="805"/>
        <w:gridCol w:w="665"/>
        <w:gridCol w:w="315"/>
        <w:gridCol w:w="42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33" w:lineRule="exact"/>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单位名称</w:t>
            </w:r>
          </w:p>
        </w:tc>
        <w:tc>
          <w:tcPr>
            <w:tcW w:w="6975"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33" w:lineRule="exact"/>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通</w:t>
            </w:r>
            <w:r>
              <w:rPr>
                <w:rFonts w:hint="eastAsia" w:ascii="宋体" w:hAnsi="宋体" w:cs="宋体"/>
                <w:color w:val="auto"/>
                <w:kern w:val="0"/>
                <w:sz w:val="21"/>
                <w:szCs w:val="21"/>
                <w:highlight w:val="none"/>
              </w:rPr>
              <w:t>信</w:t>
            </w:r>
            <w:r>
              <w:rPr>
                <w:rFonts w:hint="eastAsia" w:ascii="宋体" w:hAnsi="宋体" w:cs="宋体"/>
                <w:color w:val="auto"/>
                <w:kern w:val="0"/>
                <w:sz w:val="21"/>
                <w:szCs w:val="21"/>
                <w:highlight w:val="none"/>
                <w:lang w:eastAsia="zh-TW"/>
              </w:rPr>
              <w:t>地址</w:t>
            </w:r>
          </w:p>
        </w:tc>
        <w:tc>
          <w:tcPr>
            <w:tcW w:w="6975"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电话</w:t>
            </w:r>
          </w:p>
        </w:tc>
        <w:tc>
          <w:tcPr>
            <w:tcW w:w="1156"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ind w:right="24"/>
              <w:jc w:val="center"/>
              <w:rPr>
                <w:rFonts w:ascii="宋体" w:hAnsi="宋体" w:cs="宋体"/>
                <w:color w:val="auto"/>
                <w:kern w:val="0"/>
                <w:sz w:val="21"/>
                <w:szCs w:val="21"/>
                <w:highlight w:val="none"/>
              </w:rPr>
            </w:pPr>
          </w:p>
        </w:tc>
        <w:tc>
          <w:tcPr>
            <w:tcW w:w="1185" w:type="dxa"/>
            <w:tcBorders>
              <w:top w:val="single" w:color="auto" w:sz="4" w:space="0"/>
              <w:left w:val="single" w:color="auto" w:sz="4" w:space="0"/>
              <w:bottom w:val="single" w:color="auto" w:sz="4" w:space="0"/>
              <w:right w:val="nil"/>
            </w:tcBorders>
            <w:vAlign w:val="center"/>
          </w:tcPr>
          <w:p>
            <w:pPr>
              <w:autoSpaceDE w:val="0"/>
              <w:autoSpaceDN w:val="0"/>
              <w:adjustRightInd w:val="0"/>
              <w:ind w:left="64" w:leftChars="23"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传真</w:t>
            </w:r>
          </w:p>
        </w:tc>
        <w:tc>
          <w:tcPr>
            <w:tcW w:w="179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邮政编码</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电子信箱</w:t>
            </w:r>
          </w:p>
        </w:tc>
        <w:tc>
          <w:tcPr>
            <w:tcW w:w="414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联系人</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成立时间</w:t>
            </w:r>
          </w:p>
        </w:tc>
        <w:tc>
          <w:tcPr>
            <w:tcW w:w="6975"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法定代表人</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姓名</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4" w:right="33"/>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职务</w:t>
            </w:r>
          </w:p>
        </w:tc>
        <w:tc>
          <w:tcPr>
            <w:tcW w:w="152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职称</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技术负责人</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姓名</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4" w:right="33"/>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职务</w:t>
            </w:r>
          </w:p>
        </w:tc>
        <w:tc>
          <w:tcPr>
            <w:tcW w:w="152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职称</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0" w:hRule="atLeast"/>
        </w:trPr>
        <w:tc>
          <w:tcPr>
            <w:tcW w:w="2160" w:type="dxa"/>
            <w:gridSpan w:val="2"/>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专业资质等级</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1525"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资质等级证书编号</w:t>
            </w:r>
          </w:p>
        </w:tc>
        <w:tc>
          <w:tcPr>
            <w:tcW w:w="2030"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法人营业</w:t>
            </w:r>
          </w:p>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执照证号</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注册资金</w:t>
            </w:r>
          </w:p>
        </w:tc>
        <w:tc>
          <w:tcPr>
            <w:tcW w:w="203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开户行名称</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银行帐号</w:t>
            </w:r>
          </w:p>
        </w:tc>
        <w:tc>
          <w:tcPr>
            <w:tcW w:w="203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3" w:hRule="atLeast"/>
        </w:trPr>
        <w:tc>
          <w:tcPr>
            <w:tcW w:w="1267"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单位总人数</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TW"/>
              </w:rPr>
              <w:t>人</w:t>
            </w:r>
            <w:r>
              <w:rPr>
                <w:rFonts w:hint="eastAsia" w:ascii="宋体" w:hAnsi="宋体" w:cs="宋体"/>
                <w:color w:val="auto"/>
                <w:kern w:val="0"/>
                <w:sz w:val="21"/>
                <w:szCs w:val="21"/>
                <w:highlight w:val="none"/>
              </w:rPr>
              <w:t>)</w:t>
            </w:r>
          </w:p>
        </w:tc>
        <w:tc>
          <w:tcPr>
            <w:tcW w:w="89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566"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w:t>
            </w:r>
            <w:r>
              <w:rPr>
                <w:rFonts w:hint="eastAsia" w:ascii="宋体" w:hAnsi="宋体" w:cs="宋体"/>
                <w:color w:val="auto"/>
                <w:kern w:val="0"/>
                <w:sz w:val="21"/>
                <w:szCs w:val="21"/>
                <w:highlight w:val="none"/>
                <w:lang w:eastAsia="zh-TW"/>
              </w:rPr>
              <w:t>中</w:t>
            </w:r>
          </w:p>
        </w:tc>
        <w:tc>
          <w:tcPr>
            <w:tcW w:w="285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总监理工程师</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TW"/>
              </w:rPr>
              <w:t>人</w:t>
            </w:r>
            <w:r>
              <w:rPr>
                <w:rFonts w:hint="eastAsia" w:ascii="宋体" w:hAnsi="宋体" w:cs="宋体"/>
                <w:color w:val="auto"/>
                <w:kern w:val="0"/>
                <w:sz w:val="21"/>
                <w:szCs w:val="21"/>
                <w:highlight w:val="none"/>
              </w:rPr>
              <w:t>）</w:t>
            </w:r>
          </w:p>
        </w:tc>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高级职称人员</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TW"/>
              </w:rPr>
              <w:t>人</w:t>
            </w:r>
            <w:r>
              <w:rPr>
                <w:rFonts w:hint="eastAsia" w:ascii="宋体" w:hAnsi="宋体" w:cs="宋体"/>
                <w:color w:val="auto"/>
                <w:kern w:val="0"/>
                <w:sz w:val="21"/>
                <w:szCs w:val="21"/>
                <w:highlight w:val="none"/>
              </w:rPr>
              <w:t>)</w:t>
            </w:r>
          </w:p>
        </w:tc>
        <w:tc>
          <w:tcPr>
            <w:tcW w:w="6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rPr>
        <w:tc>
          <w:tcPr>
            <w:tcW w:w="1267"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89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285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4" w:right="172"/>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监理工程师</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TW"/>
              </w:rPr>
              <w:t>人</w:t>
            </w:r>
            <w:r>
              <w:rPr>
                <w:rFonts w:hint="eastAsia" w:ascii="宋体" w:hAnsi="宋体" w:cs="宋体"/>
                <w:color w:val="auto"/>
                <w:kern w:val="0"/>
                <w:sz w:val="21"/>
                <w:szCs w:val="21"/>
                <w:highlight w:val="none"/>
              </w:rPr>
              <w:t>)</w:t>
            </w:r>
          </w:p>
        </w:tc>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中级职称</w:t>
            </w:r>
            <w:r>
              <w:rPr>
                <w:rFonts w:hint="eastAsia" w:ascii="宋体" w:hAnsi="宋体" w:cs="宋体"/>
                <w:color w:val="auto"/>
                <w:kern w:val="0"/>
                <w:sz w:val="21"/>
                <w:szCs w:val="21"/>
                <w:highlight w:val="none"/>
              </w:rPr>
              <w:t>人</w:t>
            </w:r>
            <w:r>
              <w:rPr>
                <w:rFonts w:hint="eastAsia" w:ascii="宋体" w:hAnsi="宋体" w:cs="宋体"/>
                <w:color w:val="auto"/>
                <w:kern w:val="0"/>
                <w:sz w:val="21"/>
                <w:szCs w:val="21"/>
                <w:highlight w:val="none"/>
                <w:lang w:eastAsia="zh-TW"/>
              </w:rPr>
              <w:t>员</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TW"/>
              </w:rPr>
              <w:t>人</w:t>
            </w:r>
            <w:r>
              <w:rPr>
                <w:rFonts w:hint="eastAsia" w:ascii="宋体" w:hAnsi="宋体" w:cs="宋体"/>
                <w:color w:val="auto"/>
                <w:kern w:val="0"/>
                <w:sz w:val="21"/>
                <w:szCs w:val="21"/>
                <w:highlight w:val="none"/>
              </w:rPr>
              <w:t>)</w:t>
            </w:r>
          </w:p>
        </w:tc>
        <w:tc>
          <w:tcPr>
            <w:tcW w:w="6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trPr>
        <w:tc>
          <w:tcPr>
            <w:tcW w:w="1267"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89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kern w:val="0"/>
                <w:sz w:val="21"/>
                <w:szCs w:val="21"/>
                <w:highlight w:val="none"/>
              </w:rPr>
            </w:pPr>
          </w:p>
        </w:tc>
        <w:tc>
          <w:tcPr>
            <w:tcW w:w="285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4" w:right="172"/>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其他</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TW"/>
              </w:rPr>
              <w:t>人</w:t>
            </w:r>
            <w:r>
              <w:rPr>
                <w:rFonts w:hint="eastAsia" w:ascii="宋体" w:hAnsi="宋体" w:cs="宋体"/>
                <w:color w:val="auto"/>
                <w:kern w:val="0"/>
                <w:sz w:val="21"/>
                <w:szCs w:val="21"/>
                <w:highlight w:val="none"/>
              </w:rPr>
              <w:t>）</w:t>
            </w:r>
          </w:p>
        </w:tc>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TW"/>
              </w:rPr>
              <w:t>初级职称人员</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TW"/>
              </w:rPr>
              <w:t>人</w:t>
            </w:r>
            <w:r>
              <w:rPr>
                <w:rFonts w:hint="eastAsia" w:ascii="宋体" w:hAnsi="宋体" w:cs="宋体"/>
                <w:color w:val="auto"/>
                <w:kern w:val="0"/>
                <w:sz w:val="21"/>
                <w:szCs w:val="21"/>
                <w:highlight w:val="none"/>
              </w:rPr>
              <w:t>)</w:t>
            </w:r>
          </w:p>
        </w:tc>
        <w:tc>
          <w:tcPr>
            <w:tcW w:w="6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
              <w:jc w:val="center"/>
              <w:rPr>
                <w:rFonts w:ascii="宋体" w:hAnsi="宋体" w:cs="宋体"/>
                <w:color w:val="auto"/>
                <w:kern w:val="0"/>
                <w:sz w:val="21"/>
                <w:szCs w:val="21"/>
                <w:highlight w:val="none"/>
              </w:rPr>
            </w:pPr>
          </w:p>
        </w:tc>
      </w:tr>
    </w:tbl>
    <w:p>
      <w:pPr>
        <w:pStyle w:val="12"/>
        <w:spacing w:line="360" w:lineRule="exact"/>
        <w:ind w:right="420"/>
        <w:rPr>
          <w:rFonts w:hAnsi="宋体" w:cs="宋体"/>
          <w:color w:val="auto"/>
          <w:sz w:val="21"/>
          <w:highlight w:val="none"/>
        </w:rPr>
      </w:pPr>
    </w:p>
    <w:p>
      <w:pPr>
        <w:spacing w:line="440" w:lineRule="exact"/>
        <w:ind w:right="420" w:firstLine="2730" w:firstLineChars="1300"/>
        <w:rPr>
          <w:rFonts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（盖单位章 ） </w:t>
      </w:r>
    </w:p>
    <w:p>
      <w:pPr>
        <w:spacing w:line="440" w:lineRule="exact"/>
        <w:ind w:left="570" w:right="420"/>
        <w:jc w:val="center"/>
        <w:rPr>
          <w:rFonts w:ascii="宋体" w:hAnsi="宋体" w:cs="宋体"/>
          <w:color w:val="auto"/>
          <w:sz w:val="21"/>
          <w:szCs w:val="21"/>
          <w:highlight w:val="none"/>
          <w:u w:val="single"/>
        </w:rPr>
      </w:pPr>
    </w:p>
    <w:p>
      <w:pPr>
        <w:pStyle w:val="12"/>
        <w:spacing w:line="360" w:lineRule="exact"/>
        <w:ind w:right="360" w:firstLine="2730" w:firstLineChars="1300"/>
        <w:rPr>
          <w:rFonts w:hAnsi="宋体" w:cs="宋体"/>
          <w:color w:val="auto"/>
          <w:sz w:val="21"/>
          <w:highlight w:val="none"/>
          <w:u w:val="single"/>
        </w:rPr>
      </w:pPr>
      <w:r>
        <w:rPr>
          <w:rFonts w:hint="eastAsia" w:hAnsi="宋体" w:cs="宋体"/>
          <w:color w:val="auto"/>
          <w:sz w:val="21"/>
          <w:highlight w:val="none"/>
        </w:rPr>
        <w:t>法定代表人（或委托代理人）：</w:t>
      </w:r>
      <w:r>
        <w:rPr>
          <w:rFonts w:hint="eastAsia" w:hAnsi="宋体" w:cs="宋体"/>
          <w:color w:val="auto"/>
          <w:sz w:val="21"/>
          <w:highlight w:val="none"/>
          <w:u w:val="single"/>
        </w:rPr>
        <w:t xml:space="preserve">             （签字或盖章）</w:t>
      </w:r>
    </w:p>
    <w:p>
      <w:pPr>
        <w:autoSpaceDE w:val="0"/>
        <w:autoSpaceDN w:val="0"/>
        <w:adjustRightInd w:val="0"/>
        <w:spacing w:line="440" w:lineRule="exact"/>
        <w:ind w:right="979" w:firstLine="6755" w:firstLineChars="3217"/>
        <w:rPr>
          <w:rFonts w:ascii="宋体" w:hAnsi="宋体" w:cs="宋体"/>
          <w:color w:val="auto"/>
          <w:sz w:val="21"/>
          <w:szCs w:val="21"/>
          <w:highlight w:val="none"/>
        </w:rPr>
      </w:pPr>
    </w:p>
    <w:p>
      <w:pPr>
        <w:autoSpaceDE w:val="0"/>
        <w:autoSpaceDN w:val="0"/>
        <w:adjustRightInd w:val="0"/>
        <w:spacing w:line="440" w:lineRule="exact"/>
        <w:ind w:right="979" w:firstLine="5250" w:firstLineChars="2500"/>
        <w:rPr>
          <w:rFonts w:ascii="宋体" w:hAnsi="宋体" w:cs="宋体"/>
          <w:color w:val="auto"/>
          <w:sz w:val="24"/>
          <w:highlight w:val="none"/>
        </w:rPr>
      </w:pPr>
      <w:r>
        <w:rPr>
          <w:rFonts w:hint="eastAsia" w:ascii="宋体" w:hAnsi="宋体" w:cs="宋体"/>
          <w:color w:val="auto"/>
          <w:sz w:val="21"/>
          <w:szCs w:val="21"/>
          <w:highlight w:val="none"/>
        </w:rPr>
        <w:t xml:space="preserve">    年   月    日</w:t>
      </w:r>
    </w:p>
    <w:p>
      <w:pPr>
        <w:pStyle w:val="10"/>
        <w:spacing w:before="109" w:line="357" w:lineRule="auto"/>
        <w:ind w:left="240" w:right="693"/>
        <w:rPr>
          <w:rFonts w:ascii="宋体" w:hAnsi="宋体" w:cs="宋体"/>
          <w:bCs/>
          <w:color w:val="auto"/>
          <w:sz w:val="21"/>
          <w:szCs w:val="21"/>
          <w:highlight w:val="none"/>
        </w:rPr>
      </w:pPr>
      <w:r>
        <w:rPr>
          <w:rFonts w:hint="eastAsia"/>
          <w:color w:val="auto"/>
          <w:sz w:val="21"/>
          <w:szCs w:val="21"/>
          <w:highlight w:val="none"/>
        </w:rPr>
        <w:t>注：投标人应根据投标人须知要求在本表后附相关投标人资格证明材料。</w:t>
      </w:r>
      <w:r>
        <w:rPr>
          <w:rFonts w:hint="eastAsia" w:ascii="宋体" w:hAnsi="宋体" w:cs="宋体"/>
          <w:color w:val="auto"/>
          <w:sz w:val="24"/>
          <w:highlight w:val="none"/>
        </w:rPr>
        <w:br w:type="page"/>
      </w:r>
      <w:r>
        <w:rPr>
          <w:rFonts w:hint="eastAsia" w:ascii="宋体" w:hAnsi="宋体" w:cs="宋体"/>
          <w:color w:val="auto"/>
          <w:spacing w:val="-6"/>
          <w:sz w:val="21"/>
          <w:szCs w:val="21"/>
          <w:highlight w:val="none"/>
        </w:rPr>
        <w:t>（</w:t>
      </w:r>
      <w:r>
        <w:rPr>
          <w:rFonts w:hint="eastAsia" w:ascii="宋体" w:hAnsi="宋体" w:cs="宋体"/>
          <w:color w:val="auto"/>
          <w:sz w:val="21"/>
          <w:szCs w:val="21"/>
          <w:highlight w:val="none"/>
        </w:rPr>
        <w:t>二）拟参加本工程监理工作的</w:t>
      </w:r>
      <w:r>
        <w:rPr>
          <w:rFonts w:hint="eastAsia" w:ascii="宋体" w:hAnsi="宋体" w:cs="宋体"/>
          <w:bCs/>
          <w:color w:val="auto"/>
          <w:sz w:val="21"/>
          <w:szCs w:val="21"/>
          <w:highlight w:val="none"/>
        </w:rPr>
        <w:t>监理人员情况</w:t>
      </w:r>
    </w:p>
    <w:p>
      <w:pPr>
        <w:autoSpaceDE w:val="0"/>
        <w:autoSpaceDN w:val="0"/>
        <w:adjustRightInd w:val="0"/>
        <w:spacing w:line="440" w:lineRule="exact"/>
        <w:jc w:val="center"/>
        <w:rPr>
          <w:rFonts w:ascii="宋体" w:hAnsi="宋体" w:cs="宋体"/>
          <w:bCs/>
          <w:color w:val="auto"/>
          <w:kern w:val="0"/>
          <w:sz w:val="21"/>
          <w:szCs w:val="21"/>
          <w:highlight w:val="none"/>
        </w:rPr>
      </w:pPr>
      <w:r>
        <w:rPr>
          <w:rFonts w:hint="eastAsia" w:ascii="宋体" w:hAnsi="宋体" w:cs="宋体"/>
          <w:color w:val="auto"/>
          <w:sz w:val="21"/>
          <w:szCs w:val="21"/>
          <w:highlight w:val="none"/>
        </w:rPr>
        <w:t>表2.1  拟参加本工程监理工作的监理人员汇总表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525"/>
        <w:gridCol w:w="735"/>
        <w:gridCol w:w="735"/>
        <w:gridCol w:w="735"/>
        <w:gridCol w:w="525"/>
        <w:gridCol w:w="735"/>
        <w:gridCol w:w="840"/>
        <w:gridCol w:w="945"/>
        <w:gridCol w:w="945"/>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序号</w:t>
            </w:r>
          </w:p>
        </w:tc>
        <w:tc>
          <w:tcPr>
            <w:tcW w:w="52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姓名</w:t>
            </w:r>
          </w:p>
        </w:tc>
        <w:tc>
          <w:tcPr>
            <w:tcW w:w="73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性别</w:t>
            </w:r>
          </w:p>
        </w:tc>
        <w:tc>
          <w:tcPr>
            <w:tcW w:w="73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年龄</w:t>
            </w:r>
          </w:p>
        </w:tc>
        <w:tc>
          <w:tcPr>
            <w:tcW w:w="73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学历</w:t>
            </w:r>
          </w:p>
        </w:tc>
        <w:tc>
          <w:tcPr>
            <w:tcW w:w="52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专业</w:t>
            </w:r>
          </w:p>
        </w:tc>
        <w:tc>
          <w:tcPr>
            <w:tcW w:w="73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从事监理工作年限</w:t>
            </w:r>
          </w:p>
        </w:tc>
        <w:tc>
          <w:tcPr>
            <w:tcW w:w="840"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总监理工程师岗位证书编号</w:t>
            </w:r>
          </w:p>
        </w:tc>
        <w:tc>
          <w:tcPr>
            <w:tcW w:w="94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监理工程师注册证书编号</w:t>
            </w:r>
          </w:p>
        </w:tc>
        <w:tc>
          <w:tcPr>
            <w:tcW w:w="94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监理员资格证书编号</w:t>
            </w:r>
          </w:p>
        </w:tc>
        <w:tc>
          <w:tcPr>
            <w:tcW w:w="94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拟任职务</w:t>
            </w:r>
          </w:p>
        </w:tc>
        <w:tc>
          <w:tcPr>
            <w:tcW w:w="945"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拟进场时间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840" w:type="dxa"/>
            <w:vAlign w:val="center"/>
          </w:tcPr>
          <w:p>
            <w:pPr>
              <w:pStyle w:val="12"/>
              <w:spacing w:line="360" w:lineRule="exact"/>
              <w:rPr>
                <w:rFonts w:hAnsi="宋体" w:cs="宋体"/>
                <w:color w:val="auto"/>
                <w:kern w:val="2"/>
                <w:sz w:val="21"/>
                <w:highlight w:val="none"/>
              </w:rPr>
            </w:pPr>
          </w:p>
        </w:tc>
        <w:tc>
          <w:tcPr>
            <w:tcW w:w="945" w:type="dxa"/>
            <w:vAlign w:val="center"/>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840" w:type="dxa"/>
            <w:vAlign w:val="center"/>
          </w:tcPr>
          <w:p>
            <w:pPr>
              <w:pStyle w:val="12"/>
              <w:spacing w:line="360" w:lineRule="exact"/>
              <w:rPr>
                <w:rFonts w:hAnsi="宋体" w:cs="宋体"/>
                <w:color w:val="auto"/>
                <w:kern w:val="2"/>
                <w:sz w:val="21"/>
                <w:highlight w:val="none"/>
              </w:rPr>
            </w:pPr>
          </w:p>
        </w:tc>
        <w:tc>
          <w:tcPr>
            <w:tcW w:w="945" w:type="dxa"/>
            <w:vAlign w:val="center"/>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840" w:type="dxa"/>
            <w:vAlign w:val="center"/>
          </w:tcPr>
          <w:p>
            <w:pPr>
              <w:pStyle w:val="12"/>
              <w:spacing w:line="360" w:lineRule="exact"/>
              <w:rPr>
                <w:rFonts w:hAnsi="宋体" w:cs="宋体"/>
                <w:color w:val="auto"/>
                <w:kern w:val="2"/>
                <w:sz w:val="21"/>
                <w:highlight w:val="none"/>
              </w:rPr>
            </w:pPr>
          </w:p>
        </w:tc>
        <w:tc>
          <w:tcPr>
            <w:tcW w:w="945" w:type="dxa"/>
            <w:vAlign w:val="center"/>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840" w:type="dxa"/>
            <w:vAlign w:val="center"/>
          </w:tcPr>
          <w:p>
            <w:pPr>
              <w:pStyle w:val="12"/>
              <w:spacing w:line="360" w:lineRule="exact"/>
              <w:rPr>
                <w:rFonts w:hAnsi="宋体" w:cs="宋体"/>
                <w:color w:val="auto"/>
                <w:kern w:val="2"/>
                <w:sz w:val="21"/>
                <w:highlight w:val="none"/>
              </w:rPr>
            </w:pPr>
          </w:p>
        </w:tc>
        <w:tc>
          <w:tcPr>
            <w:tcW w:w="945" w:type="dxa"/>
            <w:vAlign w:val="center"/>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840" w:type="dxa"/>
            <w:vAlign w:val="center"/>
          </w:tcPr>
          <w:p>
            <w:pPr>
              <w:pStyle w:val="12"/>
              <w:spacing w:line="360" w:lineRule="exact"/>
              <w:rPr>
                <w:rFonts w:hAnsi="宋体" w:cs="宋体"/>
                <w:color w:val="auto"/>
                <w:kern w:val="2"/>
                <w:sz w:val="21"/>
                <w:highlight w:val="none"/>
              </w:rPr>
            </w:pPr>
          </w:p>
        </w:tc>
        <w:tc>
          <w:tcPr>
            <w:tcW w:w="945" w:type="dxa"/>
            <w:vAlign w:val="center"/>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840" w:type="dxa"/>
            <w:vAlign w:val="center"/>
          </w:tcPr>
          <w:p>
            <w:pPr>
              <w:pStyle w:val="12"/>
              <w:spacing w:line="360" w:lineRule="exact"/>
              <w:rPr>
                <w:rFonts w:hAnsi="宋体" w:cs="宋体"/>
                <w:color w:val="auto"/>
                <w:kern w:val="2"/>
                <w:sz w:val="21"/>
                <w:highlight w:val="none"/>
              </w:rPr>
            </w:pPr>
          </w:p>
        </w:tc>
        <w:tc>
          <w:tcPr>
            <w:tcW w:w="945" w:type="dxa"/>
            <w:vAlign w:val="center"/>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525" w:type="dxa"/>
            <w:vAlign w:val="center"/>
          </w:tcPr>
          <w:p>
            <w:pPr>
              <w:pStyle w:val="12"/>
              <w:spacing w:line="360" w:lineRule="exact"/>
              <w:rPr>
                <w:rFonts w:hAnsi="宋体" w:cs="宋体"/>
                <w:color w:val="auto"/>
                <w:kern w:val="2"/>
                <w:sz w:val="21"/>
                <w:highlight w:val="none"/>
              </w:rPr>
            </w:pPr>
          </w:p>
        </w:tc>
        <w:tc>
          <w:tcPr>
            <w:tcW w:w="735" w:type="dxa"/>
            <w:vAlign w:val="center"/>
          </w:tcPr>
          <w:p>
            <w:pPr>
              <w:pStyle w:val="12"/>
              <w:spacing w:line="360" w:lineRule="exact"/>
              <w:rPr>
                <w:rFonts w:hAnsi="宋体" w:cs="宋体"/>
                <w:color w:val="auto"/>
                <w:kern w:val="2"/>
                <w:sz w:val="21"/>
                <w:highlight w:val="none"/>
              </w:rPr>
            </w:pPr>
          </w:p>
        </w:tc>
        <w:tc>
          <w:tcPr>
            <w:tcW w:w="840" w:type="dxa"/>
            <w:vAlign w:val="center"/>
          </w:tcPr>
          <w:p>
            <w:pPr>
              <w:pStyle w:val="12"/>
              <w:spacing w:line="360" w:lineRule="exact"/>
              <w:rPr>
                <w:rFonts w:hAnsi="宋体" w:cs="宋体"/>
                <w:color w:val="auto"/>
                <w:kern w:val="2"/>
                <w:sz w:val="21"/>
                <w:highlight w:val="none"/>
              </w:rPr>
            </w:pPr>
          </w:p>
        </w:tc>
        <w:tc>
          <w:tcPr>
            <w:tcW w:w="945" w:type="dxa"/>
            <w:vAlign w:val="center"/>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c>
          <w:tcPr>
            <w:tcW w:w="945" w:type="dxa"/>
          </w:tcPr>
          <w:p>
            <w:pPr>
              <w:pStyle w:val="12"/>
              <w:spacing w:line="360" w:lineRule="exact"/>
              <w:rPr>
                <w:rFonts w:hAnsi="宋体" w:cs="宋体"/>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840" w:type="dxa"/>
            <w:vAlign w:val="center"/>
          </w:tcPr>
          <w:p>
            <w:pPr>
              <w:pStyle w:val="12"/>
              <w:spacing w:line="360" w:lineRule="exact"/>
              <w:rPr>
                <w:rFonts w:hAnsi="宋体" w:cs="宋体"/>
                <w:color w:val="auto"/>
                <w:kern w:val="2"/>
                <w:sz w:val="24"/>
                <w:szCs w:val="24"/>
                <w:highlight w:val="none"/>
              </w:rPr>
            </w:pPr>
          </w:p>
        </w:tc>
        <w:tc>
          <w:tcPr>
            <w:tcW w:w="945" w:type="dxa"/>
            <w:vAlign w:val="center"/>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840" w:type="dxa"/>
            <w:vAlign w:val="center"/>
          </w:tcPr>
          <w:p>
            <w:pPr>
              <w:pStyle w:val="12"/>
              <w:spacing w:line="360" w:lineRule="exact"/>
              <w:rPr>
                <w:rFonts w:hAnsi="宋体" w:cs="宋体"/>
                <w:color w:val="auto"/>
                <w:kern w:val="2"/>
                <w:sz w:val="24"/>
                <w:szCs w:val="24"/>
                <w:highlight w:val="none"/>
              </w:rPr>
            </w:pPr>
          </w:p>
        </w:tc>
        <w:tc>
          <w:tcPr>
            <w:tcW w:w="945" w:type="dxa"/>
            <w:vAlign w:val="center"/>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840" w:type="dxa"/>
            <w:vAlign w:val="center"/>
          </w:tcPr>
          <w:p>
            <w:pPr>
              <w:pStyle w:val="12"/>
              <w:spacing w:line="360" w:lineRule="exact"/>
              <w:rPr>
                <w:rFonts w:hAnsi="宋体" w:cs="宋体"/>
                <w:color w:val="auto"/>
                <w:kern w:val="2"/>
                <w:sz w:val="24"/>
                <w:szCs w:val="24"/>
                <w:highlight w:val="none"/>
              </w:rPr>
            </w:pPr>
          </w:p>
        </w:tc>
        <w:tc>
          <w:tcPr>
            <w:tcW w:w="945" w:type="dxa"/>
            <w:vAlign w:val="center"/>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525" w:type="dxa"/>
            <w:vAlign w:val="center"/>
          </w:tcPr>
          <w:p>
            <w:pPr>
              <w:pStyle w:val="12"/>
              <w:spacing w:line="360" w:lineRule="exact"/>
              <w:rPr>
                <w:rFonts w:hAnsi="宋体" w:cs="宋体"/>
                <w:color w:val="auto"/>
                <w:kern w:val="2"/>
                <w:sz w:val="24"/>
                <w:szCs w:val="24"/>
                <w:highlight w:val="none"/>
              </w:rPr>
            </w:pPr>
          </w:p>
        </w:tc>
        <w:tc>
          <w:tcPr>
            <w:tcW w:w="735" w:type="dxa"/>
            <w:vAlign w:val="center"/>
          </w:tcPr>
          <w:p>
            <w:pPr>
              <w:pStyle w:val="12"/>
              <w:spacing w:line="360" w:lineRule="exact"/>
              <w:rPr>
                <w:rFonts w:hAnsi="宋体" w:cs="宋体"/>
                <w:color w:val="auto"/>
                <w:kern w:val="2"/>
                <w:sz w:val="24"/>
                <w:szCs w:val="24"/>
                <w:highlight w:val="none"/>
              </w:rPr>
            </w:pPr>
          </w:p>
        </w:tc>
        <w:tc>
          <w:tcPr>
            <w:tcW w:w="840" w:type="dxa"/>
            <w:vAlign w:val="center"/>
          </w:tcPr>
          <w:p>
            <w:pPr>
              <w:pStyle w:val="12"/>
              <w:spacing w:line="360" w:lineRule="exact"/>
              <w:rPr>
                <w:rFonts w:hAnsi="宋体" w:cs="宋体"/>
                <w:color w:val="auto"/>
                <w:kern w:val="2"/>
                <w:sz w:val="24"/>
                <w:szCs w:val="24"/>
                <w:highlight w:val="none"/>
              </w:rPr>
            </w:pPr>
          </w:p>
        </w:tc>
        <w:tc>
          <w:tcPr>
            <w:tcW w:w="945" w:type="dxa"/>
            <w:vAlign w:val="center"/>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c>
          <w:tcPr>
            <w:tcW w:w="945" w:type="dxa"/>
          </w:tcPr>
          <w:p>
            <w:pPr>
              <w:pStyle w:val="12"/>
              <w:spacing w:line="360" w:lineRule="exact"/>
              <w:rPr>
                <w:rFonts w:hAnsi="宋体" w:cs="宋体"/>
                <w:color w:val="auto"/>
                <w:kern w:val="2"/>
                <w:sz w:val="24"/>
                <w:szCs w:val="24"/>
                <w:highlight w:val="none"/>
              </w:rPr>
            </w:pPr>
          </w:p>
        </w:tc>
      </w:tr>
    </w:tbl>
    <w:p>
      <w:pPr>
        <w:autoSpaceDE w:val="0"/>
        <w:autoSpaceDN w:val="0"/>
        <w:adjustRightInd w:val="0"/>
        <w:spacing w:line="440" w:lineRule="exact"/>
        <w:ind w:right="979"/>
        <w:jc w:val="center"/>
        <w:rPr>
          <w:rFonts w:ascii="宋体" w:hAnsi="宋体" w:cs="宋体"/>
          <w:bCs/>
          <w:color w:val="auto"/>
          <w:kern w:val="0"/>
          <w:sz w:val="24"/>
          <w:highlight w:val="none"/>
        </w:rPr>
      </w:pPr>
    </w:p>
    <w:p>
      <w:pPr>
        <w:spacing w:line="440" w:lineRule="exact"/>
        <w:ind w:right="420" w:firstLine="2730" w:firstLineChars="1300"/>
        <w:rPr>
          <w:rFonts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（盖单位章 ） </w:t>
      </w:r>
    </w:p>
    <w:p>
      <w:pPr>
        <w:spacing w:line="440" w:lineRule="exact"/>
        <w:ind w:left="570" w:right="420"/>
        <w:jc w:val="center"/>
        <w:rPr>
          <w:rFonts w:ascii="宋体" w:hAnsi="宋体" w:cs="宋体"/>
          <w:color w:val="auto"/>
          <w:sz w:val="21"/>
          <w:szCs w:val="21"/>
          <w:highlight w:val="none"/>
          <w:u w:val="single"/>
        </w:rPr>
      </w:pPr>
    </w:p>
    <w:p>
      <w:pPr>
        <w:pStyle w:val="12"/>
        <w:spacing w:line="360" w:lineRule="exact"/>
        <w:ind w:right="360" w:firstLine="2730" w:firstLineChars="1300"/>
        <w:rPr>
          <w:rFonts w:hAnsi="宋体" w:cs="宋体"/>
          <w:color w:val="auto"/>
          <w:sz w:val="21"/>
          <w:highlight w:val="none"/>
          <w:u w:val="single"/>
        </w:rPr>
      </w:pPr>
      <w:r>
        <w:rPr>
          <w:rFonts w:hint="eastAsia" w:hAnsi="宋体" w:cs="宋体"/>
          <w:color w:val="auto"/>
          <w:sz w:val="21"/>
          <w:highlight w:val="none"/>
        </w:rPr>
        <w:t>法定代表人（或委托代理人）：</w:t>
      </w:r>
      <w:r>
        <w:rPr>
          <w:rFonts w:hint="eastAsia" w:hAnsi="宋体" w:cs="宋体"/>
          <w:color w:val="auto"/>
          <w:sz w:val="21"/>
          <w:highlight w:val="none"/>
          <w:u w:val="single"/>
        </w:rPr>
        <w:t xml:space="preserve">             （签字或盖章）</w:t>
      </w:r>
    </w:p>
    <w:p>
      <w:pPr>
        <w:autoSpaceDE w:val="0"/>
        <w:autoSpaceDN w:val="0"/>
        <w:adjustRightInd w:val="0"/>
        <w:spacing w:line="440" w:lineRule="exact"/>
        <w:ind w:right="979" w:firstLine="6755" w:firstLineChars="3217"/>
        <w:rPr>
          <w:rFonts w:ascii="宋体" w:hAnsi="宋体" w:cs="宋体"/>
          <w:color w:val="auto"/>
          <w:sz w:val="21"/>
          <w:szCs w:val="21"/>
          <w:highlight w:val="none"/>
        </w:rPr>
      </w:pPr>
    </w:p>
    <w:p>
      <w:pPr>
        <w:autoSpaceDE w:val="0"/>
        <w:autoSpaceDN w:val="0"/>
        <w:adjustRightInd w:val="0"/>
        <w:spacing w:line="440" w:lineRule="exact"/>
        <w:ind w:right="979" w:firstLine="5250" w:firstLineChars="2500"/>
        <w:rPr>
          <w:rFonts w:ascii="宋体" w:hAnsi="宋体" w:cs="宋体"/>
          <w:color w:val="auto"/>
          <w:sz w:val="24"/>
          <w:highlight w:val="none"/>
        </w:rPr>
      </w:pPr>
      <w:r>
        <w:rPr>
          <w:rFonts w:hint="eastAsia" w:ascii="宋体" w:hAnsi="宋体" w:cs="宋体"/>
          <w:color w:val="auto"/>
          <w:sz w:val="21"/>
          <w:szCs w:val="21"/>
          <w:highlight w:val="none"/>
        </w:rPr>
        <w:t xml:space="preserve">    年   月    日</w:t>
      </w:r>
    </w:p>
    <w:p>
      <w:pPr>
        <w:spacing w:line="440" w:lineRule="exact"/>
        <w:jc w:val="left"/>
        <w:rPr>
          <w:rFonts w:ascii="宋体" w:hAnsi="宋体" w:cs="宋体"/>
          <w:b/>
          <w:bCs/>
          <w:color w:val="auto"/>
          <w:sz w:val="21"/>
          <w:szCs w:val="21"/>
          <w:highlight w:val="none"/>
        </w:rPr>
      </w:pPr>
    </w:p>
    <w:p>
      <w:pPr>
        <w:spacing w:line="440" w:lineRule="exact"/>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注：附人员证明材料：职称证（若需）、资格证（若需）复印件等相关资料及提供近3个月（须含</w:t>
      </w:r>
      <w:r>
        <w:rPr>
          <w:rFonts w:hint="eastAsia" w:ascii="宋体" w:hAnsi="宋体" w:cs="宋体"/>
          <w:b/>
          <w:bCs/>
          <w:color w:val="auto"/>
          <w:sz w:val="21"/>
          <w:szCs w:val="21"/>
          <w:highlight w:val="none"/>
          <w:lang w:val="en-US" w:eastAsia="zh-CN"/>
        </w:rPr>
        <w:t>2025</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rPr>
        <w:t>月）在投标单位的社保证明。</w:t>
      </w:r>
    </w:p>
    <w:p>
      <w:pPr>
        <w:spacing w:line="440" w:lineRule="exact"/>
        <w:jc w:val="left"/>
        <w:rPr>
          <w:rFonts w:ascii="宋体" w:hAnsi="宋体" w:cs="宋体"/>
          <w:color w:val="auto"/>
          <w:kern w:val="0"/>
          <w:sz w:val="21"/>
          <w:szCs w:val="21"/>
          <w:highlight w:val="none"/>
        </w:rPr>
      </w:pPr>
      <w:r>
        <w:rPr>
          <w:rFonts w:hint="eastAsia" w:ascii="宋体" w:hAnsi="宋体" w:cs="宋体"/>
          <w:b/>
          <w:bCs/>
          <w:color w:val="auto"/>
          <w:sz w:val="21"/>
          <w:szCs w:val="20"/>
          <w:highlight w:val="none"/>
        </w:rPr>
        <w:br w:type="page"/>
      </w:r>
      <w:r>
        <w:rPr>
          <w:rFonts w:hint="eastAsia" w:ascii="宋体" w:hAnsi="宋体" w:cs="宋体"/>
          <w:color w:val="auto"/>
          <w:kern w:val="0"/>
          <w:sz w:val="21"/>
          <w:szCs w:val="21"/>
          <w:highlight w:val="none"/>
        </w:rPr>
        <w:t>（三）主要人员简历表</w:t>
      </w:r>
    </w:p>
    <w:p>
      <w:pPr>
        <w:pStyle w:val="10"/>
        <w:jc w:val="center"/>
        <w:rPr>
          <w:rFonts w:ascii="宋体" w:hAnsi="宋体" w:cs="宋体"/>
          <w:color w:val="auto"/>
          <w:sz w:val="21"/>
          <w:szCs w:val="21"/>
          <w:highlight w:val="none"/>
        </w:rPr>
      </w:pPr>
      <w:r>
        <w:rPr>
          <w:rFonts w:hint="eastAsia" w:ascii="宋体" w:hAnsi="宋体" w:cs="宋体"/>
          <w:color w:val="auto"/>
          <w:sz w:val="21"/>
          <w:szCs w:val="21"/>
          <w:highlight w:val="none"/>
        </w:rPr>
        <w:t>拟任本工程主要监理人员情况表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58"/>
        <w:gridCol w:w="692"/>
        <w:gridCol w:w="958"/>
        <w:gridCol w:w="1066"/>
        <w:gridCol w:w="706"/>
        <w:gridCol w:w="1261"/>
        <w:gridCol w:w="401"/>
        <w:gridCol w:w="1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86" w:type="dxa"/>
            <w:vAlign w:val="center"/>
          </w:tcPr>
          <w:p>
            <w:pPr>
              <w:pStyle w:val="71"/>
              <w:tabs>
                <w:tab w:val="left" w:pos="436"/>
              </w:tabs>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50" w:type="dxa"/>
            <w:gridSpan w:val="2"/>
            <w:vAlign w:val="center"/>
          </w:tcPr>
          <w:p>
            <w:pPr>
              <w:pStyle w:val="71"/>
              <w:jc w:val="center"/>
              <w:rPr>
                <w:rFonts w:ascii="宋体" w:hAnsi="宋体" w:eastAsia="宋体" w:cs="宋体"/>
                <w:color w:val="auto"/>
                <w:sz w:val="21"/>
                <w:szCs w:val="21"/>
                <w:highlight w:val="none"/>
              </w:rPr>
            </w:pPr>
          </w:p>
        </w:tc>
        <w:tc>
          <w:tcPr>
            <w:tcW w:w="958" w:type="dxa"/>
            <w:vAlign w:val="center"/>
          </w:tcPr>
          <w:p>
            <w:pPr>
              <w:pStyle w:val="71"/>
              <w:ind w:right="25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6" w:type="dxa"/>
            <w:vAlign w:val="center"/>
          </w:tcPr>
          <w:p>
            <w:pPr>
              <w:pStyle w:val="71"/>
              <w:jc w:val="center"/>
              <w:rPr>
                <w:rFonts w:ascii="宋体" w:hAnsi="宋体" w:eastAsia="宋体" w:cs="宋体"/>
                <w:color w:val="auto"/>
                <w:sz w:val="21"/>
                <w:szCs w:val="21"/>
                <w:highlight w:val="none"/>
              </w:rPr>
            </w:pPr>
          </w:p>
        </w:tc>
        <w:tc>
          <w:tcPr>
            <w:tcW w:w="2368" w:type="dxa"/>
            <w:gridSpan w:val="3"/>
            <w:vAlign w:val="center"/>
          </w:tcPr>
          <w:p>
            <w:pPr>
              <w:pStyle w:val="71"/>
              <w:spacing w:before="3" w:line="440" w:lineRule="exact"/>
              <w:ind w:right="12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执业资格证书（或上岗证书）名称</w:t>
            </w:r>
          </w:p>
        </w:tc>
        <w:tc>
          <w:tcPr>
            <w:tcW w:w="1897" w:type="dxa"/>
            <w:vAlign w:val="center"/>
          </w:tcPr>
          <w:p>
            <w:pPr>
              <w:pStyle w:val="71"/>
              <w:jc w:val="center"/>
              <w:rPr>
                <w:rFonts w:ascii="宋体" w:hAnsi="宋体" w:eastAsia="宋体" w:cs="宋体"/>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186" w:type="dxa"/>
            <w:vAlign w:val="center"/>
          </w:tcPr>
          <w:p>
            <w:pPr>
              <w:pStyle w:val="71"/>
              <w:tabs>
                <w:tab w:val="left" w:pos="436"/>
              </w:tabs>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50" w:type="dxa"/>
            <w:gridSpan w:val="2"/>
            <w:vAlign w:val="center"/>
          </w:tcPr>
          <w:p>
            <w:pPr>
              <w:pStyle w:val="71"/>
              <w:jc w:val="center"/>
              <w:rPr>
                <w:rFonts w:ascii="宋体" w:hAnsi="宋体" w:eastAsia="宋体" w:cs="宋体"/>
                <w:color w:val="auto"/>
                <w:sz w:val="21"/>
                <w:szCs w:val="21"/>
                <w:highlight w:val="none"/>
              </w:rPr>
            </w:pPr>
          </w:p>
        </w:tc>
        <w:tc>
          <w:tcPr>
            <w:tcW w:w="958" w:type="dxa"/>
            <w:vAlign w:val="center"/>
          </w:tcPr>
          <w:p>
            <w:pPr>
              <w:pStyle w:val="71"/>
              <w:ind w:right="25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6" w:type="dxa"/>
            <w:vAlign w:val="center"/>
          </w:tcPr>
          <w:p>
            <w:pPr>
              <w:pStyle w:val="71"/>
              <w:jc w:val="center"/>
              <w:rPr>
                <w:rFonts w:ascii="宋体" w:hAnsi="宋体" w:eastAsia="宋体" w:cs="宋体"/>
                <w:color w:val="auto"/>
                <w:sz w:val="21"/>
                <w:szCs w:val="21"/>
                <w:highlight w:val="none"/>
              </w:rPr>
            </w:pPr>
          </w:p>
        </w:tc>
        <w:tc>
          <w:tcPr>
            <w:tcW w:w="2368" w:type="dxa"/>
            <w:gridSpan w:val="3"/>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拟在本项目任职</w:t>
            </w:r>
          </w:p>
        </w:tc>
        <w:tc>
          <w:tcPr>
            <w:tcW w:w="1897" w:type="dxa"/>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186"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74" w:type="dxa"/>
            <w:gridSpan w:val="4"/>
            <w:vAlign w:val="center"/>
          </w:tcPr>
          <w:p>
            <w:pPr>
              <w:pStyle w:val="71"/>
              <w:jc w:val="center"/>
              <w:rPr>
                <w:rFonts w:ascii="宋体" w:hAnsi="宋体" w:eastAsia="宋体" w:cs="宋体"/>
                <w:color w:val="auto"/>
                <w:sz w:val="21"/>
                <w:szCs w:val="21"/>
                <w:highlight w:val="none"/>
              </w:rPr>
            </w:pPr>
          </w:p>
        </w:tc>
        <w:tc>
          <w:tcPr>
            <w:tcW w:w="2368" w:type="dxa"/>
            <w:gridSpan w:val="3"/>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从事监理工作年限</w:t>
            </w:r>
          </w:p>
        </w:tc>
        <w:tc>
          <w:tcPr>
            <w:tcW w:w="1897" w:type="dxa"/>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186" w:type="dxa"/>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7339" w:type="dxa"/>
            <w:gridSpan w:val="8"/>
            <w:vAlign w:val="center"/>
          </w:tcPr>
          <w:p>
            <w:pPr>
              <w:pStyle w:val="71"/>
              <w:tabs>
                <w:tab w:val="left" w:pos="3364"/>
                <w:tab w:val="left" w:pos="4625"/>
              </w:tabs>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年毕</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rPr>
              <w:t>学</w:t>
            </w:r>
            <w:r>
              <w:rPr>
                <w:rFonts w:hint="eastAsia" w:ascii="宋体" w:hAnsi="宋体" w:eastAsia="宋体" w:cs="宋体"/>
                <w:color w:val="auto"/>
                <w:sz w:val="21"/>
                <w:szCs w:val="21"/>
                <w:highlight w:val="none"/>
              </w:rPr>
              <w:t>校</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8525" w:type="dxa"/>
            <w:gridSpan w:val="9"/>
            <w:vAlign w:val="center"/>
          </w:tcPr>
          <w:p>
            <w:pPr>
              <w:pStyle w:val="7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544" w:type="dxa"/>
            <w:gridSpan w:val="2"/>
            <w:vAlign w:val="center"/>
          </w:tcPr>
          <w:p>
            <w:pPr>
              <w:pStyle w:val="71"/>
              <w:tabs>
                <w:tab w:val="left" w:pos="878"/>
              </w:tabs>
              <w:spacing w:before="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3422" w:type="dxa"/>
            <w:gridSpan w:val="4"/>
            <w:vAlign w:val="center"/>
          </w:tcPr>
          <w:p>
            <w:pPr>
              <w:pStyle w:val="71"/>
              <w:spacing w:before="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261" w:type="dxa"/>
            <w:vAlign w:val="center"/>
          </w:tcPr>
          <w:p>
            <w:pPr>
              <w:pStyle w:val="71"/>
              <w:spacing w:before="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298" w:type="dxa"/>
            <w:gridSpan w:val="2"/>
            <w:vAlign w:val="center"/>
          </w:tcPr>
          <w:p>
            <w:pPr>
              <w:pStyle w:val="71"/>
              <w:spacing w:before="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544" w:type="dxa"/>
            <w:gridSpan w:val="2"/>
            <w:vAlign w:val="center"/>
          </w:tcPr>
          <w:p>
            <w:pPr>
              <w:pStyle w:val="71"/>
              <w:jc w:val="center"/>
              <w:rPr>
                <w:rFonts w:ascii="宋体" w:hAnsi="宋体" w:eastAsia="宋体" w:cs="宋体"/>
                <w:color w:val="auto"/>
                <w:sz w:val="21"/>
                <w:szCs w:val="21"/>
                <w:highlight w:val="none"/>
              </w:rPr>
            </w:pPr>
          </w:p>
        </w:tc>
        <w:tc>
          <w:tcPr>
            <w:tcW w:w="3422" w:type="dxa"/>
            <w:gridSpan w:val="4"/>
            <w:vAlign w:val="center"/>
          </w:tcPr>
          <w:p>
            <w:pPr>
              <w:pStyle w:val="71"/>
              <w:jc w:val="center"/>
              <w:rPr>
                <w:rFonts w:ascii="宋体" w:hAnsi="宋体" w:eastAsia="宋体" w:cs="宋体"/>
                <w:color w:val="auto"/>
                <w:sz w:val="21"/>
                <w:szCs w:val="21"/>
                <w:highlight w:val="none"/>
              </w:rPr>
            </w:pPr>
          </w:p>
        </w:tc>
        <w:tc>
          <w:tcPr>
            <w:tcW w:w="1261" w:type="dxa"/>
            <w:vAlign w:val="center"/>
          </w:tcPr>
          <w:p>
            <w:pPr>
              <w:pStyle w:val="71"/>
              <w:jc w:val="center"/>
              <w:rPr>
                <w:rFonts w:ascii="宋体" w:hAnsi="宋体" w:eastAsia="宋体" w:cs="宋体"/>
                <w:color w:val="auto"/>
                <w:sz w:val="21"/>
                <w:szCs w:val="21"/>
                <w:highlight w:val="none"/>
              </w:rPr>
            </w:pPr>
          </w:p>
        </w:tc>
        <w:tc>
          <w:tcPr>
            <w:tcW w:w="2298" w:type="dxa"/>
            <w:gridSpan w:val="2"/>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544" w:type="dxa"/>
            <w:gridSpan w:val="2"/>
            <w:vAlign w:val="center"/>
          </w:tcPr>
          <w:p>
            <w:pPr>
              <w:pStyle w:val="71"/>
              <w:jc w:val="center"/>
              <w:rPr>
                <w:rFonts w:ascii="宋体" w:hAnsi="宋体" w:eastAsia="宋体" w:cs="宋体"/>
                <w:color w:val="auto"/>
                <w:sz w:val="21"/>
                <w:szCs w:val="21"/>
                <w:highlight w:val="none"/>
              </w:rPr>
            </w:pPr>
          </w:p>
        </w:tc>
        <w:tc>
          <w:tcPr>
            <w:tcW w:w="3422" w:type="dxa"/>
            <w:gridSpan w:val="4"/>
            <w:vAlign w:val="center"/>
          </w:tcPr>
          <w:p>
            <w:pPr>
              <w:pStyle w:val="71"/>
              <w:jc w:val="center"/>
              <w:rPr>
                <w:rFonts w:ascii="宋体" w:hAnsi="宋体" w:eastAsia="宋体" w:cs="宋体"/>
                <w:color w:val="auto"/>
                <w:sz w:val="21"/>
                <w:szCs w:val="21"/>
                <w:highlight w:val="none"/>
              </w:rPr>
            </w:pPr>
          </w:p>
        </w:tc>
        <w:tc>
          <w:tcPr>
            <w:tcW w:w="1261" w:type="dxa"/>
            <w:vAlign w:val="center"/>
          </w:tcPr>
          <w:p>
            <w:pPr>
              <w:pStyle w:val="71"/>
              <w:jc w:val="center"/>
              <w:rPr>
                <w:rFonts w:ascii="宋体" w:hAnsi="宋体" w:eastAsia="宋体" w:cs="宋体"/>
                <w:color w:val="auto"/>
                <w:sz w:val="21"/>
                <w:szCs w:val="21"/>
                <w:highlight w:val="none"/>
              </w:rPr>
            </w:pPr>
          </w:p>
        </w:tc>
        <w:tc>
          <w:tcPr>
            <w:tcW w:w="2298" w:type="dxa"/>
            <w:gridSpan w:val="2"/>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4" w:type="dxa"/>
            <w:gridSpan w:val="2"/>
            <w:vAlign w:val="center"/>
          </w:tcPr>
          <w:p>
            <w:pPr>
              <w:pStyle w:val="71"/>
              <w:jc w:val="center"/>
              <w:rPr>
                <w:rFonts w:ascii="宋体" w:hAnsi="宋体" w:eastAsia="宋体" w:cs="宋体"/>
                <w:color w:val="auto"/>
                <w:sz w:val="21"/>
                <w:szCs w:val="21"/>
                <w:highlight w:val="none"/>
              </w:rPr>
            </w:pPr>
          </w:p>
        </w:tc>
        <w:tc>
          <w:tcPr>
            <w:tcW w:w="3422" w:type="dxa"/>
            <w:gridSpan w:val="4"/>
            <w:vAlign w:val="center"/>
          </w:tcPr>
          <w:p>
            <w:pPr>
              <w:pStyle w:val="71"/>
              <w:jc w:val="center"/>
              <w:rPr>
                <w:rFonts w:ascii="宋体" w:hAnsi="宋体" w:eastAsia="宋体" w:cs="宋体"/>
                <w:color w:val="auto"/>
                <w:sz w:val="21"/>
                <w:szCs w:val="21"/>
                <w:highlight w:val="none"/>
              </w:rPr>
            </w:pPr>
          </w:p>
        </w:tc>
        <w:tc>
          <w:tcPr>
            <w:tcW w:w="1261" w:type="dxa"/>
            <w:vAlign w:val="center"/>
          </w:tcPr>
          <w:p>
            <w:pPr>
              <w:pStyle w:val="71"/>
              <w:jc w:val="center"/>
              <w:rPr>
                <w:rFonts w:ascii="宋体" w:hAnsi="宋体" w:eastAsia="宋体" w:cs="宋体"/>
                <w:color w:val="auto"/>
                <w:sz w:val="21"/>
                <w:szCs w:val="21"/>
                <w:highlight w:val="none"/>
              </w:rPr>
            </w:pPr>
          </w:p>
        </w:tc>
        <w:tc>
          <w:tcPr>
            <w:tcW w:w="2298" w:type="dxa"/>
            <w:gridSpan w:val="2"/>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4" w:type="dxa"/>
            <w:gridSpan w:val="2"/>
            <w:vAlign w:val="center"/>
          </w:tcPr>
          <w:p>
            <w:pPr>
              <w:pStyle w:val="71"/>
              <w:jc w:val="center"/>
              <w:rPr>
                <w:rFonts w:ascii="宋体" w:hAnsi="宋体" w:eastAsia="宋体" w:cs="宋体"/>
                <w:color w:val="auto"/>
                <w:sz w:val="21"/>
                <w:szCs w:val="21"/>
                <w:highlight w:val="none"/>
              </w:rPr>
            </w:pPr>
          </w:p>
        </w:tc>
        <w:tc>
          <w:tcPr>
            <w:tcW w:w="3422" w:type="dxa"/>
            <w:gridSpan w:val="4"/>
            <w:vAlign w:val="center"/>
          </w:tcPr>
          <w:p>
            <w:pPr>
              <w:pStyle w:val="71"/>
              <w:jc w:val="center"/>
              <w:rPr>
                <w:rFonts w:ascii="宋体" w:hAnsi="宋体" w:eastAsia="宋体" w:cs="宋体"/>
                <w:color w:val="auto"/>
                <w:sz w:val="21"/>
                <w:szCs w:val="21"/>
                <w:highlight w:val="none"/>
              </w:rPr>
            </w:pPr>
          </w:p>
        </w:tc>
        <w:tc>
          <w:tcPr>
            <w:tcW w:w="1261" w:type="dxa"/>
            <w:vAlign w:val="center"/>
          </w:tcPr>
          <w:p>
            <w:pPr>
              <w:pStyle w:val="71"/>
              <w:jc w:val="center"/>
              <w:rPr>
                <w:rFonts w:ascii="宋体" w:hAnsi="宋体" w:eastAsia="宋体" w:cs="宋体"/>
                <w:color w:val="auto"/>
                <w:sz w:val="21"/>
                <w:szCs w:val="21"/>
                <w:highlight w:val="none"/>
              </w:rPr>
            </w:pPr>
          </w:p>
        </w:tc>
        <w:tc>
          <w:tcPr>
            <w:tcW w:w="2298" w:type="dxa"/>
            <w:gridSpan w:val="2"/>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544" w:type="dxa"/>
            <w:gridSpan w:val="2"/>
            <w:vAlign w:val="center"/>
          </w:tcPr>
          <w:p>
            <w:pPr>
              <w:pStyle w:val="71"/>
              <w:jc w:val="center"/>
              <w:rPr>
                <w:rFonts w:ascii="宋体" w:hAnsi="宋体" w:eastAsia="宋体" w:cs="宋体"/>
                <w:color w:val="auto"/>
                <w:sz w:val="21"/>
                <w:szCs w:val="21"/>
                <w:highlight w:val="none"/>
              </w:rPr>
            </w:pPr>
          </w:p>
        </w:tc>
        <w:tc>
          <w:tcPr>
            <w:tcW w:w="3422" w:type="dxa"/>
            <w:gridSpan w:val="4"/>
            <w:vAlign w:val="center"/>
          </w:tcPr>
          <w:p>
            <w:pPr>
              <w:pStyle w:val="71"/>
              <w:jc w:val="center"/>
              <w:rPr>
                <w:rFonts w:ascii="宋体" w:hAnsi="宋体" w:eastAsia="宋体" w:cs="宋体"/>
                <w:color w:val="auto"/>
                <w:sz w:val="21"/>
                <w:szCs w:val="21"/>
                <w:highlight w:val="none"/>
              </w:rPr>
            </w:pPr>
          </w:p>
        </w:tc>
        <w:tc>
          <w:tcPr>
            <w:tcW w:w="1261" w:type="dxa"/>
            <w:vAlign w:val="center"/>
          </w:tcPr>
          <w:p>
            <w:pPr>
              <w:pStyle w:val="71"/>
              <w:jc w:val="center"/>
              <w:rPr>
                <w:rFonts w:ascii="宋体" w:hAnsi="宋体" w:eastAsia="宋体" w:cs="宋体"/>
                <w:color w:val="auto"/>
                <w:sz w:val="21"/>
                <w:szCs w:val="21"/>
                <w:highlight w:val="none"/>
              </w:rPr>
            </w:pPr>
          </w:p>
        </w:tc>
        <w:tc>
          <w:tcPr>
            <w:tcW w:w="2298" w:type="dxa"/>
            <w:gridSpan w:val="2"/>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4" w:type="dxa"/>
            <w:gridSpan w:val="2"/>
            <w:vAlign w:val="center"/>
          </w:tcPr>
          <w:p>
            <w:pPr>
              <w:pStyle w:val="71"/>
              <w:jc w:val="center"/>
              <w:rPr>
                <w:rFonts w:ascii="宋体" w:hAnsi="宋体" w:eastAsia="宋体" w:cs="宋体"/>
                <w:color w:val="auto"/>
                <w:sz w:val="21"/>
                <w:szCs w:val="21"/>
                <w:highlight w:val="none"/>
              </w:rPr>
            </w:pPr>
          </w:p>
        </w:tc>
        <w:tc>
          <w:tcPr>
            <w:tcW w:w="3422" w:type="dxa"/>
            <w:gridSpan w:val="4"/>
            <w:vAlign w:val="center"/>
          </w:tcPr>
          <w:p>
            <w:pPr>
              <w:pStyle w:val="71"/>
              <w:jc w:val="center"/>
              <w:rPr>
                <w:rFonts w:ascii="宋体" w:hAnsi="宋体" w:eastAsia="宋体" w:cs="宋体"/>
                <w:color w:val="auto"/>
                <w:sz w:val="21"/>
                <w:szCs w:val="21"/>
                <w:highlight w:val="none"/>
              </w:rPr>
            </w:pPr>
          </w:p>
        </w:tc>
        <w:tc>
          <w:tcPr>
            <w:tcW w:w="1261" w:type="dxa"/>
            <w:vAlign w:val="center"/>
          </w:tcPr>
          <w:p>
            <w:pPr>
              <w:pStyle w:val="71"/>
              <w:jc w:val="center"/>
              <w:rPr>
                <w:rFonts w:ascii="宋体" w:hAnsi="宋体" w:eastAsia="宋体" w:cs="宋体"/>
                <w:color w:val="auto"/>
                <w:sz w:val="21"/>
                <w:szCs w:val="21"/>
                <w:highlight w:val="none"/>
              </w:rPr>
            </w:pPr>
          </w:p>
        </w:tc>
        <w:tc>
          <w:tcPr>
            <w:tcW w:w="2298" w:type="dxa"/>
            <w:gridSpan w:val="2"/>
            <w:vAlign w:val="center"/>
          </w:tcPr>
          <w:p>
            <w:pPr>
              <w:pStyle w:val="71"/>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4" w:type="dxa"/>
            <w:gridSpan w:val="2"/>
            <w:vAlign w:val="center"/>
          </w:tcPr>
          <w:p>
            <w:pPr>
              <w:pStyle w:val="71"/>
              <w:jc w:val="center"/>
              <w:rPr>
                <w:rFonts w:ascii="宋体" w:hAnsi="宋体" w:eastAsia="宋体" w:cs="宋体"/>
                <w:color w:val="auto"/>
                <w:sz w:val="21"/>
                <w:szCs w:val="21"/>
                <w:highlight w:val="none"/>
              </w:rPr>
            </w:pPr>
          </w:p>
        </w:tc>
        <w:tc>
          <w:tcPr>
            <w:tcW w:w="3422" w:type="dxa"/>
            <w:gridSpan w:val="4"/>
            <w:vAlign w:val="center"/>
          </w:tcPr>
          <w:p>
            <w:pPr>
              <w:pStyle w:val="71"/>
              <w:jc w:val="center"/>
              <w:rPr>
                <w:rFonts w:ascii="宋体" w:hAnsi="宋体" w:eastAsia="宋体" w:cs="宋体"/>
                <w:color w:val="auto"/>
                <w:sz w:val="21"/>
                <w:szCs w:val="21"/>
                <w:highlight w:val="none"/>
              </w:rPr>
            </w:pPr>
          </w:p>
        </w:tc>
        <w:tc>
          <w:tcPr>
            <w:tcW w:w="1261" w:type="dxa"/>
            <w:vAlign w:val="center"/>
          </w:tcPr>
          <w:p>
            <w:pPr>
              <w:pStyle w:val="71"/>
              <w:jc w:val="center"/>
              <w:rPr>
                <w:rFonts w:ascii="宋体" w:hAnsi="宋体" w:eastAsia="宋体" w:cs="宋体"/>
                <w:color w:val="auto"/>
                <w:sz w:val="21"/>
                <w:szCs w:val="21"/>
                <w:highlight w:val="none"/>
              </w:rPr>
            </w:pPr>
          </w:p>
        </w:tc>
        <w:tc>
          <w:tcPr>
            <w:tcW w:w="2298" w:type="dxa"/>
            <w:gridSpan w:val="2"/>
            <w:vAlign w:val="center"/>
          </w:tcPr>
          <w:p>
            <w:pPr>
              <w:pStyle w:val="71"/>
              <w:jc w:val="center"/>
              <w:rPr>
                <w:rFonts w:ascii="宋体" w:hAnsi="宋体" w:eastAsia="宋体" w:cs="宋体"/>
                <w:color w:val="auto"/>
                <w:sz w:val="21"/>
                <w:szCs w:val="21"/>
                <w:highlight w:val="none"/>
              </w:rPr>
            </w:pPr>
          </w:p>
        </w:tc>
      </w:tr>
    </w:tbl>
    <w:p>
      <w:pPr>
        <w:pStyle w:val="10"/>
        <w:spacing w:before="143"/>
        <w:ind w:left="240"/>
        <w:rPr>
          <w:rFonts w:ascii="宋体" w:hAnsi="宋体" w:cs="宋体"/>
          <w:color w:val="auto"/>
          <w:sz w:val="21"/>
          <w:szCs w:val="21"/>
          <w:highlight w:val="none"/>
        </w:rPr>
      </w:pPr>
    </w:p>
    <w:p>
      <w:pPr>
        <w:spacing w:line="440" w:lineRule="exact"/>
        <w:ind w:right="420"/>
        <w:outlineLvl w:val="1"/>
        <w:rPr>
          <w:rFonts w:ascii="宋体" w:hAnsi="宋体" w:cs="宋体"/>
          <w:color w:val="auto"/>
          <w:sz w:val="21"/>
          <w:szCs w:val="21"/>
          <w:highlight w:val="none"/>
        </w:rPr>
      </w:pPr>
      <w:bookmarkStart w:id="264" w:name="_Toc7002"/>
      <w:r>
        <w:rPr>
          <w:rFonts w:hint="eastAsia" w:ascii="宋体" w:hAnsi="宋体" w:cs="宋体"/>
          <w:color w:val="auto"/>
          <w:sz w:val="21"/>
          <w:szCs w:val="21"/>
          <w:highlight w:val="none"/>
        </w:rPr>
        <w:t>1、主要人员是指总监理工程师、监理工程师。</w:t>
      </w:r>
      <w:bookmarkEnd w:id="264"/>
    </w:p>
    <w:p>
      <w:pPr>
        <w:autoSpaceDE w:val="0"/>
        <w:autoSpaceDN w:val="0"/>
        <w:adjustRightInd w:val="0"/>
        <w:spacing w:line="440" w:lineRule="exact"/>
        <w:ind w:right="979"/>
        <w:rPr>
          <w:rFonts w:ascii="宋体" w:hAnsi="宋体" w:cs="宋体"/>
          <w:color w:val="auto"/>
          <w:kern w:val="0"/>
          <w:sz w:val="21"/>
          <w:szCs w:val="21"/>
          <w:highlight w:val="none"/>
        </w:rPr>
      </w:pPr>
    </w:p>
    <w:p>
      <w:pPr>
        <w:pStyle w:val="2"/>
        <w:rPr>
          <w:rFonts w:ascii="宋体" w:hAnsi="宋体" w:cs="宋体"/>
          <w:color w:val="auto"/>
          <w:kern w:val="0"/>
          <w:szCs w:val="21"/>
          <w:highlight w:val="none"/>
        </w:rPr>
      </w:pPr>
    </w:p>
    <w:p>
      <w:pPr>
        <w:rPr>
          <w:color w:val="auto"/>
          <w:highlight w:val="none"/>
        </w:rPr>
      </w:pPr>
    </w:p>
    <w:p>
      <w:pPr>
        <w:spacing w:line="440" w:lineRule="exact"/>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注：附人员证明材料:职称证（若需）、资格证（若需）复印件等相关资料及提供近3个月（须含</w:t>
      </w:r>
      <w:r>
        <w:rPr>
          <w:rFonts w:hint="eastAsia" w:ascii="宋体" w:hAnsi="宋体" w:cs="宋体"/>
          <w:b/>
          <w:bCs/>
          <w:color w:val="auto"/>
          <w:sz w:val="21"/>
          <w:szCs w:val="21"/>
          <w:highlight w:val="none"/>
          <w:lang w:val="en-US" w:eastAsia="zh-CN"/>
        </w:rPr>
        <w:t>2025</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rPr>
        <w:t>月）在投标单位的社保证明。</w:t>
      </w:r>
    </w:p>
    <w:p>
      <w:pPr>
        <w:autoSpaceDE w:val="0"/>
        <w:autoSpaceDN w:val="0"/>
        <w:adjustRightInd w:val="0"/>
        <w:spacing w:line="440" w:lineRule="exact"/>
        <w:ind w:right="979"/>
        <w:rPr>
          <w:rFonts w:ascii="宋体" w:hAnsi="宋体" w:cs="宋体"/>
          <w:color w:val="auto"/>
          <w:kern w:val="0"/>
          <w:sz w:val="21"/>
          <w:szCs w:val="21"/>
          <w:highlight w:val="none"/>
        </w:rPr>
      </w:pPr>
    </w:p>
    <w:p>
      <w:pPr>
        <w:autoSpaceDE w:val="0"/>
        <w:autoSpaceDN w:val="0"/>
        <w:adjustRightInd w:val="0"/>
        <w:spacing w:line="440" w:lineRule="exact"/>
        <w:ind w:right="979"/>
        <w:outlineLvl w:val="2"/>
        <w:rPr>
          <w:rFonts w:ascii="宋体" w:hAnsi="宋体" w:cs="宋体"/>
          <w:color w:val="auto"/>
          <w:kern w:val="0"/>
          <w:sz w:val="21"/>
          <w:szCs w:val="21"/>
          <w:highlight w:val="none"/>
        </w:rPr>
      </w:pPr>
      <w:r>
        <w:rPr>
          <w:rFonts w:ascii="宋体" w:hAnsi="宋体" w:cs="宋体"/>
          <w:color w:val="auto"/>
          <w:kern w:val="0"/>
          <w:sz w:val="21"/>
          <w:szCs w:val="21"/>
          <w:highlight w:val="none"/>
        </w:rPr>
        <w:br w:type="page"/>
      </w:r>
      <w:bookmarkStart w:id="265" w:name="_Toc4571"/>
      <w:r>
        <w:rPr>
          <w:rFonts w:hint="eastAsia" w:ascii="宋体" w:hAnsi="宋体" w:cs="宋体"/>
          <w:color w:val="auto"/>
          <w:kern w:val="0"/>
          <w:sz w:val="21"/>
          <w:szCs w:val="21"/>
          <w:highlight w:val="none"/>
        </w:rPr>
        <w:t>（四）业绩证明材料</w:t>
      </w:r>
      <w:bookmarkEnd w:id="265"/>
    </w:p>
    <w:p>
      <w:pPr>
        <w:autoSpaceDE w:val="0"/>
        <w:autoSpaceDN w:val="0"/>
        <w:adjustRightInd w:val="0"/>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表4.1  承接过的类似工程监理情况</w:t>
      </w:r>
    </w:p>
    <w:tbl>
      <w:tblPr>
        <w:tblStyle w:val="2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050"/>
        <w:gridCol w:w="1276"/>
        <w:gridCol w:w="1274"/>
        <w:gridCol w:w="984"/>
        <w:gridCol w:w="1129"/>
        <w:gridCol w:w="1241"/>
        <w:gridCol w:w="1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953"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序号</w:t>
            </w:r>
          </w:p>
        </w:tc>
        <w:tc>
          <w:tcPr>
            <w:tcW w:w="1050"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工程</w:t>
            </w:r>
          </w:p>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名称</w:t>
            </w:r>
          </w:p>
        </w:tc>
        <w:tc>
          <w:tcPr>
            <w:tcW w:w="1276"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工程</w:t>
            </w:r>
          </w:p>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等别（级）</w:t>
            </w:r>
          </w:p>
        </w:tc>
        <w:tc>
          <w:tcPr>
            <w:tcW w:w="1274"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监理投资</w:t>
            </w:r>
          </w:p>
        </w:tc>
        <w:tc>
          <w:tcPr>
            <w:tcW w:w="984"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发包人</w:t>
            </w:r>
          </w:p>
        </w:tc>
        <w:tc>
          <w:tcPr>
            <w:tcW w:w="1129"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总监理工程师</w:t>
            </w:r>
          </w:p>
        </w:tc>
        <w:tc>
          <w:tcPr>
            <w:tcW w:w="1241" w:type="dxa"/>
            <w:vAlign w:val="center"/>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评定标准</w:t>
            </w:r>
          </w:p>
        </w:tc>
        <w:tc>
          <w:tcPr>
            <w:tcW w:w="1467" w:type="dxa"/>
          </w:tcPr>
          <w:p>
            <w:pPr>
              <w:pStyle w:val="12"/>
              <w:spacing w:line="360" w:lineRule="exact"/>
              <w:jc w:val="center"/>
              <w:rPr>
                <w:rFonts w:hAnsi="宋体" w:cs="宋体"/>
                <w:color w:val="auto"/>
                <w:kern w:val="2"/>
                <w:sz w:val="21"/>
                <w:highlight w:val="none"/>
              </w:rPr>
            </w:pPr>
            <w:r>
              <w:rPr>
                <w:rFonts w:hint="eastAsia" w:hAnsi="宋体" w:cs="宋体"/>
                <w:color w:val="auto"/>
                <w:kern w:val="2"/>
                <w:sz w:val="21"/>
                <w:highlight w:val="none"/>
              </w:rPr>
              <w:t>监理服务起止时间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3" w:type="dxa"/>
            <w:vAlign w:val="center"/>
          </w:tcPr>
          <w:p>
            <w:pPr>
              <w:pStyle w:val="12"/>
              <w:spacing w:line="360" w:lineRule="exact"/>
              <w:rPr>
                <w:rFonts w:hAnsi="宋体" w:cs="宋体"/>
                <w:color w:val="auto"/>
                <w:kern w:val="2"/>
                <w:sz w:val="21"/>
                <w:highlight w:val="none"/>
              </w:rPr>
            </w:pPr>
          </w:p>
        </w:tc>
        <w:tc>
          <w:tcPr>
            <w:tcW w:w="1050" w:type="dxa"/>
            <w:vAlign w:val="center"/>
          </w:tcPr>
          <w:p>
            <w:pPr>
              <w:pStyle w:val="12"/>
              <w:spacing w:line="360" w:lineRule="exact"/>
              <w:rPr>
                <w:rFonts w:hAnsi="宋体" w:cs="宋体"/>
                <w:color w:val="auto"/>
                <w:kern w:val="2"/>
                <w:sz w:val="21"/>
                <w:highlight w:val="none"/>
              </w:rPr>
            </w:pPr>
          </w:p>
        </w:tc>
        <w:tc>
          <w:tcPr>
            <w:tcW w:w="1276" w:type="dxa"/>
            <w:vAlign w:val="center"/>
          </w:tcPr>
          <w:p>
            <w:pPr>
              <w:pStyle w:val="12"/>
              <w:spacing w:line="360" w:lineRule="exact"/>
              <w:rPr>
                <w:rFonts w:hAnsi="宋体" w:cs="宋体"/>
                <w:color w:val="auto"/>
                <w:kern w:val="2"/>
                <w:sz w:val="21"/>
                <w:highlight w:val="none"/>
              </w:rPr>
            </w:pPr>
          </w:p>
        </w:tc>
        <w:tc>
          <w:tcPr>
            <w:tcW w:w="1274" w:type="dxa"/>
            <w:vAlign w:val="center"/>
          </w:tcPr>
          <w:p>
            <w:pPr>
              <w:pStyle w:val="12"/>
              <w:spacing w:line="360" w:lineRule="exact"/>
              <w:rPr>
                <w:rFonts w:hAnsi="宋体" w:cs="宋体"/>
                <w:color w:val="auto"/>
                <w:kern w:val="2"/>
                <w:sz w:val="21"/>
                <w:highlight w:val="none"/>
              </w:rPr>
            </w:pPr>
          </w:p>
        </w:tc>
        <w:tc>
          <w:tcPr>
            <w:tcW w:w="984" w:type="dxa"/>
            <w:vAlign w:val="center"/>
          </w:tcPr>
          <w:p>
            <w:pPr>
              <w:pStyle w:val="12"/>
              <w:spacing w:line="360" w:lineRule="exact"/>
              <w:rPr>
                <w:rFonts w:hAnsi="宋体" w:cs="宋体"/>
                <w:color w:val="auto"/>
                <w:kern w:val="2"/>
                <w:sz w:val="21"/>
                <w:highlight w:val="none"/>
              </w:rPr>
            </w:pPr>
          </w:p>
        </w:tc>
        <w:tc>
          <w:tcPr>
            <w:tcW w:w="1129" w:type="dxa"/>
            <w:vAlign w:val="center"/>
          </w:tcPr>
          <w:p>
            <w:pPr>
              <w:pStyle w:val="12"/>
              <w:spacing w:line="360" w:lineRule="exact"/>
              <w:rPr>
                <w:rFonts w:hAnsi="宋体" w:cs="宋体"/>
                <w:color w:val="auto"/>
                <w:kern w:val="2"/>
                <w:sz w:val="21"/>
                <w:highlight w:val="none"/>
              </w:rPr>
            </w:pPr>
          </w:p>
        </w:tc>
        <w:tc>
          <w:tcPr>
            <w:tcW w:w="1241" w:type="dxa"/>
            <w:vAlign w:val="center"/>
          </w:tcPr>
          <w:p>
            <w:pPr>
              <w:pStyle w:val="12"/>
              <w:spacing w:line="360" w:lineRule="exact"/>
              <w:rPr>
                <w:rFonts w:hAnsi="宋体" w:cs="宋体"/>
                <w:color w:val="auto"/>
                <w:kern w:val="2"/>
                <w:sz w:val="21"/>
                <w:highlight w:val="none"/>
              </w:rPr>
            </w:pPr>
          </w:p>
        </w:tc>
        <w:tc>
          <w:tcPr>
            <w:tcW w:w="1467" w:type="dxa"/>
          </w:tcPr>
          <w:p>
            <w:pPr>
              <w:pStyle w:val="12"/>
              <w:spacing w:line="360" w:lineRule="exact"/>
              <w:rPr>
                <w:rFonts w:hAnsi="宋体" w:cs="宋体"/>
                <w:color w:val="auto"/>
                <w:kern w:val="2"/>
                <w:sz w:val="21"/>
                <w:highlight w:val="none"/>
              </w:rPr>
            </w:pPr>
          </w:p>
        </w:tc>
      </w:tr>
    </w:tbl>
    <w:p>
      <w:pPr>
        <w:autoSpaceDE w:val="0"/>
        <w:autoSpaceDN w:val="0"/>
        <w:adjustRightInd w:val="0"/>
        <w:spacing w:line="440" w:lineRule="exact"/>
        <w:ind w:right="979"/>
        <w:jc w:val="left"/>
        <w:rPr>
          <w:rFonts w:ascii="宋体" w:hAnsi="宋体" w:cs="宋体"/>
          <w:color w:val="auto"/>
          <w:sz w:val="21"/>
          <w:szCs w:val="21"/>
          <w:highlight w:val="none"/>
        </w:rPr>
      </w:pPr>
    </w:p>
    <w:p>
      <w:pPr>
        <w:autoSpaceDE w:val="0"/>
        <w:autoSpaceDN w:val="0"/>
        <w:adjustRightInd w:val="0"/>
        <w:spacing w:line="440" w:lineRule="exact"/>
        <w:ind w:right="979"/>
        <w:jc w:val="left"/>
        <w:rPr>
          <w:rFonts w:ascii="宋体" w:hAnsi="宋体" w:cs="宋体"/>
          <w:color w:val="auto"/>
          <w:sz w:val="21"/>
          <w:szCs w:val="21"/>
          <w:highlight w:val="none"/>
        </w:rPr>
      </w:pPr>
    </w:p>
    <w:p>
      <w:pPr>
        <w:autoSpaceDE w:val="0"/>
        <w:autoSpaceDN w:val="0"/>
        <w:adjustRightInd w:val="0"/>
        <w:spacing w:line="440" w:lineRule="exact"/>
        <w:ind w:right="979"/>
        <w:jc w:val="left"/>
        <w:rPr>
          <w:rFonts w:ascii="宋体" w:hAnsi="宋体" w:cs="宋体"/>
          <w:color w:val="auto"/>
          <w:sz w:val="21"/>
          <w:szCs w:val="21"/>
          <w:highlight w:val="none"/>
        </w:rPr>
      </w:pPr>
      <w:r>
        <w:rPr>
          <w:rFonts w:hint="eastAsia" w:ascii="宋体" w:hAnsi="宋体" w:cs="宋体"/>
          <w:color w:val="auto"/>
          <w:sz w:val="21"/>
          <w:szCs w:val="21"/>
          <w:highlight w:val="none"/>
        </w:rPr>
        <w:t>说明：</w:t>
      </w:r>
    </w:p>
    <w:p>
      <w:pPr>
        <w:autoSpaceDE w:val="0"/>
        <w:autoSpaceDN w:val="0"/>
        <w:adjustRightInd w:val="0"/>
        <w:spacing w:line="44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1、上表填写投标人承担过类似工程项目的监理业绩（指水利工程的施工监理），具体详见评分要求。</w:t>
      </w:r>
    </w:p>
    <w:p>
      <w:pPr>
        <w:autoSpaceDE w:val="0"/>
        <w:autoSpaceDN w:val="0"/>
        <w:adjustRightInd w:val="0"/>
        <w:spacing w:line="440" w:lineRule="exact"/>
        <w:ind w:right="979"/>
        <w:jc w:val="left"/>
        <w:outlineLvl w:val="1"/>
        <w:rPr>
          <w:rFonts w:ascii="宋体" w:hAnsi="宋体" w:cs="宋体"/>
          <w:color w:val="auto"/>
          <w:sz w:val="21"/>
          <w:szCs w:val="21"/>
          <w:highlight w:val="none"/>
        </w:rPr>
      </w:pPr>
      <w:bookmarkStart w:id="266" w:name="_Toc30605"/>
      <w:r>
        <w:rPr>
          <w:rFonts w:hint="eastAsia" w:ascii="宋体" w:hAnsi="宋体" w:cs="宋体"/>
          <w:color w:val="auto"/>
          <w:sz w:val="21"/>
          <w:szCs w:val="21"/>
          <w:highlight w:val="none"/>
        </w:rPr>
        <w:t>2、本表应附监理合同或监理协议书复印件。</w:t>
      </w:r>
      <w:bookmarkEnd w:id="266"/>
    </w:p>
    <w:p>
      <w:pPr>
        <w:autoSpaceDE w:val="0"/>
        <w:autoSpaceDN w:val="0"/>
        <w:adjustRightInd w:val="0"/>
        <w:spacing w:line="44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3、本表应加盖投标人公章，填写空间不足可根据需要另行文字说明，说明也应盖章。</w:t>
      </w:r>
    </w:p>
    <w:p>
      <w:pPr>
        <w:autoSpaceDE w:val="0"/>
        <w:autoSpaceDN w:val="0"/>
        <w:adjustRightInd w:val="0"/>
        <w:spacing w:line="440" w:lineRule="exact"/>
        <w:ind w:right="979"/>
        <w:jc w:val="center"/>
        <w:outlineLvl w:val="2"/>
        <w:rPr>
          <w:b/>
          <w:bCs/>
          <w:color w:val="auto"/>
          <w:szCs w:val="28"/>
          <w:highlight w:val="none"/>
        </w:rPr>
      </w:pPr>
      <w:r>
        <w:rPr>
          <w:rFonts w:hint="eastAsia" w:ascii="宋体" w:hAnsi="宋体" w:cs="宋体"/>
          <w:color w:val="auto"/>
          <w:sz w:val="21"/>
          <w:szCs w:val="21"/>
          <w:highlight w:val="none"/>
        </w:rPr>
        <w:br w:type="page"/>
      </w:r>
      <w:bookmarkEnd w:id="257"/>
      <w:bookmarkStart w:id="267" w:name="_Toc11721"/>
      <w:r>
        <w:rPr>
          <w:rFonts w:hint="eastAsia"/>
          <w:b/>
          <w:bCs/>
          <w:color w:val="auto"/>
          <w:szCs w:val="28"/>
          <w:highlight w:val="none"/>
        </w:rPr>
        <w:t>五、监理大纲</w:t>
      </w:r>
      <w:bookmarkEnd w:id="267"/>
    </w:p>
    <w:p>
      <w:pPr>
        <w:autoSpaceDE w:val="0"/>
        <w:autoSpaceDN w:val="0"/>
        <w:adjustRightInd w:val="0"/>
        <w:spacing w:line="440" w:lineRule="exact"/>
        <w:ind w:right="979"/>
        <w:rPr>
          <w:rFonts w:ascii="宋体" w:hAnsi="宋体" w:cs="宋体"/>
          <w:color w:val="auto"/>
          <w:kern w:val="0"/>
          <w:sz w:val="21"/>
          <w:szCs w:val="21"/>
          <w:highlight w:val="none"/>
        </w:rPr>
      </w:pPr>
    </w:p>
    <w:p>
      <w:pPr>
        <w:autoSpaceDE w:val="0"/>
        <w:autoSpaceDN w:val="0"/>
        <w:adjustRightInd w:val="0"/>
        <w:spacing w:line="360" w:lineRule="auto"/>
        <w:ind w:right="979" w:firstLine="424" w:firstLineChars="202"/>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监理大纲应包括（但不限于）下列内容：</w:t>
      </w:r>
    </w:p>
    <w:p>
      <w:pPr>
        <w:autoSpaceDE w:val="0"/>
        <w:autoSpaceDN w:val="0"/>
        <w:adjustRightInd w:val="0"/>
        <w:spacing w:line="360" w:lineRule="auto"/>
        <w:ind w:right="979"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一、质量、进度、投资控制方案和质量保证体系</w:t>
      </w:r>
    </w:p>
    <w:p>
      <w:pPr>
        <w:autoSpaceDE w:val="0"/>
        <w:autoSpaceDN w:val="0"/>
        <w:adjustRightInd w:val="0"/>
        <w:spacing w:line="360" w:lineRule="auto"/>
        <w:ind w:right="979"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二、对招标项目关键点、难点的理解及监理对策</w:t>
      </w:r>
    </w:p>
    <w:p>
      <w:pPr>
        <w:autoSpaceDE w:val="0"/>
        <w:autoSpaceDN w:val="0"/>
        <w:adjustRightInd w:val="0"/>
        <w:spacing w:line="360" w:lineRule="auto"/>
        <w:ind w:right="979"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三、合同、信息管理内容和措施</w:t>
      </w:r>
    </w:p>
    <w:p>
      <w:pPr>
        <w:autoSpaceDE w:val="0"/>
        <w:autoSpaceDN w:val="0"/>
        <w:adjustRightInd w:val="0"/>
        <w:spacing w:line="360" w:lineRule="auto"/>
        <w:ind w:right="979"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四、组织协调内容和措施</w:t>
      </w:r>
    </w:p>
    <w:p>
      <w:pPr>
        <w:autoSpaceDE w:val="0"/>
        <w:autoSpaceDN w:val="0"/>
        <w:adjustRightInd w:val="0"/>
        <w:spacing w:line="360" w:lineRule="auto"/>
        <w:ind w:right="979"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五、安全监督方案与措施</w:t>
      </w:r>
    </w:p>
    <w:p>
      <w:pPr>
        <w:pStyle w:val="7"/>
        <w:rPr>
          <w:rFonts w:ascii="宋体" w:hAnsi="宋体" w:cs="宋体"/>
          <w:color w:val="auto"/>
          <w:sz w:val="32"/>
          <w:szCs w:val="32"/>
          <w:highlight w:val="none"/>
        </w:rPr>
      </w:pPr>
    </w:p>
    <w:p>
      <w:pPr>
        <w:rPr>
          <w:rFonts w:ascii="宋体" w:hAnsi="宋体" w:cs="宋体"/>
          <w:color w:val="auto"/>
          <w:sz w:val="32"/>
          <w:szCs w:val="32"/>
          <w:highlight w:val="none"/>
        </w:rPr>
      </w:pPr>
    </w:p>
    <w:p>
      <w:pPr>
        <w:pStyle w:val="7"/>
        <w:rPr>
          <w:rFonts w:ascii="宋体" w:hAnsi="宋体" w:cs="宋体"/>
          <w:color w:val="auto"/>
          <w:sz w:val="32"/>
          <w:szCs w:val="32"/>
          <w:highlight w:val="none"/>
        </w:rPr>
      </w:pPr>
    </w:p>
    <w:p>
      <w:pPr>
        <w:rPr>
          <w:rFonts w:ascii="宋体" w:hAnsi="宋体" w:cs="宋体"/>
          <w:color w:val="auto"/>
          <w:sz w:val="32"/>
          <w:szCs w:val="32"/>
          <w:highlight w:val="none"/>
        </w:rPr>
      </w:pPr>
    </w:p>
    <w:p>
      <w:pPr>
        <w:autoSpaceDE w:val="0"/>
        <w:autoSpaceDN w:val="0"/>
        <w:adjustRightInd w:val="0"/>
        <w:spacing w:line="440" w:lineRule="exact"/>
        <w:ind w:right="979"/>
        <w:jc w:val="center"/>
        <w:rPr>
          <w:rFonts w:ascii="宋体" w:hAnsi="宋体" w:cs="宋体"/>
          <w:b/>
          <w:bCs/>
          <w:color w:val="auto"/>
          <w:kern w:val="0"/>
          <w:szCs w:val="28"/>
          <w:highlight w:val="none"/>
        </w:rPr>
      </w:pPr>
    </w:p>
    <w:p>
      <w:pPr>
        <w:autoSpaceDE w:val="0"/>
        <w:autoSpaceDN w:val="0"/>
        <w:adjustRightInd w:val="0"/>
        <w:spacing w:line="440" w:lineRule="exact"/>
        <w:ind w:right="979"/>
        <w:jc w:val="center"/>
        <w:rPr>
          <w:rFonts w:ascii="宋体" w:hAnsi="宋体" w:cs="宋体"/>
          <w:b/>
          <w:bCs/>
          <w:color w:val="auto"/>
          <w:kern w:val="0"/>
          <w:szCs w:val="28"/>
          <w:highlight w:val="none"/>
        </w:rPr>
      </w:pPr>
    </w:p>
    <w:p>
      <w:pPr>
        <w:pStyle w:val="7"/>
        <w:rPr>
          <w:rFonts w:ascii="宋体" w:hAnsi="宋体" w:cs="宋体"/>
          <w:b/>
          <w:bCs/>
          <w:color w:val="auto"/>
          <w:kern w:val="0"/>
          <w:szCs w:val="28"/>
          <w:highlight w:val="none"/>
        </w:rPr>
      </w:pPr>
    </w:p>
    <w:p>
      <w:pPr>
        <w:rPr>
          <w:rFonts w:ascii="宋体" w:hAnsi="宋体" w:cs="宋体"/>
          <w:b/>
          <w:bCs/>
          <w:color w:val="auto"/>
          <w:kern w:val="0"/>
          <w:szCs w:val="28"/>
          <w:highlight w:val="none"/>
        </w:rPr>
      </w:pPr>
    </w:p>
    <w:p>
      <w:pPr>
        <w:pStyle w:val="7"/>
        <w:rPr>
          <w:rFonts w:ascii="宋体" w:hAnsi="宋体" w:cs="宋体"/>
          <w:b/>
          <w:bCs/>
          <w:color w:val="auto"/>
          <w:kern w:val="0"/>
          <w:szCs w:val="28"/>
          <w:highlight w:val="none"/>
        </w:rPr>
      </w:pPr>
    </w:p>
    <w:p>
      <w:pPr>
        <w:rPr>
          <w:rFonts w:ascii="宋体" w:hAnsi="宋体" w:cs="宋体"/>
          <w:b/>
          <w:bCs/>
          <w:color w:val="auto"/>
          <w:kern w:val="0"/>
          <w:szCs w:val="28"/>
          <w:highlight w:val="none"/>
        </w:rPr>
      </w:pPr>
    </w:p>
    <w:p>
      <w:pPr>
        <w:autoSpaceDE w:val="0"/>
        <w:autoSpaceDN w:val="0"/>
        <w:adjustRightInd w:val="0"/>
        <w:spacing w:line="440" w:lineRule="exact"/>
        <w:ind w:right="979"/>
        <w:jc w:val="center"/>
        <w:rPr>
          <w:rFonts w:ascii="宋体" w:hAnsi="宋体" w:cs="宋体"/>
          <w:b/>
          <w:bCs/>
          <w:color w:val="auto"/>
          <w:kern w:val="0"/>
          <w:szCs w:val="28"/>
          <w:highlight w:val="none"/>
        </w:rPr>
      </w:pPr>
    </w:p>
    <w:p>
      <w:pPr>
        <w:autoSpaceDE w:val="0"/>
        <w:autoSpaceDN w:val="0"/>
        <w:adjustRightInd w:val="0"/>
        <w:spacing w:line="440" w:lineRule="exact"/>
        <w:ind w:right="979"/>
        <w:jc w:val="center"/>
        <w:rPr>
          <w:rFonts w:ascii="宋体" w:hAnsi="宋体" w:cs="宋体"/>
          <w:b/>
          <w:bCs/>
          <w:color w:val="auto"/>
          <w:kern w:val="0"/>
          <w:szCs w:val="28"/>
          <w:highlight w:val="none"/>
        </w:rPr>
      </w:pPr>
    </w:p>
    <w:p>
      <w:pPr>
        <w:autoSpaceDE w:val="0"/>
        <w:autoSpaceDN w:val="0"/>
        <w:adjustRightInd w:val="0"/>
        <w:spacing w:line="440" w:lineRule="exact"/>
        <w:ind w:right="979"/>
        <w:jc w:val="center"/>
        <w:rPr>
          <w:rFonts w:ascii="宋体" w:hAnsi="宋体" w:cs="宋体"/>
          <w:b/>
          <w:bCs/>
          <w:color w:val="auto"/>
          <w:kern w:val="0"/>
          <w:szCs w:val="28"/>
          <w:highlight w:val="none"/>
        </w:rPr>
      </w:pPr>
    </w:p>
    <w:p>
      <w:pPr>
        <w:autoSpaceDE w:val="0"/>
        <w:autoSpaceDN w:val="0"/>
        <w:adjustRightInd w:val="0"/>
        <w:spacing w:line="440" w:lineRule="exact"/>
        <w:jc w:val="center"/>
        <w:rPr>
          <w:rFonts w:ascii="宋体" w:hAnsi="宋体" w:cs="宋体"/>
          <w:b/>
          <w:bCs/>
          <w:color w:val="auto"/>
          <w:kern w:val="0"/>
          <w:szCs w:val="28"/>
          <w:highlight w:val="none"/>
        </w:rPr>
      </w:pPr>
      <w:r>
        <w:rPr>
          <w:rFonts w:hint="eastAsia" w:ascii="宋体" w:hAnsi="宋体" w:cs="宋体"/>
          <w:b/>
          <w:bCs/>
          <w:color w:val="auto"/>
          <w:kern w:val="0"/>
          <w:szCs w:val="28"/>
          <w:highlight w:val="none"/>
        </w:rPr>
        <w:t>六、招标文件要求提供的其他资料</w:t>
      </w:r>
    </w:p>
    <w:p>
      <w:pPr>
        <w:autoSpaceDE w:val="0"/>
        <w:autoSpaceDN w:val="0"/>
        <w:adjustRightInd w:val="0"/>
        <w:spacing w:line="440" w:lineRule="exact"/>
        <w:ind w:right="979"/>
        <w:rPr>
          <w:rFonts w:ascii="宋体" w:hAnsi="宋体" w:cs="宋体"/>
          <w:color w:val="auto"/>
          <w:kern w:val="0"/>
          <w:sz w:val="21"/>
          <w:szCs w:val="21"/>
          <w:highlight w:val="none"/>
        </w:rPr>
      </w:pPr>
    </w:p>
    <w:p>
      <w:pPr>
        <w:spacing w:line="360" w:lineRule="auto"/>
        <w:rPr>
          <w:b/>
          <w:color w:val="auto"/>
          <w:sz w:val="24"/>
          <w:highlight w:val="none"/>
        </w:rPr>
      </w:pPr>
      <w:r>
        <w:rPr>
          <w:rFonts w:hint="eastAsia" w:ascii="宋体" w:hAnsi="宋体" w:cs="宋体"/>
          <w:color w:val="auto"/>
          <w:kern w:val="0"/>
          <w:sz w:val="24"/>
          <w:szCs w:val="21"/>
          <w:highlight w:val="none"/>
        </w:rPr>
        <w:t>注：根据招标文件及评审评分的相关内容投标人认为需要提供的材料。（如有）</w:t>
      </w:r>
    </w:p>
    <w:p>
      <w:pPr>
        <w:autoSpaceDE w:val="0"/>
        <w:autoSpaceDN w:val="0"/>
        <w:adjustRightInd w:val="0"/>
        <w:spacing w:line="440" w:lineRule="exact"/>
        <w:ind w:right="979" w:firstLine="480" w:firstLineChars="200"/>
        <w:rPr>
          <w:rFonts w:ascii="宋体" w:hAnsi="宋体" w:cs="宋体"/>
          <w:color w:val="auto"/>
          <w:kern w:val="0"/>
          <w:sz w:val="24"/>
          <w:highlight w:val="none"/>
        </w:rPr>
      </w:pPr>
    </w:p>
    <w:p>
      <w:pPr>
        <w:pStyle w:val="12"/>
        <w:spacing w:line="360" w:lineRule="exact"/>
        <w:ind w:firstLine="630" w:firstLineChars="300"/>
        <w:rPr>
          <w:rFonts w:hAnsi="宋体"/>
          <w:color w:val="auto"/>
          <w:sz w:val="21"/>
          <w:highlight w:val="none"/>
        </w:rPr>
      </w:pPr>
    </w:p>
    <w:p>
      <w:pPr>
        <w:autoSpaceDE w:val="0"/>
        <w:autoSpaceDN w:val="0"/>
        <w:adjustRightInd w:val="0"/>
        <w:spacing w:line="360" w:lineRule="auto"/>
        <w:ind w:right="17"/>
        <w:jc w:val="center"/>
        <w:rPr>
          <w:rFonts w:ascii="宋体" w:cs="宋体"/>
          <w:b/>
          <w:bCs/>
          <w:color w:val="auto"/>
          <w:kern w:val="0"/>
          <w:sz w:val="24"/>
          <w:highlight w:val="none"/>
        </w:rPr>
      </w:pPr>
    </w:p>
    <w:p>
      <w:pPr>
        <w:autoSpaceDE w:val="0"/>
        <w:autoSpaceDN w:val="0"/>
        <w:adjustRightInd w:val="0"/>
        <w:spacing w:line="360" w:lineRule="auto"/>
        <w:ind w:right="17"/>
        <w:rPr>
          <w:rFonts w:ascii="宋体" w:cs="宋体"/>
          <w:b/>
          <w:bCs/>
          <w:color w:val="auto"/>
          <w:kern w:val="0"/>
          <w:sz w:val="24"/>
          <w:highlight w:val="none"/>
        </w:rPr>
      </w:pPr>
    </w:p>
    <w:p>
      <w:pPr>
        <w:rPr>
          <w:color w:val="auto"/>
          <w:highlight w:val="none"/>
        </w:rPr>
      </w:pPr>
    </w:p>
    <w:sectPr>
      <w:footerReference r:id="rId7" w:type="default"/>
      <w:pgSz w:w="11905" w:h="16838"/>
      <w:pgMar w:top="1417" w:right="1417" w:bottom="1417" w:left="1417" w:header="850" w:footer="992" w:gutter="0"/>
      <w:cols w:space="72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roid Sans Fallback">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7676"/>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7676"/>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B20F8"/>
    <w:multiLevelType w:val="singleLevel"/>
    <w:tmpl w:val="B85B20F8"/>
    <w:lvl w:ilvl="0" w:tentative="0">
      <w:start w:val="1"/>
      <w:numFmt w:val="decimal"/>
      <w:suff w:val="nothing"/>
      <w:lvlText w:val="（%1）"/>
      <w:lvlJc w:val="left"/>
    </w:lvl>
  </w:abstractNum>
  <w:abstractNum w:abstractNumId="1">
    <w:nsid w:val="02BF110A"/>
    <w:multiLevelType w:val="multilevel"/>
    <w:tmpl w:val="02BF110A"/>
    <w:lvl w:ilvl="0" w:tentative="0">
      <w:start w:val="1"/>
      <w:numFmt w:val="decimal"/>
      <w:pStyle w:val="3"/>
      <w:lvlText w:val="%1"/>
      <w:lvlJc w:val="left"/>
      <w:pPr>
        <w:tabs>
          <w:tab w:val="left" w:pos="0"/>
        </w:tabs>
      </w:pPr>
      <w:rPr>
        <w:rFonts w:hint="eastAsia" w:cs="Times New Roman"/>
      </w:rPr>
    </w:lvl>
    <w:lvl w:ilvl="1" w:tentative="0">
      <w:start w:val="1"/>
      <w:numFmt w:val="decimal"/>
      <w:pStyle w:val="4"/>
      <w:lvlText w:val="%1.%2"/>
      <w:lvlJc w:val="left"/>
      <w:pPr>
        <w:tabs>
          <w:tab w:val="left" w:pos="0"/>
        </w:tabs>
      </w:pPr>
      <w:rPr>
        <w:rFonts w:hint="eastAsia" w:cs="Times New Roman"/>
      </w:rPr>
    </w:lvl>
    <w:lvl w:ilvl="2" w:tentative="0">
      <w:start w:val="1"/>
      <w:numFmt w:val="decimal"/>
      <w:lvlText w:val="%1.%2.%3"/>
      <w:lvlJc w:val="left"/>
      <w:pPr>
        <w:tabs>
          <w:tab w:val="left" w:pos="0"/>
        </w:tabs>
      </w:pPr>
      <w:rPr>
        <w:rFonts w:hint="eastAsia" w:cs="Times New Roman"/>
      </w:rPr>
    </w:lvl>
    <w:lvl w:ilvl="3" w:tentative="0">
      <w:start w:val="1"/>
      <w:numFmt w:val="decimal"/>
      <w:lvlText w:val="%1.%2.%3.%4"/>
      <w:lvlJc w:val="left"/>
      <w:pPr>
        <w:tabs>
          <w:tab w:val="left" w:pos="0"/>
        </w:tabs>
      </w:pPr>
      <w:rPr>
        <w:rFonts w:hint="eastAsia" w:cs="Times New Roman"/>
      </w:rPr>
    </w:lvl>
    <w:lvl w:ilvl="4" w:tentative="0">
      <w:start w:val="1"/>
      <w:numFmt w:val="decimal"/>
      <w:lvlText w:val="%1.%2.%3.%4.%5"/>
      <w:lvlJc w:val="left"/>
      <w:pPr>
        <w:tabs>
          <w:tab w:val="left" w:pos="542"/>
        </w:tabs>
        <w:ind w:left="542"/>
      </w:pPr>
      <w:rPr>
        <w:rFonts w:hint="eastAsia" w:cs="Times New Roman"/>
      </w:rPr>
    </w:lvl>
    <w:lvl w:ilvl="5" w:tentative="0">
      <w:start w:val="1"/>
      <w:numFmt w:val="decimal"/>
      <w:lvlText w:val="%1.%2.%3.%4.%5.%6"/>
      <w:lvlJc w:val="left"/>
      <w:pPr>
        <w:tabs>
          <w:tab w:val="left" w:pos="191"/>
        </w:tabs>
        <w:ind w:left="191" w:hanging="1152"/>
      </w:pPr>
      <w:rPr>
        <w:rFonts w:hint="eastAsia" w:cs="Times New Roman"/>
      </w:rPr>
    </w:lvl>
    <w:lvl w:ilvl="6" w:tentative="0">
      <w:start w:val="1"/>
      <w:numFmt w:val="decimal"/>
      <w:lvlText w:val="%1.%2.%3.%4.%5.%6.%7"/>
      <w:lvlJc w:val="left"/>
      <w:pPr>
        <w:tabs>
          <w:tab w:val="left" w:pos="335"/>
        </w:tabs>
        <w:ind w:left="335" w:hanging="1296"/>
      </w:pPr>
      <w:rPr>
        <w:rFonts w:hint="eastAsia" w:cs="Times New Roman"/>
      </w:rPr>
    </w:lvl>
    <w:lvl w:ilvl="7" w:tentative="0">
      <w:start w:val="1"/>
      <w:numFmt w:val="decimal"/>
      <w:lvlText w:val="%1.%2.%3.%4.%5.%6.%7.%8"/>
      <w:lvlJc w:val="left"/>
      <w:pPr>
        <w:tabs>
          <w:tab w:val="left" w:pos="479"/>
        </w:tabs>
        <w:ind w:left="479" w:hanging="1440"/>
      </w:pPr>
      <w:rPr>
        <w:rFonts w:hint="eastAsia" w:cs="Times New Roman"/>
      </w:rPr>
    </w:lvl>
    <w:lvl w:ilvl="8" w:tentative="0">
      <w:start w:val="1"/>
      <w:numFmt w:val="decimal"/>
      <w:lvlText w:val="%1.%2.%3.%4.%5.%6.%7.%8.%9"/>
      <w:lvlJc w:val="left"/>
      <w:pPr>
        <w:tabs>
          <w:tab w:val="left" w:pos="623"/>
        </w:tabs>
        <w:ind w:left="623" w:hanging="1584"/>
      </w:pPr>
      <w:rPr>
        <w:rFonts w:hint="eastAsia" w:cs="Times New Roman"/>
      </w:rPr>
    </w:lvl>
  </w:abstractNum>
  <w:abstractNum w:abstractNumId="2">
    <w:nsid w:val="594B19B4"/>
    <w:multiLevelType w:val="singleLevel"/>
    <w:tmpl w:val="594B19B4"/>
    <w:lvl w:ilvl="0" w:tentative="0">
      <w:start w:val="4"/>
      <w:numFmt w:val="decimal"/>
      <w:suff w:val="nothing"/>
      <w:lvlText w:val="（%1）"/>
      <w:lvlJc w:val="left"/>
    </w:lvl>
  </w:abstractNum>
  <w:abstractNum w:abstractNumId="3">
    <w:nsid w:val="5BEF24AC"/>
    <w:multiLevelType w:val="singleLevel"/>
    <w:tmpl w:val="5BEF24AC"/>
    <w:lvl w:ilvl="0" w:tentative="0">
      <w:start w:val="1"/>
      <w:numFmt w:val="chineseCounting"/>
      <w:suff w:val="nothing"/>
      <w:lvlText w:val="%1、"/>
      <w:lvlJc w:val="left"/>
      <w:rPr>
        <w:rFonts w:hint="eastAsia"/>
      </w:rPr>
    </w:lvl>
  </w:abstractNum>
  <w:abstractNum w:abstractNumId="4">
    <w:nsid w:val="65FB5A12"/>
    <w:multiLevelType w:val="singleLevel"/>
    <w:tmpl w:val="65FB5A12"/>
    <w:lvl w:ilvl="0" w:tentative="0">
      <w:start w:val="13"/>
      <w:numFmt w:val="chineseCounting"/>
      <w:suff w:val="space"/>
      <w:lvlText w:val="第%1条"/>
      <w:lvlJc w:val="left"/>
      <w:rPr>
        <w:rFonts w:hint="eastAsia"/>
      </w:rPr>
    </w:lvl>
  </w:abstractNum>
  <w:abstractNum w:abstractNumId="5">
    <w:nsid w:val="79B865FD"/>
    <w:multiLevelType w:val="multilevel"/>
    <w:tmpl w:val="79B865FD"/>
    <w:lvl w:ilvl="0" w:tentative="0">
      <w:start w:val="7"/>
      <w:numFmt w:val="japaneseCounting"/>
      <w:lvlText w:val="第%1条"/>
      <w:lvlJc w:val="left"/>
      <w:pPr>
        <w:tabs>
          <w:tab w:val="left" w:pos="1702"/>
        </w:tabs>
        <w:ind w:left="1702" w:hanging="1140"/>
      </w:pPr>
      <w:rPr>
        <w:rFonts w:hint="eastAsia" w:cs="Times New Roman"/>
        <w:b/>
      </w:rPr>
    </w:lvl>
    <w:lvl w:ilvl="1" w:tentative="0">
      <w:start w:val="1"/>
      <w:numFmt w:val="lowerLetter"/>
      <w:lvlText w:val="%2)"/>
      <w:lvlJc w:val="left"/>
      <w:pPr>
        <w:tabs>
          <w:tab w:val="left" w:pos="1402"/>
        </w:tabs>
        <w:ind w:left="1402" w:hanging="420"/>
      </w:pPr>
      <w:rPr>
        <w:rFonts w:cs="Times New Roman"/>
      </w:rPr>
    </w:lvl>
    <w:lvl w:ilvl="2" w:tentative="0">
      <w:start w:val="1"/>
      <w:numFmt w:val="lowerRoman"/>
      <w:lvlText w:val="%3."/>
      <w:lvlJc w:val="right"/>
      <w:pPr>
        <w:tabs>
          <w:tab w:val="left" w:pos="1822"/>
        </w:tabs>
        <w:ind w:left="1822" w:hanging="420"/>
      </w:pPr>
      <w:rPr>
        <w:rFonts w:cs="Times New Roman"/>
      </w:rPr>
    </w:lvl>
    <w:lvl w:ilvl="3" w:tentative="0">
      <w:start w:val="1"/>
      <w:numFmt w:val="decimal"/>
      <w:lvlText w:val="%4."/>
      <w:lvlJc w:val="left"/>
      <w:pPr>
        <w:tabs>
          <w:tab w:val="left" w:pos="2242"/>
        </w:tabs>
        <w:ind w:left="2242" w:hanging="420"/>
      </w:pPr>
      <w:rPr>
        <w:rFonts w:cs="Times New Roman"/>
      </w:rPr>
    </w:lvl>
    <w:lvl w:ilvl="4" w:tentative="0">
      <w:start w:val="1"/>
      <w:numFmt w:val="lowerLetter"/>
      <w:lvlText w:val="%5)"/>
      <w:lvlJc w:val="left"/>
      <w:pPr>
        <w:tabs>
          <w:tab w:val="left" w:pos="2662"/>
        </w:tabs>
        <w:ind w:left="2662" w:hanging="420"/>
      </w:pPr>
      <w:rPr>
        <w:rFonts w:cs="Times New Roman"/>
      </w:rPr>
    </w:lvl>
    <w:lvl w:ilvl="5" w:tentative="0">
      <w:start w:val="1"/>
      <w:numFmt w:val="lowerRoman"/>
      <w:lvlText w:val="%6."/>
      <w:lvlJc w:val="right"/>
      <w:pPr>
        <w:tabs>
          <w:tab w:val="left" w:pos="3082"/>
        </w:tabs>
        <w:ind w:left="3082" w:hanging="420"/>
      </w:pPr>
      <w:rPr>
        <w:rFonts w:cs="Times New Roman"/>
      </w:rPr>
    </w:lvl>
    <w:lvl w:ilvl="6" w:tentative="0">
      <w:start w:val="1"/>
      <w:numFmt w:val="decimal"/>
      <w:lvlText w:val="%7."/>
      <w:lvlJc w:val="left"/>
      <w:pPr>
        <w:tabs>
          <w:tab w:val="left" w:pos="3502"/>
        </w:tabs>
        <w:ind w:left="3502" w:hanging="420"/>
      </w:pPr>
      <w:rPr>
        <w:rFonts w:cs="Times New Roman"/>
      </w:rPr>
    </w:lvl>
    <w:lvl w:ilvl="7" w:tentative="0">
      <w:start w:val="1"/>
      <w:numFmt w:val="lowerLetter"/>
      <w:lvlText w:val="%8)"/>
      <w:lvlJc w:val="left"/>
      <w:pPr>
        <w:tabs>
          <w:tab w:val="left" w:pos="3922"/>
        </w:tabs>
        <w:ind w:left="3922" w:hanging="420"/>
      </w:pPr>
      <w:rPr>
        <w:rFonts w:cs="Times New Roman"/>
      </w:rPr>
    </w:lvl>
    <w:lvl w:ilvl="8" w:tentative="0">
      <w:start w:val="1"/>
      <w:numFmt w:val="lowerRoman"/>
      <w:lvlText w:val="%9."/>
      <w:lvlJc w:val="right"/>
      <w:pPr>
        <w:tabs>
          <w:tab w:val="left" w:pos="4342"/>
        </w:tabs>
        <w:ind w:left="4342" w:hanging="420"/>
      </w:pPr>
      <w:rPr>
        <w:rFonts w:cs="Times New Roman"/>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OWJlODNjY2E1NzJmNTdiYmIxMjdjZWNhMDFlZTcifQ=="/>
  </w:docVars>
  <w:rsids>
    <w:rsidRoot w:val="00E063E2"/>
    <w:rsid w:val="001A72F9"/>
    <w:rsid w:val="004D0497"/>
    <w:rsid w:val="00615582"/>
    <w:rsid w:val="00A743F4"/>
    <w:rsid w:val="00B0468C"/>
    <w:rsid w:val="00CE55ED"/>
    <w:rsid w:val="00E063E2"/>
    <w:rsid w:val="00EF55AD"/>
    <w:rsid w:val="00FB59B6"/>
    <w:rsid w:val="03010B79"/>
    <w:rsid w:val="05DD1BF7"/>
    <w:rsid w:val="06D05CA6"/>
    <w:rsid w:val="104E5D16"/>
    <w:rsid w:val="12533461"/>
    <w:rsid w:val="12C96795"/>
    <w:rsid w:val="142259AD"/>
    <w:rsid w:val="1751286F"/>
    <w:rsid w:val="1FAA6F03"/>
    <w:rsid w:val="20571FF9"/>
    <w:rsid w:val="21B07155"/>
    <w:rsid w:val="240C7545"/>
    <w:rsid w:val="2B34408E"/>
    <w:rsid w:val="2D3D0787"/>
    <w:rsid w:val="2F7B322A"/>
    <w:rsid w:val="30206E5B"/>
    <w:rsid w:val="35FC7E3E"/>
    <w:rsid w:val="384B29B7"/>
    <w:rsid w:val="3BD3523A"/>
    <w:rsid w:val="41A86B47"/>
    <w:rsid w:val="41F03356"/>
    <w:rsid w:val="43DE31CA"/>
    <w:rsid w:val="46D04F46"/>
    <w:rsid w:val="4A3C6309"/>
    <w:rsid w:val="4B2E182B"/>
    <w:rsid w:val="50A8726C"/>
    <w:rsid w:val="52F96A9D"/>
    <w:rsid w:val="56AB2F3F"/>
    <w:rsid w:val="56F45ECF"/>
    <w:rsid w:val="627D0834"/>
    <w:rsid w:val="68F32E53"/>
    <w:rsid w:val="693F5884"/>
    <w:rsid w:val="758E117A"/>
    <w:rsid w:val="765F3E42"/>
    <w:rsid w:val="7E16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37"/>
    <w:qFormat/>
    <w:uiPriority w:val="99"/>
    <w:pPr>
      <w:keepNext/>
      <w:keepLines/>
      <w:numPr>
        <w:ilvl w:val="0"/>
        <w:numId w:val="1"/>
      </w:numPr>
      <w:spacing w:line="360" w:lineRule="auto"/>
      <w:jc w:val="center"/>
      <w:outlineLvl w:val="0"/>
    </w:pPr>
    <w:rPr>
      <w:b/>
      <w:bCs/>
      <w:kern w:val="44"/>
      <w:sz w:val="32"/>
      <w:szCs w:val="44"/>
    </w:rPr>
  </w:style>
  <w:style w:type="paragraph" w:styleId="4">
    <w:name w:val="heading 2"/>
    <w:basedOn w:val="1"/>
    <w:next w:val="1"/>
    <w:link w:val="38"/>
    <w:qFormat/>
    <w:uiPriority w:val="99"/>
    <w:pPr>
      <w:keepNext/>
      <w:keepLines/>
      <w:numPr>
        <w:ilvl w:val="1"/>
        <w:numId w:val="1"/>
      </w:numPr>
      <w:spacing w:line="480" w:lineRule="auto"/>
      <w:outlineLvl w:val="1"/>
    </w:pPr>
    <w:rPr>
      <w:b/>
      <w:color w:val="000000"/>
      <w:kern w:val="21"/>
      <w:sz w:val="32"/>
      <w:szCs w:val="32"/>
    </w:rPr>
  </w:style>
  <w:style w:type="paragraph" w:styleId="5">
    <w:name w:val="heading 3"/>
    <w:basedOn w:val="6"/>
    <w:next w:val="6"/>
    <w:link w:val="39"/>
    <w:qFormat/>
    <w:uiPriority w:val="9"/>
    <w:pPr>
      <w:keepNext/>
      <w:keepLines/>
      <w:spacing w:line="413" w:lineRule="auto"/>
      <w:outlineLvl w:val="2"/>
    </w:pPr>
    <w:rPr>
      <w:b/>
      <w:bCs/>
      <w:sz w:val="32"/>
      <w:szCs w:val="32"/>
    </w:rPr>
  </w:style>
  <w:style w:type="paragraph" w:styleId="7">
    <w:name w:val="heading 4"/>
    <w:basedOn w:val="1"/>
    <w:next w:val="1"/>
    <w:link w:val="40"/>
    <w:qFormat/>
    <w:uiPriority w:val="0"/>
    <w:pPr>
      <w:keepNext/>
      <w:keepLines/>
      <w:spacing w:before="280" w:after="290" w:line="374" w:lineRule="auto"/>
      <w:outlineLvl w:val="3"/>
    </w:pPr>
    <w:rPr>
      <w:rFonts w:ascii="Arial" w:hAnsi="Arial"/>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1"/>
    <w:link w:val="43"/>
    <w:unhideWhenUsed/>
    <w:qFormat/>
    <w:uiPriority w:val="99"/>
    <w:pPr>
      <w:jc w:val="left"/>
    </w:pPr>
    <w:rPr>
      <w:sz w:val="21"/>
    </w:rPr>
  </w:style>
  <w:style w:type="paragraph" w:styleId="6">
    <w:name w:val="Normal Indent"/>
    <w:basedOn w:val="1"/>
    <w:qFormat/>
    <w:uiPriority w:val="0"/>
    <w:pPr>
      <w:widowControl/>
      <w:ind w:firstLine="420"/>
      <w:jc w:val="left"/>
    </w:pPr>
    <w:rPr>
      <w:kern w:val="0"/>
      <w:sz w:val="20"/>
    </w:rPr>
  </w:style>
  <w:style w:type="paragraph" w:styleId="8">
    <w:name w:val="Document Map"/>
    <w:basedOn w:val="1"/>
    <w:link w:val="42"/>
    <w:semiHidden/>
    <w:qFormat/>
    <w:uiPriority w:val="0"/>
    <w:pPr>
      <w:shd w:val="clear" w:color="auto" w:fill="000080"/>
    </w:pPr>
  </w:style>
  <w:style w:type="paragraph" w:styleId="9">
    <w:name w:val="Body Text 3"/>
    <w:basedOn w:val="1"/>
    <w:link w:val="44"/>
    <w:qFormat/>
    <w:uiPriority w:val="99"/>
    <w:rPr>
      <w:kern w:val="0"/>
      <w:sz w:val="16"/>
      <w:szCs w:val="16"/>
    </w:rPr>
  </w:style>
  <w:style w:type="paragraph" w:styleId="10">
    <w:name w:val="Body Text"/>
    <w:basedOn w:val="1"/>
    <w:next w:val="1"/>
    <w:link w:val="45"/>
    <w:qFormat/>
    <w:uiPriority w:val="99"/>
    <w:rPr>
      <w:kern w:val="0"/>
    </w:rPr>
  </w:style>
  <w:style w:type="paragraph" w:styleId="11">
    <w:name w:val="toc 3"/>
    <w:basedOn w:val="1"/>
    <w:next w:val="1"/>
    <w:qFormat/>
    <w:uiPriority w:val="99"/>
    <w:pPr>
      <w:spacing w:line="600" w:lineRule="exact"/>
      <w:ind w:left="200" w:leftChars="200"/>
      <w:jc w:val="left"/>
    </w:pPr>
    <w:rPr>
      <w:sz w:val="26"/>
    </w:rPr>
  </w:style>
  <w:style w:type="paragraph" w:styleId="12">
    <w:name w:val="Plain Text"/>
    <w:basedOn w:val="1"/>
    <w:link w:val="47"/>
    <w:qFormat/>
    <w:uiPriority w:val="99"/>
    <w:rPr>
      <w:rFonts w:ascii="宋体" w:hAnsi="Courier New"/>
      <w:kern w:val="0"/>
      <w:sz w:val="20"/>
      <w:szCs w:val="21"/>
    </w:rPr>
  </w:style>
  <w:style w:type="paragraph" w:styleId="13">
    <w:name w:val="Date"/>
    <w:basedOn w:val="1"/>
    <w:next w:val="1"/>
    <w:link w:val="48"/>
    <w:unhideWhenUsed/>
    <w:qFormat/>
    <w:uiPriority w:val="99"/>
    <w:pPr>
      <w:ind w:left="100" w:leftChars="2500"/>
    </w:pPr>
  </w:style>
  <w:style w:type="paragraph" w:styleId="14">
    <w:name w:val="Balloon Text"/>
    <w:basedOn w:val="1"/>
    <w:link w:val="49"/>
    <w:qFormat/>
    <w:uiPriority w:val="99"/>
    <w:rPr>
      <w:sz w:val="18"/>
      <w:szCs w:val="18"/>
    </w:rPr>
  </w:style>
  <w:style w:type="paragraph" w:styleId="15">
    <w:name w:val="footer"/>
    <w:basedOn w:val="1"/>
    <w:link w:val="50"/>
    <w:qFormat/>
    <w:uiPriority w:val="99"/>
    <w:pPr>
      <w:tabs>
        <w:tab w:val="center" w:pos="4153"/>
        <w:tab w:val="right" w:pos="8306"/>
      </w:tabs>
      <w:snapToGrid w:val="0"/>
      <w:jc w:val="left"/>
    </w:pPr>
    <w:rPr>
      <w:kern w:val="0"/>
      <w:sz w:val="18"/>
      <w:szCs w:val="18"/>
    </w:rPr>
  </w:style>
  <w:style w:type="paragraph" w:styleId="16">
    <w:name w:val="header"/>
    <w:basedOn w:val="1"/>
    <w:link w:val="51"/>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spacing w:line="600" w:lineRule="exact"/>
    </w:pPr>
    <w:rPr>
      <w:b/>
      <w:bCs/>
      <w:sz w:val="26"/>
    </w:rPr>
  </w:style>
  <w:style w:type="paragraph" w:styleId="18">
    <w:name w:val="toc 2"/>
    <w:basedOn w:val="1"/>
    <w:next w:val="1"/>
    <w:qFormat/>
    <w:uiPriority w:val="39"/>
    <w:pPr>
      <w:tabs>
        <w:tab w:val="right" w:leader="dot" w:pos="9060"/>
      </w:tabs>
      <w:spacing w:line="600" w:lineRule="exact"/>
      <w:ind w:left="280" w:leftChars="100"/>
    </w:pPr>
    <w:rPr>
      <w:sz w:val="26"/>
    </w:rPr>
  </w:style>
  <w:style w:type="paragraph" w:styleId="19">
    <w:name w:val="Body Text 2"/>
    <w:basedOn w:val="1"/>
    <w:link w:val="46"/>
    <w:qFormat/>
    <w:uiPriority w:val="0"/>
    <w:pPr>
      <w:spacing w:line="500" w:lineRule="exact"/>
    </w:pPr>
    <w:rPr>
      <w:rFonts w:ascii="宋体"/>
      <w:sz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olor w:val="003399"/>
      <w:kern w:val="0"/>
      <w:sz w:val="24"/>
    </w:rPr>
  </w:style>
  <w:style w:type="paragraph" w:styleId="21">
    <w:name w:val="Title"/>
    <w:basedOn w:val="1"/>
    <w:next w:val="1"/>
    <w:link w:val="52"/>
    <w:qFormat/>
    <w:uiPriority w:val="0"/>
    <w:pPr>
      <w:spacing w:before="240" w:after="60"/>
      <w:jc w:val="center"/>
      <w:outlineLvl w:val="0"/>
    </w:pPr>
    <w:rPr>
      <w:rFonts w:ascii="Cambria" w:hAnsi="Cambria"/>
      <w:b/>
      <w:bCs/>
      <w:sz w:val="32"/>
      <w:szCs w:val="32"/>
    </w:rPr>
  </w:style>
  <w:style w:type="paragraph" w:styleId="22">
    <w:name w:val="Body Text First Indent"/>
    <w:basedOn w:val="10"/>
    <w:link w:val="53"/>
    <w:qFormat/>
    <w:uiPriority w:val="99"/>
    <w:pPr>
      <w:ind w:firstLine="420"/>
    </w:pPr>
  </w:style>
  <w:style w:type="table" w:styleId="24">
    <w:name w:val="Table Grid"/>
    <w:basedOn w:val="2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rPr>
  </w:style>
  <w:style w:type="character" w:styleId="27">
    <w:name w:val="page number"/>
    <w:qFormat/>
    <w:uiPriority w:val="99"/>
    <w:rPr>
      <w:rFonts w:cs="Times New Roman"/>
    </w:rPr>
  </w:style>
  <w:style w:type="character" w:styleId="28">
    <w:name w:val="FollowedHyperlink"/>
    <w:unhideWhenUsed/>
    <w:qFormat/>
    <w:uiPriority w:val="99"/>
    <w:rPr>
      <w:color w:val="0084FF"/>
      <w:u w:val="none"/>
    </w:rPr>
  </w:style>
  <w:style w:type="character" w:styleId="29">
    <w:name w:val="Emphasis"/>
    <w:qFormat/>
    <w:uiPriority w:val="0"/>
  </w:style>
  <w:style w:type="character" w:styleId="30">
    <w:name w:val="Hyperlink"/>
    <w:qFormat/>
    <w:uiPriority w:val="99"/>
    <w:rPr>
      <w:rFonts w:cs="Times New Roman"/>
      <w:color w:val="0000FF"/>
      <w:u w:val="single"/>
    </w:rPr>
  </w:style>
  <w:style w:type="character" w:styleId="31">
    <w:name w:val="HTML Code"/>
    <w:unhideWhenUsed/>
    <w:qFormat/>
    <w:uiPriority w:val="99"/>
    <w:rPr>
      <w:rFonts w:hint="default" w:ascii="monospace" w:hAnsi="monospace" w:eastAsia="monospace" w:cs="monospace"/>
      <w:sz w:val="21"/>
      <w:szCs w:val="21"/>
    </w:rPr>
  </w:style>
  <w:style w:type="character" w:styleId="32">
    <w:name w:val="HTML Keyboard"/>
    <w:unhideWhenUsed/>
    <w:qFormat/>
    <w:uiPriority w:val="99"/>
    <w:rPr>
      <w:rFonts w:ascii="monospace" w:hAnsi="monospace" w:eastAsia="monospace" w:cs="monospace"/>
      <w:sz w:val="21"/>
      <w:szCs w:val="21"/>
    </w:rPr>
  </w:style>
  <w:style w:type="character" w:styleId="33">
    <w:name w:val="HTML Sample"/>
    <w:unhideWhenUsed/>
    <w:qFormat/>
    <w:uiPriority w:val="99"/>
    <w:rPr>
      <w:rFonts w:hint="default" w:ascii="monospace" w:hAnsi="monospace" w:eastAsia="monospace" w:cs="monospace"/>
      <w:sz w:val="21"/>
      <w:szCs w:val="21"/>
    </w:rPr>
  </w:style>
  <w:style w:type="paragraph" w:customStyle="1" w:styleId="34">
    <w:name w:val="样式 宋体 行距: 1.5 倍行距"/>
    <w:basedOn w:val="35"/>
    <w:next w:val="1"/>
    <w:qFormat/>
    <w:uiPriority w:val="0"/>
    <w:pPr>
      <w:jc w:val="center"/>
    </w:pPr>
    <w:rPr>
      <w:rFonts w:ascii="Times New Roman"/>
      <w:b/>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4"/>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缩进1"/>
    <w:basedOn w:val="1"/>
    <w:qFormat/>
    <w:uiPriority w:val="0"/>
    <w:pPr>
      <w:widowControl/>
      <w:spacing w:line="360" w:lineRule="auto"/>
      <w:ind w:firstLine="420"/>
      <w:jc w:val="left"/>
    </w:pPr>
    <w:rPr>
      <w:rFonts w:ascii="宋体"/>
      <w:kern w:val="0"/>
      <w:sz w:val="20"/>
      <w:szCs w:val="20"/>
    </w:rPr>
  </w:style>
  <w:style w:type="character" w:customStyle="1" w:styleId="37">
    <w:name w:val="标题 1 Char"/>
    <w:basedOn w:val="25"/>
    <w:link w:val="3"/>
    <w:qFormat/>
    <w:uiPriority w:val="99"/>
    <w:rPr>
      <w:rFonts w:ascii="Times New Roman" w:hAnsi="Times New Roman" w:eastAsia="宋体" w:cs="Times New Roman"/>
      <w:b/>
      <w:bCs/>
      <w:kern w:val="44"/>
      <w:sz w:val="32"/>
      <w:szCs w:val="44"/>
    </w:rPr>
  </w:style>
  <w:style w:type="character" w:customStyle="1" w:styleId="38">
    <w:name w:val="标题 2 Char"/>
    <w:basedOn w:val="25"/>
    <w:link w:val="4"/>
    <w:qFormat/>
    <w:uiPriority w:val="99"/>
    <w:rPr>
      <w:rFonts w:ascii="Times New Roman" w:hAnsi="Times New Roman" w:eastAsia="宋体" w:cs="Times New Roman"/>
      <w:b/>
      <w:color w:val="000000"/>
      <w:kern w:val="21"/>
      <w:sz w:val="32"/>
      <w:szCs w:val="32"/>
    </w:rPr>
  </w:style>
  <w:style w:type="character" w:customStyle="1" w:styleId="39">
    <w:name w:val="标题 3 Char"/>
    <w:basedOn w:val="25"/>
    <w:link w:val="5"/>
    <w:qFormat/>
    <w:uiPriority w:val="9"/>
    <w:rPr>
      <w:rFonts w:ascii="Times New Roman" w:hAnsi="Times New Roman" w:eastAsia="宋体" w:cs="Times New Roman"/>
      <w:b/>
      <w:bCs/>
      <w:kern w:val="0"/>
      <w:sz w:val="32"/>
      <w:szCs w:val="32"/>
    </w:rPr>
  </w:style>
  <w:style w:type="character" w:customStyle="1" w:styleId="40">
    <w:name w:val="标题 4 Char"/>
    <w:basedOn w:val="25"/>
    <w:link w:val="7"/>
    <w:qFormat/>
    <w:uiPriority w:val="0"/>
    <w:rPr>
      <w:rFonts w:ascii="Arial" w:hAnsi="Arial" w:eastAsia="宋体" w:cs="Times New Roman"/>
      <w:sz w:val="24"/>
      <w:szCs w:val="24"/>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4"/>
    <w:qFormat/>
    <w:uiPriority w:val="0"/>
    <w:pPr>
      <w:widowControl w:val="0"/>
      <w:jc w:val="both"/>
    </w:pPr>
    <w:rPr>
      <w:rFonts w:ascii="Calibri" w:hAnsi="Calibri" w:eastAsia="宋体" w:cs="黑体"/>
      <w:kern w:val="2"/>
      <w:sz w:val="21"/>
      <w:szCs w:val="24"/>
      <w:lang w:val="en-US" w:eastAsia="zh-CN" w:bidi="ar-SA"/>
    </w:rPr>
  </w:style>
  <w:style w:type="character" w:customStyle="1" w:styleId="42">
    <w:name w:val="文档结构图 Char"/>
    <w:basedOn w:val="25"/>
    <w:link w:val="8"/>
    <w:semiHidden/>
    <w:qFormat/>
    <w:uiPriority w:val="0"/>
    <w:rPr>
      <w:rFonts w:ascii="Times New Roman" w:hAnsi="Times New Roman" w:eastAsia="宋体" w:cs="Times New Roman"/>
      <w:sz w:val="28"/>
      <w:szCs w:val="24"/>
      <w:shd w:val="clear" w:color="auto" w:fill="000080"/>
    </w:rPr>
  </w:style>
  <w:style w:type="character" w:customStyle="1" w:styleId="43">
    <w:name w:val="批注文字 Char"/>
    <w:basedOn w:val="25"/>
    <w:link w:val="2"/>
    <w:qFormat/>
    <w:uiPriority w:val="99"/>
    <w:rPr>
      <w:rFonts w:ascii="Times New Roman" w:hAnsi="Times New Roman" w:eastAsia="宋体" w:cs="Times New Roman"/>
      <w:szCs w:val="24"/>
    </w:rPr>
  </w:style>
  <w:style w:type="character" w:customStyle="1" w:styleId="44">
    <w:name w:val="正文文本 3 Char"/>
    <w:basedOn w:val="25"/>
    <w:link w:val="9"/>
    <w:qFormat/>
    <w:uiPriority w:val="99"/>
    <w:rPr>
      <w:rFonts w:ascii="Times New Roman" w:hAnsi="Times New Roman" w:eastAsia="宋体" w:cs="Times New Roman"/>
      <w:kern w:val="0"/>
      <w:sz w:val="16"/>
      <w:szCs w:val="16"/>
    </w:rPr>
  </w:style>
  <w:style w:type="character" w:customStyle="1" w:styleId="45">
    <w:name w:val="正文文本 Char"/>
    <w:basedOn w:val="25"/>
    <w:link w:val="10"/>
    <w:qFormat/>
    <w:uiPriority w:val="99"/>
    <w:rPr>
      <w:rFonts w:ascii="Times New Roman" w:hAnsi="Times New Roman" w:eastAsia="宋体" w:cs="Times New Roman"/>
      <w:kern w:val="0"/>
      <w:sz w:val="28"/>
      <w:szCs w:val="24"/>
    </w:rPr>
  </w:style>
  <w:style w:type="character" w:customStyle="1" w:styleId="46">
    <w:name w:val="正文文本 2 Char"/>
    <w:basedOn w:val="25"/>
    <w:link w:val="19"/>
    <w:qFormat/>
    <w:uiPriority w:val="0"/>
    <w:rPr>
      <w:rFonts w:ascii="宋体" w:hAnsi="Times New Roman" w:eastAsia="宋体" w:cs="Times New Roman"/>
      <w:sz w:val="24"/>
      <w:szCs w:val="24"/>
    </w:rPr>
  </w:style>
  <w:style w:type="character" w:customStyle="1" w:styleId="47">
    <w:name w:val="纯文本 Char"/>
    <w:basedOn w:val="25"/>
    <w:link w:val="12"/>
    <w:qFormat/>
    <w:uiPriority w:val="99"/>
    <w:rPr>
      <w:rFonts w:ascii="宋体" w:hAnsi="Courier New" w:eastAsia="宋体" w:cs="Times New Roman"/>
      <w:kern w:val="0"/>
      <w:sz w:val="20"/>
      <w:szCs w:val="21"/>
    </w:rPr>
  </w:style>
  <w:style w:type="character" w:customStyle="1" w:styleId="48">
    <w:name w:val="日期 Char"/>
    <w:basedOn w:val="25"/>
    <w:link w:val="13"/>
    <w:qFormat/>
    <w:uiPriority w:val="99"/>
    <w:rPr>
      <w:rFonts w:ascii="Times New Roman" w:hAnsi="Times New Roman" w:eastAsia="宋体" w:cs="Times New Roman"/>
      <w:sz w:val="28"/>
      <w:szCs w:val="24"/>
    </w:rPr>
  </w:style>
  <w:style w:type="character" w:customStyle="1" w:styleId="49">
    <w:name w:val="批注框文本 Char"/>
    <w:basedOn w:val="25"/>
    <w:link w:val="14"/>
    <w:qFormat/>
    <w:uiPriority w:val="99"/>
    <w:rPr>
      <w:rFonts w:ascii="Times New Roman" w:hAnsi="Times New Roman" w:eastAsia="宋体" w:cs="Times New Roman"/>
      <w:sz w:val="18"/>
      <w:szCs w:val="18"/>
    </w:rPr>
  </w:style>
  <w:style w:type="character" w:customStyle="1" w:styleId="50">
    <w:name w:val="页脚 Char"/>
    <w:basedOn w:val="25"/>
    <w:link w:val="15"/>
    <w:qFormat/>
    <w:uiPriority w:val="99"/>
    <w:rPr>
      <w:rFonts w:ascii="Times New Roman" w:hAnsi="Times New Roman" w:eastAsia="宋体" w:cs="Times New Roman"/>
      <w:kern w:val="0"/>
      <w:sz w:val="18"/>
      <w:szCs w:val="18"/>
    </w:rPr>
  </w:style>
  <w:style w:type="character" w:customStyle="1" w:styleId="51">
    <w:name w:val="页眉 Char"/>
    <w:basedOn w:val="25"/>
    <w:link w:val="16"/>
    <w:qFormat/>
    <w:uiPriority w:val="99"/>
    <w:rPr>
      <w:rFonts w:ascii="Times New Roman" w:hAnsi="Times New Roman" w:eastAsia="宋体" w:cs="Times New Roman"/>
      <w:kern w:val="0"/>
      <w:sz w:val="18"/>
      <w:szCs w:val="18"/>
    </w:rPr>
  </w:style>
  <w:style w:type="character" w:customStyle="1" w:styleId="52">
    <w:name w:val="标题 Char"/>
    <w:basedOn w:val="25"/>
    <w:link w:val="21"/>
    <w:qFormat/>
    <w:uiPriority w:val="0"/>
    <w:rPr>
      <w:rFonts w:ascii="Cambria" w:hAnsi="Cambria" w:eastAsia="宋体" w:cs="Times New Roman"/>
      <w:b/>
      <w:bCs/>
      <w:sz w:val="32"/>
      <w:szCs w:val="32"/>
    </w:rPr>
  </w:style>
  <w:style w:type="character" w:customStyle="1" w:styleId="53">
    <w:name w:val="正文首行缩进 Char"/>
    <w:basedOn w:val="45"/>
    <w:link w:val="22"/>
    <w:qFormat/>
    <w:uiPriority w:val="99"/>
  </w:style>
  <w:style w:type="character" w:customStyle="1" w:styleId="54">
    <w:name w:val="icon40"/>
    <w:qFormat/>
    <w:uiPriority w:val="0"/>
  </w:style>
  <w:style w:type="character" w:customStyle="1" w:styleId="55">
    <w:name w:val="bar_info2"/>
    <w:qFormat/>
    <w:uiPriority w:val="0"/>
  </w:style>
  <w:style w:type="character" w:customStyle="1" w:styleId="56">
    <w:name w:val="icon41"/>
    <w:qFormat/>
    <w:uiPriority w:val="0"/>
  </w:style>
  <w:style w:type="character" w:customStyle="1" w:styleId="57">
    <w:name w:val="hover37"/>
    <w:qFormat/>
    <w:uiPriority w:val="0"/>
  </w:style>
  <w:style w:type="character" w:customStyle="1" w:styleId="58">
    <w:name w:val="占位符文本1"/>
    <w:qFormat/>
    <w:uiPriority w:val="99"/>
    <w:rPr>
      <w:rFonts w:cs="Times New Roman"/>
      <w:color w:val="808080"/>
    </w:rPr>
  </w:style>
  <w:style w:type="character" w:customStyle="1" w:styleId="59">
    <w:name w:val="active6"/>
    <w:qFormat/>
    <w:uiPriority w:val="0"/>
    <w:rPr>
      <w:color w:val="FFFFFF"/>
      <w:shd w:val="clear" w:color="auto" w:fill="0084FF"/>
    </w:rPr>
  </w:style>
  <w:style w:type="character" w:customStyle="1" w:styleId="60">
    <w:name w:val="first-child"/>
    <w:qFormat/>
    <w:uiPriority w:val="0"/>
  </w:style>
  <w:style w:type="character" w:customStyle="1" w:styleId="61">
    <w:name w:val="ask-txt"/>
    <w:qFormat/>
    <w:uiPriority w:val="0"/>
    <w:rPr>
      <w:color w:val="999999"/>
    </w:rPr>
  </w:style>
  <w:style w:type="character" w:customStyle="1" w:styleId="62">
    <w:name w:val="icon39"/>
    <w:qFormat/>
    <w:uiPriority w:val="0"/>
  </w:style>
  <w:style w:type="character" w:customStyle="1" w:styleId="63">
    <w:name w:val="icon38"/>
    <w:qFormat/>
    <w:uiPriority w:val="0"/>
  </w:style>
  <w:style w:type="character" w:customStyle="1" w:styleId="64">
    <w:name w:val="hover38"/>
    <w:qFormat/>
    <w:uiPriority w:val="0"/>
  </w:style>
  <w:style w:type="paragraph" w:customStyle="1" w:styleId="65">
    <w:name w:val="列出段落1"/>
    <w:basedOn w:val="1"/>
    <w:unhideWhenUsed/>
    <w:qFormat/>
    <w:uiPriority w:val="0"/>
    <w:pPr>
      <w:ind w:firstLine="420" w:firstLineChars="200"/>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段落"/>
    <w:basedOn w:val="1"/>
    <w:link w:val="68"/>
    <w:qFormat/>
    <w:uiPriority w:val="0"/>
    <w:pPr>
      <w:snapToGrid w:val="0"/>
      <w:spacing w:line="360" w:lineRule="auto"/>
      <w:ind w:firstLine="560" w:firstLineChars="200"/>
    </w:pPr>
    <w:rPr>
      <w:rFonts w:eastAsia="仿宋_GB2312"/>
      <w:szCs w:val="20"/>
    </w:rPr>
  </w:style>
  <w:style w:type="character" w:customStyle="1" w:styleId="68">
    <w:name w:val="段落 Char"/>
    <w:link w:val="67"/>
    <w:qFormat/>
    <w:uiPriority w:val="0"/>
    <w:rPr>
      <w:rFonts w:ascii="Times New Roman" w:hAnsi="Times New Roman" w:eastAsia="仿宋_GB2312" w:cs="Times New Roman"/>
      <w:sz w:val="28"/>
      <w:szCs w:val="20"/>
    </w:rPr>
  </w:style>
  <w:style w:type="paragraph" w:customStyle="1" w:styleId="69">
    <w:name w:val="样式1"/>
    <w:basedOn w:val="1"/>
    <w:qFormat/>
    <w:uiPriority w:val="99"/>
    <w:pPr>
      <w:widowControl/>
      <w:spacing w:line="440" w:lineRule="exact"/>
      <w:ind w:firstLine="309" w:firstLineChars="147"/>
      <w:jc w:val="left"/>
    </w:pPr>
    <w:rPr>
      <w:rFonts w:ascii="宋体" w:hAnsi="宋体"/>
      <w:color w:val="000000"/>
      <w:szCs w:val="21"/>
    </w:rPr>
  </w:style>
  <w:style w:type="paragraph" w:customStyle="1" w:styleId="70">
    <w:name w:val="p17"/>
    <w:basedOn w:val="1"/>
    <w:qFormat/>
    <w:uiPriority w:val="99"/>
    <w:pPr>
      <w:widowControl/>
      <w:spacing w:beforeAutospacing="1" w:afterAutospacing="1"/>
      <w:jc w:val="left"/>
    </w:pPr>
    <w:rPr>
      <w:rFonts w:ascii="宋体" w:hAnsi="宋体" w:cs="宋体"/>
      <w:kern w:val="0"/>
      <w:sz w:val="24"/>
    </w:rPr>
  </w:style>
  <w:style w:type="paragraph" w:customStyle="1" w:styleId="71">
    <w:name w:val="Table Paragraph"/>
    <w:basedOn w:val="1"/>
    <w:qFormat/>
    <w:uiPriority w:val="99"/>
    <w:pPr>
      <w:jc w:val="left"/>
    </w:pPr>
    <w:rPr>
      <w:rFonts w:ascii="Calibri" w:hAnsi="Calibri" w:eastAsia="Calibri"/>
      <w:kern w:val="0"/>
      <w:sz w:val="22"/>
      <w:szCs w:val="22"/>
      <w:lang w:eastAsia="en-US"/>
    </w:rPr>
  </w:style>
  <w:style w:type="paragraph" w:customStyle="1" w:styleId="72">
    <w:name w:val="列出段落2"/>
    <w:basedOn w:val="1"/>
    <w:qFormat/>
    <w:uiPriority w:val="0"/>
    <w:pPr>
      <w:autoSpaceDE w:val="0"/>
      <w:autoSpaceDN w:val="0"/>
      <w:ind w:left="240" w:firstLine="420"/>
      <w:jc w:val="left"/>
    </w:pPr>
    <w:rPr>
      <w:rFonts w:ascii="Droid Sans Fallback" w:hAnsi="Droid Sans Fallback" w:cs="Droid Sans Fallback"/>
      <w:kern w:val="0"/>
      <w:sz w:val="22"/>
      <w:szCs w:val="22"/>
      <w:lang w:val="zh-CN"/>
    </w:rPr>
  </w:style>
  <w:style w:type="paragraph" w:customStyle="1" w:styleId="73">
    <w:name w:val="样式 标题 3 + (中文) 黑体 小四 非加粗 段前: 7.8 磅 段后: 0 磅 行距: 固定值 20 磅"/>
    <w:basedOn w:val="5"/>
    <w:qFormat/>
    <w:uiPriority w:val="99"/>
    <w:pPr>
      <w:spacing w:line="400" w:lineRule="exact"/>
    </w:pPr>
    <w:rPr>
      <w:rFonts w:eastAsia="黑体" w:cs="宋体"/>
      <w:b w:val="0"/>
      <w:bCs w:val="0"/>
      <w:sz w:val="24"/>
      <w:szCs w:val="20"/>
    </w:rPr>
  </w:style>
  <w:style w:type="paragraph" w:customStyle="1" w:styleId="74">
    <w:name w:val="List Paragraph1"/>
    <w:basedOn w:val="1"/>
    <w:qFormat/>
    <w:uiPriority w:val="99"/>
    <w:pPr>
      <w:autoSpaceDE w:val="0"/>
      <w:autoSpaceDN w:val="0"/>
      <w:ind w:left="240" w:firstLine="419"/>
      <w:jc w:val="left"/>
    </w:pPr>
    <w:rPr>
      <w:rFonts w:ascii="宋体" w:hAnsi="宋体" w:cs="宋体"/>
      <w:kern w:val="0"/>
      <w:sz w:val="22"/>
      <w:szCs w:val="22"/>
      <w:lang w:val="zh-CN"/>
    </w:rPr>
  </w:style>
  <w:style w:type="paragraph" w:customStyle="1" w:styleId="75">
    <w:name w:val="Char Char Char Char Char Char Char Char Char Char Char Char Char Char Char Char"/>
    <w:basedOn w:val="1"/>
    <w:qFormat/>
    <w:uiPriority w:val="99"/>
    <w:pPr>
      <w:spacing w:line="360" w:lineRule="auto"/>
      <w:ind w:firstLine="200" w:firstLineChars="200"/>
    </w:pPr>
  </w:style>
  <w:style w:type="paragraph" w:customStyle="1" w:styleId="76">
    <w:name w:val="正文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p15"/>
    <w:basedOn w:val="1"/>
    <w:qFormat/>
    <w:uiPriority w:val="0"/>
    <w:rPr>
      <w:kern w:val="0"/>
      <w:sz w:val="21"/>
      <w:szCs w:val="21"/>
    </w:rPr>
  </w:style>
  <w:style w:type="paragraph" w:customStyle="1" w:styleId="79">
    <w:name w:val="样式7"/>
    <w:basedOn w:val="1"/>
    <w:qFormat/>
    <w:uiPriority w:val="0"/>
    <w:pPr>
      <w:spacing w:line="300" w:lineRule="exact"/>
      <w:ind w:left="-120" w:leftChars="-50" w:right="-120" w:rightChars="-50"/>
      <w:jc w:val="center"/>
    </w:pPr>
    <w:rPr>
      <w:sz w:val="21"/>
    </w:rPr>
  </w:style>
  <w:style w:type="paragraph" w:customStyle="1" w:styleId="80">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82">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 w:type="paragraph" w:styleId="83">
    <w:name w:val="List Paragraph"/>
    <w:basedOn w:val="1"/>
    <w:qFormat/>
    <w:uiPriority w:val="99"/>
    <w:pPr>
      <w:spacing w:line="360" w:lineRule="auto"/>
      <w:ind w:firstLine="420" w:firstLineChars="200"/>
    </w:pPr>
    <w:rPr>
      <w:rFonts w:ascii="宋体"/>
      <w:sz w:val="24"/>
      <w:szCs w:val="20"/>
    </w:rPr>
  </w:style>
  <w:style w:type="paragraph" w:customStyle="1" w:styleId="84">
    <w:name w:val="正文正"/>
    <w:basedOn w:val="1"/>
    <w:unhideWhenUsed/>
    <w:qFormat/>
    <w:uiPriority w:val="99"/>
    <w:pPr>
      <w:widowControl w:val="0"/>
      <w:autoSpaceDE w:val="0"/>
      <w:autoSpaceDN w:val="0"/>
      <w:adjustRightInd w:val="0"/>
      <w:spacing w:line="560" w:lineRule="exact"/>
      <w:ind w:firstLine="561"/>
      <w:jc w:val="left"/>
    </w:pPr>
    <w:rPr>
      <w:rFonts w:hint="eastAsia" w:ascii="Calibri" w:hAnsi="Calibri"/>
      <w:sz w:val="28"/>
    </w:rPr>
  </w:style>
  <w:style w:type="paragraph" w:customStyle="1" w:styleId="85">
    <w:name w:val="正文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86">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38740</Words>
  <Characters>41271</Characters>
  <Lines>260</Lines>
  <Paragraphs>73</Paragraphs>
  <TotalTime>1</TotalTime>
  <ScaleCrop>false</ScaleCrop>
  <LinksUpToDate>false</LinksUpToDate>
  <CharactersWithSpaces>43738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2023-02-10T04:37:00Z</dcterms:created>
  <dc:creator>Administrator</dc:creator>
  <cp:lastModifiedBy>WPS_1474192923</cp:lastModifiedBy>
  <cp:lastPrinted>2025-07-08T02:17:00Z</cp:lastPrinted>
  <dcterms:modified xsi:type="dcterms:W3CDTF">2025-07-10T08:23:16Z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20BE99A63A534DE4A8A6567A955AEF2F_13</vt:lpwstr>
  </property>
  <property fmtid="{D5CDD505-2E9C-101B-9397-08002B2CF9AE}" pid="4" name="KSOTemplateDocerSaveRecord">
    <vt:lpwstr>eyJoZGlkIjoiYmEwZmVjYmI2NGE3ZTFiODFlNzBjOTM5YjlhMTMyZTciLCJ1c2VySWQiOiI2MjI1MzA2MDkifQ==</vt:lpwstr>
  </property>
</Properties>
</file>