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5284D">
      <w:pPr>
        <w:pStyle w:val="49"/>
        <w:pageBreakBefore w:val="0"/>
        <w:kinsoku/>
        <w:wordWrap w:val="0"/>
        <w:overflowPunct/>
        <w:topLinePunct/>
        <w:bidi w:val="0"/>
        <w:snapToGrid w:val="0"/>
        <w:spacing w:before="120" w:beforeLines="50" w:line="360" w:lineRule="auto"/>
        <w:ind w:right="178" w:rightChars="85"/>
        <w:jc w:val="center"/>
        <w:rPr>
          <w:rStyle w:val="20"/>
          <w:rFonts w:hint="eastAsia" w:ascii="宋体" w:hAnsi="宋体" w:eastAsia="宋体" w:cs="宋体"/>
          <w:b/>
          <w:bCs/>
          <w:color w:val="000000" w:themeColor="text1"/>
          <w:kern w:val="0"/>
          <w:sz w:val="28"/>
          <w:szCs w:val="28"/>
          <w:highlight w:val="none"/>
          <w:lang w:eastAsia="zh-CN"/>
          <w14:textFill>
            <w14:solidFill>
              <w14:schemeClr w14:val="tx1"/>
            </w14:solidFill>
          </w14:textFill>
        </w:rPr>
      </w:pPr>
    </w:p>
    <w:p w14:paraId="3AFC6B1E">
      <w:pPr>
        <w:pStyle w:val="49"/>
        <w:pageBreakBefore w:val="0"/>
        <w:kinsoku/>
        <w:wordWrap w:val="0"/>
        <w:overflowPunct/>
        <w:topLinePunct/>
        <w:bidi w:val="0"/>
        <w:snapToGrid w:val="0"/>
        <w:spacing w:before="120" w:beforeLines="50" w:line="360" w:lineRule="auto"/>
        <w:ind w:right="178" w:rightChars="85"/>
        <w:jc w:val="center"/>
        <w:rPr>
          <w:rStyle w:val="20"/>
          <w:rFonts w:hint="eastAsia" w:ascii="宋体" w:hAnsi="宋体" w:eastAsia="宋体" w:cs="宋体"/>
          <w:b/>
          <w:bCs/>
          <w:color w:val="000000" w:themeColor="text1"/>
          <w:kern w:val="0"/>
          <w:sz w:val="44"/>
          <w:szCs w:val="44"/>
          <w:highlight w:val="none"/>
          <w:lang w:eastAsia="zh-CN"/>
          <w14:textFill>
            <w14:solidFill>
              <w14:schemeClr w14:val="tx1"/>
            </w14:solidFill>
          </w14:textFill>
        </w:rPr>
      </w:pPr>
      <w:r>
        <w:rPr>
          <w:rStyle w:val="20"/>
          <w:rFonts w:hint="eastAsia" w:ascii="宋体" w:hAnsi="宋体" w:eastAsia="宋体" w:cs="宋体"/>
          <w:b/>
          <w:bCs/>
          <w:color w:val="000000" w:themeColor="text1"/>
          <w:kern w:val="0"/>
          <w:sz w:val="44"/>
          <w:szCs w:val="44"/>
          <w:highlight w:val="none"/>
          <w:lang w:eastAsia="zh-CN"/>
          <w14:textFill>
            <w14:solidFill>
              <w14:schemeClr w14:val="tx1"/>
            </w14:solidFill>
          </w14:textFill>
        </w:rPr>
        <w:t>韶关市浈江区大数据产业基础设施工程</w:t>
      </w:r>
    </w:p>
    <w:p w14:paraId="086E778C">
      <w:pPr>
        <w:pStyle w:val="49"/>
        <w:pageBreakBefore w:val="0"/>
        <w:kinsoku/>
        <w:wordWrap w:val="0"/>
        <w:overflowPunct/>
        <w:topLinePunct/>
        <w:bidi w:val="0"/>
        <w:snapToGrid w:val="0"/>
        <w:spacing w:before="120" w:beforeLines="50" w:line="360" w:lineRule="auto"/>
        <w:ind w:right="178" w:rightChars="85"/>
        <w:jc w:val="center"/>
        <w:rPr>
          <w:rStyle w:val="20"/>
          <w:rFonts w:hint="eastAsia" w:ascii="宋体" w:hAnsi="宋体" w:eastAsia="宋体" w:cs="宋体"/>
          <w:b/>
          <w:bCs/>
          <w:color w:val="000000" w:themeColor="text1"/>
          <w:kern w:val="0"/>
          <w:sz w:val="44"/>
          <w:szCs w:val="44"/>
          <w:highlight w:val="none"/>
          <w:lang w:eastAsia="zh-CN"/>
          <w14:textFill>
            <w14:solidFill>
              <w14:schemeClr w14:val="tx1"/>
            </w14:solidFill>
          </w14:textFill>
        </w:rPr>
      </w:pPr>
      <w:r>
        <w:rPr>
          <w:rStyle w:val="20"/>
          <w:rFonts w:hint="eastAsia" w:ascii="宋体" w:hAnsi="宋体" w:eastAsia="宋体" w:cs="宋体"/>
          <w:b/>
          <w:bCs/>
          <w:color w:val="000000" w:themeColor="text1"/>
          <w:kern w:val="0"/>
          <w:sz w:val="44"/>
          <w:szCs w:val="44"/>
          <w:highlight w:val="none"/>
          <w:lang w:eastAsia="zh-CN"/>
          <w14:textFill>
            <w14:solidFill>
              <w14:schemeClr w14:val="tx1"/>
            </w14:solidFill>
          </w14:textFill>
        </w:rPr>
        <w:t>（一期土石方工程）施工</w:t>
      </w:r>
    </w:p>
    <w:p w14:paraId="42345FE8">
      <w:pPr>
        <w:pageBreakBefore w:val="0"/>
        <w:kinsoku/>
        <w:wordWrap w:val="0"/>
        <w:overflowPunct/>
        <w:topLinePunct/>
        <w:bidi w:val="0"/>
        <w:rPr>
          <w:rFonts w:hint="eastAsia"/>
          <w:color w:val="000000" w:themeColor="text1"/>
          <w:highlight w:val="none"/>
          <w14:textFill>
            <w14:solidFill>
              <w14:schemeClr w14:val="tx1"/>
            </w14:solidFill>
          </w14:textFill>
        </w:rPr>
      </w:pPr>
    </w:p>
    <w:p w14:paraId="633A1314">
      <w:pPr>
        <w:pageBreakBefore w:val="0"/>
        <w:kinsoku/>
        <w:wordWrap w:val="0"/>
        <w:overflowPunct/>
        <w:topLinePunct/>
        <w:bidi w:val="0"/>
        <w:rPr>
          <w:rFonts w:hint="eastAsia"/>
          <w:color w:val="000000" w:themeColor="text1"/>
          <w:highlight w:val="none"/>
          <w14:textFill>
            <w14:solidFill>
              <w14:schemeClr w14:val="tx1"/>
            </w14:solidFill>
          </w14:textFill>
        </w:rPr>
      </w:pPr>
    </w:p>
    <w:p w14:paraId="252D0C83">
      <w:pPr>
        <w:pageBreakBefore w:val="0"/>
        <w:kinsoku/>
        <w:wordWrap w:val="0"/>
        <w:overflowPunct/>
        <w:topLinePunct/>
        <w:bidi w:val="0"/>
        <w:rPr>
          <w:rFonts w:hint="eastAsia"/>
          <w:color w:val="000000" w:themeColor="text1"/>
          <w:highlight w:val="none"/>
          <w14:textFill>
            <w14:solidFill>
              <w14:schemeClr w14:val="tx1"/>
            </w14:solidFill>
          </w14:textFill>
        </w:rPr>
      </w:pPr>
    </w:p>
    <w:p w14:paraId="293FBFF0">
      <w:pPr>
        <w:pageBreakBefore w:val="0"/>
        <w:kinsoku/>
        <w:wordWrap w:val="0"/>
        <w:overflowPunct/>
        <w:topLinePunct/>
        <w:bidi w:val="0"/>
        <w:rPr>
          <w:rFonts w:hint="eastAsia"/>
          <w:color w:val="000000" w:themeColor="text1"/>
          <w:highlight w:val="none"/>
          <w14:textFill>
            <w14:solidFill>
              <w14:schemeClr w14:val="tx1"/>
            </w14:solidFill>
          </w14:textFill>
        </w:rPr>
      </w:pPr>
    </w:p>
    <w:p w14:paraId="40520439">
      <w:pPr>
        <w:pageBreakBefore w:val="0"/>
        <w:kinsoku/>
        <w:wordWrap w:val="0"/>
        <w:overflowPunct/>
        <w:topLinePunct/>
        <w:bidi w:val="0"/>
        <w:rPr>
          <w:rFonts w:hint="eastAsia"/>
          <w:color w:val="000000" w:themeColor="text1"/>
          <w:highlight w:val="none"/>
          <w14:textFill>
            <w14:solidFill>
              <w14:schemeClr w14:val="tx1"/>
            </w14:solidFill>
          </w14:textFill>
        </w:rPr>
      </w:pPr>
    </w:p>
    <w:p w14:paraId="06B186B2">
      <w:pPr>
        <w:pageBreakBefore w:val="0"/>
        <w:kinsoku/>
        <w:wordWrap w:val="0"/>
        <w:overflowPunct/>
        <w:topLinePunct/>
        <w:bidi w:val="0"/>
        <w:rPr>
          <w:rFonts w:hint="eastAsia"/>
          <w:color w:val="000000" w:themeColor="text1"/>
          <w:highlight w:val="none"/>
          <w14:textFill>
            <w14:solidFill>
              <w14:schemeClr w14:val="tx1"/>
            </w14:solidFill>
          </w14:textFill>
        </w:rPr>
      </w:pPr>
    </w:p>
    <w:p w14:paraId="352CE507">
      <w:pPr>
        <w:pageBreakBefore w:val="0"/>
        <w:kinsoku/>
        <w:wordWrap w:val="0"/>
        <w:overflowPunct/>
        <w:topLinePunct/>
        <w:bidi w:val="0"/>
        <w:rPr>
          <w:rFonts w:hint="eastAsia"/>
          <w:color w:val="000000" w:themeColor="text1"/>
          <w:highlight w:val="none"/>
          <w14:textFill>
            <w14:solidFill>
              <w14:schemeClr w14:val="tx1"/>
            </w14:solidFill>
          </w14:textFill>
        </w:rPr>
      </w:pPr>
    </w:p>
    <w:p w14:paraId="278C22FC">
      <w:pPr>
        <w:pageBreakBefore w:val="0"/>
        <w:kinsoku/>
        <w:wordWrap w:val="0"/>
        <w:overflowPunct/>
        <w:topLinePunct/>
        <w:bidi w:val="0"/>
        <w:rPr>
          <w:rFonts w:hint="eastAsia"/>
          <w:color w:val="000000" w:themeColor="text1"/>
          <w:highlight w:val="none"/>
          <w14:textFill>
            <w14:solidFill>
              <w14:schemeClr w14:val="tx1"/>
            </w14:solidFill>
          </w14:textFill>
        </w:rPr>
      </w:pPr>
    </w:p>
    <w:p w14:paraId="1D8D1EEF">
      <w:pPr>
        <w:pageBreakBefore w:val="0"/>
        <w:kinsoku/>
        <w:wordWrap w:val="0"/>
        <w:overflowPunct/>
        <w:topLinePunct/>
        <w:bidi w:val="0"/>
        <w:rPr>
          <w:rFonts w:hint="eastAsia"/>
          <w:color w:val="000000" w:themeColor="text1"/>
          <w:highlight w:val="none"/>
          <w14:textFill>
            <w14:solidFill>
              <w14:schemeClr w14:val="tx1"/>
            </w14:solidFill>
          </w14:textFill>
        </w:rPr>
      </w:pPr>
    </w:p>
    <w:p w14:paraId="10EF1186">
      <w:pPr>
        <w:pStyle w:val="47"/>
        <w:pageBreakBefore w:val="0"/>
        <w:kinsoku/>
        <w:wordWrap w:val="0"/>
        <w:overflowPunct/>
        <w:topLinePunct/>
        <w:bidi w:val="0"/>
        <w:spacing w:line="360" w:lineRule="auto"/>
        <w:jc w:val="center"/>
        <w:rPr>
          <w:rFonts w:hint="eastAsia" w:ascii="宋体" w:hAnsi="宋体" w:eastAsia="宋体" w:cs="宋体"/>
          <w:b/>
          <w:bCs/>
          <w:color w:val="000000" w:themeColor="text1"/>
          <w:spacing w:val="26"/>
          <w:sz w:val="84"/>
          <w:szCs w:val="84"/>
          <w:highlight w:val="none"/>
          <w14:textFill>
            <w14:solidFill>
              <w14:schemeClr w14:val="tx1"/>
            </w14:solidFill>
          </w14:textFill>
        </w:rPr>
      </w:pPr>
      <w:r>
        <w:rPr>
          <w:rFonts w:hint="eastAsia" w:ascii="宋体" w:hAnsi="宋体" w:eastAsia="宋体" w:cs="宋体"/>
          <w:b/>
          <w:bCs/>
          <w:color w:val="000000" w:themeColor="text1"/>
          <w:spacing w:val="26"/>
          <w:sz w:val="84"/>
          <w:szCs w:val="84"/>
          <w:highlight w:val="none"/>
          <w14:textFill>
            <w14:solidFill>
              <w14:schemeClr w14:val="tx1"/>
            </w14:solidFill>
          </w14:textFill>
        </w:rPr>
        <w:t>招标文件</w:t>
      </w:r>
    </w:p>
    <w:p w14:paraId="027C2C01">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02C4B3D0">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0BAAD470">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22B7B6A3">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bl>
      <w:tblPr>
        <w:tblStyle w:val="14"/>
        <w:tblpPr w:leftFromText="180" w:rightFromText="180" w:vertAnchor="text" w:horzAnchor="page" w:tblpX="1312" w:tblpY="423"/>
        <w:tblOverlap w:val="never"/>
        <w:tblW w:w="9564" w:type="dxa"/>
        <w:tblInd w:w="0" w:type="dxa"/>
        <w:tblLayout w:type="fixed"/>
        <w:tblCellMar>
          <w:top w:w="0" w:type="dxa"/>
          <w:left w:w="0" w:type="dxa"/>
          <w:bottom w:w="0" w:type="dxa"/>
          <w:right w:w="0" w:type="dxa"/>
        </w:tblCellMar>
      </w:tblPr>
      <w:tblGrid>
        <w:gridCol w:w="4768"/>
        <w:gridCol w:w="4796"/>
      </w:tblGrid>
      <w:tr w14:paraId="658E45C9">
        <w:tblPrEx>
          <w:tblCellMar>
            <w:top w:w="0" w:type="dxa"/>
            <w:left w:w="0" w:type="dxa"/>
            <w:bottom w:w="0" w:type="dxa"/>
            <w:right w:w="0" w:type="dxa"/>
          </w:tblCellMar>
        </w:tblPrEx>
        <w:trPr>
          <w:trHeight w:val="854" w:hRule="atLeast"/>
        </w:trPr>
        <w:tc>
          <w:tcPr>
            <w:tcW w:w="4768" w:type="dxa"/>
            <w:noWrap w:val="0"/>
            <w:vAlign w:val="center"/>
          </w:tcPr>
          <w:p w14:paraId="205BB119">
            <w:pPr>
              <w:pStyle w:val="48"/>
              <w:pageBreakBefore w:val="0"/>
              <w:kinsoku/>
              <w:wordWrap w:val="0"/>
              <w:overflowPunct/>
              <w:topLinePunct/>
              <w:bidi w:val="0"/>
              <w:spacing w:line="240" w:lineRule="auto"/>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 招        标        人（盖 章）：</w:t>
            </w:r>
          </w:p>
        </w:tc>
        <w:tc>
          <w:tcPr>
            <w:tcW w:w="4796" w:type="dxa"/>
            <w:noWrap w:val="0"/>
            <w:vAlign w:val="center"/>
          </w:tcPr>
          <w:p w14:paraId="091F644F">
            <w:pPr>
              <w:pStyle w:val="48"/>
              <w:pageBreakBefore w:val="0"/>
              <w:kinsoku/>
              <w:wordWrap w:val="0"/>
              <w:overflowPunct/>
              <w:topLinePunct/>
              <w:bidi w:val="0"/>
              <w:spacing w:line="240" w:lineRule="auto"/>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韶关市浈江区鸿通投资有限公司</w:t>
            </w:r>
          </w:p>
        </w:tc>
      </w:tr>
      <w:tr w14:paraId="16D782DF">
        <w:tblPrEx>
          <w:tblCellMar>
            <w:top w:w="0" w:type="dxa"/>
            <w:left w:w="0" w:type="dxa"/>
            <w:bottom w:w="0" w:type="dxa"/>
            <w:right w:w="0" w:type="dxa"/>
          </w:tblCellMar>
        </w:tblPrEx>
        <w:trPr>
          <w:trHeight w:val="936" w:hRule="atLeast"/>
        </w:trPr>
        <w:tc>
          <w:tcPr>
            <w:tcW w:w="4768" w:type="dxa"/>
            <w:noWrap w:val="0"/>
            <w:vAlign w:val="center"/>
          </w:tcPr>
          <w:p w14:paraId="66C93CCB">
            <w:pPr>
              <w:pStyle w:val="48"/>
              <w:pageBreakBefore w:val="0"/>
              <w:kinsoku/>
              <w:wordWrap w:val="0"/>
              <w:overflowPunct/>
              <w:topLinePunct/>
              <w:bidi w:val="0"/>
              <w:spacing w:line="240" w:lineRule="auto"/>
              <w:jc w:val="left"/>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sz w:val="28"/>
                <w:highlight w:val="none"/>
                <w14:textFill>
                  <w14:solidFill>
                    <w14:schemeClr w14:val="tx1"/>
                  </w14:solidFill>
                </w14:textFill>
              </w:rPr>
              <w:t xml:space="preserve"> 招标人工作领导小组负责人（签字）：</w:t>
            </w:r>
          </w:p>
        </w:tc>
        <w:tc>
          <w:tcPr>
            <w:tcW w:w="4796" w:type="dxa"/>
            <w:noWrap w:val="0"/>
            <w:vAlign w:val="center"/>
          </w:tcPr>
          <w:p w14:paraId="6C5F0B73">
            <w:pPr>
              <w:pStyle w:val="48"/>
              <w:pageBreakBefore w:val="0"/>
              <w:kinsoku/>
              <w:wordWrap w:val="0"/>
              <w:overflowPunct/>
              <w:topLinePunct/>
              <w:bidi w:val="0"/>
              <w:spacing w:line="240" w:lineRule="auto"/>
              <w:rPr>
                <w:rFonts w:hint="eastAsia" w:ascii="宋体" w:hAnsi="宋体" w:eastAsia="宋体" w:cs="宋体"/>
                <w:color w:val="000000" w:themeColor="text1"/>
                <w:sz w:val="28"/>
                <w:szCs w:val="28"/>
                <w:highlight w:val="none"/>
                <w14:textFill>
                  <w14:solidFill>
                    <w14:schemeClr w14:val="tx1"/>
                  </w14:solidFill>
                </w14:textFill>
              </w:rPr>
            </w:pPr>
          </w:p>
        </w:tc>
      </w:tr>
      <w:tr w14:paraId="5800B7FB">
        <w:tblPrEx>
          <w:tblCellMar>
            <w:top w:w="0" w:type="dxa"/>
            <w:left w:w="0" w:type="dxa"/>
            <w:bottom w:w="0" w:type="dxa"/>
            <w:right w:w="0" w:type="dxa"/>
          </w:tblCellMar>
        </w:tblPrEx>
        <w:trPr>
          <w:trHeight w:val="875" w:hRule="atLeast"/>
        </w:trPr>
        <w:tc>
          <w:tcPr>
            <w:tcW w:w="4768" w:type="dxa"/>
            <w:noWrap w:val="0"/>
            <w:vAlign w:val="center"/>
          </w:tcPr>
          <w:p w14:paraId="23C0D95F">
            <w:pPr>
              <w:pStyle w:val="48"/>
              <w:pageBreakBefore w:val="0"/>
              <w:kinsoku/>
              <w:wordWrap w:val="0"/>
              <w:overflowPunct/>
              <w:topLinePunct/>
              <w:bidi w:val="0"/>
              <w:spacing w:line="240" w:lineRule="auto"/>
              <w:jc w:val="left"/>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sz w:val="28"/>
                <w:highlight w:val="none"/>
                <w14:textFill>
                  <w14:solidFill>
                    <w14:schemeClr w14:val="tx1"/>
                  </w14:solidFill>
                </w14:textFill>
              </w:rPr>
              <w:t xml:space="preserve"> 招  标  代  理  机  构（盖 章）：</w:t>
            </w:r>
          </w:p>
        </w:tc>
        <w:tc>
          <w:tcPr>
            <w:tcW w:w="4796" w:type="dxa"/>
            <w:noWrap w:val="0"/>
            <w:vAlign w:val="center"/>
          </w:tcPr>
          <w:p w14:paraId="34B737DE">
            <w:pPr>
              <w:pStyle w:val="48"/>
              <w:pageBreakBefore w:val="0"/>
              <w:kinsoku/>
              <w:wordWrap w:val="0"/>
              <w:overflowPunct/>
              <w:topLinePunct/>
              <w:bidi w:val="0"/>
              <w:spacing w:line="240" w:lineRule="auto"/>
              <w:rPr>
                <w:rFonts w:hint="eastAsia" w:ascii="宋体" w:hAnsi="宋体" w:eastAsia="宋体" w:cs="宋体"/>
                <w:color w:val="000000" w:themeColor="text1"/>
                <w:sz w:val="28"/>
                <w:szCs w:val="28"/>
                <w:highlight w:val="none"/>
                <w:lang w:eastAsia="zh-CN"/>
                <w14:textFill>
                  <w14:solidFill>
                    <w14:schemeClr w14:val="tx1"/>
                  </w14:solidFill>
                </w14:textFill>
              </w:rPr>
            </w:pPr>
            <w:r>
              <w:rPr>
                <w:rFonts w:hint="eastAsia" w:ascii="宋体" w:hAnsi="宋体" w:eastAsia="宋体" w:cs="宋体"/>
                <w:color w:val="000000" w:themeColor="text1"/>
                <w:sz w:val="28"/>
                <w:szCs w:val="28"/>
                <w:highlight w:val="none"/>
                <w:lang w:eastAsia="zh-CN"/>
                <w14:textFill>
                  <w14:solidFill>
                    <w14:schemeClr w14:val="tx1"/>
                  </w14:solidFill>
                </w14:textFill>
              </w:rPr>
              <w:t>广东合正项目管理有限公司</w:t>
            </w:r>
          </w:p>
        </w:tc>
      </w:tr>
      <w:tr w14:paraId="7AFD97ED">
        <w:tblPrEx>
          <w:tblCellMar>
            <w:top w:w="0" w:type="dxa"/>
            <w:left w:w="0" w:type="dxa"/>
            <w:bottom w:w="0" w:type="dxa"/>
            <w:right w:w="0" w:type="dxa"/>
          </w:tblCellMar>
        </w:tblPrEx>
        <w:trPr>
          <w:trHeight w:val="963" w:hRule="atLeast"/>
        </w:trPr>
        <w:tc>
          <w:tcPr>
            <w:tcW w:w="4768" w:type="dxa"/>
            <w:noWrap w:val="0"/>
            <w:vAlign w:val="center"/>
          </w:tcPr>
          <w:p w14:paraId="4CD1981F">
            <w:pPr>
              <w:pStyle w:val="48"/>
              <w:pageBreakBefore w:val="0"/>
              <w:kinsoku/>
              <w:wordWrap w:val="0"/>
              <w:overflowPunct/>
              <w:topLinePunct/>
              <w:bidi w:val="0"/>
              <w:spacing w:line="240" w:lineRule="auto"/>
              <w:jc w:val="left"/>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sz w:val="28"/>
                <w:highlight w:val="none"/>
                <w14:textFill>
                  <w14:solidFill>
                    <w14:schemeClr w14:val="tx1"/>
                  </w14:solidFill>
                </w14:textFill>
              </w:rPr>
              <w:t xml:space="preserve"> 招 标 文  件 编 制  人 （签字）：</w:t>
            </w:r>
          </w:p>
        </w:tc>
        <w:tc>
          <w:tcPr>
            <w:tcW w:w="4796" w:type="dxa"/>
            <w:noWrap w:val="0"/>
            <w:vAlign w:val="center"/>
          </w:tcPr>
          <w:p w14:paraId="06DCDE91">
            <w:pPr>
              <w:pStyle w:val="48"/>
              <w:pageBreakBefore w:val="0"/>
              <w:kinsoku/>
              <w:wordWrap w:val="0"/>
              <w:overflowPunct/>
              <w:topLinePunct/>
              <w:bidi w:val="0"/>
              <w:spacing w:line="240" w:lineRule="auto"/>
              <w:rPr>
                <w:rFonts w:hint="eastAsia" w:ascii="宋体" w:hAnsi="宋体" w:eastAsia="宋体" w:cs="宋体"/>
                <w:color w:val="000000" w:themeColor="text1"/>
                <w:sz w:val="28"/>
                <w:szCs w:val="28"/>
                <w:highlight w:val="none"/>
                <w14:textFill>
                  <w14:solidFill>
                    <w14:schemeClr w14:val="tx1"/>
                  </w14:solidFill>
                </w14:textFill>
              </w:rPr>
            </w:pPr>
          </w:p>
        </w:tc>
      </w:tr>
      <w:tr w14:paraId="0E16E934">
        <w:tblPrEx>
          <w:tblCellMar>
            <w:top w:w="0" w:type="dxa"/>
            <w:left w:w="0" w:type="dxa"/>
            <w:bottom w:w="0" w:type="dxa"/>
            <w:right w:w="0" w:type="dxa"/>
          </w:tblCellMar>
        </w:tblPrEx>
        <w:trPr>
          <w:trHeight w:val="983" w:hRule="atLeast"/>
        </w:trPr>
        <w:tc>
          <w:tcPr>
            <w:tcW w:w="4768" w:type="dxa"/>
            <w:noWrap w:val="0"/>
            <w:vAlign w:val="center"/>
          </w:tcPr>
          <w:p w14:paraId="73044A87">
            <w:pPr>
              <w:pStyle w:val="48"/>
              <w:pageBreakBefore w:val="0"/>
              <w:kinsoku/>
              <w:wordWrap w:val="0"/>
              <w:overflowPunct/>
              <w:topLinePunct/>
              <w:bidi w:val="0"/>
              <w:spacing w:line="240" w:lineRule="auto"/>
              <w:jc w:val="left"/>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sz w:val="28"/>
                <w:highlight w:val="none"/>
                <w14:textFill>
                  <w14:solidFill>
                    <w14:schemeClr w14:val="tx1"/>
                  </w14:solidFill>
                </w14:textFill>
              </w:rPr>
              <w:t xml:space="preserve"> 招标代理机构项目负责人 （签字）：</w:t>
            </w:r>
          </w:p>
        </w:tc>
        <w:tc>
          <w:tcPr>
            <w:tcW w:w="4796" w:type="dxa"/>
            <w:noWrap w:val="0"/>
            <w:vAlign w:val="center"/>
          </w:tcPr>
          <w:p w14:paraId="52E45ECA">
            <w:pPr>
              <w:pStyle w:val="48"/>
              <w:pageBreakBefore w:val="0"/>
              <w:kinsoku/>
              <w:wordWrap w:val="0"/>
              <w:overflowPunct/>
              <w:topLinePunct/>
              <w:bidi w:val="0"/>
              <w:spacing w:line="240" w:lineRule="auto"/>
              <w:rPr>
                <w:rFonts w:hint="eastAsia" w:ascii="宋体" w:hAnsi="宋体" w:eastAsia="宋体" w:cs="宋体"/>
                <w:color w:val="000000" w:themeColor="text1"/>
                <w:sz w:val="28"/>
                <w:szCs w:val="28"/>
                <w:highlight w:val="none"/>
                <w14:textFill>
                  <w14:solidFill>
                    <w14:schemeClr w14:val="tx1"/>
                  </w14:solidFill>
                </w14:textFill>
              </w:rPr>
            </w:pPr>
          </w:p>
        </w:tc>
      </w:tr>
      <w:tr w14:paraId="569C1335">
        <w:tblPrEx>
          <w:tblCellMar>
            <w:top w:w="0" w:type="dxa"/>
            <w:left w:w="0" w:type="dxa"/>
            <w:bottom w:w="0" w:type="dxa"/>
            <w:right w:w="0" w:type="dxa"/>
          </w:tblCellMar>
        </w:tblPrEx>
        <w:trPr>
          <w:trHeight w:val="768" w:hRule="atLeast"/>
        </w:trPr>
        <w:tc>
          <w:tcPr>
            <w:tcW w:w="4768" w:type="dxa"/>
            <w:noWrap w:val="0"/>
            <w:vAlign w:val="center"/>
          </w:tcPr>
          <w:p w14:paraId="09E8F74C">
            <w:pPr>
              <w:pStyle w:val="48"/>
              <w:pageBreakBefore w:val="0"/>
              <w:kinsoku/>
              <w:wordWrap w:val="0"/>
              <w:overflowPunct/>
              <w:topLinePunct/>
              <w:bidi w:val="0"/>
              <w:spacing w:line="240" w:lineRule="auto"/>
              <w:jc w:val="left"/>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sz w:val="28"/>
                <w:highlight w:val="none"/>
                <w14:textFill>
                  <w14:solidFill>
                    <w14:schemeClr w14:val="tx1"/>
                  </w14:solidFill>
                </w14:textFill>
              </w:rPr>
              <w:t xml:space="preserve"> 招  标  文  件  编  制  日  期： </w:t>
            </w:r>
          </w:p>
        </w:tc>
        <w:tc>
          <w:tcPr>
            <w:tcW w:w="4796" w:type="dxa"/>
            <w:noWrap w:val="0"/>
            <w:vAlign w:val="center"/>
          </w:tcPr>
          <w:p w14:paraId="1CF796CD">
            <w:pPr>
              <w:pStyle w:val="48"/>
              <w:pageBreakBefore w:val="0"/>
              <w:kinsoku/>
              <w:wordWrap w:val="0"/>
              <w:overflowPunct/>
              <w:topLinePunct/>
              <w:bidi w:val="0"/>
              <w:spacing w:line="240" w:lineRule="auto"/>
              <w:rPr>
                <w:rFonts w:hint="eastAsia" w:ascii="宋体" w:hAnsi="宋体" w:eastAsia="宋体" w:cs="宋体"/>
                <w:color w:val="000000" w:themeColor="text1"/>
                <w:sz w:val="28"/>
                <w:highlight w:val="none"/>
                <w14:textFill>
                  <w14:solidFill>
                    <w14:schemeClr w14:val="tx1"/>
                  </w14:solidFill>
                </w14:textFill>
              </w:rPr>
            </w:pPr>
            <w:r>
              <w:rPr>
                <w:rFonts w:hint="eastAsia" w:ascii="宋体" w:hAnsi="宋体" w:eastAsia="宋体" w:cs="宋体"/>
                <w:color w:val="000000" w:themeColor="text1"/>
                <w:sz w:val="28"/>
                <w:highlight w:val="none"/>
                <w:lang w:val="en-US" w:eastAsia="zh-CN"/>
                <w14:textFill>
                  <w14:solidFill>
                    <w14:schemeClr w14:val="tx1"/>
                  </w14:solidFill>
                </w14:textFill>
              </w:rPr>
              <w:t xml:space="preserve">    2026</w:t>
            </w:r>
            <w:r>
              <w:rPr>
                <w:rFonts w:hint="eastAsia" w:ascii="宋体" w:hAnsi="宋体" w:eastAsia="宋体" w:cs="宋体"/>
                <w:color w:val="000000" w:themeColor="text1"/>
                <w:sz w:val="28"/>
                <w:highlight w:val="none"/>
                <w14:textFill>
                  <w14:solidFill>
                    <w14:schemeClr w14:val="tx1"/>
                  </w14:solidFill>
                </w14:textFill>
              </w:rPr>
              <w:t>年</w:t>
            </w:r>
            <w:r>
              <w:rPr>
                <w:rFonts w:hint="eastAsia" w:hAnsi="宋体" w:cs="宋体"/>
                <w:color w:val="000000" w:themeColor="text1"/>
                <w:sz w:val="28"/>
                <w:highlight w:val="none"/>
                <w:lang w:val="en-US" w:eastAsia="zh-CN"/>
                <w14:textFill>
                  <w14:solidFill>
                    <w14:schemeClr w14:val="tx1"/>
                  </w14:solidFill>
                </w14:textFill>
              </w:rPr>
              <w:t>7</w:t>
            </w:r>
            <w:r>
              <w:rPr>
                <w:rFonts w:hint="eastAsia" w:ascii="宋体" w:hAnsi="宋体" w:eastAsia="宋体" w:cs="宋体"/>
                <w:color w:val="000000" w:themeColor="text1"/>
                <w:sz w:val="28"/>
                <w:highlight w:val="none"/>
                <w14:textFill>
                  <w14:solidFill>
                    <w14:schemeClr w14:val="tx1"/>
                  </w14:solidFill>
                </w14:textFill>
              </w:rPr>
              <w:t>月</w:t>
            </w:r>
          </w:p>
        </w:tc>
      </w:tr>
    </w:tbl>
    <w:p w14:paraId="0111DC66">
      <w:pPr>
        <w:pStyle w:val="2"/>
        <w:pageBreakBefore w:val="0"/>
        <w:kinsoku/>
        <w:wordWrap w:val="0"/>
        <w:overflowPunct/>
        <w:topLinePunct/>
        <w:bidi w:val="0"/>
        <w:rPr>
          <w:rFonts w:hint="eastAsia" w:ascii="宋体" w:hAnsi="宋体" w:eastAsia="宋体" w:cs="宋体"/>
          <w:b/>
          <w:bCs/>
          <w:color w:val="000000" w:themeColor="text1"/>
          <w:kern w:val="2"/>
          <w:sz w:val="56"/>
          <w:szCs w:val="72"/>
          <w:highlight w:val="none"/>
          <w:u w:val="none"/>
          <w:lang w:val="en-US" w:eastAsia="zh-CN" w:bidi="ar-SA"/>
          <w14:textFill>
            <w14:solidFill>
              <w14:schemeClr w14:val="tx1"/>
            </w14:solidFill>
          </w14:textFill>
        </w:rPr>
      </w:pPr>
    </w:p>
    <w:p w14:paraId="6629113E">
      <w:pPr>
        <w:pageBreakBefore w:val="0"/>
        <w:kinsoku/>
        <w:wordWrap w:val="0"/>
        <w:overflowPunct/>
        <w:topLinePunct/>
        <w:bidi w:val="0"/>
        <w:rPr>
          <w:rFonts w:hint="eastAsia" w:ascii="宋体" w:hAnsi="宋体" w:eastAsia="宋体" w:cs="宋体"/>
          <w:b/>
          <w:bCs/>
          <w:color w:val="000000" w:themeColor="text1"/>
          <w:kern w:val="2"/>
          <w:sz w:val="56"/>
          <w:szCs w:val="72"/>
          <w:highlight w:val="none"/>
          <w:u w:val="none"/>
          <w:lang w:val="en-US" w:eastAsia="zh-CN" w:bidi="ar-SA"/>
          <w14:textFill>
            <w14:solidFill>
              <w14:schemeClr w14:val="tx1"/>
            </w14:solidFill>
          </w14:textFill>
        </w:rPr>
      </w:pPr>
    </w:p>
    <w:p w14:paraId="13291436">
      <w:pPr>
        <w:pStyle w:val="13"/>
        <w:pageBreakBefore w:val="0"/>
        <w:kinsoku/>
        <w:wordWrap w:val="0"/>
        <w:overflowPunct/>
        <w:topLinePunct/>
        <w:bidi w:val="0"/>
        <w:rPr>
          <w:rFonts w:hint="eastAsia" w:ascii="宋体" w:hAnsi="宋体" w:eastAsia="宋体" w:cs="宋体"/>
          <w:color w:val="000000" w:themeColor="text1"/>
          <w:highlight w:val="none"/>
          <w:lang w:val="en-US" w:eastAsia="zh-CN"/>
          <w14:textFill>
            <w14:solidFill>
              <w14:schemeClr w14:val="tx1"/>
            </w14:solidFill>
          </w14:textFill>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593B6694">
      <w:pPr>
        <w:pageBreakBefore w:val="0"/>
        <w:kinsoku/>
        <w:wordWrap w:val="0"/>
        <w:overflowPunct/>
        <w:topLinePunct/>
        <w:bidi w:val="0"/>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目</w:t>
      </w: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8"/>
          <w:szCs w:val="28"/>
          <w:highlight w:val="none"/>
          <w14:textFill>
            <w14:solidFill>
              <w14:schemeClr w14:val="tx1"/>
            </w14:solidFill>
          </w14:textFill>
        </w:rPr>
        <w:t>录</w:t>
      </w:r>
    </w:p>
    <w:p w14:paraId="493621F1">
      <w:pPr>
        <w:pStyle w:val="10"/>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TOC \o "1-3" \h \u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_Toc28214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Cs w:val="24"/>
          <w:highlight w:val="none"/>
          <w14:textFill>
            <w14:solidFill>
              <w14:schemeClr w14:val="tx1"/>
            </w14:solidFill>
          </w14:textFill>
        </w:rPr>
        <w:t>第一章</w:t>
      </w:r>
      <w:r>
        <w:rPr>
          <w:rFonts w:hint="eastAsia" w:ascii="宋体" w:hAnsi="宋体" w:eastAsia="宋体" w:cs="宋体"/>
          <w:color w:val="000000" w:themeColor="text1"/>
          <w:spacing w:val="-3"/>
          <w:szCs w:val="24"/>
          <w:highlight w:val="none"/>
          <w14:textFill>
            <w14:solidFill>
              <w14:schemeClr w14:val="tx1"/>
            </w14:solidFill>
          </w14:textFill>
        </w:rPr>
        <w:t xml:space="preserve"> </w:t>
      </w:r>
      <w:r>
        <w:rPr>
          <w:rFonts w:hint="eastAsia" w:ascii="宋体" w:hAnsi="宋体" w:eastAsia="宋体" w:cs="宋体"/>
          <w:bCs/>
          <w:color w:val="000000" w:themeColor="text1"/>
          <w:spacing w:val="-3"/>
          <w:szCs w:val="24"/>
          <w:highlight w:val="none"/>
          <w14:textFill>
            <w14:solidFill>
              <w14:schemeClr w14:val="tx1"/>
            </w14:solidFill>
          </w14:textFill>
        </w:rPr>
        <w:t>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_Toc28214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38825D4E">
      <w:pPr>
        <w:pStyle w:val="11"/>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_Toc17251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Cs w:val="24"/>
          <w:highlight w:val="none"/>
          <w14:textFill>
            <w14:solidFill>
              <w14:schemeClr w14:val="tx1"/>
            </w14:solidFill>
          </w14:textFill>
        </w:rPr>
        <w:t>第一节</w:t>
      </w:r>
      <w:r>
        <w:rPr>
          <w:rFonts w:hint="eastAsia" w:ascii="宋体" w:hAnsi="宋体" w:eastAsia="宋体" w:cs="宋体"/>
          <w:color w:val="000000" w:themeColor="text1"/>
          <w:spacing w:val="-3"/>
          <w:szCs w:val="24"/>
          <w:highlight w:val="none"/>
          <w14:textFill>
            <w14:solidFill>
              <w14:schemeClr w14:val="tx1"/>
            </w14:solidFill>
          </w14:textFill>
        </w:rPr>
        <w:t xml:space="preserve"> </w:t>
      </w:r>
      <w:r>
        <w:rPr>
          <w:rFonts w:hint="eastAsia" w:ascii="宋体" w:hAnsi="宋体" w:eastAsia="宋体" w:cs="宋体"/>
          <w:bCs/>
          <w:color w:val="000000" w:themeColor="text1"/>
          <w:spacing w:val="-3"/>
          <w:szCs w:val="24"/>
          <w:highlight w:val="none"/>
          <w14:textFill>
            <w14:solidFill>
              <w14:schemeClr w14:val="tx1"/>
            </w14:solidFill>
          </w14:textFill>
        </w:rPr>
        <w:t>投标人须知前附表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_Toc17251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28B03A47">
      <w:pPr>
        <w:pStyle w:val="11"/>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_Toc2245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Cs w:val="24"/>
          <w:highlight w:val="none"/>
          <w14:textFill>
            <w14:solidFill>
              <w14:schemeClr w14:val="tx1"/>
            </w14:solidFill>
          </w14:textFill>
        </w:rPr>
        <w:t>第二节 重要事项时间地点一览表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_Toc2245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11</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0B854B52">
      <w:pPr>
        <w:pStyle w:val="11"/>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_Toc7248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Cs w:val="24"/>
          <w:highlight w:val="none"/>
          <w14:textFill>
            <w14:solidFill>
              <w14:schemeClr w14:val="tx1"/>
            </w14:solidFill>
          </w14:textFill>
        </w:rPr>
        <w:t>第三节</w:t>
      </w:r>
      <w:r>
        <w:rPr>
          <w:rFonts w:hint="eastAsia" w:ascii="宋体" w:hAnsi="宋体" w:eastAsia="宋体" w:cs="宋体"/>
          <w:color w:val="000000" w:themeColor="text1"/>
          <w:spacing w:val="-3"/>
          <w:szCs w:val="24"/>
          <w:highlight w:val="none"/>
          <w14:textFill>
            <w14:solidFill>
              <w14:schemeClr w14:val="tx1"/>
            </w14:solidFill>
          </w14:textFill>
        </w:rPr>
        <w:t xml:space="preserve"> </w:t>
      </w:r>
      <w:r>
        <w:rPr>
          <w:rFonts w:hint="eastAsia" w:ascii="宋体" w:hAnsi="宋体" w:eastAsia="宋体" w:cs="宋体"/>
          <w:bCs/>
          <w:color w:val="000000" w:themeColor="text1"/>
          <w:spacing w:val="-3"/>
          <w:szCs w:val="24"/>
          <w:highlight w:val="none"/>
          <w14:textFill>
            <w14:solidFill>
              <w14:schemeClr w14:val="tx1"/>
            </w14:solidFill>
          </w14:textFill>
        </w:rPr>
        <w:t>投标人须知正文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_Toc7248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66EF91A8">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_Toc24393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1．项目概况、招标范围和标段划分、投标费用等</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_Toc24393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45A727F3">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_Toc25477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zCs w:val="24"/>
          <w:highlight w:val="none"/>
          <w14:textFill>
            <w14:solidFill>
              <w14:schemeClr w14:val="tx1"/>
            </w14:solidFill>
          </w14:textFill>
        </w:rPr>
        <w:t>2．</w:t>
      </w:r>
      <w:r>
        <w:rPr>
          <w:rFonts w:hint="eastAsia" w:ascii="宋体" w:hAnsi="宋体" w:eastAsia="宋体" w:cs="宋体"/>
          <w:bCs w:val="0"/>
          <w:color w:val="000000" w:themeColor="text1"/>
          <w:szCs w:val="24"/>
          <w:highlight w:val="none"/>
          <w:lang w:eastAsia="zh-CN"/>
          <w14:textFill>
            <w14:solidFill>
              <w14:schemeClr w14:val="tx1"/>
            </w14:solidFill>
          </w14:textFill>
        </w:rPr>
        <w:t>投标人</w:t>
      </w:r>
      <w:r>
        <w:rPr>
          <w:rFonts w:hint="eastAsia" w:ascii="宋体" w:hAnsi="宋体" w:eastAsia="宋体" w:cs="宋体"/>
          <w:bCs w:val="0"/>
          <w:color w:val="000000" w:themeColor="text1"/>
          <w:szCs w:val="24"/>
          <w:highlight w:val="none"/>
          <w14:textFill>
            <w14:solidFill>
              <w14:schemeClr w14:val="tx1"/>
            </w14:solidFill>
          </w14:textFill>
        </w:rPr>
        <w:t>资质要求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_Toc25477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12</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10286AD4">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_Toc23951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3．招标文件的获取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_Toc23951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14</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4DA1BE13">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_Toc20644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Cs w:val="24"/>
          <w:highlight w:val="none"/>
          <w14:textFill>
            <w14:solidFill>
              <w14:schemeClr w14:val="tx1"/>
            </w14:solidFill>
          </w14:textFill>
        </w:rPr>
        <w:t>4．工期要求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_Toc20644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19A550AE">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_Toc13177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Cs w:val="24"/>
          <w:highlight w:val="none"/>
          <w14:textFill>
            <w14:solidFill>
              <w14:schemeClr w14:val="tx1"/>
            </w14:solidFill>
          </w14:textFill>
        </w:rPr>
        <w:t>5．质量标准和材料、机械要求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_Toc13177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16</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4ABCD6FB">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_Toc30638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Cs w:val="24"/>
          <w:highlight w:val="none"/>
          <w14:textFill>
            <w14:solidFill>
              <w14:schemeClr w14:val="tx1"/>
            </w14:solidFill>
          </w14:textFill>
        </w:rPr>
        <w:t>6．施工条件及现场踏勘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_Toc30638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6D2D4912">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_Toc16928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Cs w:val="24"/>
          <w:highlight w:val="none"/>
          <w14:textFill>
            <w14:solidFill>
              <w14:schemeClr w14:val="tx1"/>
            </w14:solidFill>
          </w14:textFill>
        </w:rPr>
        <w:t>7．招标文件的提问和答疑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_Toc16928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153FE90C">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_Toc17931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Cs w:val="24"/>
          <w:highlight w:val="none"/>
          <w14:textFill>
            <w14:solidFill>
              <w14:schemeClr w14:val="tx1"/>
            </w14:solidFill>
          </w14:textFill>
        </w:rPr>
        <w:t>8．</w:t>
      </w:r>
      <w:r>
        <w:rPr>
          <w:rFonts w:hint="eastAsia" w:ascii="宋体" w:hAnsi="宋体" w:eastAsia="宋体" w:cs="宋体"/>
          <w:bCs/>
          <w:color w:val="000000" w:themeColor="text1"/>
          <w:spacing w:val="-1"/>
          <w:szCs w:val="24"/>
          <w:highlight w:val="none"/>
          <w:lang w:eastAsia="zh-CN"/>
          <w14:textFill>
            <w14:solidFill>
              <w14:schemeClr w14:val="tx1"/>
            </w14:solidFill>
          </w14:textFill>
        </w:rPr>
        <w:t>最高投标限价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_Toc17931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17</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092C5BE5">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_Toc22323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Cs w:val="24"/>
          <w:highlight w:val="none"/>
          <w14:textFill>
            <w14:solidFill>
              <w14:schemeClr w14:val="tx1"/>
            </w14:solidFill>
          </w14:textFill>
        </w:rPr>
        <w:t>9．投标报价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_Toc22323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19</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7F55A2F6">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_Toc14572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Cs w:val="24"/>
          <w:highlight w:val="none"/>
          <w14:textFill>
            <w14:solidFill>
              <w14:schemeClr w14:val="tx1"/>
            </w14:solidFill>
          </w14:textFill>
        </w:rPr>
        <w:t>10．投标文件的编制要求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_Toc14572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2898AAFD">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_Toc20574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9"/>
          <w:szCs w:val="24"/>
          <w:highlight w:val="none"/>
          <w14:textFill>
            <w14:solidFill>
              <w14:schemeClr w14:val="tx1"/>
            </w14:solidFill>
          </w14:textFill>
        </w:rPr>
        <w:t>11.</w:t>
      </w:r>
      <w:r>
        <w:rPr>
          <w:rFonts w:hint="eastAsia" w:ascii="宋体" w:hAnsi="宋体" w:eastAsia="宋体" w:cs="宋体"/>
          <w:color w:val="000000" w:themeColor="text1"/>
          <w:spacing w:val="-9"/>
          <w:szCs w:val="24"/>
          <w:highlight w:val="none"/>
          <w14:textFill>
            <w14:solidFill>
              <w14:schemeClr w14:val="tx1"/>
            </w14:solidFill>
          </w14:textFill>
        </w:rPr>
        <w:t>电子投标：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_Toc20574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395EBE73">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_Toc8101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9"/>
          <w:szCs w:val="24"/>
          <w:highlight w:val="none"/>
          <w:lang w:val="en-US" w:eastAsia="zh-CN"/>
          <w14:textFill>
            <w14:solidFill>
              <w14:schemeClr w14:val="tx1"/>
            </w14:solidFill>
          </w14:textFill>
        </w:rPr>
        <w:t>12.</w:t>
      </w:r>
      <w:r>
        <w:rPr>
          <w:rFonts w:hint="eastAsia" w:ascii="宋体" w:hAnsi="宋体" w:eastAsia="宋体" w:cs="宋体"/>
          <w:bCs/>
          <w:color w:val="000000" w:themeColor="text1"/>
          <w:spacing w:val="-4"/>
          <w:szCs w:val="24"/>
          <w:highlight w:val="none"/>
          <w14:textFill>
            <w14:solidFill>
              <w14:schemeClr w14:val="tx1"/>
            </w14:solidFill>
          </w14:textFill>
        </w:rPr>
        <w:t>电子投标及投标解密失败及突发情况的补救方案</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_Toc8101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23</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6D52E9DA">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_Toc20140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Cs w:val="24"/>
          <w:highlight w:val="none"/>
          <w14:textFill>
            <w14:solidFill>
              <w14:schemeClr w14:val="tx1"/>
            </w14:solidFill>
          </w14:textFill>
        </w:rPr>
        <w:t>13．投标文件的提交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_Toc20140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24</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2017D05B">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_Toc4592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1"/>
          <w:szCs w:val="24"/>
          <w:highlight w:val="none"/>
          <w14:textFill>
            <w14:solidFill>
              <w14:schemeClr w14:val="tx1"/>
            </w14:solidFill>
          </w14:textFill>
        </w:rPr>
        <w:t>14．开标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_Toc4592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25</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45D4DFF7">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_Toc8779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1"/>
          <w:szCs w:val="24"/>
          <w:highlight w:val="none"/>
          <w14:textFill>
            <w14:solidFill>
              <w14:schemeClr w14:val="tx1"/>
            </w14:solidFill>
          </w14:textFill>
        </w:rPr>
        <w:t>15．评标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_Toc8779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26</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32F06437">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_Toc16698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1"/>
          <w:szCs w:val="24"/>
          <w:highlight w:val="none"/>
          <w14:textFill>
            <w14:solidFill>
              <w14:schemeClr w14:val="tx1"/>
            </w14:solidFill>
          </w14:textFill>
        </w:rPr>
        <w:t>16．</w:t>
      </w:r>
      <w:r>
        <w:rPr>
          <w:rFonts w:hint="eastAsia" w:ascii="宋体" w:hAnsi="宋体" w:eastAsia="宋体" w:cs="宋体"/>
          <w:bCs/>
          <w:color w:val="000000" w:themeColor="text1"/>
          <w:spacing w:val="-11"/>
          <w:szCs w:val="24"/>
          <w:highlight w:val="none"/>
          <w:lang w:eastAsia="zh-CN"/>
          <w14:textFill>
            <w14:solidFill>
              <w14:schemeClr w14:val="tx1"/>
            </w14:solidFill>
          </w14:textFill>
        </w:rPr>
        <w:t>评标结果公示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_Toc16698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38</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18E5253A">
      <w:pPr>
        <w:pStyle w:val="11"/>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_Toc6424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Cs w:val="24"/>
          <w:highlight w:val="none"/>
          <w14:textFill>
            <w14:solidFill>
              <w14:schemeClr w14:val="tx1"/>
            </w14:solidFill>
          </w14:textFill>
        </w:rPr>
        <w:t>第四节</w:t>
      </w:r>
      <w:r>
        <w:rPr>
          <w:rFonts w:hint="eastAsia" w:ascii="宋体" w:hAnsi="宋体" w:eastAsia="宋体" w:cs="宋体"/>
          <w:color w:val="000000" w:themeColor="text1"/>
          <w:spacing w:val="-3"/>
          <w:szCs w:val="24"/>
          <w:highlight w:val="none"/>
          <w14:textFill>
            <w14:solidFill>
              <w14:schemeClr w14:val="tx1"/>
            </w14:solidFill>
          </w14:textFill>
        </w:rPr>
        <w:t xml:space="preserve"> </w:t>
      </w:r>
      <w:r>
        <w:rPr>
          <w:rFonts w:hint="eastAsia" w:ascii="宋体" w:hAnsi="宋体" w:eastAsia="宋体" w:cs="宋体"/>
          <w:bCs/>
          <w:color w:val="000000" w:themeColor="text1"/>
          <w:spacing w:val="-3"/>
          <w:szCs w:val="24"/>
          <w:highlight w:val="none"/>
          <w14:textFill>
            <w14:solidFill>
              <w14:schemeClr w14:val="tx1"/>
            </w14:solidFill>
          </w14:textFill>
        </w:rPr>
        <w:t>否决投标条件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_Toc6424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3D939688">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_Toc17772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Cs w:val="24"/>
          <w:highlight w:val="none"/>
          <w14:textFill>
            <w14:solidFill>
              <w14:schemeClr w14:val="tx1"/>
            </w14:solidFill>
          </w14:textFill>
        </w:rPr>
        <w:t>1．资格评审环节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_Toc17772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3120F18A">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_Toc28378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Cs w:val="24"/>
          <w:highlight w:val="none"/>
          <w14:textFill>
            <w14:solidFill>
              <w14:schemeClr w14:val="tx1"/>
            </w14:solidFill>
          </w14:textFill>
        </w:rPr>
        <w:t>2．形式评审环节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_Toc28378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352C9498">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_Toc18628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Cs w:val="24"/>
          <w:highlight w:val="none"/>
          <w14:textFill>
            <w14:solidFill>
              <w14:schemeClr w14:val="tx1"/>
            </w14:solidFill>
          </w14:textFill>
        </w:rPr>
        <w:t>3．响应性评审环节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_Toc18628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7800FF82">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_Toc21532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1"/>
          <w:szCs w:val="24"/>
          <w:highlight w:val="none"/>
          <w14:textFill>
            <w14:solidFill>
              <w14:schemeClr w14:val="tx1"/>
            </w14:solidFill>
          </w14:textFill>
        </w:rPr>
        <w:t>4．其他</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_Toc21532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41</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3D639A74">
      <w:pPr>
        <w:pStyle w:val="11"/>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_Toc21439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Cs w:val="24"/>
          <w:highlight w:val="none"/>
          <w14:textFill>
            <w14:solidFill>
              <w14:schemeClr w14:val="tx1"/>
            </w14:solidFill>
          </w14:textFill>
        </w:rPr>
        <w:t>第</w:t>
      </w:r>
      <w:r>
        <w:rPr>
          <w:rFonts w:hint="eastAsia" w:ascii="宋体" w:hAnsi="宋体" w:eastAsia="宋体" w:cs="宋体"/>
          <w:bCs/>
          <w:color w:val="000000" w:themeColor="text1"/>
          <w:spacing w:val="-3"/>
          <w:szCs w:val="24"/>
          <w:highlight w:val="none"/>
          <w:lang w:val="en-US" w:eastAsia="zh-CN"/>
          <w14:textFill>
            <w14:solidFill>
              <w14:schemeClr w14:val="tx1"/>
            </w14:solidFill>
          </w14:textFill>
        </w:rPr>
        <w:t>五</w:t>
      </w:r>
      <w:r>
        <w:rPr>
          <w:rFonts w:hint="eastAsia" w:ascii="宋体" w:hAnsi="宋体" w:eastAsia="宋体" w:cs="宋体"/>
          <w:bCs/>
          <w:color w:val="000000" w:themeColor="text1"/>
          <w:spacing w:val="-3"/>
          <w:szCs w:val="24"/>
          <w:highlight w:val="none"/>
          <w14:textFill>
            <w14:solidFill>
              <w14:schemeClr w14:val="tx1"/>
            </w14:solidFill>
          </w14:textFill>
        </w:rPr>
        <w:t>节</w:t>
      </w:r>
      <w:r>
        <w:rPr>
          <w:rFonts w:hint="eastAsia" w:ascii="宋体" w:hAnsi="宋体" w:eastAsia="宋体" w:cs="宋体"/>
          <w:color w:val="000000" w:themeColor="text1"/>
          <w:spacing w:val="-3"/>
          <w:szCs w:val="24"/>
          <w:highlight w:val="none"/>
          <w14:textFill>
            <w14:solidFill>
              <w14:schemeClr w14:val="tx1"/>
            </w14:solidFill>
          </w14:textFill>
        </w:rPr>
        <w:t xml:space="preserve"> </w:t>
      </w:r>
      <w:r>
        <w:rPr>
          <w:rFonts w:hint="eastAsia" w:ascii="宋体" w:hAnsi="宋体" w:eastAsia="宋体" w:cs="宋体"/>
          <w:bCs/>
          <w:color w:val="000000" w:themeColor="text1"/>
          <w:spacing w:val="-3"/>
          <w:szCs w:val="24"/>
          <w:highlight w:val="none"/>
          <w14:textFill>
            <w14:solidFill>
              <w14:schemeClr w14:val="tx1"/>
            </w14:solidFill>
          </w14:textFill>
        </w:rPr>
        <w:t>定标规定及细则（本项目采用票决数量法定标）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_Toc21439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2598E78F">
      <w:pPr>
        <w:pStyle w:val="11"/>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_Toc26881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Cs w:val="24"/>
          <w:highlight w:val="none"/>
          <w14:textFill>
            <w14:solidFill>
              <w14:schemeClr w14:val="tx1"/>
            </w14:solidFill>
          </w14:textFill>
        </w:rPr>
        <w:t>第</w:t>
      </w:r>
      <w:r>
        <w:rPr>
          <w:rFonts w:hint="eastAsia" w:ascii="宋体" w:hAnsi="宋体" w:eastAsia="宋体" w:cs="宋体"/>
          <w:bCs/>
          <w:color w:val="000000" w:themeColor="text1"/>
          <w:spacing w:val="-3"/>
          <w:szCs w:val="24"/>
          <w:highlight w:val="none"/>
          <w:lang w:val="en-US" w:eastAsia="zh-CN"/>
          <w14:textFill>
            <w14:solidFill>
              <w14:schemeClr w14:val="tx1"/>
            </w14:solidFill>
          </w14:textFill>
        </w:rPr>
        <w:t>六</w:t>
      </w:r>
      <w:r>
        <w:rPr>
          <w:rFonts w:hint="eastAsia" w:ascii="宋体" w:hAnsi="宋体" w:eastAsia="宋体" w:cs="宋体"/>
          <w:bCs/>
          <w:color w:val="000000" w:themeColor="text1"/>
          <w:spacing w:val="-3"/>
          <w:szCs w:val="24"/>
          <w:highlight w:val="none"/>
          <w14:textFill>
            <w14:solidFill>
              <w14:schemeClr w14:val="tx1"/>
            </w14:solidFill>
          </w14:textFill>
        </w:rPr>
        <w:t>节 中标确认</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_Toc26881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45</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508C9839">
      <w:pPr>
        <w:pStyle w:val="10"/>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_Toc16685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Cs w:val="24"/>
          <w:highlight w:val="none"/>
          <w14:textFill>
            <w14:solidFill>
              <w14:schemeClr w14:val="tx1"/>
            </w14:solidFill>
          </w14:textFill>
        </w:rPr>
        <w:t>第二章</w:t>
      </w:r>
      <w:r>
        <w:rPr>
          <w:rFonts w:hint="eastAsia" w:ascii="宋体" w:hAnsi="宋体" w:eastAsia="宋体" w:cs="宋体"/>
          <w:color w:val="000000" w:themeColor="text1"/>
          <w:spacing w:val="32"/>
          <w:szCs w:val="24"/>
          <w:highlight w:val="none"/>
          <w14:textFill>
            <w14:solidFill>
              <w14:schemeClr w14:val="tx1"/>
            </w14:solidFill>
          </w14:textFill>
        </w:rPr>
        <w:t xml:space="preserve"> </w:t>
      </w:r>
      <w:r>
        <w:rPr>
          <w:rFonts w:hint="eastAsia" w:ascii="宋体" w:hAnsi="宋体" w:eastAsia="宋体" w:cs="宋体"/>
          <w:bCs/>
          <w:color w:val="000000" w:themeColor="text1"/>
          <w:spacing w:val="-7"/>
          <w:szCs w:val="24"/>
          <w:highlight w:val="none"/>
          <w14:textFill>
            <w14:solidFill>
              <w14:schemeClr w14:val="tx1"/>
            </w14:solidFill>
          </w14:textFill>
        </w:rPr>
        <w:t>中标人须知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_Toc16685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52453684">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_Toc13189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9"/>
          <w:szCs w:val="24"/>
          <w:highlight w:val="none"/>
          <w14:textFill>
            <w14:solidFill>
              <w14:schemeClr w14:val="tx1"/>
            </w14:solidFill>
          </w14:textFill>
        </w:rPr>
        <w:t>1．中标通知书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_Toc13189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08B55274">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_Toc25556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Cs w:val="24"/>
          <w:highlight w:val="none"/>
          <w14:textFill>
            <w14:solidFill>
              <w14:schemeClr w14:val="tx1"/>
            </w14:solidFill>
          </w14:textFill>
        </w:rPr>
        <w:t>2．中标结果公示</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_Toc25556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175B6F17">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_Toc5391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Cs w:val="24"/>
          <w:highlight w:val="none"/>
          <w14:textFill>
            <w14:solidFill>
              <w14:schemeClr w14:val="tx1"/>
            </w14:solidFill>
          </w14:textFill>
        </w:rPr>
        <w:t>3．履约保证</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_Toc5391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2BC35575">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_Toc29273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Cs w:val="24"/>
          <w:highlight w:val="none"/>
          <w14:textFill>
            <w14:solidFill>
              <w14:schemeClr w14:val="tx1"/>
            </w14:solidFill>
          </w14:textFill>
        </w:rPr>
        <w:t>4．合同订立</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_Toc29273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47</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53E0B069">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_Toc8506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Cs w:val="24"/>
          <w:highlight w:val="none"/>
          <w14:textFill>
            <w14:solidFill>
              <w14:schemeClr w14:val="tx1"/>
            </w14:solidFill>
          </w14:textFill>
        </w:rPr>
        <w:t>5．放弃中标的处理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_Toc8506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49</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2D607E37">
      <w:pPr>
        <w:pStyle w:val="10"/>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_Toc13127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Cs w:val="24"/>
          <w:highlight w:val="none"/>
          <w14:textFill>
            <w14:solidFill>
              <w14:schemeClr w14:val="tx1"/>
            </w14:solidFill>
          </w14:textFill>
        </w:rPr>
        <w:t>第三章拟签订合同的主要条款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_Toc13127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50</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6B421BC9">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_Toc2112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Cs w:val="24"/>
          <w:highlight w:val="none"/>
          <w14:textFill>
            <w14:solidFill>
              <w14:schemeClr w14:val="tx1"/>
            </w14:solidFill>
          </w14:textFill>
        </w:rPr>
        <w:t>1．工程承包方式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_Toc2112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50</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4CED7F0B">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_Toc29287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Cs w:val="24"/>
          <w:highlight w:val="none"/>
          <w14:textFill>
            <w14:solidFill>
              <w14:schemeClr w14:val="tx1"/>
            </w14:solidFill>
          </w14:textFill>
        </w:rPr>
        <w:t>2．工程结算原则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_Toc29287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50</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2BC3F6F5">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_Toc6511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zCs w:val="24"/>
          <w:highlight w:val="none"/>
          <w14:textFill>
            <w14:solidFill>
              <w14:schemeClr w14:val="tx1"/>
            </w14:solidFill>
          </w14:textFill>
        </w:rPr>
        <w:t>3.工程付款办法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_Toc6511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56</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3739BF8A">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_Toc20938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7"/>
          <w:szCs w:val="24"/>
          <w:highlight w:val="none"/>
          <w14:textFill>
            <w14:solidFill>
              <w14:schemeClr w14:val="tx1"/>
            </w14:solidFill>
          </w14:textFill>
        </w:rPr>
        <w:t>4．其他专用合同条款</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_Toc20938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57</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57C44202">
      <w:pPr>
        <w:pStyle w:val="10"/>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_Toc18062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Cs w:val="24"/>
          <w:highlight w:val="none"/>
          <w14:textFill>
            <w14:solidFill>
              <w14:schemeClr w14:val="tx1"/>
            </w14:solidFill>
          </w14:textFill>
        </w:rPr>
        <w:t>第四章</w:t>
      </w:r>
      <w:r>
        <w:rPr>
          <w:rFonts w:hint="eastAsia" w:ascii="宋体" w:hAnsi="宋体" w:eastAsia="宋体" w:cs="宋体"/>
          <w:color w:val="000000" w:themeColor="text1"/>
          <w:spacing w:val="-3"/>
          <w:szCs w:val="24"/>
          <w:highlight w:val="none"/>
          <w14:textFill>
            <w14:solidFill>
              <w14:schemeClr w14:val="tx1"/>
            </w14:solidFill>
          </w14:textFill>
        </w:rPr>
        <w:t xml:space="preserve"> </w:t>
      </w:r>
      <w:r>
        <w:rPr>
          <w:rFonts w:hint="eastAsia" w:ascii="宋体" w:hAnsi="宋体" w:eastAsia="宋体" w:cs="宋体"/>
          <w:bCs/>
          <w:color w:val="000000" w:themeColor="text1"/>
          <w:spacing w:val="-3"/>
          <w:szCs w:val="24"/>
          <w:highlight w:val="none"/>
          <w14:textFill>
            <w14:solidFill>
              <w14:schemeClr w14:val="tx1"/>
            </w14:solidFill>
          </w14:textFill>
        </w:rPr>
        <w:t>技术要求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_Toc18062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2060E63C">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_Toc23604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Cs w:val="24"/>
          <w:highlight w:val="none"/>
          <w:lang w:val="en-US" w:eastAsia="zh-CN"/>
          <w14:textFill>
            <w14:solidFill>
              <w14:schemeClr w14:val="tx1"/>
            </w14:solidFill>
          </w14:textFill>
        </w:rPr>
        <w:t>1</w:t>
      </w:r>
      <w:r>
        <w:rPr>
          <w:rFonts w:hint="eastAsia" w:ascii="宋体" w:hAnsi="宋体" w:eastAsia="宋体" w:cs="宋体"/>
          <w:bCs/>
          <w:color w:val="000000" w:themeColor="text1"/>
          <w:spacing w:val="-5"/>
          <w:szCs w:val="24"/>
          <w:highlight w:val="none"/>
          <w14:textFill>
            <w14:solidFill>
              <w14:schemeClr w14:val="tx1"/>
            </w14:solidFill>
          </w14:textFill>
        </w:rPr>
        <w:t>．市政基础设施工程建设项目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_Toc23604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5F827846">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_Toc5916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8"/>
          <w:szCs w:val="24"/>
          <w:highlight w:val="none"/>
          <w:lang w:val="en-US" w:eastAsia="zh-CN"/>
          <w14:textFill>
            <w14:solidFill>
              <w14:schemeClr w14:val="tx1"/>
            </w14:solidFill>
          </w14:textFill>
        </w:rPr>
        <w:t>2</w:t>
      </w:r>
      <w:r>
        <w:rPr>
          <w:rFonts w:hint="eastAsia" w:ascii="宋体" w:hAnsi="宋体" w:eastAsia="宋体" w:cs="宋体"/>
          <w:bCs/>
          <w:color w:val="000000" w:themeColor="text1"/>
          <w:spacing w:val="-8"/>
          <w:szCs w:val="24"/>
          <w:highlight w:val="none"/>
          <w14:textFill>
            <w14:solidFill>
              <w14:schemeClr w14:val="tx1"/>
            </w14:solidFill>
          </w14:textFill>
        </w:rPr>
        <w:t>．备查要求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_Toc5916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5CE7580A">
      <w:pPr>
        <w:pStyle w:val="10"/>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_Toc11208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5"/>
          <w:szCs w:val="24"/>
          <w:highlight w:val="none"/>
          <w14:textFill>
            <w14:solidFill>
              <w14:schemeClr w14:val="tx1"/>
            </w14:solidFill>
          </w14:textFill>
        </w:rPr>
        <w:t>第五章</w:t>
      </w:r>
      <w:r>
        <w:rPr>
          <w:rFonts w:hint="eastAsia" w:ascii="宋体" w:hAnsi="宋体" w:eastAsia="宋体" w:cs="宋体"/>
          <w:color w:val="000000" w:themeColor="text1"/>
          <w:spacing w:val="33"/>
          <w:szCs w:val="24"/>
          <w:highlight w:val="none"/>
          <w14:textFill>
            <w14:solidFill>
              <w14:schemeClr w14:val="tx1"/>
            </w14:solidFill>
          </w14:textFill>
        </w:rPr>
        <w:t xml:space="preserve"> </w:t>
      </w:r>
      <w:r>
        <w:rPr>
          <w:rFonts w:hint="eastAsia" w:ascii="宋体" w:hAnsi="宋体" w:eastAsia="宋体" w:cs="宋体"/>
          <w:bCs/>
          <w:color w:val="000000" w:themeColor="text1"/>
          <w:spacing w:val="-5"/>
          <w:szCs w:val="24"/>
          <w:highlight w:val="none"/>
          <w14:textFill>
            <w14:solidFill>
              <w14:schemeClr w14:val="tx1"/>
            </w14:solidFill>
          </w14:textFill>
        </w:rPr>
        <w:t>图纸和招标工程量清单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_Toc11208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69</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378DF623">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_Toc13003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14"/>
          <w:szCs w:val="24"/>
          <w:highlight w:val="none"/>
          <w14:textFill>
            <w14:solidFill>
              <w14:schemeClr w14:val="tx1"/>
            </w14:solidFill>
          </w14:textFill>
        </w:rPr>
        <w:t>1</w:t>
      </w:r>
      <w:r>
        <w:rPr>
          <w:rFonts w:hint="eastAsia" w:ascii="宋体" w:hAnsi="宋体" w:eastAsia="宋体" w:cs="宋体"/>
          <w:bCs/>
          <w:color w:val="000000" w:themeColor="text1"/>
          <w:spacing w:val="-27"/>
          <w:szCs w:val="24"/>
          <w:highlight w:val="none"/>
          <w14:textFill>
            <w14:solidFill>
              <w14:schemeClr w14:val="tx1"/>
            </w14:solidFill>
          </w14:textFill>
        </w:rPr>
        <w:t xml:space="preserve"> </w:t>
      </w:r>
      <w:r>
        <w:rPr>
          <w:rFonts w:hint="eastAsia" w:ascii="宋体" w:hAnsi="宋体" w:eastAsia="宋体" w:cs="宋体"/>
          <w:bCs/>
          <w:color w:val="000000" w:themeColor="text1"/>
          <w:spacing w:val="-14"/>
          <w:szCs w:val="24"/>
          <w:highlight w:val="none"/>
          <w14:textFill>
            <w14:solidFill>
              <w14:schemeClr w14:val="tx1"/>
            </w14:solidFill>
          </w14:textFill>
        </w:rPr>
        <w:t>．图纸</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_Toc13003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69</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64FA66AD">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_Toc20257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6"/>
          <w:szCs w:val="24"/>
          <w:highlight w:val="none"/>
          <w14:textFill>
            <w14:solidFill>
              <w14:schemeClr w14:val="tx1"/>
            </w14:solidFill>
          </w14:textFill>
        </w:rPr>
        <w:t>2</w:t>
      </w:r>
      <w:r>
        <w:rPr>
          <w:rFonts w:hint="eastAsia" w:ascii="宋体" w:hAnsi="宋体" w:eastAsia="宋体" w:cs="宋体"/>
          <w:bCs/>
          <w:color w:val="000000" w:themeColor="text1"/>
          <w:spacing w:val="-26"/>
          <w:szCs w:val="24"/>
          <w:highlight w:val="none"/>
          <w14:textFill>
            <w14:solidFill>
              <w14:schemeClr w14:val="tx1"/>
            </w14:solidFill>
          </w14:textFill>
        </w:rPr>
        <w:t xml:space="preserve"> </w:t>
      </w:r>
      <w:r>
        <w:rPr>
          <w:rFonts w:hint="eastAsia" w:ascii="宋体" w:hAnsi="宋体" w:eastAsia="宋体" w:cs="宋体"/>
          <w:bCs/>
          <w:color w:val="000000" w:themeColor="text1"/>
          <w:spacing w:val="-6"/>
          <w:szCs w:val="24"/>
          <w:highlight w:val="none"/>
          <w14:textFill>
            <w14:solidFill>
              <w14:schemeClr w14:val="tx1"/>
            </w14:solidFill>
          </w14:textFill>
        </w:rPr>
        <w:t>．招标工程量清单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_Toc20257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69</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1CF00B5E">
      <w:pPr>
        <w:pStyle w:val="10"/>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_Toc9390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Cs w:val="24"/>
          <w:highlight w:val="none"/>
          <w14:textFill>
            <w14:solidFill>
              <w14:schemeClr w14:val="tx1"/>
            </w14:solidFill>
          </w14:textFill>
        </w:rPr>
        <w:t>第六章</w:t>
      </w:r>
      <w:r>
        <w:rPr>
          <w:rFonts w:hint="eastAsia" w:ascii="宋体" w:hAnsi="宋体" w:eastAsia="宋体" w:cs="宋体"/>
          <w:color w:val="000000" w:themeColor="text1"/>
          <w:spacing w:val="-3"/>
          <w:szCs w:val="24"/>
          <w:highlight w:val="none"/>
          <w14:textFill>
            <w14:solidFill>
              <w14:schemeClr w14:val="tx1"/>
            </w14:solidFill>
          </w14:textFill>
        </w:rPr>
        <w:t xml:space="preserve"> </w:t>
      </w:r>
      <w:r>
        <w:rPr>
          <w:rFonts w:hint="eastAsia" w:ascii="宋体" w:hAnsi="宋体" w:eastAsia="宋体" w:cs="宋体"/>
          <w:bCs/>
          <w:color w:val="000000" w:themeColor="text1"/>
          <w:spacing w:val="-3"/>
          <w:szCs w:val="24"/>
          <w:highlight w:val="none"/>
          <w14:textFill>
            <w14:solidFill>
              <w14:schemeClr w14:val="tx1"/>
            </w14:solidFill>
          </w14:textFill>
        </w:rPr>
        <w:t>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_Toc9390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70</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7A166C27">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_Toc10312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格式一</w:t>
      </w:r>
      <w:r>
        <w:rPr>
          <w:rFonts w:hint="eastAsia" w:ascii="宋体" w:hAnsi="宋体" w:eastAsia="宋体" w:cs="宋体"/>
          <w:color w:val="000000" w:themeColor="text1"/>
          <w:spacing w:val="-4"/>
          <w:szCs w:val="24"/>
          <w:highlight w:val="none"/>
          <w14:textFill>
            <w14:solidFill>
              <w14:schemeClr w14:val="tx1"/>
            </w14:solidFill>
          </w14:textFill>
        </w:rPr>
        <w:t xml:space="preserve"> </w:t>
      </w:r>
      <w:r>
        <w:rPr>
          <w:rFonts w:hint="eastAsia" w:ascii="宋体" w:hAnsi="宋体" w:eastAsia="宋体" w:cs="宋体"/>
          <w:bCs/>
          <w:color w:val="000000" w:themeColor="text1"/>
          <w:spacing w:val="-4"/>
          <w:szCs w:val="24"/>
          <w:highlight w:val="none"/>
          <w14:textFill>
            <w14:solidFill>
              <w14:schemeClr w14:val="tx1"/>
            </w14:solidFill>
          </w14:textFill>
        </w:rPr>
        <w:t>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_Toc10312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70</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59B57776">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_Toc17645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格式二 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_Toc17645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71</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0A13C6BF">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_Toc7191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格式三 各项承诺一览表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_Toc7191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72</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0979BAFB">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_Toc25852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格式四 授权委托书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_Toc25852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74</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5C66A2A1">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_Toc24083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格式五 法定代表人身份证明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_Toc24083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75</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3D6F2E2E">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_Toc31401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格式六 联合体协议书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_Toc31401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76</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256CA280">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_Toc17352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格式七 投标人基本情况表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_Toc17352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77</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7B6A26AE">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_Toc10364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格式八 项目经理简历表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_Toc10364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78</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44AE4F90">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_Toc9241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格式九 项目经理任职声明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_Toc9241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79</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718FBA70">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_Toc13891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格式十 项目技术负责人简历表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_Toc13891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80</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5455853D">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_Toc10807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格式十一 项目管理机构组成表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_Toc10807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81</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075BFE39">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_Toc273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格式十二 建造师查询页（有效期+建造师签字）</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82</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0FD53D03">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_Toc32676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格式十三：</w:t>
      </w:r>
      <w:r>
        <w:rPr>
          <w:rFonts w:hint="eastAsia" w:ascii="宋体" w:hAnsi="宋体" w:eastAsia="宋体" w:cs="宋体"/>
          <w:bCs/>
          <w:color w:val="000000" w:themeColor="text1"/>
          <w:spacing w:val="7"/>
          <w:szCs w:val="22"/>
          <w:highlight w:val="none"/>
          <w14:textFill>
            <w14:solidFill>
              <w14:schemeClr w14:val="tx1"/>
            </w14:solidFill>
          </w14:textFill>
        </w:rPr>
        <w:t>危险性较大的分部分项工程清单及超过一定规模的危险性较大的</w:t>
      </w:r>
      <w:r>
        <w:rPr>
          <w:rFonts w:hint="eastAsia" w:ascii="宋体" w:hAnsi="宋体" w:eastAsia="宋体" w:cs="宋体"/>
          <w:bCs/>
          <w:color w:val="000000" w:themeColor="text1"/>
          <w:spacing w:val="5"/>
          <w:szCs w:val="22"/>
          <w:highlight w:val="none"/>
          <w14:textFill>
            <w14:solidFill>
              <w14:schemeClr w14:val="tx1"/>
            </w14:solidFill>
          </w14:textFill>
        </w:rPr>
        <w:t>分部分项工程清单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_Toc32676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84</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52F5B9CD">
      <w:pPr>
        <w:pStyle w:val="7"/>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_Toc9082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4"/>
          <w:szCs w:val="24"/>
          <w:highlight w:val="none"/>
          <w14:textFill>
            <w14:solidFill>
              <w14:schemeClr w14:val="tx1"/>
            </w14:solidFill>
          </w14:textFill>
        </w:rPr>
        <w:t>格式十四</w:t>
      </w:r>
      <w:r>
        <w:rPr>
          <w:rFonts w:hint="eastAsia" w:ascii="宋体" w:hAnsi="宋体" w:eastAsia="宋体" w:cs="宋体"/>
          <w:bCs/>
          <w:color w:val="000000" w:themeColor="text1"/>
          <w:spacing w:val="-4"/>
          <w:szCs w:val="24"/>
          <w:highlight w:val="none"/>
          <w:lang w:val="en-US" w:eastAsia="zh-CN"/>
          <w14:textFill>
            <w14:solidFill>
              <w14:schemeClr w14:val="tx1"/>
            </w14:solidFill>
          </w14:textFill>
        </w:rPr>
        <w:t xml:space="preserve">  </w:t>
      </w:r>
      <w:r>
        <w:rPr>
          <w:rFonts w:hint="eastAsia" w:ascii="宋体" w:hAnsi="宋体" w:eastAsia="宋体" w:cs="宋体"/>
          <w:bCs/>
          <w:color w:val="000000" w:themeColor="text1"/>
          <w:spacing w:val="-4"/>
          <w:szCs w:val="24"/>
          <w:highlight w:val="none"/>
          <w14:textFill>
            <w14:solidFill>
              <w14:schemeClr w14:val="tx1"/>
            </w14:solidFill>
          </w14:textFill>
        </w:rPr>
        <w:t>原件一览表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_Toc9082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89</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7EC7137C">
      <w:pPr>
        <w:pStyle w:val="11"/>
        <w:tabs>
          <w:tab w:val="right" w:leader="dot" w:pos="9746"/>
        </w:tabs>
        <w:rPr>
          <w:color w:val="000000" w:themeColor="text1"/>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fldChar w:fldCharType="begin"/>
      </w:r>
      <w:r>
        <w:rPr>
          <w:rFonts w:hint="eastAsia" w:ascii="宋体" w:hAnsi="宋体" w:eastAsia="宋体" w:cs="宋体"/>
          <w:color w:val="000000" w:themeColor="text1"/>
          <w:szCs w:val="24"/>
          <w:highlight w:val="none"/>
          <w14:textFill>
            <w14:solidFill>
              <w14:schemeClr w14:val="tx1"/>
            </w14:solidFill>
          </w14:textFill>
        </w:rPr>
        <w:instrText xml:space="preserve"> HYPERLINK \l _Toc5114 </w:instrText>
      </w:r>
      <w:r>
        <w:rPr>
          <w:rFonts w:hint="eastAsia" w:ascii="宋体" w:hAnsi="宋体" w:eastAsia="宋体" w:cs="宋体"/>
          <w:color w:val="000000" w:themeColor="text1"/>
          <w:szCs w:val="24"/>
          <w:highlight w:val="none"/>
          <w14:textFill>
            <w14:solidFill>
              <w14:schemeClr w14:val="tx1"/>
            </w14:solidFill>
          </w14:textFill>
        </w:rPr>
        <w:fldChar w:fldCharType="separate"/>
      </w:r>
      <w:r>
        <w:rPr>
          <w:rFonts w:hint="eastAsia" w:ascii="宋体" w:hAnsi="宋体" w:eastAsia="宋体" w:cs="宋体"/>
          <w:bCs/>
          <w:color w:val="000000" w:themeColor="text1"/>
          <w:spacing w:val="-3"/>
          <w:szCs w:val="24"/>
          <w:highlight w:val="none"/>
          <w14:textFill>
            <w14:solidFill>
              <w14:schemeClr w14:val="tx1"/>
            </w14:solidFill>
          </w14:textFill>
        </w:rPr>
        <w:t>第七章</w:t>
      </w:r>
      <w:r>
        <w:rPr>
          <w:rFonts w:hint="eastAsia" w:ascii="宋体" w:hAnsi="宋体" w:eastAsia="宋体" w:cs="宋体"/>
          <w:color w:val="000000" w:themeColor="text1"/>
          <w:spacing w:val="-3"/>
          <w:szCs w:val="24"/>
          <w:highlight w:val="none"/>
          <w14:textFill>
            <w14:solidFill>
              <w14:schemeClr w14:val="tx1"/>
            </w14:solidFill>
          </w14:textFill>
        </w:rPr>
        <w:t xml:space="preserve"> </w:t>
      </w:r>
      <w:r>
        <w:rPr>
          <w:rFonts w:hint="eastAsia" w:ascii="宋体" w:hAnsi="宋体" w:eastAsia="宋体" w:cs="宋体"/>
          <w:bCs/>
          <w:color w:val="000000" w:themeColor="text1"/>
          <w:spacing w:val="-3"/>
          <w:szCs w:val="24"/>
          <w:highlight w:val="none"/>
          <w14:textFill>
            <w14:solidFill>
              <w14:schemeClr w14:val="tx1"/>
            </w14:solidFill>
          </w14:textFill>
        </w:rPr>
        <w:t>建设工程施工合同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_Toc5114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91</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szCs w:val="24"/>
          <w:highlight w:val="none"/>
          <w14:textFill>
            <w14:solidFill>
              <w14:schemeClr w14:val="tx1"/>
            </w14:solidFill>
          </w14:textFill>
        </w:rPr>
        <w:fldChar w:fldCharType="end"/>
      </w:r>
    </w:p>
    <w:p w14:paraId="51C38B86">
      <w:pPr>
        <w:keepNext w:val="0"/>
        <w:keepLines w:val="0"/>
        <w:pageBreakBefore w:val="0"/>
        <w:widowControl/>
        <w:kinsoku/>
        <w:wordWrap w:val="0"/>
        <w:overflowPunct/>
        <w:topLinePunct/>
        <w:autoSpaceDE w:val="0"/>
        <w:autoSpaceDN w:val="0"/>
        <w:bidi w:val="0"/>
        <w:adjustRightInd w:val="0"/>
        <w:snapToGrid w:val="0"/>
        <w:spacing w:line="360" w:lineRule="auto"/>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000000" w:themeColor="text1"/>
          <w:szCs w:val="24"/>
          <w:highlight w:val="none"/>
          <w14:textFill>
            <w14:solidFill>
              <w14:schemeClr w14:val="tx1"/>
            </w14:solidFill>
          </w14:textFill>
        </w:rPr>
        <w:fldChar w:fldCharType="end"/>
      </w:r>
    </w:p>
    <w:p w14:paraId="07F5A745">
      <w:pPr>
        <w:pageBreakBefore w:val="0"/>
        <w:kinsoku/>
        <w:wordWrap w:val="0"/>
        <w:overflowPunct/>
        <w:topLinePunct/>
        <w:bidi w:val="0"/>
        <w:spacing w:before="78" w:line="219" w:lineRule="auto"/>
        <w:jc w:val="center"/>
        <w:outlineLvl w:val="0"/>
        <w:rPr>
          <w:rFonts w:hint="eastAsia" w:ascii="宋体" w:hAnsi="宋体" w:eastAsia="宋体" w:cs="宋体"/>
          <w:color w:val="000000" w:themeColor="text1"/>
          <w:sz w:val="24"/>
          <w:szCs w:val="24"/>
          <w:highlight w:val="none"/>
          <w14:textFill>
            <w14:solidFill>
              <w14:schemeClr w14:val="tx1"/>
            </w14:solidFill>
          </w14:textFill>
        </w:rPr>
      </w:pPr>
      <w:bookmarkStart w:id="0" w:name="bookmark1"/>
      <w:bookmarkEnd w:id="0"/>
      <w:bookmarkStart w:id="1" w:name="_Toc28214"/>
      <w:r>
        <w:rPr>
          <w:rFonts w:hint="eastAsia" w:ascii="宋体" w:hAnsi="宋体" w:eastAsia="宋体" w:cs="宋体"/>
          <w:b/>
          <w:bCs/>
          <w:color w:val="000000" w:themeColor="text1"/>
          <w:spacing w:val="-3"/>
          <w:sz w:val="24"/>
          <w:szCs w:val="24"/>
          <w:highlight w:val="none"/>
          <w14:textFill>
            <w14:solidFill>
              <w14:schemeClr w14:val="tx1"/>
            </w14:solidFill>
          </w14:textFill>
        </w:rPr>
        <w:t>第一章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投标人须知</w:t>
      </w:r>
      <w:bookmarkEnd w:id="1"/>
    </w:p>
    <w:p w14:paraId="0D8AA7BE">
      <w:pPr>
        <w:pageBreakBefore w:val="0"/>
        <w:kinsoku/>
        <w:wordWrap w:val="0"/>
        <w:overflowPunct/>
        <w:topLinePunct/>
        <w:bidi w:val="0"/>
        <w:spacing w:before="156" w:line="219" w:lineRule="auto"/>
        <w:ind w:left="17"/>
        <w:outlineLvl w:val="1"/>
        <w:rPr>
          <w:rFonts w:hint="eastAsia" w:ascii="宋体" w:hAnsi="宋体" w:eastAsia="宋体" w:cs="宋体"/>
          <w:color w:val="000000" w:themeColor="text1"/>
          <w:sz w:val="24"/>
          <w:szCs w:val="24"/>
          <w:highlight w:val="none"/>
          <w14:textFill>
            <w14:solidFill>
              <w14:schemeClr w14:val="tx1"/>
            </w14:solidFill>
          </w14:textFill>
        </w:rPr>
      </w:pPr>
      <w:bookmarkStart w:id="2" w:name="bookmark3"/>
      <w:bookmarkEnd w:id="2"/>
      <w:bookmarkStart w:id="3" w:name="_Toc17251"/>
      <w:r>
        <w:rPr>
          <w:rFonts w:hint="eastAsia" w:ascii="宋体" w:hAnsi="宋体" w:eastAsia="宋体" w:cs="宋体"/>
          <w:b/>
          <w:bCs/>
          <w:color w:val="000000" w:themeColor="text1"/>
          <w:spacing w:val="-3"/>
          <w:sz w:val="24"/>
          <w:szCs w:val="24"/>
          <w:highlight w:val="none"/>
          <w14:textFill>
            <w14:solidFill>
              <w14:schemeClr w14:val="tx1"/>
            </w14:solidFill>
          </w14:textFill>
        </w:rPr>
        <w:t>第一节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投标人须知前附表</w:t>
      </w:r>
      <w:bookmarkEnd w:id="3"/>
    </w:p>
    <w:p w14:paraId="4AC642B8">
      <w:pPr>
        <w:pageBreakBefore w:val="0"/>
        <w:kinsoku/>
        <w:wordWrap w:val="0"/>
        <w:overflowPunct/>
        <w:topLinePunct/>
        <w:bidi w:val="0"/>
        <w:spacing w:before="25"/>
        <w:rPr>
          <w:rFonts w:hint="eastAsia" w:ascii="宋体" w:hAnsi="宋体" w:eastAsia="宋体" w:cs="宋体"/>
          <w:color w:val="000000" w:themeColor="text1"/>
          <w:highlight w:val="none"/>
          <w14:textFill>
            <w14:solidFill>
              <w14:schemeClr w14:val="tx1"/>
            </w14:solidFill>
          </w14:textFill>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23A3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539D4609">
            <w:pPr>
              <w:pageBreakBefore w:val="0"/>
              <w:kinsoku/>
              <w:wordWrap w:val="0"/>
              <w:overflowPunct/>
              <w:topLinePunct/>
              <w:bidi w:val="0"/>
              <w:spacing w:before="203" w:line="209" w:lineRule="auto"/>
              <w:ind w:left="0" w:leftChars="0" w:firstLine="0" w:firstLineChars="0"/>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序号</w:t>
            </w:r>
          </w:p>
        </w:tc>
        <w:tc>
          <w:tcPr>
            <w:tcW w:w="1860" w:type="dxa"/>
            <w:vAlign w:val="center"/>
          </w:tcPr>
          <w:p w14:paraId="5042A08B">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内容</w:t>
            </w:r>
          </w:p>
        </w:tc>
        <w:tc>
          <w:tcPr>
            <w:tcW w:w="7544" w:type="dxa"/>
            <w:vAlign w:val="center"/>
          </w:tcPr>
          <w:p w14:paraId="05C75999">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说明与要求</w:t>
            </w:r>
          </w:p>
        </w:tc>
      </w:tr>
      <w:tr w14:paraId="1946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6C6A0DEC">
            <w:pPr>
              <w:pageBreakBefore w:val="0"/>
              <w:kinsoku/>
              <w:wordWrap w:val="0"/>
              <w:overflowPunct/>
              <w:topLinePunct/>
              <w:bidi w:val="0"/>
              <w:spacing w:before="223"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bookmarkStart w:id="4" w:name="OLE_LINK2" w:colFirst="2" w:colLast="2"/>
            <w:r>
              <w:rPr>
                <w:rFonts w:hint="eastAsia" w:ascii="宋体" w:hAnsi="宋体" w:eastAsia="宋体" w:cs="宋体"/>
                <w:color w:val="000000" w:themeColor="text1"/>
                <w:sz w:val="24"/>
                <w:szCs w:val="24"/>
                <w:highlight w:val="none"/>
                <w14:textFill>
                  <w14:solidFill>
                    <w14:schemeClr w14:val="tx1"/>
                  </w14:solidFill>
                </w14:textFill>
              </w:rPr>
              <w:t>1</w:t>
            </w:r>
          </w:p>
        </w:tc>
        <w:tc>
          <w:tcPr>
            <w:tcW w:w="1860" w:type="dxa"/>
            <w:vAlign w:val="center"/>
          </w:tcPr>
          <w:p w14:paraId="165872F4">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项目名称</w:t>
            </w:r>
          </w:p>
        </w:tc>
        <w:tc>
          <w:tcPr>
            <w:tcW w:w="7544" w:type="dxa"/>
            <w:vAlign w:val="center"/>
          </w:tcPr>
          <w:p w14:paraId="31A4A0D6">
            <w:pPr>
              <w:pageBreakBefore w:val="0"/>
              <w:widowControl w:val="0"/>
              <w:kinsoku/>
              <w:wordWrap w:val="0"/>
              <w:overflowPunct/>
              <w:topLinePunct/>
              <w:autoSpaceDE/>
              <w:autoSpaceDN/>
              <w:bidi w:val="0"/>
              <w:adjustRightInd w:val="0"/>
              <w:snapToGrid w:val="0"/>
              <w:spacing w:line="400" w:lineRule="exact"/>
              <w:ind w:firstLine="240" w:firstLineChars="100"/>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韶关市浈江区大数据产业基础设施工程（一期土石方工程）施工</w:t>
            </w:r>
          </w:p>
        </w:tc>
      </w:tr>
      <w:tr w14:paraId="475E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224DC62D">
            <w:pPr>
              <w:pageBreakBefore w:val="0"/>
              <w:kinsoku/>
              <w:wordWrap w:val="0"/>
              <w:overflowPunct/>
              <w:topLinePunct/>
              <w:bidi w:val="0"/>
              <w:spacing w:before="222"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860" w:type="dxa"/>
            <w:vAlign w:val="center"/>
          </w:tcPr>
          <w:p w14:paraId="3ED84DE7">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项目业主</w:t>
            </w:r>
          </w:p>
        </w:tc>
        <w:tc>
          <w:tcPr>
            <w:tcW w:w="7544" w:type="dxa"/>
            <w:vAlign w:val="center"/>
          </w:tcPr>
          <w:p w14:paraId="3B17265E">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韶关市浈江区鸿通投资有限公司</w:t>
            </w:r>
          </w:p>
        </w:tc>
      </w:tr>
      <w:tr w14:paraId="03AB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28B71BBD">
            <w:pPr>
              <w:pageBreakBefore w:val="0"/>
              <w:kinsoku/>
              <w:wordWrap w:val="0"/>
              <w:overflowPunct/>
              <w:topLinePunct/>
              <w:bidi w:val="0"/>
              <w:spacing w:before="58"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860" w:type="dxa"/>
            <w:vAlign w:val="center"/>
          </w:tcPr>
          <w:p w14:paraId="64FC6332">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项目批准部门及项目批准文号</w:t>
            </w:r>
          </w:p>
        </w:tc>
        <w:tc>
          <w:tcPr>
            <w:tcW w:w="7544" w:type="dxa"/>
            <w:vAlign w:val="center"/>
          </w:tcPr>
          <w:p w14:paraId="3738CCDD">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韶关市浈江区发展和改革局</w:t>
            </w:r>
          </w:p>
          <w:p w14:paraId="344A2B3C">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韶浈发改投审〔2026〕42号</w:t>
            </w:r>
          </w:p>
        </w:tc>
      </w:tr>
      <w:tr w14:paraId="6556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F586494">
            <w:pPr>
              <w:pageBreakBefore w:val="0"/>
              <w:kinsoku/>
              <w:wordWrap w:val="0"/>
              <w:overflowPunct/>
              <w:topLinePunct/>
              <w:bidi w:val="0"/>
              <w:spacing w:before="225"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w:t>
            </w:r>
          </w:p>
        </w:tc>
        <w:tc>
          <w:tcPr>
            <w:tcW w:w="1860" w:type="dxa"/>
            <w:vAlign w:val="center"/>
          </w:tcPr>
          <w:p w14:paraId="1974D660">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建设地点</w:t>
            </w:r>
          </w:p>
        </w:tc>
        <w:tc>
          <w:tcPr>
            <w:tcW w:w="7544" w:type="dxa"/>
            <w:tcMar>
              <w:top w:w="0" w:type="dxa"/>
              <w:left w:w="0" w:type="dxa"/>
              <w:bottom w:w="0" w:type="dxa"/>
              <w:right w:w="0" w:type="dxa"/>
            </w:tcMar>
            <w:vAlign w:val="center"/>
          </w:tcPr>
          <w:p w14:paraId="6748D9F8">
            <w:pPr>
              <w:pageBreakBefore w:val="0"/>
              <w:widowControl w:val="0"/>
              <w:kinsoku/>
              <w:wordWrap w:val="0"/>
              <w:overflowPunct/>
              <w:topLinePunct/>
              <w:autoSpaceDE/>
              <w:autoSpaceDN/>
              <w:bidi w:val="0"/>
              <w:adjustRightInd w:val="0"/>
              <w:snapToGrid w:val="0"/>
              <w:spacing w:line="400" w:lineRule="exact"/>
              <w:ind w:firstLine="240" w:firstLineChars="100"/>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韶关市浈江区新韶镇大学路片区</w:t>
            </w:r>
          </w:p>
        </w:tc>
      </w:tr>
      <w:tr w14:paraId="4099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215238A2">
            <w:pPr>
              <w:pageBreakBefore w:val="0"/>
              <w:kinsoku/>
              <w:wordWrap w:val="0"/>
              <w:overflowPunct/>
              <w:topLinePunct/>
              <w:bidi w:val="0"/>
              <w:spacing w:before="226" w:line="192"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860" w:type="dxa"/>
            <w:vAlign w:val="center"/>
          </w:tcPr>
          <w:p w14:paraId="3F667AD4">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项目代码</w:t>
            </w:r>
          </w:p>
        </w:tc>
        <w:tc>
          <w:tcPr>
            <w:tcW w:w="7544" w:type="dxa"/>
            <w:vAlign w:val="center"/>
          </w:tcPr>
          <w:p w14:paraId="3482C758">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color w:val="000000" w:themeColor="text1"/>
                <w:sz w:val="24"/>
                <w:szCs w:val="24"/>
                <w:highlight w:val="none"/>
                <w:lang w:eastAsia="zh-CN"/>
                <w14:textFill>
                  <w14:solidFill>
                    <w14:schemeClr w14:val="tx1"/>
                  </w14:solidFill>
                </w14:textFill>
              </w:rPr>
              <w:t>2603-440204-04-01-645031</w:t>
            </w:r>
          </w:p>
        </w:tc>
      </w:tr>
      <w:tr w14:paraId="6026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4182FFE2">
            <w:pPr>
              <w:pageBreakBefore w:val="0"/>
              <w:kinsoku/>
              <w:wordWrap w:val="0"/>
              <w:overflowPunct/>
              <w:topLinePunct/>
              <w:bidi w:val="0"/>
              <w:spacing w:before="58"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1860" w:type="dxa"/>
            <w:vAlign w:val="center"/>
          </w:tcPr>
          <w:p w14:paraId="59683AB4">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资金来源及落实情况</w:t>
            </w:r>
          </w:p>
        </w:tc>
        <w:tc>
          <w:tcPr>
            <w:tcW w:w="7544" w:type="dxa"/>
            <w:vAlign w:val="center"/>
          </w:tcPr>
          <w:p w14:paraId="7A3F83C4">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由上级财政投资、地方配套解决，100%。</w:t>
            </w:r>
          </w:p>
        </w:tc>
      </w:tr>
      <w:tr w14:paraId="1646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7EE042C7">
            <w:pPr>
              <w:pageBreakBefore w:val="0"/>
              <w:kinsoku/>
              <w:wordWrap w:val="0"/>
              <w:overflowPunct/>
              <w:topLinePunct/>
              <w:bidi w:val="0"/>
              <w:spacing w:before="228" w:line="192"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860" w:type="dxa"/>
            <w:vAlign w:val="center"/>
          </w:tcPr>
          <w:p w14:paraId="04421B36">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招标人</w:t>
            </w:r>
          </w:p>
        </w:tc>
        <w:tc>
          <w:tcPr>
            <w:tcW w:w="7544" w:type="dxa"/>
            <w:vAlign w:val="center"/>
          </w:tcPr>
          <w:p w14:paraId="1B4C5DBC">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韶关市浈江区鸿通投资有限公司</w:t>
            </w:r>
          </w:p>
        </w:tc>
      </w:tr>
      <w:tr w14:paraId="48D07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0E67E7CF">
            <w:pPr>
              <w:pageBreakBefore w:val="0"/>
              <w:kinsoku/>
              <w:wordWrap w:val="0"/>
              <w:overflowPunct/>
              <w:topLinePunct/>
              <w:bidi w:val="0"/>
              <w:spacing w:before="224"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p>
        </w:tc>
        <w:tc>
          <w:tcPr>
            <w:tcW w:w="1860" w:type="dxa"/>
            <w:vAlign w:val="center"/>
          </w:tcPr>
          <w:p w14:paraId="1B988398">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招标代理机构</w:t>
            </w:r>
          </w:p>
        </w:tc>
        <w:tc>
          <w:tcPr>
            <w:tcW w:w="7544" w:type="dxa"/>
            <w:vAlign w:val="center"/>
          </w:tcPr>
          <w:p w14:paraId="0E9861EB">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广东合正项目管理有限公司</w:t>
            </w:r>
          </w:p>
        </w:tc>
      </w:tr>
      <w:tr w14:paraId="37B1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09C252A9">
            <w:pPr>
              <w:pageBreakBefore w:val="0"/>
              <w:kinsoku/>
              <w:wordWrap w:val="0"/>
              <w:overflowPunct/>
              <w:topLinePunct/>
              <w:bidi w:val="0"/>
              <w:spacing w:before="225"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w:t>
            </w:r>
          </w:p>
        </w:tc>
        <w:tc>
          <w:tcPr>
            <w:tcW w:w="1860" w:type="dxa"/>
            <w:vAlign w:val="center"/>
          </w:tcPr>
          <w:p w14:paraId="5C9B9E1E">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设计单位</w:t>
            </w:r>
          </w:p>
        </w:tc>
        <w:tc>
          <w:tcPr>
            <w:tcW w:w="7544" w:type="dxa"/>
            <w:vAlign w:val="center"/>
          </w:tcPr>
          <w:p w14:paraId="7E91E1EC">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待定</w:t>
            </w:r>
          </w:p>
        </w:tc>
      </w:tr>
      <w:bookmarkEnd w:id="4"/>
      <w:tr w14:paraId="3DCC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207F973E">
            <w:pPr>
              <w:pageBreakBefore w:val="0"/>
              <w:kinsoku/>
              <w:wordWrap w:val="0"/>
              <w:overflowPunct/>
              <w:topLinePunct/>
              <w:bidi w:val="0"/>
              <w:spacing w:before="245"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10</w:t>
            </w:r>
          </w:p>
        </w:tc>
        <w:tc>
          <w:tcPr>
            <w:tcW w:w="1860" w:type="dxa"/>
            <w:vAlign w:val="center"/>
          </w:tcPr>
          <w:p w14:paraId="1D3BF976">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造价咨询单位</w:t>
            </w:r>
          </w:p>
        </w:tc>
        <w:tc>
          <w:tcPr>
            <w:tcW w:w="7544" w:type="dxa"/>
            <w:vAlign w:val="center"/>
          </w:tcPr>
          <w:p w14:paraId="1C3900E5">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□非全过程造价咨询</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☑全过程造价咨询</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p>
        </w:tc>
      </w:tr>
      <w:tr w14:paraId="7B3B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78AEAECE">
            <w:pPr>
              <w:pageBreakBefore w:val="0"/>
              <w:kinsoku/>
              <w:wordWrap w:val="0"/>
              <w:overflowPunct/>
              <w:topLinePunct/>
              <w:bidi w:val="0"/>
              <w:spacing w:before="242"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11</w:t>
            </w:r>
          </w:p>
        </w:tc>
        <w:tc>
          <w:tcPr>
            <w:tcW w:w="1860" w:type="dxa"/>
            <w:vAlign w:val="center"/>
          </w:tcPr>
          <w:p w14:paraId="7C7D4262">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监理单位</w:t>
            </w:r>
          </w:p>
        </w:tc>
        <w:tc>
          <w:tcPr>
            <w:tcW w:w="7544" w:type="dxa"/>
            <w:vAlign w:val="center"/>
          </w:tcPr>
          <w:p w14:paraId="735EA372">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□已确定监理单位</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☑未确定监理单位</w:t>
            </w:r>
          </w:p>
        </w:tc>
      </w:tr>
      <w:tr w14:paraId="67DC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32C8F1B2">
            <w:pPr>
              <w:pageBreakBefore w:val="0"/>
              <w:kinsoku/>
              <w:wordWrap w:val="0"/>
              <w:overflowPunct/>
              <w:topLinePunct/>
              <w:bidi w:val="0"/>
              <w:spacing w:before="58"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lang w:eastAsia="zh-CN"/>
                <w14:textFill>
                  <w14:solidFill>
                    <w14:schemeClr w14:val="tx1"/>
                  </w14:solidFill>
                </w14:textFill>
              </w:rPr>
              <w:t>1</w:t>
            </w:r>
            <w:r>
              <w:rPr>
                <w:rFonts w:hint="eastAsia" w:ascii="宋体" w:hAnsi="宋体" w:eastAsia="宋体" w:cs="宋体"/>
                <w:color w:val="000000" w:themeColor="text1"/>
                <w:spacing w:val="-8"/>
                <w:sz w:val="24"/>
                <w:szCs w:val="24"/>
                <w:highlight w:val="none"/>
                <w14:textFill>
                  <w14:solidFill>
                    <w14:schemeClr w14:val="tx1"/>
                  </w14:solidFill>
                </w14:textFill>
              </w:rPr>
              <w:t>2</w:t>
            </w:r>
          </w:p>
        </w:tc>
        <w:tc>
          <w:tcPr>
            <w:tcW w:w="1860" w:type="dxa"/>
            <w:vAlign w:val="center"/>
          </w:tcPr>
          <w:p w14:paraId="326BF872">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建设内容和规模</w:t>
            </w:r>
          </w:p>
        </w:tc>
        <w:tc>
          <w:tcPr>
            <w:tcW w:w="7544" w:type="dxa"/>
            <w:vAlign w:val="center"/>
          </w:tcPr>
          <w:p w14:paraId="6C7697A2">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□建设规模：</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w:t>
            </w:r>
          </w:p>
          <w:p w14:paraId="587CDE26">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☑建设内容：本项目为“韶关市浈江区大数据产业基础设施工程”的一期工程，建设范围为244亩。主要建设内容为场地内的土方平整、临时排水及必要的防护工程。（</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最终</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以图纸为准）</w:t>
            </w:r>
          </w:p>
        </w:tc>
      </w:tr>
      <w:tr w14:paraId="32E7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32BD4226">
            <w:pPr>
              <w:pageBreakBefore w:val="0"/>
              <w:kinsoku/>
              <w:wordWrap w:val="0"/>
              <w:overflowPunct/>
              <w:topLinePunct/>
              <w:bidi w:val="0"/>
              <w:spacing w:before="57"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13</w:t>
            </w:r>
          </w:p>
        </w:tc>
        <w:tc>
          <w:tcPr>
            <w:tcW w:w="1860" w:type="dxa"/>
            <w:vAlign w:val="center"/>
          </w:tcPr>
          <w:p w14:paraId="7B5B1C9D">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项目总投资</w:t>
            </w:r>
          </w:p>
        </w:tc>
        <w:tc>
          <w:tcPr>
            <w:tcW w:w="7544" w:type="dxa"/>
            <w:vAlign w:val="center"/>
          </w:tcPr>
          <w:p w14:paraId="5DB13D2B">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项目概算总投资2950.65万元，其中工程费用2398.66万元，工程建设其他费用411.48万元，预备费用140.51万元</w:t>
            </w:r>
          </w:p>
        </w:tc>
      </w:tr>
      <w:tr w14:paraId="2723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37065C50">
            <w:pPr>
              <w:pageBreakBefore w:val="0"/>
              <w:kinsoku/>
              <w:wordWrap w:val="0"/>
              <w:overflowPunct/>
              <w:topLinePunct/>
              <w:bidi w:val="0"/>
              <w:spacing w:before="58"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14</w:t>
            </w:r>
          </w:p>
        </w:tc>
        <w:tc>
          <w:tcPr>
            <w:tcW w:w="1860" w:type="dxa"/>
            <w:vAlign w:val="center"/>
          </w:tcPr>
          <w:p w14:paraId="2DB05178">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招标范围</w:t>
            </w:r>
          </w:p>
        </w:tc>
        <w:tc>
          <w:tcPr>
            <w:tcW w:w="7544" w:type="dxa"/>
            <w:vAlign w:val="center"/>
          </w:tcPr>
          <w:p w14:paraId="2FE21DF5">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按审查合格的施工图纸及工程量清单内容施工</w:t>
            </w:r>
          </w:p>
        </w:tc>
      </w:tr>
      <w:tr w14:paraId="3076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06648FEC">
            <w:pPr>
              <w:pageBreakBefore w:val="0"/>
              <w:kinsoku/>
              <w:wordWrap w:val="0"/>
              <w:overflowPunct/>
              <w:topLinePunct/>
              <w:bidi w:val="0"/>
              <w:spacing w:before="58"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15</w:t>
            </w:r>
          </w:p>
        </w:tc>
        <w:tc>
          <w:tcPr>
            <w:tcW w:w="1860" w:type="dxa"/>
            <w:vAlign w:val="center"/>
          </w:tcPr>
          <w:p w14:paraId="3BEB09AD">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标段划分</w:t>
            </w:r>
          </w:p>
        </w:tc>
        <w:tc>
          <w:tcPr>
            <w:tcW w:w="7544" w:type="dxa"/>
            <w:vAlign w:val="center"/>
          </w:tcPr>
          <w:p w14:paraId="1A643632">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本招标项目不划分标段。</w:t>
            </w:r>
          </w:p>
        </w:tc>
      </w:tr>
      <w:tr w14:paraId="7FA1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135240B">
            <w:pPr>
              <w:pageBreakBefore w:val="0"/>
              <w:kinsoku/>
              <w:wordWrap w:val="0"/>
              <w:overflowPunct/>
              <w:topLinePunct/>
              <w:bidi w:val="0"/>
              <w:spacing w:before="57" w:line="195"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16</w:t>
            </w:r>
          </w:p>
        </w:tc>
        <w:tc>
          <w:tcPr>
            <w:tcW w:w="1860" w:type="dxa"/>
            <w:vAlign w:val="center"/>
          </w:tcPr>
          <w:p w14:paraId="67C9CCD8">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工期</w:t>
            </w:r>
          </w:p>
        </w:tc>
        <w:tc>
          <w:tcPr>
            <w:tcW w:w="7544" w:type="dxa"/>
            <w:vAlign w:val="top"/>
          </w:tcPr>
          <w:p w14:paraId="1C60BFC6">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本招标项目招标工期为</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90日历天</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。具体如下：</w:t>
            </w:r>
          </w:p>
          <w:p w14:paraId="33577657">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☑总工期：</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90日天</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（日历天）。</w:t>
            </w:r>
          </w:p>
          <w:p w14:paraId="6001A497">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□计划开工日期：</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日（具体开工日期以合同为准）</w:t>
            </w:r>
          </w:p>
          <w:p w14:paraId="200C4F81">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□计划竣工日期：</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年</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月</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日</w:t>
            </w:r>
          </w:p>
          <w:p w14:paraId="3C32A497">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 xml:space="preserve">□除上述总工期外，发包人还要求以下阶段工期：        </w:t>
            </w:r>
          </w:p>
        </w:tc>
      </w:tr>
      <w:tr w14:paraId="170D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4" w:hRule="atLeast"/>
        </w:trPr>
        <w:tc>
          <w:tcPr>
            <w:tcW w:w="582" w:type="dxa"/>
            <w:vAlign w:val="center"/>
          </w:tcPr>
          <w:p w14:paraId="3C63530B">
            <w:pPr>
              <w:pageBreakBefore w:val="0"/>
              <w:kinsoku/>
              <w:wordWrap w:val="0"/>
              <w:overflowPunct/>
              <w:topLinePunct/>
              <w:bidi w:val="0"/>
              <w:spacing w:before="57"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17</w:t>
            </w:r>
          </w:p>
        </w:tc>
        <w:tc>
          <w:tcPr>
            <w:tcW w:w="1860" w:type="dxa"/>
            <w:vAlign w:val="center"/>
          </w:tcPr>
          <w:p w14:paraId="7FF51E80">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质量标准</w:t>
            </w:r>
          </w:p>
        </w:tc>
        <w:tc>
          <w:tcPr>
            <w:tcW w:w="7544" w:type="dxa"/>
            <w:vAlign w:val="top"/>
          </w:tcPr>
          <w:p w14:paraId="0C237BB1">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☑质量目标：</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合格</w:t>
            </w:r>
          </w:p>
          <w:p w14:paraId="79370E40">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☑质量标准：</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符合现行国家有关工程施工质量验收规范和标准的要求。</w:t>
            </w:r>
          </w:p>
          <w:p w14:paraId="229FFDBE">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□优质工程要求：</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无</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p w14:paraId="67180A24">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工程优质费：☑无</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□有：</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w:t>
            </w:r>
          </w:p>
        </w:tc>
      </w:tr>
      <w:tr w14:paraId="6093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67119F7D">
            <w:pPr>
              <w:pageBreakBefore w:val="0"/>
              <w:kinsoku/>
              <w:wordWrap w:val="0"/>
              <w:overflowPunct/>
              <w:topLinePunct/>
              <w:bidi w:val="0"/>
              <w:spacing w:before="57"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18</w:t>
            </w:r>
          </w:p>
        </w:tc>
        <w:tc>
          <w:tcPr>
            <w:tcW w:w="1860" w:type="dxa"/>
            <w:vMerge w:val="restart"/>
            <w:vAlign w:val="center"/>
          </w:tcPr>
          <w:p w14:paraId="5BBA3FB8">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合同类型</w:t>
            </w:r>
          </w:p>
        </w:tc>
        <w:tc>
          <w:tcPr>
            <w:tcW w:w="7544" w:type="dxa"/>
            <w:vAlign w:val="top"/>
          </w:tcPr>
          <w:p w14:paraId="5CB1466D">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☑单价合同：发承包双方约定以工程量清单及其综合单价进行合同价款计算、调整和确认的建设工程施工合同。</w:t>
            </w:r>
          </w:p>
          <w:p w14:paraId="3FB95F98">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640A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55DD9D4A">
            <w:pPr>
              <w:pageBreakBefore w:val="0"/>
              <w:kinsoku/>
              <w:wordWrap w:val="0"/>
              <w:overflowPunct/>
              <w:topLinePunct/>
              <w:bidi w:val="0"/>
              <w:spacing w:before="57" w:line="195" w:lineRule="auto"/>
              <w:jc w:val="center"/>
              <w:rPr>
                <w:rFonts w:hint="eastAsia" w:ascii="宋体" w:hAnsi="宋体" w:eastAsia="宋体" w:cs="宋体"/>
                <w:color w:val="000000" w:themeColor="text1"/>
                <w:spacing w:val="-8"/>
                <w:sz w:val="24"/>
                <w:szCs w:val="24"/>
                <w:highlight w:val="none"/>
                <w14:textFill>
                  <w14:solidFill>
                    <w14:schemeClr w14:val="tx1"/>
                  </w14:solidFill>
                </w14:textFill>
              </w:rPr>
            </w:pPr>
          </w:p>
        </w:tc>
        <w:tc>
          <w:tcPr>
            <w:tcW w:w="1860" w:type="dxa"/>
            <w:vMerge w:val="continue"/>
            <w:vAlign w:val="center"/>
          </w:tcPr>
          <w:p w14:paraId="0C158516">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p>
        </w:tc>
        <w:tc>
          <w:tcPr>
            <w:tcW w:w="7544" w:type="dxa"/>
            <w:vAlign w:val="top"/>
          </w:tcPr>
          <w:p w14:paraId="18E3C6B6">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□总价合同：发承包双方约定以施工图及其预算和有关条件进行合同价款计算、调整和确认的建设工程施工合同。</w:t>
            </w:r>
          </w:p>
          <w:p w14:paraId="265A6EFF">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2687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7BB639BA">
            <w:pPr>
              <w:pageBreakBefore w:val="0"/>
              <w:kinsoku/>
              <w:wordWrap w:val="0"/>
              <w:overflowPunct/>
              <w:topLinePunct/>
              <w:bidi w:val="0"/>
              <w:spacing w:before="19"/>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19</w:t>
            </w:r>
          </w:p>
        </w:tc>
        <w:tc>
          <w:tcPr>
            <w:tcW w:w="1860" w:type="dxa"/>
            <w:vAlign w:val="center"/>
          </w:tcPr>
          <w:p w14:paraId="586D6078">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房屋建筑工程绿色建筑标准</w:t>
            </w:r>
          </w:p>
        </w:tc>
        <w:tc>
          <w:tcPr>
            <w:tcW w:w="7544" w:type="dxa"/>
            <w:vAlign w:val="center"/>
          </w:tcPr>
          <w:p w14:paraId="55D3D05B">
            <w:pPr>
              <w:pageBreakBefore w:val="0"/>
              <w:widowControl w:val="0"/>
              <w:kinsoku/>
              <w:wordWrap w:val="0"/>
              <w:overflowPunct/>
              <w:topLinePunct/>
              <w:autoSpaceDE/>
              <w:autoSpaceDN/>
              <w:bidi w:val="0"/>
              <w:adjustRightInd w:val="0"/>
              <w:snapToGrid w:val="0"/>
              <w:spacing w:line="400" w:lineRule="exact"/>
              <w:ind w:firstLine="240" w:firstLineChars="100"/>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本招标项目</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不</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纳入绿色建设实施范围。</w:t>
            </w:r>
          </w:p>
        </w:tc>
      </w:tr>
      <w:tr w14:paraId="6EAF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25AD2815">
            <w:pPr>
              <w:pageBreakBefore w:val="0"/>
              <w:kinsoku/>
              <w:wordWrap w:val="0"/>
              <w:overflowPunct/>
              <w:topLinePunct/>
              <w:bidi w:val="0"/>
              <w:spacing w:before="58" w:line="195"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19.1</w:t>
            </w:r>
          </w:p>
        </w:tc>
        <w:tc>
          <w:tcPr>
            <w:tcW w:w="1860" w:type="dxa"/>
            <w:vAlign w:val="center"/>
          </w:tcPr>
          <w:p w14:paraId="4609DFAF">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装配式建筑标准</w:t>
            </w:r>
          </w:p>
        </w:tc>
        <w:tc>
          <w:tcPr>
            <w:tcW w:w="7544" w:type="dxa"/>
            <w:vAlign w:val="center"/>
          </w:tcPr>
          <w:p w14:paraId="284C65C1">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本招标项目</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不</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纳入装配式建造建设实施范围。</w:t>
            </w:r>
          </w:p>
        </w:tc>
      </w:tr>
      <w:tr w14:paraId="50DA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97CFDC1">
            <w:pPr>
              <w:pageBreakBefore w:val="0"/>
              <w:kinsoku/>
              <w:wordWrap w:val="0"/>
              <w:overflowPunct/>
              <w:topLinePunct/>
              <w:bidi w:val="0"/>
              <w:spacing w:before="69" w:line="188"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20</w:t>
            </w:r>
          </w:p>
        </w:tc>
        <w:tc>
          <w:tcPr>
            <w:tcW w:w="1860" w:type="dxa"/>
            <w:vAlign w:val="center"/>
          </w:tcPr>
          <w:p w14:paraId="37C7577F">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发包人提供材料和工程设备</w:t>
            </w:r>
          </w:p>
        </w:tc>
        <w:tc>
          <w:tcPr>
            <w:tcW w:w="7544" w:type="dxa"/>
            <w:vAlign w:val="center"/>
          </w:tcPr>
          <w:p w14:paraId="20055A81">
            <w:pPr>
              <w:pageBreakBefore w:val="0"/>
              <w:widowControl w:val="0"/>
              <w:kinsoku/>
              <w:wordWrap w:val="0"/>
              <w:overflowPunct/>
              <w:topLinePunct/>
              <w:autoSpaceDE/>
              <w:autoSpaceDN/>
              <w:bidi w:val="0"/>
              <w:adjustRightInd w:val="0"/>
              <w:snapToGrid w:val="0"/>
              <w:spacing w:line="400" w:lineRule="exact"/>
              <w:ind w:firstLine="240" w:firstLineChars="100"/>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发包人提供材料和工程设备：☑无     □有：</w:t>
            </w:r>
          </w:p>
        </w:tc>
      </w:tr>
      <w:tr w14:paraId="2351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0D32E7A5">
            <w:pPr>
              <w:pageBreakBefore w:val="0"/>
              <w:kinsoku/>
              <w:wordWrap w:val="0"/>
              <w:overflowPunct/>
              <w:topLinePunct/>
              <w:bidi w:val="0"/>
              <w:spacing w:before="69" w:line="188"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21</w:t>
            </w:r>
          </w:p>
        </w:tc>
        <w:tc>
          <w:tcPr>
            <w:tcW w:w="1860" w:type="dxa"/>
            <w:vAlign w:val="center"/>
          </w:tcPr>
          <w:p w14:paraId="15C93D32">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承包人提供材料和工程设备</w:t>
            </w:r>
          </w:p>
        </w:tc>
        <w:tc>
          <w:tcPr>
            <w:tcW w:w="7544" w:type="dxa"/>
            <w:vAlign w:val="top"/>
          </w:tcPr>
          <w:p w14:paraId="1DE53777">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已具有合格证明的材料、工程设备，但经检测证明该项材料、工程设备符合合同约定的质量标准的，发包人应承担由此增加的费用和（或）工期延误，并向承包人支付合理利润。</w:t>
            </w:r>
          </w:p>
          <w:p w14:paraId="3713810E">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□其它说明：鼓励承包人积极采购环保产品进行施工。</w:t>
            </w:r>
          </w:p>
        </w:tc>
      </w:tr>
      <w:tr w14:paraId="62C1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0E2A4BFC">
            <w:pPr>
              <w:pageBreakBefore w:val="0"/>
              <w:kinsoku/>
              <w:wordWrap w:val="0"/>
              <w:overflowPunct/>
              <w:topLinePunct/>
              <w:bidi w:val="0"/>
              <w:spacing w:before="69" w:line="188"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22</w:t>
            </w:r>
          </w:p>
        </w:tc>
        <w:tc>
          <w:tcPr>
            <w:tcW w:w="1860" w:type="dxa"/>
            <w:vAlign w:val="center"/>
          </w:tcPr>
          <w:p w14:paraId="28DD301C">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最高投标限价</w:t>
            </w:r>
          </w:p>
        </w:tc>
        <w:tc>
          <w:tcPr>
            <w:tcW w:w="7544" w:type="dxa"/>
            <w:vAlign w:val="center"/>
          </w:tcPr>
          <w:p w14:paraId="3F4E284C">
            <w:pPr>
              <w:pageBreakBefore w:val="0"/>
              <w:widowControl w:val="0"/>
              <w:kinsoku/>
              <w:wordWrap w:val="0"/>
              <w:overflowPunct/>
              <w:topLinePunct/>
              <w:autoSpaceDE/>
              <w:autoSpaceDN/>
              <w:bidi w:val="0"/>
              <w:adjustRightInd w:val="0"/>
              <w:snapToGrid w:val="0"/>
              <w:spacing w:line="400" w:lineRule="exact"/>
              <w:ind w:left="0" w:leftChars="0" w:firstLine="458" w:firstLineChars="1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本招标项目最高投标限价、施工图纸、工程量清单在开标前15天另行发布于全国公共资源交易平台（广东省·韶关市）（https：//ygp.gdzwfw.gov.cn/ggzy-portal/#/440200/index）、广东省招标投标监管网（http：//zbtb.gd.gov.cn）网站。</w:t>
            </w:r>
          </w:p>
        </w:tc>
      </w:tr>
      <w:tr w14:paraId="6BC60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5BF38C5D">
            <w:pPr>
              <w:pageBreakBefore w:val="0"/>
              <w:kinsoku/>
              <w:wordWrap w:val="0"/>
              <w:overflowPunct/>
              <w:topLinePunct/>
              <w:bidi w:val="0"/>
              <w:spacing w:before="69" w:line="188"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23</w:t>
            </w:r>
          </w:p>
        </w:tc>
        <w:tc>
          <w:tcPr>
            <w:tcW w:w="1860" w:type="dxa"/>
            <w:vAlign w:val="center"/>
          </w:tcPr>
          <w:p w14:paraId="0A5F6FB5">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投标人的投标报价</w:t>
            </w:r>
          </w:p>
        </w:tc>
        <w:tc>
          <w:tcPr>
            <w:tcW w:w="7544" w:type="dxa"/>
            <w:vAlign w:val="center"/>
          </w:tcPr>
          <w:p w14:paraId="6B06404D">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2DD921F9">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投标报价方式：☑工程量清单报价</w:t>
            </w:r>
          </w:p>
        </w:tc>
      </w:tr>
      <w:tr w14:paraId="139D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67502D59">
            <w:pPr>
              <w:pageBreakBefore w:val="0"/>
              <w:kinsoku/>
              <w:wordWrap w:val="0"/>
              <w:overflowPunct/>
              <w:topLinePunct/>
              <w:bidi w:val="0"/>
              <w:spacing w:before="69" w:line="188"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24</w:t>
            </w:r>
          </w:p>
        </w:tc>
        <w:tc>
          <w:tcPr>
            <w:tcW w:w="1860" w:type="dxa"/>
            <w:vAlign w:val="center"/>
          </w:tcPr>
          <w:p w14:paraId="063721F5">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投标报价风险</w:t>
            </w:r>
          </w:p>
        </w:tc>
        <w:tc>
          <w:tcPr>
            <w:tcW w:w="7544" w:type="dxa"/>
            <w:vAlign w:val="center"/>
          </w:tcPr>
          <w:p w14:paraId="6C9E4E6B">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☑投标人依据招标文件约定自行考虑风险因素，一旦中标，投标报价（合同价）除合同另有约定外将不因市场变化而调整。</w:t>
            </w:r>
          </w:p>
          <w:p w14:paraId="49241594">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☑投标报价中应包括工程量清单项目所发生的人工费、材料费、机具费、管理费、利润、措施项目费、其它项目费、税金、暂列金额、暂估价以及所有风险、责任等各项费用。</w:t>
            </w:r>
          </w:p>
          <w:p w14:paraId="021CC967">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☑人工费、材料费、机具费、管理费、利润、措施项目费（不含</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安全生产措施费</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）投标人漏报或不报，招标人视为有关费用已包括在工程量清单项目的其它单价及合价中不予另外增加。</w:t>
            </w:r>
          </w:p>
          <w:p w14:paraId="53C2533F">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b/>
                <w:bCs/>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bCs/>
                <w:snapToGrid w:val="0"/>
                <w:color w:val="000000" w:themeColor="text1"/>
                <w:kern w:val="0"/>
                <w:sz w:val="24"/>
                <w:szCs w:val="24"/>
                <w:highlight w:val="none"/>
                <w:lang w:eastAsia="zh-CN"/>
                <w14:textFill>
                  <w14:solidFill>
                    <w14:schemeClr w14:val="tx1"/>
                  </w14:solidFill>
                </w14:textFill>
              </w:rPr>
              <w:t>措施项目中的安全生产措施应单独列项，费用不可竞争，且应符合《企业安全生产费用提取和使用管理办法》（财资〔2022〕136号）及我省有关文件规定。</w:t>
            </w:r>
          </w:p>
          <w:p w14:paraId="6A10A265">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☑投标人应按照招标文件提供的工程量清单逐项填写单价和合价，投标人未填写的项目，招标人将视为此项费用已包括在工程量清单项目的其它单价及合价中不予另外增加。</w:t>
            </w:r>
          </w:p>
          <w:p w14:paraId="7C6A4AD1">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76FB68DD">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☑招标人向投标人提供的有关施工现场资料及数据，是招标人现有的能使投标人利用的资料，招标人对投标人据此作出的推论及理解概不负责。</w:t>
            </w:r>
          </w:p>
          <w:p w14:paraId="022D2F8A">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798EC2EF">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☑错漏项的认定。中标人已标价工程量清单中，任一清单项目未填报价格或价格为零的，招标人将视为此项费用已包括在工程量清单项目的其它单价及合价中不予另外增加。</w:t>
            </w:r>
          </w:p>
        </w:tc>
      </w:tr>
      <w:tr w14:paraId="1838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179BAAE">
            <w:pPr>
              <w:pageBreakBefore w:val="0"/>
              <w:kinsoku/>
              <w:wordWrap w:val="0"/>
              <w:overflowPunct/>
              <w:topLinePunct/>
              <w:bidi w:val="0"/>
              <w:spacing w:before="284" w:line="188"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25</w:t>
            </w:r>
          </w:p>
        </w:tc>
        <w:tc>
          <w:tcPr>
            <w:tcW w:w="1860" w:type="dxa"/>
            <w:vAlign w:val="center"/>
          </w:tcPr>
          <w:p w14:paraId="687E6C14">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投标费用</w:t>
            </w:r>
          </w:p>
        </w:tc>
        <w:tc>
          <w:tcPr>
            <w:tcW w:w="7544" w:type="dxa"/>
            <w:vAlign w:val="center"/>
          </w:tcPr>
          <w:p w14:paraId="1DA92F45">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投标人自行承担编制与递交投标文件的一切费用。</w:t>
            </w:r>
          </w:p>
        </w:tc>
      </w:tr>
      <w:tr w14:paraId="0899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BB43700">
            <w:pPr>
              <w:pageBreakBefore w:val="0"/>
              <w:kinsoku/>
              <w:wordWrap w:val="0"/>
              <w:overflowPunct/>
              <w:topLinePunct/>
              <w:bidi w:val="0"/>
              <w:spacing w:before="284" w:line="188" w:lineRule="auto"/>
              <w:jc w:val="cente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26</w:t>
            </w:r>
          </w:p>
        </w:tc>
        <w:tc>
          <w:tcPr>
            <w:tcW w:w="1860" w:type="dxa"/>
            <w:vAlign w:val="center"/>
          </w:tcPr>
          <w:p w14:paraId="78BA674A">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成本警示价</w:t>
            </w:r>
          </w:p>
        </w:tc>
        <w:tc>
          <w:tcPr>
            <w:tcW w:w="7544" w:type="dxa"/>
            <w:vAlign w:val="center"/>
          </w:tcPr>
          <w:p w14:paraId="3D872FD7">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投标报价要求：</w:t>
            </w:r>
          </w:p>
          <w:p w14:paraId="21BDD405">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⑴投标人的投标报价不得高于招标人设置的最高投标限价，否则作无效投标处理；</w:t>
            </w:r>
          </w:p>
          <w:p w14:paraId="6A0CFD3D">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⑵投标人的投标报价如低于招标项目的成本警示价的，需提供成本分析资料等报价依据。（成本警示价＝最高投标限价×85%）</w:t>
            </w:r>
          </w:p>
        </w:tc>
      </w:tr>
      <w:tr w14:paraId="39DC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1EC8E0F9">
            <w:pPr>
              <w:pageBreakBefore w:val="0"/>
              <w:kinsoku/>
              <w:wordWrap w:val="0"/>
              <w:overflowPunct/>
              <w:topLinePunct/>
              <w:bidi w:val="0"/>
              <w:spacing w:before="69" w:line="188"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2</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7</w:t>
            </w:r>
          </w:p>
        </w:tc>
        <w:tc>
          <w:tcPr>
            <w:tcW w:w="1860" w:type="dxa"/>
            <w:vAlign w:val="center"/>
          </w:tcPr>
          <w:p w14:paraId="549659DB">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投标人资格要求</w:t>
            </w:r>
          </w:p>
        </w:tc>
        <w:tc>
          <w:tcPr>
            <w:tcW w:w="7544" w:type="dxa"/>
            <w:vAlign w:val="center"/>
          </w:tcPr>
          <w:p w14:paraId="49A95E1E">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1.本次招标</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不接受</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联合体投标。</w:t>
            </w:r>
          </w:p>
          <w:p w14:paraId="450BAD2C">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2．资质要求</w:t>
            </w:r>
          </w:p>
          <w:p w14:paraId="0D54F18E">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2.1投标人须具备独立法人资格，按国家法律经营。</w:t>
            </w:r>
          </w:p>
          <w:p w14:paraId="7A078B58">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2.2投标人须持有建设行政主管部门颁发的企业资质证书及安全生产许可证。</w:t>
            </w:r>
          </w:p>
          <w:p w14:paraId="4140A2D9">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2.3投标人须具备以下资质：</w:t>
            </w:r>
            <w:r>
              <w:rPr>
                <w:rFonts w:hint="eastAsia" w:ascii="宋体" w:hAnsi="宋体" w:eastAsia="宋体" w:cs="宋体"/>
                <w:b w:val="0"/>
                <w:bCs w:val="0"/>
                <w:snapToGrid w:val="0"/>
                <w:color w:val="000000" w:themeColor="text1"/>
                <w:kern w:val="0"/>
                <w:sz w:val="24"/>
                <w:szCs w:val="24"/>
                <w:highlight w:val="none"/>
                <w:u w:val="single"/>
                <w:lang w:eastAsia="zh-CN"/>
                <w14:textFill>
                  <w14:solidFill>
                    <w14:schemeClr w14:val="tx1"/>
                  </w14:solidFill>
                </w14:textFill>
              </w:rPr>
              <w:t>市政公用工程施工总承包三级以上（</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含三级）资质，并在有效期内。</w:t>
            </w:r>
          </w:p>
          <w:p w14:paraId="0DD99506">
            <w:pPr>
              <w:pageBreakBefore w:val="0"/>
              <w:widowControl w:val="0"/>
              <w:kinsoku/>
              <w:wordWrap w:val="0"/>
              <w:overflowPunct/>
              <w:topLinePunct/>
              <w:autoSpaceDE/>
              <w:autoSpaceDN/>
              <w:bidi w:val="0"/>
              <w:adjustRightInd w:val="0"/>
              <w:snapToGrid w:val="0"/>
              <w:spacing w:line="400" w:lineRule="exact"/>
              <w:ind w:left="0" w:leftChars="0" w:right="5" w:righ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2.4</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67521B5B">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3．相关人员要求</w:t>
            </w:r>
          </w:p>
          <w:p w14:paraId="7D06D697">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3.1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拟派项目经理为市政公用工程专业一级或二级注册建造师，应持有住建部门印发的在使用有效期内的有效电子注册证书（根据广东省住房和城乡建设厅（粤建市函〔2023〕469号）文件精神，二级注册建造师可随注册企业在全国范围内执业），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7D860E69">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3.2拟派项目技术负责人须具备市政工程相关专业中级以上（含中级）技术职称。</w:t>
            </w:r>
          </w:p>
          <w:p w14:paraId="17D9FD03">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3.3投标人拟派专职安全生产管理人员须具备有效安全生产考核合格证明（C证，安全生产考核合格证书或“广东省建筑施工企业管理人员安全生产考核系统”考核合格信息打印页），且不少于</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人。</w:t>
            </w:r>
          </w:p>
          <w:p w14:paraId="41317264">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3.4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0F5E11CE">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4．禁止投标条款：</w:t>
            </w:r>
          </w:p>
          <w:p w14:paraId="0D711B8B">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4.1投标人不得存在下列情形之一：</w:t>
            </w:r>
          </w:p>
          <w:p w14:paraId="73836CD3">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（1）为招标人不具有独立法人资格的附属机构（单位）；</w:t>
            </w:r>
          </w:p>
          <w:p w14:paraId="6E2136F3">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（2）为本招标项目前期准备提供设计或咨询服务的；</w:t>
            </w:r>
          </w:p>
          <w:p w14:paraId="7F4E66A9">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（3）与本招标项目的其他投标人为同一个单位负责人；</w:t>
            </w:r>
          </w:p>
          <w:p w14:paraId="07B6E13A">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（4）与本招标项目的其他投标人存在控股、管理关系；</w:t>
            </w:r>
          </w:p>
          <w:p w14:paraId="23B0268C">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（5）为本招标项目的监理人；</w:t>
            </w:r>
          </w:p>
          <w:p w14:paraId="1CF13336">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（6）为本招标项目的代建人；</w:t>
            </w:r>
          </w:p>
          <w:p w14:paraId="783C0315">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（7）为本招标项目的招标代理机构；</w:t>
            </w:r>
          </w:p>
          <w:p w14:paraId="2861D4C7">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（8）与本招标项目的监理人或代建人或招标代理机构同为一个法定代表人；</w:t>
            </w:r>
          </w:p>
          <w:p w14:paraId="0B415FE2">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（9）与本招标项目的监理人或代建人或招标代理机构存在控股或参股关系；</w:t>
            </w:r>
          </w:p>
          <w:p w14:paraId="418B785C">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（10）与本招标项目的监理人或代建人或招标代理机构存在相互任职或工作关系；</w:t>
            </w:r>
          </w:p>
          <w:p w14:paraId="6B6AA688">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（11）被依法暂停或者取消投标资格；</w:t>
            </w:r>
          </w:p>
          <w:p w14:paraId="106947C4">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（12）被责令停产停业、暂扣或者吊销许可证、暂扣或者吊销执照；</w:t>
            </w:r>
          </w:p>
          <w:p w14:paraId="12117685">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（13）进入清算程序，或被宣告破产，或其他丧失履约能力的情形；</w:t>
            </w:r>
          </w:p>
          <w:p w14:paraId="1AB3DF5F">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（14）在最近三年内发生重大工程质量或安全问题（以相关行业主管部门的行政处罚决定或司法机关出具的有关法律文书为准）；</w:t>
            </w:r>
          </w:p>
          <w:p w14:paraId="7AE047DF">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（15）被“信用中国”网站（https：//www.creditchina.gov.cn）发布的《法人和非法人组织公共信用信息报告》列为严重失信主体名单的。</w:t>
            </w:r>
          </w:p>
          <w:p w14:paraId="31E149C4">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4.2招标人拒绝以下名单中的单位参加本次投标：</w:t>
            </w:r>
          </w:p>
          <w:tbl>
            <w:tblPr>
              <w:tblStyle w:val="14"/>
              <w:tblW w:w="7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3667"/>
              <w:gridCol w:w="3032"/>
            </w:tblGrid>
            <w:tr w14:paraId="3F988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580" w:type="dxa"/>
                  <w:vAlign w:val="center"/>
                </w:tcPr>
                <w:p w14:paraId="6EBC8C10">
                  <w:pPr>
                    <w:pageBreakBefore w:val="0"/>
                    <w:widowControl w:val="0"/>
                    <w:kinsoku/>
                    <w:wordWrap w:val="0"/>
                    <w:overflowPunct/>
                    <w:topLinePunct/>
                    <w:autoSpaceDE/>
                    <w:autoSpaceDN/>
                    <w:bidi w:val="0"/>
                    <w:adjustRightInd w:val="0"/>
                    <w:snapToGrid w:val="0"/>
                    <w:spacing w:line="400" w:lineRule="exact"/>
                    <w:ind w:right="-292" w:rightChars="-139"/>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序号</w:t>
                  </w:r>
                </w:p>
              </w:tc>
              <w:tc>
                <w:tcPr>
                  <w:tcW w:w="3667" w:type="dxa"/>
                  <w:vAlign w:val="center"/>
                </w:tcPr>
                <w:p w14:paraId="1085AF08">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单位名称</w:t>
                  </w:r>
                </w:p>
              </w:tc>
              <w:tc>
                <w:tcPr>
                  <w:tcW w:w="3032" w:type="dxa"/>
                  <w:vAlign w:val="center"/>
                </w:tcPr>
                <w:p w14:paraId="3D22193B">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拒绝原因</w:t>
                  </w:r>
                </w:p>
              </w:tc>
            </w:tr>
            <w:tr w14:paraId="0BCC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580" w:type="dxa"/>
                  <w:vAlign w:val="center"/>
                </w:tcPr>
                <w:p w14:paraId="4DF15CB5">
                  <w:pPr>
                    <w:pStyle w:val="22"/>
                    <w:pageBreakBefore w:val="0"/>
                    <w:kinsoku/>
                    <w:wordWrap w:val="0"/>
                    <w:overflowPunct/>
                    <w:topLinePunct/>
                    <w:bidi w:val="0"/>
                    <w:adjustRightInd w:val="0"/>
                    <w:snapToGrid w:val="0"/>
                    <w:spacing w:line="340" w:lineRule="exact"/>
                    <w:jc w:val="cente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3667" w:type="dxa"/>
                  <w:vAlign w:val="center"/>
                </w:tcPr>
                <w:p w14:paraId="62E4CD48">
                  <w:pPr>
                    <w:pStyle w:val="22"/>
                    <w:pageBreakBefore w:val="0"/>
                    <w:kinsoku/>
                    <w:wordWrap w:val="0"/>
                    <w:overflowPunct/>
                    <w:topLinePunct/>
                    <w:bidi w:val="0"/>
                    <w:adjustRightInd w:val="0"/>
                    <w:snapToGrid w:val="0"/>
                    <w:spacing w:line="34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韶关市浈江区鸿通投资有限公司</w:t>
                  </w:r>
                </w:p>
              </w:tc>
              <w:tc>
                <w:tcPr>
                  <w:tcW w:w="3032" w:type="dxa"/>
                  <w:vAlign w:val="center"/>
                </w:tcPr>
                <w:p w14:paraId="4EAF7463">
                  <w:pPr>
                    <w:pStyle w:val="22"/>
                    <w:pageBreakBefore w:val="0"/>
                    <w:kinsoku/>
                    <w:wordWrap w:val="0"/>
                    <w:overflowPunct/>
                    <w:topLinePunct/>
                    <w:bidi w:val="0"/>
                    <w:adjustRightInd w:val="0"/>
                    <w:snapToGrid w:val="0"/>
                    <w:spacing w:line="340" w:lineRule="exact"/>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为本招标项目的招标人</w:t>
                  </w:r>
                </w:p>
              </w:tc>
            </w:tr>
            <w:tr w14:paraId="6E1B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80" w:type="dxa"/>
                  <w:vAlign w:val="center"/>
                </w:tcPr>
                <w:p w14:paraId="62EE37BD">
                  <w:pPr>
                    <w:pStyle w:val="22"/>
                    <w:pageBreakBefore w:val="0"/>
                    <w:kinsoku/>
                    <w:wordWrap w:val="0"/>
                    <w:overflowPunct/>
                    <w:topLinePunct/>
                    <w:bidi w:val="0"/>
                    <w:adjustRightInd w:val="0"/>
                    <w:snapToGrid w:val="0"/>
                    <w:spacing w:line="340" w:lineRule="exact"/>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3667" w:type="dxa"/>
                  <w:vAlign w:val="center"/>
                </w:tcPr>
                <w:p w14:paraId="08B4B3CB">
                  <w:pPr>
                    <w:pStyle w:val="22"/>
                    <w:pageBreakBefore w:val="0"/>
                    <w:kinsoku/>
                    <w:wordWrap w:val="0"/>
                    <w:overflowPunct/>
                    <w:topLinePunct/>
                    <w:bidi w:val="0"/>
                    <w:adjustRightInd w:val="0"/>
                    <w:snapToGrid w:val="0"/>
                    <w:spacing w:line="34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广东合正项目管理有限公司</w:t>
                  </w:r>
                </w:p>
              </w:tc>
              <w:tc>
                <w:tcPr>
                  <w:tcW w:w="3032" w:type="dxa"/>
                  <w:vAlign w:val="center"/>
                </w:tcPr>
                <w:p w14:paraId="32A95118">
                  <w:pPr>
                    <w:pStyle w:val="22"/>
                    <w:pageBreakBefore w:val="0"/>
                    <w:kinsoku/>
                    <w:wordWrap w:val="0"/>
                    <w:overflowPunct/>
                    <w:topLinePunct/>
                    <w:bidi w:val="0"/>
                    <w:adjustRightInd w:val="0"/>
                    <w:snapToGrid w:val="0"/>
                    <w:spacing w:line="340" w:lineRule="exact"/>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为本招标项目的招标代理机构</w:t>
                  </w:r>
                </w:p>
              </w:tc>
            </w:tr>
            <w:tr w14:paraId="63C1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80" w:type="dxa"/>
                  <w:vAlign w:val="center"/>
                </w:tcPr>
                <w:p w14:paraId="0B041647">
                  <w:pPr>
                    <w:pStyle w:val="22"/>
                    <w:pageBreakBefore w:val="0"/>
                    <w:kinsoku/>
                    <w:wordWrap w:val="0"/>
                    <w:overflowPunct/>
                    <w:topLinePunct/>
                    <w:bidi w:val="0"/>
                    <w:adjustRightInd w:val="0"/>
                    <w:snapToGrid w:val="0"/>
                    <w:spacing w:line="340" w:lineRule="exact"/>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p>
              </w:tc>
              <w:tc>
                <w:tcPr>
                  <w:tcW w:w="3667" w:type="dxa"/>
                  <w:vAlign w:val="center"/>
                </w:tcPr>
                <w:p w14:paraId="1C222EF7">
                  <w:pPr>
                    <w:pStyle w:val="22"/>
                    <w:pageBreakBefore w:val="0"/>
                    <w:kinsoku/>
                    <w:wordWrap w:val="0"/>
                    <w:overflowPunct/>
                    <w:topLinePunct/>
                    <w:bidi w:val="0"/>
                    <w:adjustRightInd w:val="0"/>
                    <w:snapToGrid w:val="0"/>
                    <w:spacing w:line="34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韶关市规划市政设计研究院有限公司</w:t>
                  </w:r>
                </w:p>
              </w:tc>
              <w:tc>
                <w:tcPr>
                  <w:tcW w:w="3032" w:type="dxa"/>
                  <w:vAlign w:val="center"/>
                </w:tcPr>
                <w:p w14:paraId="7DCF7C48">
                  <w:pPr>
                    <w:pStyle w:val="22"/>
                    <w:pageBreakBefore w:val="0"/>
                    <w:kinsoku/>
                    <w:wordWrap w:val="0"/>
                    <w:overflowPunct/>
                    <w:topLinePunct/>
                    <w:bidi w:val="0"/>
                    <w:adjustRightInd w:val="0"/>
                    <w:snapToGrid w:val="0"/>
                    <w:spacing w:line="340" w:lineRule="exact"/>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为本项目的可研编制单位</w:t>
                  </w:r>
                </w:p>
              </w:tc>
            </w:tr>
            <w:tr w14:paraId="0189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80" w:type="dxa"/>
                  <w:vAlign w:val="center"/>
                </w:tcPr>
                <w:p w14:paraId="0968EB4B">
                  <w:pPr>
                    <w:pStyle w:val="22"/>
                    <w:pageBreakBefore w:val="0"/>
                    <w:kinsoku/>
                    <w:wordWrap w:val="0"/>
                    <w:overflowPunct/>
                    <w:topLinePunct/>
                    <w:bidi w:val="0"/>
                    <w:adjustRightInd w:val="0"/>
                    <w:snapToGrid w:val="0"/>
                    <w:spacing w:line="340" w:lineRule="exact"/>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p>
              </w:tc>
              <w:tc>
                <w:tcPr>
                  <w:tcW w:w="3667" w:type="dxa"/>
                  <w:shd w:val="clear" w:color="auto" w:fill="auto"/>
                  <w:vAlign w:val="center"/>
                </w:tcPr>
                <w:p w14:paraId="5002EAC6">
                  <w:pPr>
                    <w:pStyle w:val="22"/>
                    <w:pageBreakBefore w:val="0"/>
                    <w:kinsoku/>
                    <w:wordWrap w:val="0"/>
                    <w:overflowPunct/>
                    <w:topLinePunct/>
                    <w:bidi w:val="0"/>
                    <w:adjustRightInd w:val="0"/>
                    <w:snapToGrid w:val="0"/>
                    <w:spacing w:line="340" w:lineRule="exact"/>
                    <w:jc w:val="left"/>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成泸工程咨询有限公司</w:t>
                  </w:r>
                </w:p>
              </w:tc>
              <w:tc>
                <w:tcPr>
                  <w:tcW w:w="3032" w:type="dxa"/>
                  <w:shd w:val="clear" w:color="auto" w:fill="auto"/>
                  <w:vAlign w:val="center"/>
                </w:tcPr>
                <w:p w14:paraId="1EE66D6A">
                  <w:pPr>
                    <w:pStyle w:val="22"/>
                    <w:pageBreakBefore w:val="0"/>
                    <w:kinsoku/>
                    <w:wordWrap w:val="0"/>
                    <w:overflowPunct/>
                    <w:topLinePunct/>
                    <w:bidi w:val="0"/>
                    <w:adjustRightInd w:val="0"/>
                    <w:snapToGrid w:val="0"/>
                    <w:spacing w:line="340" w:lineRule="exact"/>
                    <w:jc w:val="left"/>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为本招标项目的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全过程</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造价咨询单位</w:t>
                  </w:r>
                </w:p>
              </w:tc>
            </w:tr>
          </w:tbl>
          <w:p w14:paraId="3D499DAE">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5．其他要求</w:t>
            </w:r>
          </w:p>
          <w:p w14:paraId="5E9AB213">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4280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A0EAC8">
            <w:pPr>
              <w:pageBreakBefore w:val="0"/>
              <w:kinsoku/>
              <w:wordWrap w:val="0"/>
              <w:overflowPunct/>
              <w:topLinePunct/>
              <w:bidi w:val="0"/>
              <w:spacing w:before="19"/>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2</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8</w:t>
            </w:r>
          </w:p>
        </w:tc>
        <w:tc>
          <w:tcPr>
            <w:tcW w:w="1860" w:type="dxa"/>
            <w:vAlign w:val="center"/>
          </w:tcPr>
          <w:p w14:paraId="73239DA3">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投标有效期</w:t>
            </w:r>
          </w:p>
        </w:tc>
        <w:tc>
          <w:tcPr>
            <w:tcW w:w="7544" w:type="dxa"/>
            <w:vAlign w:val="center"/>
          </w:tcPr>
          <w:p w14:paraId="7F94F84F">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本次招标的投标有效期为</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90</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个日历天。</w:t>
            </w:r>
          </w:p>
        </w:tc>
      </w:tr>
      <w:tr w14:paraId="132E5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2CCE4C3D">
            <w:pPr>
              <w:pageBreakBefore w:val="0"/>
              <w:kinsoku/>
              <w:wordWrap w:val="0"/>
              <w:overflowPunct/>
              <w:topLinePunct/>
              <w:bidi w:val="0"/>
              <w:spacing w:before="69" w:line="188" w:lineRule="auto"/>
              <w:ind w:left="205"/>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29</w:t>
            </w:r>
          </w:p>
        </w:tc>
        <w:tc>
          <w:tcPr>
            <w:tcW w:w="1860" w:type="dxa"/>
            <w:vAlign w:val="center"/>
          </w:tcPr>
          <w:p w14:paraId="5294A40E">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投标文件组成</w:t>
            </w:r>
          </w:p>
        </w:tc>
        <w:tc>
          <w:tcPr>
            <w:tcW w:w="7544" w:type="dxa"/>
            <w:vAlign w:val="center"/>
          </w:tcPr>
          <w:p w14:paraId="4FDC3385">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投标文件包括商务标书、经济标书、施工组织设计</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和</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定标文件四个分册。</w:t>
            </w:r>
          </w:p>
        </w:tc>
      </w:tr>
      <w:tr w14:paraId="499F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3460F523">
            <w:pPr>
              <w:pageBreakBefore w:val="0"/>
              <w:kinsoku/>
              <w:wordWrap w:val="0"/>
              <w:overflowPunct/>
              <w:topLinePunct/>
              <w:bidi w:val="0"/>
              <w:spacing w:before="69" w:line="188" w:lineRule="auto"/>
              <w:ind w:left="205"/>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30</w:t>
            </w:r>
          </w:p>
        </w:tc>
        <w:tc>
          <w:tcPr>
            <w:tcW w:w="1860" w:type="dxa"/>
            <w:vAlign w:val="center"/>
          </w:tcPr>
          <w:p w14:paraId="595FF97B">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施工组织设计评审方式</w:t>
            </w:r>
          </w:p>
        </w:tc>
        <w:tc>
          <w:tcPr>
            <w:tcW w:w="7544" w:type="dxa"/>
            <w:vAlign w:val="center"/>
          </w:tcPr>
          <w:p w14:paraId="11220F1E">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本次招标施工组织设计不采用“暗标”方式进行评审。</w:t>
            </w:r>
          </w:p>
        </w:tc>
      </w:tr>
      <w:tr w14:paraId="5BBB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18FCCAA9">
            <w:pPr>
              <w:pageBreakBefore w:val="0"/>
              <w:kinsoku/>
              <w:wordWrap w:val="0"/>
              <w:overflowPunct/>
              <w:topLinePunct/>
              <w:bidi w:val="0"/>
              <w:spacing w:before="69" w:line="188" w:lineRule="auto"/>
              <w:ind w:left="209"/>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3</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1</w:t>
            </w:r>
          </w:p>
        </w:tc>
        <w:tc>
          <w:tcPr>
            <w:tcW w:w="1860" w:type="dxa"/>
            <w:vAlign w:val="center"/>
          </w:tcPr>
          <w:p w14:paraId="37B85F7F">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评标委员会</w:t>
            </w:r>
          </w:p>
        </w:tc>
        <w:tc>
          <w:tcPr>
            <w:tcW w:w="7544" w:type="dxa"/>
            <w:vAlign w:val="top"/>
          </w:tcPr>
          <w:p w14:paraId="45FF4BFB">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评标委员会由5人组成，其中招标人代表0人，专家5人。专家从广东省综合评标评审专家库（韶关区域）中随机抽取，其中技术类专家3人，经济类专家2人。</w:t>
            </w:r>
          </w:p>
        </w:tc>
      </w:tr>
      <w:tr w14:paraId="49E0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7B5CE201">
            <w:pPr>
              <w:pageBreakBefore w:val="0"/>
              <w:kinsoku/>
              <w:wordWrap w:val="0"/>
              <w:overflowPunct/>
              <w:topLinePunct/>
              <w:bidi w:val="0"/>
              <w:spacing w:before="69" w:line="188" w:lineRule="auto"/>
              <w:ind w:left="209"/>
              <w:jc w:val="both"/>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32</w:t>
            </w:r>
          </w:p>
        </w:tc>
        <w:tc>
          <w:tcPr>
            <w:tcW w:w="1860" w:type="dxa"/>
            <w:vAlign w:val="center"/>
          </w:tcPr>
          <w:p w14:paraId="4ACB3055">
            <w:pPr>
              <w:keepNext w:val="0"/>
              <w:keepLines w:val="0"/>
              <w:pageBreakBefore w:val="0"/>
              <w:widowControl w:val="0"/>
              <w:kinsoku/>
              <w:wordWrap w:val="0"/>
              <w:overflowPunct/>
              <w:topLinePunct/>
              <w:autoSpaceDE/>
              <w:autoSpaceDN/>
              <w:bidi w:val="0"/>
              <w:adjustRightInd/>
              <w:snapToGrid/>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定</w:t>
            </w:r>
            <w:r>
              <w:rPr>
                <w:rFonts w:hint="eastAsia" w:ascii="宋体" w:hAnsi="宋体" w:eastAsia="宋体" w:cs="宋体"/>
                <w:color w:val="000000" w:themeColor="text1"/>
                <w:sz w:val="24"/>
                <w:szCs w:val="24"/>
                <w:highlight w:val="none"/>
                <w14:textFill>
                  <w14:solidFill>
                    <w14:schemeClr w14:val="tx1"/>
                  </w14:solidFill>
                </w14:textFill>
              </w:rPr>
              <w:t>标委员会</w:t>
            </w:r>
          </w:p>
        </w:tc>
        <w:tc>
          <w:tcPr>
            <w:tcW w:w="7544" w:type="dxa"/>
            <w:vAlign w:val="center"/>
          </w:tcPr>
          <w:p w14:paraId="0BA0DDBA">
            <w:pPr>
              <w:keepNext w:val="0"/>
              <w:keepLines w:val="0"/>
              <w:pageBreakBefore w:val="0"/>
              <w:widowControl w:val="0"/>
              <w:suppressLineNumbers w:val="0"/>
              <w:kinsoku/>
              <w:wordWrap w:val="0"/>
              <w:overflowPunct/>
              <w:topLinePunct/>
              <w:autoSpaceDE/>
              <w:autoSpaceDN/>
              <w:bidi w:val="0"/>
              <w:adjustRightInd/>
              <w:snapToGrid/>
              <w:spacing w:line="400" w:lineRule="exact"/>
              <w:ind w:left="105" w:leftChars="50" w:right="105" w:rightChars="50"/>
              <w:jc w:val="left"/>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w:t>
            </w:r>
            <w:r>
              <w:rPr>
                <w:rFonts w:hint="eastAsia" w:ascii="宋体" w:hAnsi="宋体" w:eastAsia="宋体" w:cs="宋体"/>
                <w:color w:val="000000" w:themeColor="text1"/>
                <w:sz w:val="24"/>
                <w:szCs w:val="24"/>
                <w:highlight w:val="none"/>
                <w:u w:val="none"/>
                <w:lang w:eastAsia="zh-CN"/>
                <w14:textFill>
                  <w14:solidFill>
                    <w14:schemeClr w14:val="tx1"/>
                  </w14:solidFill>
                </w14:textFill>
              </w:rPr>
              <w:t>项目</w:t>
            </w:r>
            <w:r>
              <w:rPr>
                <w:rFonts w:hint="eastAsia" w:ascii="宋体" w:hAnsi="宋体" w:eastAsia="宋体" w:cs="宋体"/>
                <w:color w:val="000000" w:themeColor="text1"/>
                <w:sz w:val="24"/>
                <w:szCs w:val="24"/>
                <w:highlight w:val="none"/>
                <w:u w:val="none"/>
                <w14:textFill>
                  <w14:solidFill>
                    <w14:schemeClr w14:val="tx1"/>
                  </w14:solidFill>
                </w14:textFill>
              </w:rPr>
              <w:t>定标委员会</w:t>
            </w:r>
            <w:r>
              <w:rPr>
                <w:rFonts w:hint="eastAsia" w:ascii="宋体" w:hAnsi="宋体" w:eastAsia="宋体" w:cs="宋体"/>
                <w:color w:val="000000" w:themeColor="text1"/>
                <w:sz w:val="24"/>
                <w:szCs w:val="24"/>
                <w:highlight w:val="none"/>
                <w:u w:val="none"/>
                <w:lang w:eastAsia="zh-CN"/>
                <w14:textFill>
                  <w14:solidFill>
                    <w14:schemeClr w14:val="tx1"/>
                  </w14:solidFill>
                </w14:textFill>
              </w:rPr>
              <w:t>组成人</w:t>
            </w:r>
            <w:r>
              <w:rPr>
                <w:rFonts w:hint="eastAsia" w:ascii="宋体" w:hAnsi="宋体" w:eastAsia="宋体" w:cs="宋体"/>
                <w:color w:val="000000" w:themeColor="text1"/>
                <w:sz w:val="24"/>
                <w:szCs w:val="24"/>
                <w:highlight w:val="none"/>
                <w:u w:val="none"/>
                <w14:textFill>
                  <w14:solidFill>
                    <w14:schemeClr w14:val="tx1"/>
                  </w14:solidFill>
                </w14:textFill>
              </w:rPr>
              <w:t>员为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人</w:t>
            </w:r>
            <w:r>
              <w:rPr>
                <w:rFonts w:hint="eastAsia" w:ascii="宋体" w:hAnsi="宋体" w:eastAsia="宋体" w:cs="宋体"/>
                <w:color w:val="000000" w:themeColor="text1"/>
                <w:sz w:val="24"/>
                <w:szCs w:val="24"/>
                <w:highlight w:val="none"/>
                <w:u w:val="none"/>
                <w:lang w:eastAsia="zh-CN"/>
                <w14:textFill>
                  <w14:solidFill>
                    <w14:schemeClr w14:val="tx1"/>
                  </w14:solidFill>
                </w14:textFill>
              </w:rPr>
              <w:t>。</w:t>
            </w:r>
          </w:p>
        </w:tc>
      </w:tr>
      <w:tr w14:paraId="13ACC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72C0FBE9">
            <w:pPr>
              <w:pageBreakBefore w:val="0"/>
              <w:kinsoku/>
              <w:wordWrap w:val="0"/>
              <w:overflowPunct/>
              <w:topLinePunct/>
              <w:bidi w:val="0"/>
              <w:spacing w:before="258" w:line="188" w:lineRule="auto"/>
              <w:ind w:left="209"/>
              <w:jc w:val="both"/>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33</w:t>
            </w:r>
          </w:p>
        </w:tc>
        <w:tc>
          <w:tcPr>
            <w:tcW w:w="1860" w:type="dxa"/>
            <w:vAlign w:val="center"/>
          </w:tcPr>
          <w:p w14:paraId="2D8CBCB8">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评标方法</w:t>
            </w:r>
          </w:p>
        </w:tc>
        <w:tc>
          <w:tcPr>
            <w:tcW w:w="7544" w:type="dxa"/>
            <w:vAlign w:val="center"/>
          </w:tcPr>
          <w:p w14:paraId="7F413DD9">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综合评分法</w:t>
            </w:r>
          </w:p>
        </w:tc>
      </w:tr>
      <w:tr w14:paraId="13B0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311EE81">
            <w:pPr>
              <w:pageBreakBefore w:val="0"/>
              <w:kinsoku/>
              <w:wordWrap w:val="0"/>
              <w:overflowPunct/>
              <w:topLinePunct/>
              <w:bidi w:val="0"/>
              <w:spacing w:before="258" w:line="188" w:lineRule="auto"/>
              <w:ind w:left="209"/>
              <w:jc w:val="both"/>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34</w:t>
            </w:r>
          </w:p>
        </w:tc>
        <w:tc>
          <w:tcPr>
            <w:tcW w:w="1860" w:type="dxa"/>
            <w:vAlign w:val="center"/>
          </w:tcPr>
          <w:p w14:paraId="15493547">
            <w:pPr>
              <w:keepNext w:val="0"/>
              <w:keepLines w:val="0"/>
              <w:pageBreakBefore w:val="0"/>
              <w:widowControl w:val="0"/>
              <w:kinsoku/>
              <w:wordWrap w:val="0"/>
              <w:overflowPunct/>
              <w:topLinePunct/>
              <w:autoSpaceDE/>
              <w:autoSpaceDN/>
              <w:bidi w:val="0"/>
              <w:adjustRightInd/>
              <w:snapToGrid/>
              <w:spacing w:line="360" w:lineRule="auto"/>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投标文件编制</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及</w:t>
            </w:r>
            <w:r>
              <w:rPr>
                <w:rFonts w:hint="eastAsia" w:ascii="宋体" w:hAnsi="宋体" w:eastAsia="宋体" w:cs="宋体"/>
                <w:snapToGrid w:val="0"/>
                <w:color w:val="000000" w:themeColor="text1"/>
                <w:kern w:val="0"/>
                <w:sz w:val="24"/>
                <w:szCs w:val="24"/>
                <w:highlight w:val="none"/>
                <w14:textFill>
                  <w14:solidFill>
                    <w14:schemeClr w14:val="tx1"/>
                  </w14:solidFill>
                </w14:textFill>
              </w:rPr>
              <w:t>份数要求</w:t>
            </w:r>
          </w:p>
        </w:tc>
        <w:tc>
          <w:tcPr>
            <w:tcW w:w="7544" w:type="dxa"/>
            <w:vAlign w:val="center"/>
          </w:tcPr>
          <w:p w14:paraId="71BBA757">
            <w:pPr>
              <w:keepNext w:val="0"/>
              <w:keepLines w:val="0"/>
              <w:pageBreakBefore w:val="0"/>
              <w:widowControl/>
              <w:suppressLineNumbers w:val="0"/>
              <w:shd w:val="clear" w:color="auto" w:fill="auto"/>
              <w:kinsoku/>
              <w:wordWrap w:val="0"/>
              <w:overflowPunct/>
              <w:topLinePunct/>
              <w:bidi w:val="0"/>
              <w:spacing w:line="360" w:lineRule="auto"/>
              <w:ind w:firstLine="240" w:firstLineChars="1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投标人须上传（递交）投标文件：</w:t>
            </w:r>
          </w:p>
          <w:p w14:paraId="5EDF1AF7">
            <w:pPr>
              <w:keepNext w:val="0"/>
              <w:keepLines w:val="0"/>
              <w:pageBreakBefore w:val="0"/>
              <w:widowControl/>
              <w:suppressLineNumbers w:val="0"/>
              <w:shd w:val="clear" w:color="auto" w:fill="auto"/>
              <w:kinsoku/>
              <w:wordWrap w:val="0"/>
              <w:overflowPunct/>
              <w:topLinePunct/>
              <w:bidi w:val="0"/>
              <w:spacing w:line="360" w:lineRule="auto"/>
              <w:ind w:firstLine="240" w:firstLineChars="1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1、电子投标文件一套：</w:t>
            </w:r>
          </w:p>
          <w:p w14:paraId="62DED10D">
            <w:pPr>
              <w:keepNext w:val="0"/>
              <w:keepLines w:val="0"/>
              <w:pageBreakBefore w:val="0"/>
              <w:widowControl/>
              <w:suppressLineNumbers w:val="0"/>
              <w:shd w:val="clear" w:color="auto" w:fill="auto"/>
              <w:kinsoku/>
              <w:wordWrap w:val="0"/>
              <w:overflowPunct/>
              <w:topLinePunct/>
              <w:bidi w:val="0"/>
              <w:spacing w:line="360" w:lineRule="auto"/>
              <w:ind w:firstLine="480" w:firstLineChars="2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（1）商务标书1份；</w:t>
            </w:r>
          </w:p>
          <w:p w14:paraId="4FA92894">
            <w:pPr>
              <w:keepNext w:val="0"/>
              <w:keepLines w:val="0"/>
              <w:pageBreakBefore w:val="0"/>
              <w:widowControl/>
              <w:suppressLineNumbers w:val="0"/>
              <w:shd w:val="clear" w:color="auto" w:fill="auto"/>
              <w:kinsoku/>
              <w:wordWrap w:val="0"/>
              <w:overflowPunct/>
              <w:topLinePunct/>
              <w:bidi w:val="0"/>
              <w:spacing w:line="360" w:lineRule="auto"/>
              <w:ind w:firstLine="480" w:firstLineChars="2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（2）经济标书1份；</w:t>
            </w:r>
          </w:p>
          <w:p w14:paraId="790DDAE5">
            <w:pPr>
              <w:keepNext w:val="0"/>
              <w:keepLines w:val="0"/>
              <w:pageBreakBefore w:val="0"/>
              <w:widowControl/>
              <w:suppressLineNumbers w:val="0"/>
              <w:shd w:val="clear" w:color="auto" w:fill="auto"/>
              <w:kinsoku/>
              <w:wordWrap w:val="0"/>
              <w:overflowPunct/>
              <w:topLinePunct/>
              <w:bidi w:val="0"/>
              <w:spacing w:line="360" w:lineRule="auto"/>
              <w:ind w:firstLine="480" w:firstLineChars="2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（3）施工组织设计1份；</w:t>
            </w:r>
          </w:p>
          <w:p w14:paraId="486B3C96">
            <w:pPr>
              <w:keepNext w:val="0"/>
              <w:keepLines w:val="0"/>
              <w:pageBreakBefore w:val="0"/>
              <w:widowControl/>
              <w:suppressLineNumbers w:val="0"/>
              <w:shd w:val="clear" w:color="auto" w:fill="auto"/>
              <w:kinsoku/>
              <w:wordWrap w:val="0"/>
              <w:overflowPunct/>
              <w:topLinePunct/>
              <w:bidi w:val="0"/>
              <w:spacing w:line="360" w:lineRule="auto"/>
              <w:ind w:firstLine="480" w:firstLineChars="2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（4）定标文件1份；</w:t>
            </w:r>
          </w:p>
          <w:p w14:paraId="7A11B642">
            <w:pPr>
              <w:keepNext w:val="0"/>
              <w:keepLines w:val="0"/>
              <w:pageBreakBefore w:val="0"/>
              <w:widowControl/>
              <w:suppressLineNumbers w:val="0"/>
              <w:shd w:val="clear" w:color="auto" w:fill="auto"/>
              <w:kinsoku/>
              <w:wordWrap w:val="0"/>
              <w:overflowPunct/>
              <w:topLinePunct/>
              <w:bidi w:val="0"/>
              <w:spacing w:line="360" w:lineRule="auto"/>
              <w:ind w:firstLine="240" w:firstLineChars="1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2、对应评审要求的分项响应文件（如有）。</w:t>
            </w:r>
          </w:p>
          <w:p w14:paraId="08B9EDD5">
            <w:pPr>
              <w:keepNext w:val="0"/>
              <w:keepLines w:val="0"/>
              <w:pageBreakBefore w:val="0"/>
              <w:widowControl/>
              <w:suppressLineNumbers w:val="0"/>
              <w:shd w:val="clear" w:color="auto" w:fill="auto"/>
              <w:kinsoku/>
              <w:wordWrap w:val="0"/>
              <w:overflowPunct/>
              <w:topLinePunct/>
              <w:bidi w:val="0"/>
              <w:spacing w:line="360" w:lineRule="auto"/>
              <w:ind w:firstLine="480" w:firstLineChars="200"/>
              <w:jc w:val="left"/>
              <w:textAlignment w:val="cente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55E6B375">
            <w:pPr>
              <w:keepNext w:val="0"/>
              <w:keepLines w:val="0"/>
              <w:pageBreakBefore w:val="0"/>
              <w:widowControl w:val="0"/>
              <w:suppressLineNumbers w:val="0"/>
              <w:kinsoku/>
              <w:wordWrap w:val="0"/>
              <w:overflowPunct/>
              <w:topLinePunct/>
              <w:autoSpaceDE/>
              <w:autoSpaceDN/>
              <w:bidi w:val="0"/>
              <w:adjustRightInd/>
              <w:snapToGrid/>
              <w:spacing w:line="360" w:lineRule="auto"/>
              <w:ind w:left="105" w:leftChars="50" w:right="105" w:rightChars="50" w:firstLine="480" w:firstLineChars="200"/>
              <w:jc w:val="left"/>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3C45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17F27E28">
            <w:pPr>
              <w:pageBreakBefore w:val="0"/>
              <w:kinsoku/>
              <w:wordWrap w:val="0"/>
              <w:overflowPunct/>
              <w:topLinePunct/>
              <w:bidi w:val="0"/>
              <w:spacing w:before="258" w:line="188" w:lineRule="auto"/>
              <w:ind w:left="209"/>
              <w:jc w:val="both"/>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35</w:t>
            </w:r>
          </w:p>
        </w:tc>
        <w:tc>
          <w:tcPr>
            <w:tcW w:w="1860" w:type="dxa"/>
            <w:vAlign w:val="center"/>
          </w:tcPr>
          <w:p w14:paraId="16AE404B">
            <w:pPr>
              <w:keepNext w:val="0"/>
              <w:keepLines w:val="0"/>
              <w:pageBreakBefore w:val="0"/>
              <w:widowControl w:val="0"/>
              <w:kinsoku/>
              <w:wordWrap w:val="0"/>
              <w:overflowPunct/>
              <w:topLinePunct/>
              <w:autoSpaceDE/>
              <w:autoSpaceDN/>
              <w:bidi w:val="0"/>
              <w:adjustRightInd/>
              <w:snapToGrid/>
              <w:spacing w:line="400" w:lineRule="exact"/>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定标办法</w:t>
            </w:r>
          </w:p>
        </w:tc>
        <w:tc>
          <w:tcPr>
            <w:tcW w:w="7544" w:type="dxa"/>
            <w:vAlign w:val="center"/>
          </w:tcPr>
          <w:p w14:paraId="7F3CEC5D">
            <w:pPr>
              <w:keepNext w:val="0"/>
              <w:keepLines w:val="0"/>
              <w:pageBreakBefore w:val="0"/>
              <w:widowControl w:val="0"/>
              <w:suppressLineNumbers w:val="0"/>
              <w:kinsoku/>
              <w:wordWrap w:val="0"/>
              <w:overflowPunct/>
              <w:topLinePunct/>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采用</w:t>
            </w: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评定分离</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的项目，应选定下列定标办法：</w:t>
            </w:r>
          </w:p>
          <w:p w14:paraId="73A02760">
            <w:pPr>
              <w:keepNext w:val="0"/>
              <w:keepLines w:val="0"/>
              <w:pageBreakBefore w:val="0"/>
              <w:widowControl w:val="0"/>
              <w:suppressLineNumbers w:val="0"/>
              <w:kinsoku/>
              <w:wordWrap w:val="0"/>
              <w:overflowPunct/>
              <w:topLinePunct/>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☑票决数量法</w:t>
            </w:r>
          </w:p>
          <w:p w14:paraId="6092B211">
            <w:pPr>
              <w:keepNext w:val="0"/>
              <w:keepLines w:val="0"/>
              <w:pageBreakBefore w:val="0"/>
              <w:widowControl w:val="0"/>
              <w:suppressLineNumbers w:val="0"/>
              <w:kinsoku/>
              <w:wordWrap w:val="0"/>
              <w:overflowPunct/>
              <w:topLinePunct/>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□票决计分法</w:t>
            </w:r>
          </w:p>
          <w:p w14:paraId="3EBF3FD8">
            <w:pPr>
              <w:keepNext w:val="0"/>
              <w:keepLines w:val="0"/>
              <w:pageBreakBefore w:val="0"/>
              <w:widowControl w:val="0"/>
              <w:suppressLineNumbers w:val="0"/>
              <w:kinsoku/>
              <w:wordWrap w:val="0"/>
              <w:overflowPunct/>
              <w:topLinePunct/>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□集体议事法</w:t>
            </w:r>
          </w:p>
          <w:p w14:paraId="22A652BB">
            <w:pPr>
              <w:keepNext w:val="0"/>
              <w:keepLines w:val="0"/>
              <w:pageBreakBefore w:val="0"/>
              <w:widowControl w:val="0"/>
              <w:suppressLineNumbers w:val="0"/>
              <w:kinsoku/>
              <w:wordWrap w:val="0"/>
              <w:overflowPunct/>
              <w:topLinePunct/>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□其他方法：</w:t>
            </w:r>
          </w:p>
        </w:tc>
      </w:tr>
      <w:tr w14:paraId="4A765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54C3246">
            <w:pPr>
              <w:pageBreakBefore w:val="0"/>
              <w:kinsoku/>
              <w:wordWrap w:val="0"/>
              <w:overflowPunct/>
              <w:topLinePunct/>
              <w:bidi w:val="0"/>
              <w:spacing w:before="57" w:line="195"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36</w:t>
            </w:r>
          </w:p>
        </w:tc>
        <w:tc>
          <w:tcPr>
            <w:tcW w:w="1860" w:type="dxa"/>
            <w:vAlign w:val="center"/>
          </w:tcPr>
          <w:p w14:paraId="6C0D2F15">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招标文件要求提交的用于评审的证书、证件、证明原件</w:t>
            </w:r>
          </w:p>
        </w:tc>
        <w:tc>
          <w:tcPr>
            <w:tcW w:w="7544" w:type="dxa"/>
            <w:vAlign w:val="top"/>
          </w:tcPr>
          <w:p w14:paraId="7757E776">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在提交用于评审的证书、证件、证明原件的，投标人应自行将所需原件密封于文件袋（箱）中，并自行准备两张“原件一览表”(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7CA27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0B963467">
            <w:pPr>
              <w:pageBreakBefore w:val="0"/>
              <w:kinsoku/>
              <w:wordWrap w:val="0"/>
              <w:overflowPunct/>
              <w:topLinePunct/>
              <w:bidi w:val="0"/>
              <w:spacing w:before="69" w:line="188" w:lineRule="auto"/>
              <w:ind w:left="209"/>
              <w:rPr>
                <w:rFonts w:hint="eastAsia" w:ascii="宋体" w:hAnsi="宋体" w:eastAsia="宋体" w:cs="宋体"/>
                <w:color w:val="000000" w:themeColor="text1"/>
                <w:spacing w:val="-5"/>
                <w:sz w:val="24"/>
                <w:szCs w:val="24"/>
                <w:highlight w:val="none"/>
                <w:lang w:eastAsia="zh-CN"/>
                <w14:textFill>
                  <w14:solidFill>
                    <w14:schemeClr w14:val="tx1"/>
                  </w14:solidFill>
                </w14:textFill>
              </w:rPr>
            </w:pPr>
            <w:r>
              <w:rPr>
                <w:rFonts w:hint="eastAsia" w:ascii="宋体" w:hAnsi="宋体" w:eastAsia="宋体" w:cs="宋体"/>
                <w:color w:val="000000" w:themeColor="text1"/>
                <w:spacing w:val="-5"/>
                <w:sz w:val="24"/>
                <w:szCs w:val="24"/>
                <w:highlight w:val="none"/>
                <w:lang w:eastAsia="zh-CN"/>
                <w14:textFill>
                  <w14:solidFill>
                    <w14:schemeClr w14:val="tx1"/>
                  </w14:solidFill>
                </w14:textFill>
              </w:rPr>
              <w:t>3</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7</w:t>
            </w:r>
          </w:p>
        </w:tc>
        <w:tc>
          <w:tcPr>
            <w:tcW w:w="1860" w:type="dxa"/>
            <w:vAlign w:val="center"/>
          </w:tcPr>
          <w:p w14:paraId="5DCC3657">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招标代理费和评标专家酬劳</w:t>
            </w:r>
          </w:p>
        </w:tc>
        <w:tc>
          <w:tcPr>
            <w:tcW w:w="7544" w:type="dxa"/>
            <w:vAlign w:val="center"/>
          </w:tcPr>
          <w:p w14:paraId="1EF6BFD3">
            <w:pPr>
              <w:pageBreakBefore w:val="0"/>
              <w:widowControl w:val="0"/>
              <w:kinsoku/>
              <w:wordWrap w:val="0"/>
              <w:overflowPunct/>
              <w:topLinePunct/>
              <w:autoSpaceDE/>
              <w:autoSpaceDN/>
              <w:bidi w:val="0"/>
              <w:adjustRightInd w:val="0"/>
              <w:snapToGrid w:val="0"/>
              <w:spacing w:line="400" w:lineRule="exact"/>
              <w:ind w:left="0" w:leftChars="0" w:firstLine="218" w:firstLineChars="91"/>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本工程的招标代理费和评标专家酬劳由中标人支付，该费用不再另行报价，由投标人在投标报价时综合考虑在内。中标人须向招标代理机构一次性支付（招标代理服务费：根据《招标代理服务收费管理暂行办法》（计价格[2002]1980号）计算服务费用金额。</w:t>
            </w:r>
          </w:p>
        </w:tc>
      </w:tr>
      <w:tr w14:paraId="5DAF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48C5CF0C">
            <w:pPr>
              <w:pageBreakBefore w:val="0"/>
              <w:kinsoku/>
              <w:wordWrap w:val="0"/>
              <w:overflowPunct/>
              <w:topLinePunct/>
              <w:bidi w:val="0"/>
              <w:spacing w:before="69" w:line="188"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3</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8</w:t>
            </w:r>
          </w:p>
        </w:tc>
        <w:tc>
          <w:tcPr>
            <w:tcW w:w="1860" w:type="dxa"/>
            <w:vAlign w:val="center"/>
          </w:tcPr>
          <w:p w14:paraId="6E4AF6CE">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招标人</w:t>
            </w:r>
          </w:p>
          <w:p w14:paraId="643B0DDF">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联系方式</w:t>
            </w:r>
          </w:p>
        </w:tc>
        <w:tc>
          <w:tcPr>
            <w:tcW w:w="7544" w:type="dxa"/>
            <w:vAlign w:val="center"/>
          </w:tcPr>
          <w:p w14:paraId="4194EE61">
            <w:pPr>
              <w:keepNext w:val="0"/>
              <w:keepLines w:val="0"/>
              <w:pageBreakBefore w:val="0"/>
              <w:widowControl/>
              <w:shd w:val="clear" w:color="auto" w:fill="FFFFFF"/>
              <w:kinsoku/>
              <w:wordWrap w:val="0"/>
              <w:overflowPunct/>
              <w:topLinePunct/>
              <w:autoSpaceDE/>
              <w:autoSpaceDN/>
              <w:bidi w:val="0"/>
              <w:adjustRightInd/>
              <w:snapToGrid/>
              <w:spacing w:line="360" w:lineRule="auto"/>
              <w:ind w:firstLine="240" w:firstLineChars="100"/>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单位名称：韶关市浈江区鸿通投资有限公司</w:t>
            </w:r>
          </w:p>
          <w:p w14:paraId="744787F5">
            <w:pPr>
              <w:keepNext w:val="0"/>
              <w:keepLines w:val="0"/>
              <w:pageBreakBefore w:val="0"/>
              <w:widowControl/>
              <w:shd w:val="clear" w:color="auto" w:fill="FFFFFF"/>
              <w:kinsoku/>
              <w:wordWrap w:val="0"/>
              <w:overflowPunct/>
              <w:topLinePunct/>
              <w:autoSpaceDE/>
              <w:autoSpaceDN/>
              <w:bidi w:val="0"/>
              <w:adjustRightInd/>
              <w:snapToGrid/>
              <w:spacing w:line="360" w:lineRule="auto"/>
              <w:ind w:firstLine="240" w:firstLineChars="100"/>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办公地址：韶关市浈江区犁市镇人民路北1号</w:t>
            </w:r>
          </w:p>
          <w:p w14:paraId="31DD426A">
            <w:pPr>
              <w:keepNext w:val="0"/>
              <w:keepLines w:val="0"/>
              <w:pageBreakBefore w:val="0"/>
              <w:widowControl/>
              <w:shd w:val="clear" w:color="auto" w:fill="FFFFFF"/>
              <w:kinsoku/>
              <w:wordWrap w:val="0"/>
              <w:overflowPunct/>
              <w:topLinePunct/>
              <w:autoSpaceDE/>
              <w:autoSpaceDN/>
              <w:bidi w:val="0"/>
              <w:adjustRightInd/>
              <w:snapToGrid/>
              <w:spacing w:line="360" w:lineRule="auto"/>
              <w:ind w:firstLine="240" w:firstLineChars="100"/>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联系人：梁工</w:t>
            </w:r>
          </w:p>
          <w:p w14:paraId="4216C316">
            <w:pPr>
              <w:pageBreakBefore w:val="0"/>
              <w:kinsoku/>
              <w:wordWrap w:val="0"/>
              <w:overflowPunct/>
              <w:topLinePunct/>
              <w:bidi w:val="0"/>
              <w:adjustRightInd w:val="0"/>
              <w:snapToGrid w:val="0"/>
              <w:spacing w:line="360" w:lineRule="exact"/>
              <w:ind w:firstLine="240" w:firstLineChars="100"/>
              <w:jc w:val="lef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联系电话：0751-8277339</w:t>
            </w:r>
          </w:p>
        </w:tc>
      </w:tr>
      <w:tr w14:paraId="7708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trPr>
        <w:tc>
          <w:tcPr>
            <w:tcW w:w="582" w:type="dxa"/>
            <w:vAlign w:val="center"/>
          </w:tcPr>
          <w:p w14:paraId="001E2D05">
            <w:pPr>
              <w:pageBreakBefore w:val="0"/>
              <w:kinsoku/>
              <w:wordWrap w:val="0"/>
              <w:overflowPunct/>
              <w:topLinePunct/>
              <w:bidi w:val="0"/>
              <w:spacing w:before="69" w:line="188" w:lineRule="auto"/>
              <w:jc w:val="center"/>
              <w:rPr>
                <w:rFonts w:hint="default" w:ascii="宋体" w:hAnsi="宋体" w:eastAsia="宋体" w:cs="宋体"/>
                <w:color w:val="000000" w:themeColor="text1"/>
                <w:spacing w:val="-5"/>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39</w:t>
            </w:r>
          </w:p>
        </w:tc>
        <w:tc>
          <w:tcPr>
            <w:tcW w:w="1860" w:type="dxa"/>
            <w:vAlign w:val="center"/>
          </w:tcPr>
          <w:p w14:paraId="48B5763D">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招标代理机构</w:t>
            </w:r>
          </w:p>
          <w:p w14:paraId="595E6CA2">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联系方式</w:t>
            </w:r>
          </w:p>
        </w:tc>
        <w:tc>
          <w:tcPr>
            <w:tcW w:w="7544" w:type="dxa"/>
            <w:vAlign w:val="center"/>
          </w:tcPr>
          <w:p w14:paraId="575489D3">
            <w:pPr>
              <w:keepNext w:val="0"/>
              <w:keepLines w:val="0"/>
              <w:pageBreakBefore w:val="0"/>
              <w:widowControl/>
              <w:shd w:val="clear" w:color="auto" w:fill="FFFFFF"/>
              <w:kinsoku/>
              <w:wordWrap w:val="0"/>
              <w:overflowPunct/>
              <w:topLinePunct/>
              <w:autoSpaceDE/>
              <w:autoSpaceDN/>
              <w:bidi w:val="0"/>
              <w:adjustRightInd/>
              <w:snapToGrid/>
              <w:spacing w:line="360" w:lineRule="auto"/>
              <w:ind w:firstLine="240" w:firstLineChars="100"/>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单位名称：广东合正项目管理有限公司</w:t>
            </w:r>
          </w:p>
          <w:p w14:paraId="58CB65C7">
            <w:pPr>
              <w:keepNext w:val="0"/>
              <w:keepLines w:val="0"/>
              <w:pageBreakBefore w:val="0"/>
              <w:widowControl/>
              <w:shd w:val="clear" w:color="auto" w:fill="FFFFFF"/>
              <w:kinsoku/>
              <w:wordWrap w:val="0"/>
              <w:overflowPunct/>
              <w:topLinePunct/>
              <w:autoSpaceDE/>
              <w:autoSpaceDN/>
              <w:bidi w:val="0"/>
              <w:adjustRightInd/>
              <w:snapToGrid/>
              <w:spacing w:line="360" w:lineRule="auto"/>
              <w:ind w:firstLine="240" w:firstLineChars="100"/>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办公地址：韶关市武江区百旺大道42号莞韶双创中心研发办公楼五楼</w:t>
            </w:r>
          </w:p>
          <w:p w14:paraId="22169842">
            <w:pPr>
              <w:keepNext w:val="0"/>
              <w:keepLines w:val="0"/>
              <w:pageBreakBefore w:val="0"/>
              <w:widowControl/>
              <w:shd w:val="clear" w:color="auto" w:fill="FFFFFF"/>
              <w:kinsoku/>
              <w:wordWrap w:val="0"/>
              <w:overflowPunct/>
              <w:topLinePunct/>
              <w:autoSpaceDE/>
              <w:autoSpaceDN/>
              <w:bidi w:val="0"/>
              <w:adjustRightInd/>
              <w:snapToGrid/>
              <w:spacing w:line="360" w:lineRule="auto"/>
              <w:ind w:firstLine="240" w:firstLineChars="100"/>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项目负责人：吴佳洋</w:t>
            </w:r>
          </w:p>
          <w:p w14:paraId="08E84238">
            <w:pPr>
              <w:keepNext w:val="0"/>
              <w:keepLines w:val="0"/>
              <w:pageBreakBefore w:val="0"/>
              <w:widowControl/>
              <w:shd w:val="clear" w:color="auto" w:fill="FFFFFF"/>
              <w:kinsoku/>
              <w:wordWrap w:val="0"/>
              <w:overflowPunct/>
              <w:topLinePunct/>
              <w:autoSpaceDE/>
              <w:autoSpaceDN/>
              <w:bidi w:val="0"/>
              <w:adjustRightInd/>
              <w:snapToGrid/>
              <w:spacing w:line="360" w:lineRule="auto"/>
              <w:ind w:firstLine="240" w:firstLineChars="100"/>
              <w:jc w:val="left"/>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经办人：何高练、蔡健</w:t>
            </w:r>
          </w:p>
          <w:p w14:paraId="4F83C733">
            <w:pPr>
              <w:pageBreakBefore w:val="0"/>
              <w:kinsoku/>
              <w:wordWrap w:val="0"/>
              <w:overflowPunct/>
              <w:topLinePunct/>
              <w:bidi w:val="0"/>
              <w:adjustRightInd w:val="0"/>
              <w:snapToGrid w:val="0"/>
              <w:spacing w:line="360" w:lineRule="exact"/>
              <w:ind w:firstLine="240" w:firstLineChars="100"/>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电话：0751-8219991</w:t>
            </w:r>
          </w:p>
        </w:tc>
      </w:tr>
      <w:tr w14:paraId="62F7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60A530C7">
            <w:pPr>
              <w:pageBreakBefore w:val="0"/>
              <w:kinsoku/>
              <w:wordWrap w:val="0"/>
              <w:overflowPunct/>
              <w:topLinePunct/>
              <w:bidi w:val="0"/>
              <w:spacing w:before="69" w:line="188" w:lineRule="auto"/>
              <w:jc w:val="cente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40</w:t>
            </w:r>
          </w:p>
        </w:tc>
        <w:tc>
          <w:tcPr>
            <w:tcW w:w="1860" w:type="dxa"/>
            <w:vAlign w:val="center"/>
          </w:tcPr>
          <w:p w14:paraId="2160173D">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交易场所联系方式</w:t>
            </w:r>
          </w:p>
        </w:tc>
        <w:tc>
          <w:tcPr>
            <w:tcW w:w="7544" w:type="dxa"/>
            <w:vAlign w:val="center"/>
          </w:tcPr>
          <w:p w14:paraId="3AD84595">
            <w:pPr>
              <w:pStyle w:val="22"/>
              <w:pageBreakBefore w:val="0"/>
              <w:kinsoku/>
              <w:wordWrap w:val="0"/>
              <w:overflowPunct/>
              <w:topLinePunct/>
              <w:bidi w:val="0"/>
              <w:adjustRightInd w:val="0"/>
              <w:snapToGrid w:val="0"/>
              <w:spacing w:line="360" w:lineRule="auto"/>
              <w:ind w:firstLine="240" w:firstLineChars="1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单位名称：韶关市公共资源交易中心</w:t>
            </w:r>
          </w:p>
          <w:p w14:paraId="4C914831">
            <w:pPr>
              <w:pStyle w:val="22"/>
              <w:pageBreakBefore w:val="0"/>
              <w:kinsoku/>
              <w:wordWrap w:val="0"/>
              <w:overflowPunct/>
              <w:topLinePunct/>
              <w:bidi w:val="0"/>
              <w:adjustRightInd w:val="0"/>
              <w:snapToGrid w:val="0"/>
              <w:spacing w:line="360" w:lineRule="auto"/>
              <w:ind w:firstLine="240" w:firstLineChars="1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办公地址：广东省韶关市武江区西联镇</w:t>
            </w:r>
          </w:p>
          <w:p w14:paraId="0BFC000D">
            <w:pPr>
              <w:pStyle w:val="22"/>
              <w:pageBreakBefore w:val="0"/>
              <w:kinsoku/>
              <w:wordWrap w:val="0"/>
              <w:overflowPunct/>
              <w:topLinePunct/>
              <w:bidi w:val="0"/>
              <w:adjustRightInd w:val="0"/>
              <w:snapToGrid w:val="0"/>
              <w:spacing w:line="360" w:lineRule="auto"/>
              <w:ind w:firstLine="240" w:firstLineChars="1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联系人（部门）：工程交易</w:t>
            </w:r>
            <w:r>
              <w:rPr>
                <w:rFonts w:hint="eastAsia" w:ascii="宋体" w:hAnsi="宋体" w:cs="宋体"/>
                <w:color w:val="000000" w:themeColor="text1"/>
                <w:kern w:val="0"/>
                <w:sz w:val="24"/>
                <w:szCs w:val="24"/>
                <w:highlight w:val="none"/>
                <w:lang w:val="en-US" w:eastAsia="zh-CN"/>
                <w14:textFill>
                  <w14:solidFill>
                    <w14:schemeClr w14:val="tx1"/>
                  </w14:solidFill>
                </w14:textFill>
              </w:rPr>
              <w:t>部</w:t>
            </w:r>
          </w:p>
          <w:p w14:paraId="39946A86">
            <w:pPr>
              <w:pageBreakBefore w:val="0"/>
              <w:kinsoku/>
              <w:wordWrap w:val="0"/>
              <w:overflowPunct/>
              <w:topLinePunct/>
              <w:bidi w:val="0"/>
              <w:adjustRightInd w:val="0"/>
              <w:snapToGrid w:val="0"/>
              <w:spacing w:line="360" w:lineRule="exact"/>
              <w:ind w:firstLine="273" w:firstLineChars="114"/>
              <w:jc w:val="lef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联系电话：0751-8633211</w:t>
            </w:r>
          </w:p>
        </w:tc>
      </w:tr>
      <w:tr w14:paraId="170CB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1116AF">
            <w:pPr>
              <w:pageBreakBefore w:val="0"/>
              <w:kinsoku/>
              <w:wordWrap w:val="0"/>
              <w:overflowPunct/>
              <w:topLinePunct/>
              <w:bidi w:val="0"/>
              <w:spacing w:before="69" w:line="188" w:lineRule="auto"/>
              <w:jc w:val="cente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41</w:t>
            </w:r>
          </w:p>
        </w:tc>
        <w:tc>
          <w:tcPr>
            <w:tcW w:w="1860" w:type="dxa"/>
            <w:vAlign w:val="center"/>
          </w:tcPr>
          <w:p w14:paraId="4B0D3004">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行政监督部</w:t>
            </w:r>
          </w:p>
          <w:p w14:paraId="4EED7E68">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门联系方式</w:t>
            </w:r>
          </w:p>
        </w:tc>
        <w:tc>
          <w:tcPr>
            <w:tcW w:w="7544" w:type="dxa"/>
            <w:vAlign w:val="center"/>
          </w:tcPr>
          <w:p w14:paraId="3D9DD05B">
            <w:pPr>
              <w:pStyle w:val="22"/>
              <w:pageBreakBefore w:val="0"/>
              <w:kinsoku/>
              <w:wordWrap w:val="0"/>
              <w:overflowPunct/>
              <w:topLinePunct/>
              <w:bidi w:val="0"/>
              <w:adjustRightInd w:val="0"/>
              <w:snapToGrid w:val="0"/>
              <w:spacing w:line="360" w:lineRule="auto"/>
              <w:ind w:firstLine="240" w:firstLineChars="1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单位名称：韶关市住房和城乡建设管理局</w:t>
            </w:r>
          </w:p>
          <w:p w14:paraId="3071EB82">
            <w:pPr>
              <w:pStyle w:val="22"/>
              <w:pageBreakBefore w:val="0"/>
              <w:kinsoku/>
              <w:wordWrap w:val="0"/>
              <w:overflowPunct/>
              <w:topLinePunct/>
              <w:bidi w:val="0"/>
              <w:adjustRightInd w:val="0"/>
              <w:snapToGrid w:val="0"/>
              <w:spacing w:line="360" w:lineRule="auto"/>
              <w:ind w:firstLine="240" w:firstLineChars="1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办公地址：广东省韶关市武江区芙蓉东路5号</w:t>
            </w:r>
          </w:p>
          <w:p w14:paraId="693CBE94">
            <w:pPr>
              <w:pStyle w:val="22"/>
              <w:pageBreakBefore w:val="0"/>
              <w:kinsoku/>
              <w:wordWrap w:val="0"/>
              <w:overflowPunct/>
              <w:topLinePunct/>
              <w:bidi w:val="0"/>
              <w:adjustRightInd w:val="0"/>
              <w:snapToGrid w:val="0"/>
              <w:spacing w:line="360" w:lineRule="auto"/>
              <w:ind w:firstLine="240" w:firstLineChars="100"/>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联系人（部门）：建筑业市场管理科</w:t>
            </w:r>
          </w:p>
          <w:p w14:paraId="199262C0">
            <w:pPr>
              <w:pageBreakBefore w:val="0"/>
              <w:kinsoku/>
              <w:wordWrap w:val="0"/>
              <w:overflowPunct/>
              <w:topLinePunct/>
              <w:bidi w:val="0"/>
              <w:adjustRightInd w:val="0"/>
              <w:snapToGrid w:val="0"/>
              <w:spacing w:line="360" w:lineRule="exact"/>
              <w:ind w:firstLine="273" w:firstLineChars="114"/>
              <w:jc w:val="lef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联系电话：0751-8892601</w:t>
            </w:r>
          </w:p>
        </w:tc>
      </w:tr>
    </w:tbl>
    <w:p w14:paraId="32F9105E">
      <w:pPr>
        <w:pageBreakBefore w:val="0"/>
        <w:kinsoku/>
        <w:wordWrap w:val="0"/>
        <w:overflowPunct/>
        <w:topLinePunct/>
        <w:bidi w:val="0"/>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5" w:name="bookmark115"/>
      <w:bookmarkEnd w:id="5"/>
      <w:r>
        <w:rPr>
          <w:rFonts w:hint="eastAsia" w:ascii="宋体" w:hAnsi="宋体" w:eastAsia="宋体" w:cs="宋体"/>
          <w:b/>
          <w:bCs/>
          <w:color w:val="000000" w:themeColor="text1"/>
          <w:spacing w:val="-3"/>
          <w:sz w:val="24"/>
          <w:szCs w:val="24"/>
          <w:highlight w:val="none"/>
          <w14:textFill>
            <w14:solidFill>
              <w14:schemeClr w14:val="tx1"/>
            </w14:solidFill>
          </w14:textFill>
        </w:rPr>
        <w:br w:type="page"/>
      </w:r>
    </w:p>
    <w:p w14:paraId="50B673BA">
      <w:pPr>
        <w:pageBreakBefore w:val="0"/>
        <w:kinsoku/>
        <w:wordWrap w:val="0"/>
        <w:overflowPunct/>
        <w:topLinePunct/>
        <w:bidi w:val="0"/>
        <w:spacing w:before="156" w:line="219" w:lineRule="auto"/>
        <w:ind w:left="17"/>
        <w:jc w:val="left"/>
        <w:outlineLvl w:val="1"/>
        <w:rPr>
          <w:rFonts w:hint="eastAsia" w:ascii="宋体" w:hAnsi="宋体" w:eastAsia="宋体" w:cs="宋体"/>
          <w:color w:val="000000" w:themeColor="text1"/>
          <w:highlight w:val="none"/>
          <w14:textFill>
            <w14:solidFill>
              <w14:schemeClr w14:val="tx1"/>
            </w14:solidFill>
          </w14:textFill>
        </w:rPr>
      </w:pPr>
      <w:bookmarkStart w:id="6" w:name="_Toc2245"/>
      <w:r>
        <w:rPr>
          <w:rFonts w:hint="eastAsia" w:ascii="宋体" w:hAnsi="宋体" w:eastAsia="宋体" w:cs="宋体"/>
          <w:b/>
          <w:bCs/>
          <w:color w:val="000000" w:themeColor="text1"/>
          <w:spacing w:val="-3"/>
          <w:sz w:val="24"/>
          <w:szCs w:val="24"/>
          <w:highlight w:val="none"/>
          <w14:textFill>
            <w14:solidFill>
              <w14:schemeClr w14:val="tx1"/>
            </w14:solidFill>
          </w14:textFill>
        </w:rPr>
        <w:t>第二节 重要事项时间地点一览表</w:t>
      </w:r>
      <w:bookmarkEnd w:id="6"/>
    </w:p>
    <w:p w14:paraId="5CDB8B86">
      <w:pPr>
        <w:pStyle w:val="5"/>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bl>
      <w:tblPr>
        <w:tblStyle w:val="14"/>
        <w:tblW w:w="5003"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1"/>
        <w:gridCol w:w="1402"/>
        <w:gridCol w:w="7909"/>
      </w:tblGrid>
      <w:tr w14:paraId="4638B1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DD770CE">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1469C09A">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招标公告</w:t>
            </w:r>
          </w:p>
          <w:p w14:paraId="49C1D403">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B37DAD7">
            <w:pPr>
              <w:pStyle w:val="22"/>
              <w:pageBreakBefore w:val="0"/>
              <w:widowControl/>
              <w:kinsoku/>
              <w:wordWrap w:val="0"/>
              <w:overflowPunct/>
              <w:topLinePunct/>
              <w:bidi w:val="0"/>
              <w:snapToGrid w:val="0"/>
              <w:jc w:val="lef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13</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17</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00</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分</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r>
      <w:tr w14:paraId="4D6826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A210CCE">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1E10F9A0">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获取招标文件</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997CA77">
            <w:pPr>
              <w:pStyle w:val="22"/>
              <w:pageBreakBefore w:val="0"/>
              <w:widowControl/>
              <w:kinsoku/>
              <w:wordWrap w:val="0"/>
              <w:overflowPunct/>
              <w:topLinePunct/>
              <w:bidi w:val="0"/>
              <w:snapToGrid w:val="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9 </w:t>
            </w:r>
            <w:r>
              <w:rPr>
                <w:rFonts w:hint="eastAsia" w:ascii="宋体" w:hAnsi="宋体" w:eastAsia="宋体" w:cs="宋体"/>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kern w:val="0"/>
                <w:sz w:val="24"/>
                <w:szCs w:val="24"/>
                <w:highlight w:val="none"/>
                <w14:textFill>
                  <w14:solidFill>
                    <w14:schemeClr w14:val="tx1"/>
                  </w14:solidFill>
                </w14:textFill>
              </w:rPr>
              <w:t>分</w:t>
            </w:r>
          </w:p>
        </w:tc>
      </w:tr>
      <w:tr w14:paraId="623250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62114DFA">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2C3092EC">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网上提问</w:t>
            </w:r>
          </w:p>
          <w:p w14:paraId="113DE370">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472AA7DA">
            <w:pPr>
              <w:pStyle w:val="22"/>
              <w:pageBreakBefore w:val="0"/>
              <w:kinsoku/>
              <w:wordWrap w:val="0"/>
              <w:overflowPunct/>
              <w:topLinePunct/>
              <w:bidi w:val="0"/>
              <w:adjustRightInd w:val="0"/>
              <w:snapToGrid w:val="0"/>
              <w:spacing w:line="400" w:lineRule="exact"/>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25</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16</w:t>
            </w:r>
            <w:r>
              <w:rPr>
                <w:rFonts w:hint="eastAsia" w:ascii="宋体" w:hAnsi="宋体" w:eastAsia="宋体" w:cs="宋体"/>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00</w:t>
            </w:r>
            <w:r>
              <w:rPr>
                <w:rFonts w:hint="eastAsia" w:ascii="宋体" w:hAnsi="宋体" w:eastAsia="宋体" w:cs="宋体"/>
                <w:color w:val="000000" w:themeColor="text1"/>
                <w:kern w:val="0"/>
                <w:sz w:val="24"/>
                <w:szCs w:val="24"/>
                <w:highlight w:val="none"/>
                <w14:textFill>
                  <w14:solidFill>
                    <w14:schemeClr w14:val="tx1"/>
                  </w14:solidFill>
                </w14:textFill>
              </w:rPr>
              <w:t>分</w:t>
            </w:r>
          </w:p>
        </w:tc>
      </w:tr>
      <w:tr w14:paraId="7F95A1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C71CEDF">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36128089">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网上答疑</w:t>
            </w:r>
          </w:p>
          <w:p w14:paraId="1C2E586B">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238EE81">
            <w:pPr>
              <w:pStyle w:val="22"/>
              <w:pageBreakBefore w:val="0"/>
              <w:widowControl/>
              <w:kinsoku/>
              <w:wordWrap w:val="0"/>
              <w:overflowPunct/>
              <w:topLinePunct/>
              <w:bidi w:val="0"/>
              <w:snapToGrid w:val="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25</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16 </w:t>
            </w:r>
            <w:r>
              <w:rPr>
                <w:rFonts w:hint="eastAsia" w:ascii="宋体" w:hAnsi="宋体" w:eastAsia="宋体" w:cs="宋体"/>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30 </w:t>
            </w:r>
            <w:r>
              <w:rPr>
                <w:rFonts w:hint="eastAsia" w:ascii="宋体" w:hAnsi="宋体" w:eastAsia="宋体" w:cs="宋体"/>
                <w:color w:val="000000" w:themeColor="text1"/>
                <w:kern w:val="0"/>
                <w:sz w:val="24"/>
                <w:szCs w:val="24"/>
                <w:highlight w:val="none"/>
                <w14:textFill>
                  <w14:solidFill>
                    <w14:schemeClr w14:val="tx1"/>
                  </w14:solidFill>
                </w14:textFill>
              </w:rPr>
              <w:t>分至</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28</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16 </w:t>
            </w:r>
            <w:r>
              <w:rPr>
                <w:rFonts w:hint="eastAsia" w:ascii="宋体" w:hAnsi="宋体" w:eastAsia="宋体" w:cs="宋体"/>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00</w:t>
            </w:r>
            <w:r>
              <w:rPr>
                <w:rFonts w:hint="eastAsia" w:ascii="宋体" w:hAnsi="宋体" w:eastAsia="宋体" w:cs="宋体"/>
                <w:color w:val="000000" w:themeColor="text1"/>
                <w:kern w:val="0"/>
                <w:sz w:val="24"/>
                <w:szCs w:val="24"/>
                <w:highlight w:val="none"/>
                <w14:textFill>
                  <w14:solidFill>
                    <w14:schemeClr w14:val="tx1"/>
                  </w14:solidFill>
                </w14:textFill>
              </w:rPr>
              <w:t>分</w:t>
            </w:r>
          </w:p>
        </w:tc>
      </w:tr>
      <w:tr w14:paraId="79855A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2A2F53B3">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199B2E3E">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投标保证缴</w:t>
            </w:r>
          </w:p>
          <w:p w14:paraId="0DD9C2B9">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169D01AC">
            <w:pPr>
              <w:pStyle w:val="22"/>
              <w:pageBreakBefore w:val="0"/>
              <w:widowControl/>
              <w:kinsoku/>
              <w:wordWrap w:val="0"/>
              <w:overflowPunct/>
              <w:topLinePunct/>
              <w:bidi w:val="0"/>
              <w:snapToGrid w:val="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投标保证金到账截止时间：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9 </w:t>
            </w:r>
            <w:r>
              <w:rPr>
                <w:rFonts w:hint="eastAsia" w:ascii="宋体" w:hAnsi="宋体" w:eastAsia="宋体" w:cs="宋体"/>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kern w:val="0"/>
                <w:sz w:val="24"/>
                <w:szCs w:val="24"/>
                <w:highlight w:val="none"/>
                <w14:textFill>
                  <w14:solidFill>
                    <w14:schemeClr w14:val="tx1"/>
                  </w14:solidFill>
                </w14:textFill>
              </w:rPr>
              <w:t>分；</w:t>
            </w:r>
          </w:p>
          <w:p w14:paraId="10B8040B">
            <w:pPr>
              <w:pStyle w:val="22"/>
              <w:pageBreakBefore w:val="0"/>
              <w:widowControl/>
              <w:kinsoku/>
              <w:wordWrap w:val="0"/>
              <w:overflowPunct/>
              <w:topLinePunct/>
              <w:bidi w:val="0"/>
              <w:snapToGrid w:val="0"/>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投标保证担保上传截止时间：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9 </w:t>
            </w:r>
            <w:r>
              <w:rPr>
                <w:rFonts w:hint="eastAsia" w:ascii="宋体" w:hAnsi="宋体" w:eastAsia="宋体" w:cs="宋体"/>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kern w:val="0"/>
                <w:sz w:val="24"/>
                <w:szCs w:val="24"/>
                <w:highlight w:val="none"/>
                <w14:textFill>
                  <w14:solidFill>
                    <w14:schemeClr w14:val="tx1"/>
                  </w14:solidFill>
                </w14:textFill>
              </w:rPr>
              <w:t>分；</w:t>
            </w:r>
          </w:p>
          <w:p w14:paraId="69000291">
            <w:pPr>
              <w:pStyle w:val="22"/>
              <w:pageBreakBefore w:val="0"/>
              <w:widowControl/>
              <w:kinsoku/>
              <w:wordWrap w:val="0"/>
              <w:overflowPunct/>
              <w:topLinePunct/>
              <w:bidi w:val="0"/>
              <w:snapToGrid w:val="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投标保证保险投保截止时间：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9 </w:t>
            </w:r>
            <w:r>
              <w:rPr>
                <w:rFonts w:hint="eastAsia" w:ascii="宋体" w:hAnsi="宋体" w:eastAsia="宋体" w:cs="宋体"/>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kern w:val="0"/>
                <w:sz w:val="24"/>
                <w:szCs w:val="24"/>
                <w:highlight w:val="none"/>
                <w14:textFill>
                  <w14:solidFill>
                    <w14:schemeClr w14:val="tx1"/>
                  </w14:solidFill>
                </w14:textFill>
              </w:rPr>
              <w:t>分。</w:t>
            </w:r>
          </w:p>
        </w:tc>
      </w:tr>
      <w:tr w14:paraId="0119E5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4947DBC4">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6</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E58BBBB">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电子投标</w:t>
            </w:r>
          </w:p>
          <w:p w14:paraId="4FA37363">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41BA3BD0">
            <w:pPr>
              <w:pStyle w:val="22"/>
              <w:pageBreakBefore w:val="0"/>
              <w:widowControl/>
              <w:kinsoku/>
              <w:wordWrap w:val="0"/>
              <w:overflowPunct/>
              <w:topLinePunct/>
              <w:bidi w:val="0"/>
              <w:snapToGrid w:val="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9 </w:t>
            </w:r>
            <w:r>
              <w:rPr>
                <w:rFonts w:hint="eastAsia" w:ascii="宋体" w:hAnsi="宋体" w:eastAsia="宋体" w:cs="宋体"/>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kern w:val="0"/>
                <w:sz w:val="24"/>
                <w:szCs w:val="24"/>
                <w:highlight w:val="none"/>
                <w14:textFill>
                  <w14:solidFill>
                    <w14:schemeClr w14:val="tx1"/>
                  </w14:solidFill>
                </w14:textFill>
              </w:rPr>
              <w:t>分</w:t>
            </w:r>
          </w:p>
        </w:tc>
      </w:tr>
      <w:tr w14:paraId="385D1B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7050A2A">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7</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E6FD777">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投标评审原件（如有）</w:t>
            </w:r>
          </w:p>
          <w:p w14:paraId="0C084E6C">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402BB598">
            <w:pPr>
              <w:pStyle w:val="22"/>
              <w:pageBreakBefore w:val="0"/>
              <w:widowControl/>
              <w:kinsoku/>
              <w:wordWrap w:val="0"/>
              <w:overflowPunct/>
              <w:topLinePunct/>
              <w:bidi w:val="0"/>
              <w:snapToGrid w:val="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9 </w:t>
            </w:r>
            <w:r>
              <w:rPr>
                <w:rFonts w:hint="eastAsia" w:ascii="宋体" w:hAnsi="宋体" w:eastAsia="宋体" w:cs="宋体"/>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00</w:t>
            </w:r>
            <w:r>
              <w:rPr>
                <w:rFonts w:hint="eastAsia" w:ascii="宋体" w:hAnsi="宋体" w:eastAsia="宋体" w:cs="宋体"/>
                <w:color w:val="000000" w:themeColor="text1"/>
                <w:kern w:val="0"/>
                <w:sz w:val="24"/>
                <w:szCs w:val="24"/>
                <w:highlight w:val="none"/>
                <w14:textFill>
                  <w14:solidFill>
                    <w14:schemeClr w14:val="tx1"/>
                  </w14:solidFill>
                </w14:textFill>
              </w:rPr>
              <w:t>分至</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9 </w:t>
            </w:r>
            <w:r>
              <w:rPr>
                <w:rFonts w:hint="eastAsia" w:ascii="宋体" w:hAnsi="宋体" w:eastAsia="宋体" w:cs="宋体"/>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kern w:val="0"/>
                <w:sz w:val="24"/>
                <w:szCs w:val="24"/>
                <w:highlight w:val="none"/>
                <w14:textFill>
                  <w14:solidFill>
                    <w14:schemeClr w14:val="tx1"/>
                  </w14:solidFill>
                </w14:textFill>
              </w:rPr>
              <w:t>分</w:t>
            </w:r>
          </w:p>
        </w:tc>
      </w:tr>
      <w:tr w14:paraId="7C88C2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3F4CCC5C">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8</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0D481BEE">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投标评审原件（如有）</w:t>
            </w:r>
          </w:p>
          <w:p w14:paraId="3F7136D1">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4CF3204">
            <w:pPr>
              <w:pStyle w:val="22"/>
              <w:pageBreakBefore w:val="0"/>
              <w:kinsoku/>
              <w:wordWrap w:val="0"/>
              <w:overflowPunct/>
              <w:topLinePunct/>
              <w:bidi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递交场所：韶关市公共资源交易中心</w:t>
            </w:r>
          </w:p>
          <w:p w14:paraId="57A839B9">
            <w:pPr>
              <w:pStyle w:val="22"/>
              <w:pageBreakBefore w:val="0"/>
              <w:kinsoku/>
              <w:wordWrap w:val="0"/>
              <w:overflowPunct/>
              <w:topLinePunct/>
              <w:bidi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地址：广东省韶关市武江区西联镇，具体房间号以当日现场通知为准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tc>
      </w:tr>
      <w:tr w14:paraId="5FBED7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7B5A5915">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9</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5EC59311">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ADE77CA">
            <w:pPr>
              <w:pStyle w:val="22"/>
              <w:pageBreakBefore w:val="0"/>
              <w:kinsoku/>
              <w:wordWrap w:val="0"/>
              <w:overflowPunct/>
              <w:topLinePunct/>
              <w:bidi w:val="0"/>
              <w:adjustRightInd w:val="0"/>
              <w:snapToGrid w:val="0"/>
              <w:spacing w:line="400" w:lineRule="exact"/>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2026</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年</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月</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kern w:val="0"/>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14:textFill>
                  <w14:solidFill>
                    <w14:schemeClr w14:val="tx1"/>
                  </w14:solidFill>
                </w14:textFill>
              </w:rPr>
              <w:t>日</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9 </w:t>
            </w:r>
            <w:r>
              <w:rPr>
                <w:rFonts w:hint="eastAsia" w:ascii="宋体" w:hAnsi="宋体" w:eastAsia="宋体" w:cs="宋体"/>
                <w:color w:val="000000" w:themeColor="text1"/>
                <w:kern w:val="0"/>
                <w:sz w:val="24"/>
                <w:szCs w:val="24"/>
                <w:highlight w:val="none"/>
                <w14:textFill>
                  <w14:solidFill>
                    <w14:schemeClr w14:val="tx1"/>
                  </w14:solidFill>
                </w14:textFill>
              </w:rPr>
              <w:t>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kern w:val="0"/>
                <w:sz w:val="24"/>
                <w:szCs w:val="24"/>
                <w:highlight w:val="none"/>
                <w14:textFill>
                  <w14:solidFill>
                    <w14:schemeClr w14:val="tx1"/>
                  </w14:solidFill>
                </w14:textFill>
              </w:rPr>
              <w:t>分</w:t>
            </w:r>
          </w:p>
        </w:tc>
      </w:tr>
      <w:tr w14:paraId="7067DA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7" w:hRule="exact"/>
        </w:trPr>
        <w:tc>
          <w:tcPr>
            <w:tcW w:w="231" w:type="pct"/>
            <w:tcBorders>
              <w:top w:val="single" w:color="080000" w:sz="4" w:space="0"/>
              <w:left w:val="single" w:color="080000" w:sz="4" w:space="0"/>
              <w:bottom w:val="single" w:color="080000" w:sz="4" w:space="0"/>
              <w:right w:val="single" w:color="080000" w:sz="4" w:space="0"/>
            </w:tcBorders>
            <w:noWrap w:val="0"/>
            <w:vAlign w:val="center"/>
          </w:tcPr>
          <w:p w14:paraId="306F0DB6">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717" w:type="pct"/>
            <w:tcBorders>
              <w:top w:val="single" w:color="080000" w:sz="4" w:space="0"/>
              <w:left w:val="single" w:color="080000" w:sz="4" w:space="0"/>
              <w:bottom w:val="single" w:color="080000" w:sz="4" w:space="0"/>
              <w:right w:val="single" w:color="080000" w:sz="4" w:space="0"/>
            </w:tcBorders>
            <w:noWrap w:val="0"/>
            <w:vAlign w:val="center"/>
          </w:tcPr>
          <w:p w14:paraId="66E74DFF">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A1410AC">
            <w:pPr>
              <w:pStyle w:val="22"/>
              <w:pageBreakBefore w:val="0"/>
              <w:kinsoku/>
              <w:wordWrap w:val="0"/>
              <w:overflowPunct/>
              <w:topLinePunct/>
              <w:bidi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开标场所：韶关市公共资源交易中心</w:t>
            </w:r>
          </w:p>
          <w:p w14:paraId="2E44F3D6">
            <w:pPr>
              <w:pStyle w:val="22"/>
              <w:pageBreakBefore w:val="0"/>
              <w:kinsoku/>
              <w:wordWrap w:val="0"/>
              <w:overflowPunct/>
              <w:topLinePunct/>
              <w:bidi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地址：广东省韶关市武江区西联镇，具体房间号以当日现场通知为准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tc>
      </w:tr>
      <w:tr w14:paraId="46EF83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2C007A82">
            <w:pPr>
              <w:pStyle w:val="22"/>
              <w:pageBreakBefore w:val="0"/>
              <w:kinsoku/>
              <w:wordWrap w:val="0"/>
              <w:overflowPunct/>
              <w:topLinePunct/>
              <w:bidi w:val="0"/>
              <w:adjustRightInd w:val="0"/>
              <w:snapToGrid w:val="0"/>
              <w:spacing w:line="360" w:lineRule="exact"/>
              <w:jc w:val="center"/>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3140A13F">
            <w:pPr>
              <w:pStyle w:val="22"/>
              <w:pageBreakBefore w:val="0"/>
              <w:kinsoku/>
              <w:wordWrap w:val="0"/>
              <w:overflowPunct/>
              <w:topLinePunct/>
              <w:bidi w:val="0"/>
              <w:adjustRightInd w:val="0"/>
              <w:snapToGrid w:val="0"/>
              <w:spacing w:line="400" w:lineRule="exact"/>
              <w:ind w:firstLine="240" w:firstLineChars="100"/>
              <w:jc w:val="lef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自行下载招标文件、资料文件及招标答疑书等。若由于投标人自身原因未能及时取得上述资料的，由此发生的任何责任由投标人自负。</w:t>
            </w:r>
          </w:p>
        </w:tc>
      </w:tr>
    </w:tbl>
    <w:p w14:paraId="5DFE5407">
      <w:pPr>
        <w:pageBreakBefore w:val="0"/>
        <w:tabs>
          <w:tab w:val="left" w:pos="8820"/>
        </w:tabs>
        <w:kinsoku/>
        <w:wordWrap w:val="0"/>
        <w:overflowPunct/>
        <w:topLinePunct/>
        <w:bidi w:val="0"/>
        <w:rPr>
          <w:rFonts w:hint="eastAsia" w:ascii="宋体" w:hAnsi="宋体" w:eastAsia="宋体" w:cs="宋体"/>
          <w:b w:val="0"/>
          <w:bCs w:val="0"/>
          <w:color w:val="000000" w:themeColor="text1"/>
          <w:sz w:val="24"/>
          <w:szCs w:val="24"/>
          <w:highlight w:val="none"/>
          <w14:textFill>
            <w14:solidFill>
              <w14:schemeClr w14:val="tx1"/>
            </w14:solidFill>
          </w14:textFill>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66FA8B70">
      <w:pPr>
        <w:pageBreakBefore w:val="0"/>
        <w:kinsoku/>
        <w:wordWrap w:val="0"/>
        <w:overflowPunct/>
        <w:topLinePunct/>
        <w:bidi w:val="0"/>
        <w:jc w:val="center"/>
        <w:outlineLvl w:val="1"/>
        <w:rPr>
          <w:rFonts w:hint="eastAsia" w:ascii="宋体" w:hAnsi="宋体" w:eastAsia="宋体" w:cs="宋体"/>
          <w:color w:val="000000" w:themeColor="text1"/>
          <w:sz w:val="24"/>
          <w:szCs w:val="24"/>
          <w:highlight w:val="none"/>
          <w14:textFill>
            <w14:solidFill>
              <w14:schemeClr w14:val="tx1"/>
            </w14:solidFill>
          </w14:textFill>
        </w:rPr>
      </w:pPr>
      <w:bookmarkStart w:id="7" w:name="_Toc7248"/>
      <w:r>
        <w:rPr>
          <w:rFonts w:hint="eastAsia" w:ascii="宋体" w:hAnsi="宋体" w:eastAsia="宋体" w:cs="宋体"/>
          <w:b/>
          <w:bCs/>
          <w:color w:val="000000" w:themeColor="text1"/>
          <w:spacing w:val="-3"/>
          <w:sz w:val="24"/>
          <w:szCs w:val="24"/>
          <w:highlight w:val="none"/>
          <w14:textFill>
            <w14:solidFill>
              <w14:schemeClr w14:val="tx1"/>
            </w14:solidFill>
          </w14:textFill>
        </w:rPr>
        <w:t>第三节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投标人须知正文</w:t>
      </w:r>
      <w:bookmarkEnd w:id="7"/>
    </w:p>
    <w:p w14:paraId="63C70553">
      <w:pPr>
        <w:pStyle w:val="5"/>
        <w:pageBreakBefore w:val="0"/>
        <w:kinsoku/>
        <w:wordWrap w:val="0"/>
        <w:overflowPunct/>
        <w:topLinePunct/>
        <w:bidi w:val="0"/>
        <w:spacing w:line="256" w:lineRule="auto"/>
        <w:rPr>
          <w:rFonts w:hint="eastAsia" w:ascii="宋体" w:hAnsi="宋体" w:eastAsia="宋体" w:cs="宋体"/>
          <w:color w:val="000000" w:themeColor="text1"/>
          <w:highlight w:val="none"/>
          <w14:textFill>
            <w14:solidFill>
              <w14:schemeClr w14:val="tx1"/>
            </w14:solidFill>
          </w14:textFill>
        </w:rPr>
      </w:pPr>
    </w:p>
    <w:p w14:paraId="3807ACB9">
      <w:pPr>
        <w:pStyle w:val="5"/>
        <w:pageBreakBefore w:val="0"/>
        <w:kinsoku/>
        <w:wordWrap w:val="0"/>
        <w:overflowPunct/>
        <w:topLinePunct/>
        <w:bidi w:val="0"/>
        <w:spacing w:line="257" w:lineRule="auto"/>
        <w:rPr>
          <w:rFonts w:hint="eastAsia" w:ascii="宋体" w:hAnsi="宋体" w:eastAsia="宋体" w:cs="宋体"/>
          <w:color w:val="000000" w:themeColor="text1"/>
          <w:highlight w:val="none"/>
          <w14:textFill>
            <w14:solidFill>
              <w14:schemeClr w14:val="tx1"/>
            </w14:solidFill>
          </w14:textFill>
        </w:rPr>
      </w:pPr>
    </w:p>
    <w:p w14:paraId="4B2D48CC">
      <w:pPr>
        <w:keepNext w:val="0"/>
        <w:keepLines w:val="0"/>
        <w:pageBreakBefore w:val="0"/>
        <w:widowControl/>
        <w:suppressLineNumbers w:val="0"/>
        <w:kinsoku/>
        <w:wordWrap w:val="0"/>
        <w:overflowPunct/>
        <w:topLinePunct/>
        <w:bidi w:val="0"/>
        <w:spacing w:line="360" w:lineRule="auto"/>
        <w:ind w:right="-258" w:rightChars="-123" w:firstLine="480" w:firstLineChars="200"/>
        <w:jc w:val="left"/>
        <w:rPr>
          <w:rFonts w:hint="eastAsia" w:ascii="宋体" w:hAnsi="宋体" w:eastAsia="宋体" w:cs="宋体"/>
          <w:color w:val="000000" w:themeColor="text1"/>
          <w:sz w:val="36"/>
          <w:szCs w:val="36"/>
          <w:highlight w:val="none"/>
          <w14:textFill>
            <w14:solidFill>
              <w14:schemeClr w14:val="tx1"/>
            </w14:solidFill>
          </w14:textFill>
        </w:rPr>
      </w:pP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韶关市浈江区大数据产业基础设施工程（一期土石方工程）</w:t>
      </w:r>
      <w:r>
        <w:rPr>
          <w:rFonts w:hint="eastAsia" w:ascii="宋体" w:hAnsi="宋体" w:eastAsia="宋体" w:cs="宋体"/>
          <w:snapToGrid w:val="0"/>
          <w:color w:val="000000" w:themeColor="text1"/>
          <w:kern w:val="0"/>
          <w:sz w:val="24"/>
          <w:szCs w:val="32"/>
          <w:highlight w:val="none"/>
          <w:u w:val="none"/>
          <w:lang w:eastAsia="zh-CN"/>
          <w14:textFill>
            <w14:solidFill>
              <w14:schemeClr w14:val="tx1"/>
            </w14:solidFill>
          </w14:textFill>
        </w:rPr>
        <w:t>经</w:t>
      </w: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韶关市浈江区发展和改革局以《韶关市浈江区发展和改革局关于韶关市浈江区大数据产业基础设施工程（一期土石方工程）初步设计概算的批复》（韶浈发改投审〔2026〕42号）</w:t>
      </w:r>
      <w:r>
        <w:rPr>
          <w:rFonts w:hint="eastAsia" w:ascii="宋体" w:hAnsi="宋体" w:eastAsia="宋体" w:cs="宋体"/>
          <w:snapToGrid w:val="0"/>
          <w:color w:val="000000" w:themeColor="text1"/>
          <w:kern w:val="0"/>
          <w:sz w:val="24"/>
          <w:szCs w:val="32"/>
          <w:highlight w:val="none"/>
          <w14:textFill>
            <w14:solidFill>
              <w14:schemeClr w14:val="tx1"/>
            </w14:solidFill>
          </w14:textFill>
        </w:rPr>
        <w:t>批准建设，项目代码为</w:t>
      </w: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2603-440204-04-01-645031</w:t>
      </w:r>
      <w:r>
        <w:rPr>
          <w:rFonts w:hint="eastAsia" w:ascii="宋体" w:hAnsi="宋体" w:eastAsia="宋体" w:cs="宋体"/>
          <w:snapToGrid w:val="0"/>
          <w:color w:val="000000" w:themeColor="text1"/>
          <w:kern w:val="0"/>
          <w:sz w:val="24"/>
          <w:szCs w:val="32"/>
          <w:highlight w:val="none"/>
          <w14:textFill>
            <w14:solidFill>
              <w14:schemeClr w14:val="tx1"/>
            </w14:solidFill>
          </w14:textFill>
        </w:rPr>
        <w:t>。项目业主为</w:t>
      </w: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韶关市浈江区鸿通投资有限公司</w:t>
      </w:r>
      <w:r>
        <w:rPr>
          <w:rFonts w:hint="eastAsia" w:ascii="宋体" w:hAnsi="宋体" w:eastAsia="宋体" w:cs="宋体"/>
          <w:snapToGrid w:val="0"/>
          <w:color w:val="000000" w:themeColor="text1"/>
          <w:kern w:val="0"/>
          <w:sz w:val="24"/>
          <w:szCs w:val="32"/>
          <w:highlight w:val="none"/>
          <w14:textFill>
            <w14:solidFill>
              <w14:schemeClr w14:val="tx1"/>
            </w14:solidFill>
          </w14:textFill>
        </w:rPr>
        <w:t>，建设资金来自</w:t>
      </w: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由上级财政投资、地方配套解决</w:t>
      </w:r>
      <w:r>
        <w:rPr>
          <w:rFonts w:hint="eastAsia" w:ascii="宋体" w:hAnsi="宋体" w:eastAsia="宋体" w:cs="宋体"/>
          <w:snapToGrid w:val="0"/>
          <w:color w:val="000000" w:themeColor="text1"/>
          <w:kern w:val="0"/>
          <w:sz w:val="24"/>
          <w:szCs w:val="32"/>
          <w:highlight w:val="none"/>
          <w14:textFill>
            <w14:solidFill>
              <w14:schemeClr w14:val="tx1"/>
            </w14:solidFill>
          </w14:textFill>
        </w:rPr>
        <w:t>，出资比例</w:t>
      </w:r>
      <w:r>
        <w:rPr>
          <w:rFonts w:hint="eastAsia" w:ascii="宋体" w:hAnsi="宋体" w:eastAsia="宋体" w:cs="宋体"/>
          <w:snapToGrid w:val="0"/>
          <w:color w:val="000000" w:themeColor="text1"/>
          <w:kern w:val="0"/>
          <w:sz w:val="24"/>
          <w:szCs w:val="32"/>
          <w:highlight w:val="none"/>
          <w:u w:val="single"/>
          <w14:textFill>
            <w14:solidFill>
              <w14:schemeClr w14:val="tx1"/>
            </w14:solidFill>
          </w14:textFill>
        </w:rPr>
        <w:t>100%</w:t>
      </w:r>
      <w:r>
        <w:rPr>
          <w:rFonts w:hint="eastAsia" w:ascii="宋体" w:hAnsi="宋体" w:eastAsia="宋体" w:cs="宋体"/>
          <w:snapToGrid w:val="0"/>
          <w:color w:val="000000" w:themeColor="text1"/>
          <w:kern w:val="0"/>
          <w:sz w:val="24"/>
          <w:szCs w:val="32"/>
          <w:highlight w:val="none"/>
          <w14:textFill>
            <w14:solidFill>
              <w14:schemeClr w14:val="tx1"/>
            </w14:solidFill>
          </w14:textFill>
        </w:rPr>
        <w:t>，招标人为</w:t>
      </w:r>
      <w:r>
        <w:rPr>
          <w:rFonts w:hint="eastAsia" w:ascii="宋体" w:hAnsi="宋体" w:eastAsia="宋体" w:cs="宋体"/>
          <w:snapToGrid w:val="0"/>
          <w:color w:val="000000" w:themeColor="text1"/>
          <w:kern w:val="0"/>
          <w:sz w:val="24"/>
          <w:szCs w:val="32"/>
          <w:highlight w:val="none"/>
          <w:u w:val="single"/>
          <w:lang w:eastAsia="zh-CN"/>
          <w14:textFill>
            <w14:solidFill>
              <w14:schemeClr w14:val="tx1"/>
            </w14:solidFill>
          </w14:textFill>
        </w:rPr>
        <w:t>韶关市浈江区鸿通投资有限公司</w:t>
      </w:r>
      <w:r>
        <w:rPr>
          <w:rFonts w:hint="eastAsia" w:ascii="宋体" w:hAnsi="宋体" w:eastAsia="宋体" w:cs="宋体"/>
          <w:snapToGrid w:val="0"/>
          <w:color w:val="000000" w:themeColor="text1"/>
          <w:kern w:val="0"/>
          <w:sz w:val="24"/>
          <w:szCs w:val="32"/>
          <w:highlight w:val="none"/>
          <w14:textFill>
            <w14:solidFill>
              <w14:schemeClr w14:val="tx1"/>
            </w14:solidFill>
          </w14:textFill>
        </w:rPr>
        <w:t>，招标代理机构为</w:t>
      </w:r>
      <w:r>
        <w:rPr>
          <w:rFonts w:hint="eastAsia" w:ascii="宋体" w:hAnsi="宋体" w:eastAsia="宋体" w:cs="宋体"/>
          <w:color w:val="000000" w:themeColor="text1"/>
          <w:kern w:val="0"/>
          <w:sz w:val="24"/>
          <w:szCs w:val="24"/>
          <w:highlight w:val="none"/>
          <w:u w:val="single"/>
          <w:lang w:eastAsia="zh-CN"/>
          <w14:textFill>
            <w14:solidFill>
              <w14:schemeClr w14:val="tx1"/>
            </w14:solidFill>
          </w14:textFill>
        </w:rPr>
        <w:t>广东合正项目管理有限公司</w:t>
      </w:r>
      <w:r>
        <w:rPr>
          <w:rFonts w:hint="eastAsia" w:ascii="宋体" w:hAnsi="宋体" w:eastAsia="宋体" w:cs="宋体"/>
          <w:snapToGrid w:val="0"/>
          <w:color w:val="000000" w:themeColor="text1"/>
          <w:kern w:val="0"/>
          <w:sz w:val="24"/>
          <w:szCs w:val="32"/>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项目已具备招标条件，现对该项目的</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施工</w:t>
      </w:r>
      <w:r>
        <w:rPr>
          <w:rFonts w:hint="eastAsia" w:ascii="宋体" w:hAnsi="宋体" w:eastAsia="宋体" w:cs="宋体"/>
          <w:snapToGrid w:val="0"/>
          <w:color w:val="000000" w:themeColor="text1"/>
          <w:kern w:val="0"/>
          <w:sz w:val="24"/>
          <w:szCs w:val="24"/>
          <w:highlight w:val="none"/>
          <w14:textFill>
            <w14:solidFill>
              <w14:schemeClr w14:val="tx1"/>
            </w14:solidFill>
          </w14:textFill>
        </w:rPr>
        <w:t>进行公开招标。</w:t>
      </w:r>
    </w:p>
    <w:p w14:paraId="546483CC">
      <w:pPr>
        <w:pageBreakBefore w:val="0"/>
        <w:kinsoku/>
        <w:wordWrap w:val="0"/>
        <w:overflowPunct/>
        <w:topLinePunct/>
        <w:bidi w:val="0"/>
        <w:spacing w:before="78" w:line="220"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8" w:name="bookmark52"/>
      <w:bookmarkEnd w:id="8"/>
      <w:bookmarkStart w:id="9" w:name="bookmark59"/>
      <w:bookmarkEnd w:id="9"/>
      <w:bookmarkStart w:id="10" w:name="bookmark73"/>
      <w:bookmarkEnd w:id="10"/>
      <w:bookmarkStart w:id="11" w:name="_Toc24393"/>
      <w:bookmarkStart w:id="12" w:name="_Toc15993"/>
      <w:r>
        <w:rPr>
          <w:rFonts w:hint="eastAsia" w:ascii="宋体" w:hAnsi="宋体" w:eastAsia="宋体" w:cs="宋体"/>
          <w:b/>
          <w:bCs/>
          <w:color w:val="000000" w:themeColor="text1"/>
          <w:spacing w:val="-4"/>
          <w:sz w:val="24"/>
          <w:szCs w:val="24"/>
          <w:highlight w:val="none"/>
          <w14:textFill>
            <w14:solidFill>
              <w14:schemeClr w14:val="tx1"/>
            </w14:solidFill>
          </w14:textFill>
        </w:rPr>
        <w:t>1．项目概况、招标范围和标段划分、投标费用等</w:t>
      </w:r>
      <w:bookmarkEnd w:id="11"/>
      <w:bookmarkEnd w:id="12"/>
    </w:p>
    <w:p w14:paraId="4F86ED2F">
      <w:pPr>
        <w:pageBreakBefore w:val="0"/>
        <w:kinsoku/>
        <w:wordWrap w:val="0"/>
        <w:overflowPunct/>
        <w:topLinePunct/>
        <w:bidi w:val="0"/>
        <w:spacing w:before="153" w:line="36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1.1</w:t>
      </w:r>
      <w:r>
        <w:rPr>
          <w:rFonts w:hint="eastAsia" w:ascii="宋体" w:hAnsi="宋体" w:eastAsia="宋体" w:cs="宋体"/>
          <w:b/>
          <w:bCs/>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项目概况</w:t>
      </w:r>
    </w:p>
    <w:p w14:paraId="4ED7828E">
      <w:pPr>
        <w:keepNext w:val="0"/>
        <w:keepLines w:val="0"/>
        <w:pageBreakBefore w:val="0"/>
        <w:widowControl/>
        <w:kinsoku/>
        <w:wordWrap w:val="0"/>
        <w:overflowPunct/>
        <w:topLinePunct/>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1.1.1 </w:t>
      </w:r>
      <w:r>
        <w:rPr>
          <w:rFonts w:hint="eastAsia" w:ascii="宋体" w:hAnsi="宋体" w:eastAsia="宋体" w:cs="宋体"/>
          <w:color w:val="000000" w:themeColor="text1"/>
          <w:spacing w:val="-2"/>
          <w:sz w:val="24"/>
          <w:szCs w:val="24"/>
          <w:highlight w:val="none"/>
          <w14:textFill>
            <w14:solidFill>
              <w14:schemeClr w14:val="tx1"/>
            </w14:solidFill>
          </w14:textFill>
        </w:rPr>
        <w:t>建设地点：</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韶关市浈江区新韶镇大学路片区。</w:t>
      </w:r>
    </w:p>
    <w:p w14:paraId="58650B72">
      <w:pPr>
        <w:keepNext w:val="0"/>
        <w:keepLines w:val="0"/>
        <w:pageBreakBefore w:val="0"/>
        <w:widowControl/>
        <w:kinsoku/>
        <w:wordWrap w:val="0"/>
        <w:overflowPunct/>
        <w:topLinePunct/>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1.1.2 </w:t>
      </w:r>
      <w:r>
        <w:rPr>
          <w:rFonts w:hint="eastAsia" w:ascii="宋体" w:hAnsi="宋体" w:eastAsia="宋体" w:cs="宋体"/>
          <w:color w:val="000000" w:themeColor="text1"/>
          <w:spacing w:val="-2"/>
          <w:sz w:val="24"/>
          <w:szCs w:val="24"/>
          <w:highlight w:val="none"/>
          <w14:textFill>
            <w14:solidFill>
              <w14:schemeClr w14:val="tx1"/>
            </w14:solidFill>
          </w14:textFill>
        </w:rPr>
        <w:t>建设内容和规模：</w:t>
      </w:r>
      <w:r>
        <w:rPr>
          <w:rFonts w:hint="eastAsia" w:ascii="宋体" w:hAnsi="宋体" w:eastAsia="宋体" w:cs="宋体"/>
          <w:color w:val="000000" w:themeColor="text1"/>
          <w:spacing w:val="-2"/>
          <w:sz w:val="24"/>
          <w:szCs w:val="24"/>
          <w:highlight w:val="none"/>
          <w:u w:val="single"/>
          <w:lang w:eastAsia="zh-CN"/>
          <w14:textFill>
            <w14:solidFill>
              <w14:schemeClr w14:val="tx1"/>
            </w14:solidFill>
          </w14:textFill>
        </w:rPr>
        <w:t>本项目为“韶关市浈江区大数据产业基础设施工程”的一期工程，建设范围为244亩。主要建设内容为场地内的土方平整、临时排水及必要的防护工程。（最终以图纸为准）</w:t>
      </w:r>
    </w:p>
    <w:p w14:paraId="411A256E">
      <w:pPr>
        <w:keepNext w:val="0"/>
        <w:keepLines w:val="0"/>
        <w:pageBreakBefore w:val="0"/>
        <w:widowControl/>
        <w:kinsoku/>
        <w:wordWrap w:val="0"/>
        <w:overflowPunct/>
        <w:topLinePunct/>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1.1.3 </w:t>
      </w:r>
      <w:r>
        <w:rPr>
          <w:rFonts w:hint="eastAsia" w:ascii="宋体" w:hAnsi="宋体" w:eastAsia="宋体" w:cs="宋体"/>
          <w:color w:val="000000" w:themeColor="text1"/>
          <w:spacing w:val="-2"/>
          <w:sz w:val="24"/>
          <w:szCs w:val="24"/>
          <w:highlight w:val="none"/>
          <w14:textFill>
            <w14:solidFill>
              <w14:schemeClr w14:val="tx1"/>
            </w14:solidFill>
          </w14:textFill>
        </w:rPr>
        <w:t>项目总投资</w:t>
      </w:r>
      <w:r>
        <w:rPr>
          <w:rStyle w:val="20"/>
          <w:rFonts w:hint="eastAsia" w:ascii="宋体" w:hAnsi="宋体" w:eastAsia="宋体" w:cs="宋体"/>
          <w:color w:val="000000" w:themeColor="text1"/>
          <w:kern w:val="0"/>
          <w:sz w:val="24"/>
          <w:szCs w:val="24"/>
          <w:highlight w:val="none"/>
          <w14:textFill>
            <w14:solidFill>
              <w14:schemeClr w14:val="tx1"/>
            </w14:solidFill>
          </w14:textFill>
        </w:rPr>
        <w:t>：</w:t>
      </w:r>
      <w:r>
        <w:rPr>
          <w:rStyle w:val="20"/>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项目概算总投资2950.65万元，其中工程费用2398.66万元，工程建设其他费用411.48万元，预备费用140.51万元</w:t>
      </w:r>
    </w:p>
    <w:p w14:paraId="0E829139">
      <w:pPr>
        <w:keepNext w:val="0"/>
        <w:keepLines w:val="0"/>
        <w:pageBreakBefore w:val="0"/>
        <w:widowControl/>
        <w:kinsoku/>
        <w:wordWrap w:val="0"/>
        <w:overflowPunct/>
        <w:topLinePunct/>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none"/>
          <w:lang w:val="en-US" w:eastAsia="zh-CN"/>
          <w14:textFill>
            <w14:solidFill>
              <w14:schemeClr w14:val="tx1"/>
            </w14:solidFill>
          </w14:textFill>
        </w:rPr>
        <w:t>1</w:t>
      </w:r>
      <w:r>
        <w:rPr>
          <w:rFonts w:hint="eastAsia" w:ascii="宋体" w:hAnsi="宋体" w:eastAsia="宋体" w:cs="宋体"/>
          <w:b/>
          <w:bCs/>
          <w:color w:val="000000" w:themeColor="text1"/>
          <w:spacing w:val="-2"/>
          <w:sz w:val="24"/>
          <w:szCs w:val="24"/>
          <w:highlight w:val="none"/>
          <w:u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招标范围和标段划分</w:t>
      </w:r>
    </w:p>
    <w:p w14:paraId="661AA163">
      <w:pPr>
        <w:keepNext w:val="0"/>
        <w:keepLines w:val="0"/>
        <w:pageBreakBefore w:val="0"/>
        <w:widowControl/>
        <w:kinsoku/>
        <w:wordWrap w:val="0"/>
        <w:overflowPunct/>
        <w:topLinePunct/>
        <w:autoSpaceDE w:val="0"/>
        <w:autoSpaceDN w:val="0"/>
        <w:bidi w:val="0"/>
        <w:adjustRightInd w:val="0"/>
        <w:snapToGrid w:val="0"/>
        <w:spacing w:line="360" w:lineRule="auto"/>
        <w:ind w:left="493"/>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1.2.1 </w:t>
      </w:r>
      <w:r>
        <w:rPr>
          <w:rFonts w:hint="eastAsia" w:ascii="宋体" w:hAnsi="宋体" w:eastAsia="宋体" w:cs="宋体"/>
          <w:color w:val="000000" w:themeColor="text1"/>
          <w:spacing w:val="-2"/>
          <w:sz w:val="24"/>
          <w:szCs w:val="24"/>
          <w:highlight w:val="none"/>
          <w14:textFill>
            <w14:solidFill>
              <w14:schemeClr w14:val="tx1"/>
            </w14:solidFill>
          </w14:textFill>
        </w:rPr>
        <w:t>招标范围：</w:t>
      </w:r>
      <w:r>
        <w:rPr>
          <w:rFonts w:hint="eastAsia" w:ascii="宋体" w:hAnsi="宋体" w:eastAsia="宋体" w:cs="宋体"/>
          <w:color w:val="000000" w:themeColor="text1"/>
          <w:spacing w:val="-1"/>
          <w:sz w:val="24"/>
          <w:szCs w:val="24"/>
          <w:highlight w:val="none"/>
          <w14:textFill>
            <w14:solidFill>
              <w14:schemeClr w14:val="tx1"/>
            </w14:solidFill>
          </w14:textFill>
        </w:rPr>
        <w:t>按审查合格的施工图纸及工程量清单内容施工</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p>
    <w:p w14:paraId="2690B27D">
      <w:pPr>
        <w:keepNext w:val="0"/>
        <w:keepLines w:val="0"/>
        <w:pageBreakBefore w:val="0"/>
        <w:widowControl/>
        <w:kinsoku/>
        <w:wordWrap w:val="0"/>
        <w:overflowPunct/>
        <w:topLinePunct/>
        <w:autoSpaceDE w:val="0"/>
        <w:autoSpaceDN w:val="0"/>
        <w:bidi w:val="0"/>
        <w:adjustRightInd w:val="0"/>
        <w:snapToGrid w:val="0"/>
        <w:spacing w:line="360" w:lineRule="auto"/>
        <w:ind w:left="493"/>
        <w:textAlignment w:val="baseline"/>
        <w:outlineLvl w:val="9"/>
        <w:rPr>
          <w:rFonts w:hint="eastAsia" w:ascii="宋体" w:hAnsi="宋体" w:eastAsia="宋体" w:cs="宋体"/>
          <w:color w:val="000000" w:themeColor="text1"/>
          <w:sz w:val="24"/>
          <w:szCs w:val="24"/>
          <w:highlight w:val="none"/>
          <w14:textFill>
            <w14:solidFill>
              <w14:schemeClr w14:val="tx1"/>
            </w14:solidFill>
          </w14:textFill>
        </w:rPr>
      </w:pPr>
      <w:bookmarkStart w:id="13" w:name="_Toc14190"/>
      <w:bookmarkStart w:id="14" w:name="_Toc24593"/>
      <w:bookmarkStart w:id="15" w:name="_Toc20855"/>
      <w:bookmarkStart w:id="16" w:name="_Toc28202"/>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1.2.2 </w:t>
      </w:r>
      <w:r>
        <w:rPr>
          <w:rFonts w:hint="eastAsia" w:ascii="宋体" w:hAnsi="宋体" w:eastAsia="宋体" w:cs="宋体"/>
          <w:color w:val="000000" w:themeColor="text1"/>
          <w:spacing w:val="-2"/>
          <w:sz w:val="24"/>
          <w:szCs w:val="24"/>
          <w:highlight w:val="none"/>
          <w14:textFill>
            <w14:solidFill>
              <w14:schemeClr w14:val="tx1"/>
            </w14:solidFill>
          </w14:textFill>
        </w:rPr>
        <w:t>标段划分：本招标项目不划分标段。</w:t>
      </w:r>
      <w:bookmarkEnd w:id="13"/>
      <w:bookmarkEnd w:id="14"/>
      <w:bookmarkEnd w:id="15"/>
      <w:bookmarkEnd w:id="16"/>
    </w:p>
    <w:p w14:paraId="50A9A808">
      <w:pPr>
        <w:keepNext w:val="0"/>
        <w:keepLines w:val="0"/>
        <w:pageBreakBefore w:val="0"/>
        <w:widowControl/>
        <w:kinsoku/>
        <w:wordWrap w:val="0"/>
        <w:overflowPunct/>
        <w:topLinePunct/>
        <w:autoSpaceDE w:val="0"/>
        <w:autoSpaceDN w:val="0"/>
        <w:bidi w:val="0"/>
        <w:adjustRightInd w:val="0"/>
        <w:snapToGrid w:val="0"/>
        <w:spacing w:line="360" w:lineRule="auto"/>
        <w:ind w:left="13" w:right="65" w:firstLine="53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1.3 </w:t>
      </w:r>
      <w:r>
        <w:rPr>
          <w:rFonts w:hint="eastAsia" w:ascii="宋体" w:hAnsi="宋体" w:eastAsia="宋体" w:cs="宋体"/>
          <w:color w:val="000000" w:themeColor="text1"/>
          <w:spacing w:val="-1"/>
          <w:sz w:val="24"/>
          <w:szCs w:val="24"/>
          <w:highlight w:val="none"/>
          <w14:textFill>
            <w14:solidFill>
              <w14:schemeClr w14:val="tx1"/>
            </w14:solidFill>
          </w14:textFill>
        </w:rPr>
        <w:t>投标费用：投标人应承担所有准备和参加投标的相关费用，不</w:t>
      </w:r>
      <w:r>
        <w:rPr>
          <w:rFonts w:hint="eastAsia" w:ascii="宋体" w:hAnsi="宋体" w:eastAsia="宋体" w:cs="宋体"/>
          <w:color w:val="000000" w:themeColor="text1"/>
          <w:spacing w:val="-2"/>
          <w:sz w:val="24"/>
          <w:szCs w:val="24"/>
          <w:highlight w:val="none"/>
          <w14:textFill>
            <w14:solidFill>
              <w14:schemeClr w14:val="tx1"/>
            </w14:solidFill>
          </w14:textFill>
        </w:rPr>
        <w:t>论投标结果如</w:t>
      </w:r>
      <w:r>
        <w:rPr>
          <w:rFonts w:hint="eastAsia" w:ascii="宋体" w:hAnsi="宋体" w:eastAsia="宋体" w:cs="宋体"/>
          <w:color w:val="000000" w:themeColor="text1"/>
          <w:spacing w:val="-1"/>
          <w:sz w:val="24"/>
          <w:szCs w:val="24"/>
          <w:highlight w:val="none"/>
          <w14:textFill>
            <w14:solidFill>
              <w14:schemeClr w14:val="tx1"/>
            </w14:solidFill>
          </w14:textFill>
        </w:rPr>
        <w:t>何，招标人均无义务和责任承担这些费用。</w:t>
      </w:r>
    </w:p>
    <w:p w14:paraId="5EACAF24">
      <w:pPr>
        <w:keepNext w:val="0"/>
        <w:keepLines w:val="0"/>
        <w:pageBreakBefore w:val="0"/>
        <w:widowControl/>
        <w:kinsoku/>
        <w:wordWrap w:val="0"/>
        <w:overflowPunct/>
        <w:topLinePunct/>
        <w:autoSpaceDE w:val="0"/>
        <w:autoSpaceDN w:val="0"/>
        <w:bidi w:val="0"/>
        <w:adjustRightInd w:val="0"/>
        <w:snapToGrid w:val="0"/>
        <w:spacing w:line="360" w:lineRule="auto"/>
        <w:ind w:left="49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6"/>
          <w:sz w:val="24"/>
          <w:szCs w:val="24"/>
          <w:highlight w:val="none"/>
          <w14:textFill>
            <w14:solidFill>
              <w14:schemeClr w14:val="tx1"/>
            </w14:solidFill>
          </w14:textFill>
        </w:rPr>
        <w:t xml:space="preserve">1.4 </w:t>
      </w:r>
      <w:r>
        <w:rPr>
          <w:rFonts w:hint="eastAsia" w:ascii="宋体" w:hAnsi="宋体" w:eastAsia="宋体" w:cs="宋体"/>
          <w:color w:val="000000" w:themeColor="text1"/>
          <w:spacing w:val="-6"/>
          <w:sz w:val="24"/>
          <w:szCs w:val="24"/>
          <w:highlight w:val="none"/>
          <w14:textFill>
            <w14:solidFill>
              <w14:schemeClr w14:val="tx1"/>
            </w14:solidFill>
          </w14:textFill>
        </w:rPr>
        <w:t>招标代理费用：</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82"/>
          <w:sz w:val="24"/>
          <w:szCs w:val="24"/>
          <w:highlight w:val="none"/>
          <w:shd w:val="clear" w:color="auto" w:fill="FFFFFF"/>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shd w:val="clear" w:color="auto" w:fill="FFFFFF"/>
          <w14:textFill>
            <w14:solidFill>
              <w14:schemeClr w14:val="tx1"/>
            </w14:solidFill>
          </w14:textFill>
        </w:rPr>
        <w:t>由</w:t>
      </w:r>
      <w:r>
        <w:rPr>
          <w:rFonts w:hint="eastAsia" w:ascii="宋体" w:hAnsi="宋体" w:eastAsia="宋体" w:cs="宋体"/>
          <w:color w:val="000000" w:themeColor="text1"/>
          <w:spacing w:val="6"/>
          <w:sz w:val="24"/>
          <w:szCs w:val="24"/>
          <w:highlight w:val="none"/>
          <w14:textFill>
            <w14:solidFill>
              <w14:schemeClr w14:val="tx1"/>
            </w14:solidFill>
          </w14:textFill>
        </w:rPr>
        <w:t>项目业主</w:t>
      </w:r>
      <w:r>
        <w:rPr>
          <w:rFonts w:hint="eastAsia" w:ascii="宋体" w:hAnsi="宋体" w:eastAsia="宋体" w:cs="宋体"/>
          <w:color w:val="000000" w:themeColor="text1"/>
          <w:spacing w:val="-6"/>
          <w:sz w:val="24"/>
          <w:szCs w:val="24"/>
          <w:highlight w:val="none"/>
          <w:shd w:val="clear" w:color="auto" w:fill="FFFFFF"/>
          <w14:textFill>
            <w14:solidFill>
              <w14:schemeClr w14:val="tx1"/>
            </w14:solidFill>
          </w14:textFill>
        </w:rPr>
        <w:t>支</w:t>
      </w:r>
      <w:r>
        <w:rPr>
          <w:rFonts w:hint="eastAsia" w:ascii="宋体" w:hAnsi="宋体" w:eastAsia="宋体" w:cs="宋体"/>
          <w:color w:val="000000" w:themeColor="text1"/>
          <w:spacing w:val="-6"/>
          <w:sz w:val="24"/>
          <w:szCs w:val="24"/>
          <w:highlight w:val="none"/>
          <w14:textFill>
            <w14:solidFill>
              <w14:schemeClr w14:val="tx1"/>
            </w14:solidFill>
          </w14:textFill>
        </w:rPr>
        <w:t>付</w:t>
      </w:r>
      <w:r>
        <w:rPr>
          <w:rFonts w:hint="eastAsia" w:ascii="宋体" w:hAnsi="宋体" w:eastAsia="宋体" w:cs="宋体"/>
          <w:color w:val="000000" w:themeColor="text1"/>
          <w:position w:val="-6"/>
          <w:sz w:val="24"/>
          <w:szCs w:val="24"/>
          <w:highlight w:val="none"/>
          <w:shd w:val="clear" w:color="auto" w:fill="FFFFFF"/>
          <w:lang w:eastAsia="zh-CN"/>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spacing w:val="-6"/>
          <w:sz w:val="24"/>
          <w:szCs w:val="24"/>
          <w:highlight w:val="none"/>
          <w:shd w:val="clear" w:color="auto" w:fill="FFFFFF"/>
          <w14:textFill>
            <w14:solidFill>
              <w14:schemeClr w14:val="tx1"/>
            </w14:solidFill>
          </w14:textFill>
        </w:rPr>
        <w:t>由中标人支付。</w:t>
      </w:r>
    </w:p>
    <w:p w14:paraId="36DEF1E1">
      <w:pPr>
        <w:keepNext w:val="0"/>
        <w:keepLines w:val="0"/>
        <w:pageBreakBefore w:val="0"/>
        <w:widowControl/>
        <w:kinsoku/>
        <w:wordWrap w:val="0"/>
        <w:overflowPunct/>
        <w:topLinePunct/>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000000" w:themeColor="text1"/>
          <w:sz w:val="24"/>
          <w:szCs w:val="24"/>
          <w:highlight w:val="none"/>
          <w14:textFill>
            <w14:solidFill>
              <w14:schemeClr w14:val="tx1"/>
            </w14:solidFill>
          </w14:textFill>
        </w:rPr>
      </w:pPr>
      <w:bookmarkStart w:id="17" w:name="_Toc25477"/>
      <w:r>
        <w:rPr>
          <w:rFonts w:hint="eastAsia" w:ascii="宋体" w:hAnsi="宋体" w:eastAsia="宋体" w:cs="宋体"/>
          <w:b/>
          <w:bCs/>
          <w:color w:val="000000" w:themeColor="text1"/>
          <w:sz w:val="24"/>
          <w:szCs w:val="24"/>
          <w:highlight w:val="none"/>
          <w14:textFill>
            <w14:solidFill>
              <w14:schemeClr w14:val="tx1"/>
            </w14:solidFill>
          </w14:textFill>
        </w:rPr>
        <w:t>2．</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投标人</w:t>
      </w:r>
      <w:r>
        <w:rPr>
          <w:rFonts w:hint="eastAsia" w:ascii="宋体" w:hAnsi="宋体" w:eastAsia="宋体" w:cs="宋体"/>
          <w:b w:val="0"/>
          <w:bCs w:val="0"/>
          <w:color w:val="000000" w:themeColor="text1"/>
          <w:sz w:val="24"/>
          <w:szCs w:val="24"/>
          <w:highlight w:val="none"/>
          <w14:textFill>
            <w14:solidFill>
              <w14:schemeClr w14:val="tx1"/>
            </w14:solidFill>
          </w14:textFill>
        </w:rPr>
        <w:t>资质要求</w:t>
      </w:r>
      <w:bookmarkEnd w:id="17"/>
    </w:p>
    <w:p w14:paraId="7E592DA8">
      <w:pPr>
        <w:pageBreakBefore w:val="0"/>
        <w:kinsoku/>
        <w:wordWrap w:val="0"/>
        <w:overflowPunct/>
        <w:topLinePunct/>
        <w:bidi w:val="0"/>
        <w:adjustRightInd w:val="0"/>
        <w:snapToGrid w:val="0"/>
        <w:spacing w:line="360" w:lineRule="auto"/>
        <w:ind w:firstLine="482" w:firstLineChars="200"/>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2.1</w:t>
      </w:r>
      <w:r>
        <w:rPr>
          <w:rStyle w:val="20"/>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 xml:space="preserve"> 本次招标不接受联合体投标。</w:t>
      </w:r>
    </w:p>
    <w:p w14:paraId="6BC70E39">
      <w:pPr>
        <w:pageBreakBefore w:val="0"/>
        <w:kinsoku/>
        <w:wordWrap w:val="0"/>
        <w:overflowPunct/>
        <w:topLinePunct/>
        <w:bidi w:val="0"/>
        <w:adjustRightInd w:val="0"/>
        <w:snapToGrid w:val="0"/>
        <w:spacing w:line="360" w:lineRule="auto"/>
        <w:ind w:firstLine="482" w:firstLineChars="200"/>
        <w:rPr>
          <w:rStyle w:val="20"/>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 </w:t>
      </w:r>
      <w:r>
        <w:rPr>
          <w:rStyle w:val="20"/>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资格资质要求</w:t>
      </w:r>
    </w:p>
    <w:p w14:paraId="39B9FFA4">
      <w:pPr>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2.2.1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投标人须具备独立法人资格，按国家法律经营。</w:t>
      </w:r>
    </w:p>
    <w:p w14:paraId="5E975A9C">
      <w:pPr>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2.2.2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投标人须持有建设行政主管部门颁发的企业资质证书及安全生产许可证。</w:t>
      </w:r>
    </w:p>
    <w:p w14:paraId="3AF36557">
      <w:pPr>
        <w:pageBreakBefore w:val="0"/>
        <w:kinsoku/>
        <w:wordWrap w:val="0"/>
        <w:overflowPunct/>
        <w:topLinePunct/>
        <w:bidi w:val="0"/>
        <w:adjustRightInd w:val="0"/>
        <w:snapToGrid w:val="0"/>
        <w:spacing w:line="360" w:lineRule="auto"/>
        <w:ind w:firstLine="482" w:firstLineChars="200"/>
        <w:rPr>
          <w:rStyle w:val="20"/>
          <w:rFonts w:hint="eastAsia" w:ascii="宋体" w:hAnsi="宋体" w:eastAsia="宋体" w:cs="宋体"/>
          <w:b/>
          <w:bCs/>
          <w:color w:val="000000" w:themeColor="text1"/>
          <w:kern w:val="0"/>
          <w:sz w:val="32"/>
          <w:szCs w:val="32"/>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2.2.3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投标人须具备以下资质：</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市政公用工程施工总承包三级以上（含三级）资质，并在有效期内。</w:t>
      </w:r>
    </w:p>
    <w:p w14:paraId="69FD4BCC">
      <w:pPr>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2.2.4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7A6419E5">
      <w:pPr>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相关人员要求</w:t>
      </w:r>
    </w:p>
    <w:p w14:paraId="22E07C9A">
      <w:pPr>
        <w:pageBreakBefore w:val="0"/>
        <w:kinsoku/>
        <w:wordWrap w:val="0"/>
        <w:overflowPunct/>
        <w:topLinePunct/>
        <w:bidi w:val="0"/>
        <w:adjustRightInd w:val="0"/>
        <w:snapToGrid w:val="0"/>
        <w:spacing w:line="360" w:lineRule="auto"/>
        <w:ind w:firstLine="482" w:firstLineChars="200"/>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2.3.1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拟派项目经理为市政公用工程专业一级或二级注册建造师，应持有住建部门印发的在使用有效期内的有效电子注册证书（根据广东省住房和城乡建设厅（粤建市函〔2023〕469号）文件精神，二级注册建造师可随注册企业在全国范围内执业），同时须具备有效安全生产考核合格证明（B证，安全生产考核合格证书或“广东省建筑施工企业管理人员安全生产考核信息系统”考核合格信息打印页），且未担任其他在施（包括已中标未开工、已建成未竣工）建设工程项目的项目经理。</w:t>
      </w:r>
    </w:p>
    <w:p w14:paraId="33A25874">
      <w:pPr>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2.3.2</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拟派项目技术负责人须具备建筑或市政工程相关专业中级以上（含中级）技术职称。</w:t>
      </w:r>
    </w:p>
    <w:p w14:paraId="2FF6C6D7">
      <w:pPr>
        <w:pageBreakBefore w:val="0"/>
        <w:kinsoku/>
        <w:wordWrap w:val="0"/>
        <w:overflowPunct/>
        <w:topLinePunct/>
        <w:bidi w:val="0"/>
        <w:adjustRightInd w:val="0"/>
        <w:snapToGrid w:val="0"/>
        <w:spacing w:line="360" w:lineRule="auto"/>
        <w:ind w:firstLine="482" w:firstLineChars="200"/>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2.3.3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拟派专职安全生产管理人员须具备有效安全生产考核合格证明（C证，安全生产考核合格证书或“广东省建筑施工企业管理人员安全生产考核信息系统”考核合格信息打印页），且不少于1人。</w:t>
      </w:r>
    </w:p>
    <w:p w14:paraId="55CBCF50">
      <w:pPr>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 xml:space="preserve">2.3.4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257B16C0">
      <w:pPr>
        <w:pageBreakBefore w:val="0"/>
        <w:kinsoku/>
        <w:wordWrap w:val="0"/>
        <w:overflowPunct/>
        <w:topLinePunct/>
        <w:bidi w:val="0"/>
        <w:spacing w:before="78" w:line="220" w:lineRule="auto"/>
        <w:ind w:left="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2.4 </w:t>
      </w:r>
      <w:r>
        <w:rPr>
          <w:rFonts w:hint="eastAsia" w:ascii="宋体" w:hAnsi="宋体" w:eastAsia="宋体" w:cs="宋体"/>
          <w:color w:val="000000" w:themeColor="text1"/>
          <w:spacing w:val="-1"/>
          <w:sz w:val="24"/>
          <w:szCs w:val="24"/>
          <w:highlight w:val="none"/>
          <w14:textFill>
            <w14:solidFill>
              <w14:schemeClr w14:val="tx1"/>
            </w14:solidFill>
          </w14:textFill>
        </w:rPr>
        <w:t>禁止投标条款</w:t>
      </w:r>
    </w:p>
    <w:p w14:paraId="73D7E56C">
      <w:pPr>
        <w:pageBreakBefore w:val="0"/>
        <w:kinsoku/>
        <w:wordWrap w:val="0"/>
        <w:overflowPunct/>
        <w:topLinePunct/>
        <w:bidi w:val="0"/>
        <w:spacing w:before="153" w:line="220" w:lineRule="auto"/>
        <w:ind w:left="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2.4.1 </w:t>
      </w:r>
      <w:r>
        <w:rPr>
          <w:rFonts w:hint="eastAsia" w:ascii="宋体" w:hAnsi="宋体" w:eastAsia="宋体" w:cs="宋体"/>
          <w:color w:val="000000" w:themeColor="text1"/>
          <w:spacing w:val="-1"/>
          <w:sz w:val="24"/>
          <w:szCs w:val="24"/>
          <w:highlight w:val="none"/>
          <w14:textFill>
            <w14:solidFill>
              <w14:schemeClr w14:val="tx1"/>
            </w14:solidFill>
          </w14:textFill>
        </w:rPr>
        <w:t>投标人不得存在下列情形之一：</w:t>
      </w:r>
    </w:p>
    <w:p w14:paraId="7D800982">
      <w:pPr>
        <w:pageBreakBefore w:val="0"/>
        <w:kinsoku/>
        <w:wordWrap w:val="0"/>
        <w:overflowPunct/>
        <w:topLinePunct/>
        <w:bidi w:val="0"/>
        <w:spacing w:before="153"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（1）为招标人不具有独立法人资格的附属机构（单位</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4D00883C">
      <w:pPr>
        <w:pageBreakBefore w:val="0"/>
        <w:kinsoku/>
        <w:wordWrap w:val="0"/>
        <w:overflowPunct/>
        <w:topLinePunct/>
        <w:bidi w:val="0"/>
        <w:spacing w:before="157"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（2）为本招标项目前期准备提供设计或咨询服务的；</w:t>
      </w:r>
    </w:p>
    <w:p w14:paraId="03D646B2">
      <w:pPr>
        <w:pageBreakBefore w:val="0"/>
        <w:kinsoku/>
        <w:wordWrap w:val="0"/>
        <w:overflowPunct/>
        <w:topLinePunct/>
        <w:bidi w:val="0"/>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（3）与本招标项目的其他投标人为同一个单位负责人；</w:t>
      </w:r>
    </w:p>
    <w:p w14:paraId="2A7CDD20">
      <w:pPr>
        <w:pageBreakBefore w:val="0"/>
        <w:kinsoku/>
        <w:wordWrap w:val="0"/>
        <w:overflowPunct/>
        <w:topLinePunct/>
        <w:bidi w:val="0"/>
        <w:spacing w:before="155"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（4）与本招标项目的其他投标人存在控股、管理关系；</w:t>
      </w:r>
    </w:p>
    <w:p w14:paraId="1DCE0507">
      <w:pPr>
        <w:pageBreakBefore w:val="0"/>
        <w:kinsoku/>
        <w:wordWrap w:val="0"/>
        <w:overflowPunct/>
        <w:topLinePunct/>
        <w:bidi w:val="0"/>
        <w:spacing w:before="157"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（5）为本招标项目的监理人；</w:t>
      </w:r>
    </w:p>
    <w:p w14:paraId="5CEE08F9">
      <w:pPr>
        <w:pageBreakBefore w:val="0"/>
        <w:kinsoku/>
        <w:wordWrap w:val="0"/>
        <w:overflowPunct/>
        <w:topLinePunct/>
        <w:bidi w:val="0"/>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（6）为本招标项目的代建人；</w:t>
      </w:r>
    </w:p>
    <w:p w14:paraId="5E9F6836">
      <w:pPr>
        <w:pageBreakBefore w:val="0"/>
        <w:kinsoku/>
        <w:wordWrap w:val="0"/>
        <w:overflowPunct/>
        <w:topLinePunct/>
        <w:bidi w:val="0"/>
        <w:spacing w:before="155"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（7）为本招标项目的招标代理机构；</w:t>
      </w:r>
    </w:p>
    <w:p w14:paraId="08F79DBA">
      <w:pPr>
        <w:pageBreakBefore w:val="0"/>
        <w:kinsoku/>
        <w:wordWrap w:val="0"/>
        <w:overflowPunct/>
        <w:topLinePunct/>
        <w:bidi w:val="0"/>
        <w:spacing w:before="157"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（8）与本招标项目的监理人或代建人或招标代理机构同为一个法定代表人；</w:t>
      </w:r>
    </w:p>
    <w:p w14:paraId="68F3F73D">
      <w:pPr>
        <w:pageBreakBefore w:val="0"/>
        <w:kinsoku/>
        <w:wordWrap w:val="0"/>
        <w:overflowPunct/>
        <w:topLinePunct/>
        <w:bidi w:val="0"/>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（9）与本招标项目的监理人或代建人或招标代理机构存在控股或参股关系；</w:t>
      </w:r>
    </w:p>
    <w:p w14:paraId="497DE32F">
      <w:pPr>
        <w:pageBreakBefore w:val="0"/>
        <w:kinsoku/>
        <w:wordWrap w:val="0"/>
        <w:overflowPunct/>
        <w:topLinePunct/>
        <w:bidi w:val="0"/>
        <w:spacing w:before="155" w:line="219" w:lineRule="auto"/>
        <w:ind w:firstLine="468"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（10）与本招标项目的监理人或代建人或招标代理机构存在相互</w:t>
      </w:r>
      <w:r>
        <w:rPr>
          <w:rFonts w:hint="eastAsia" w:ascii="宋体" w:hAnsi="宋体" w:eastAsia="宋体" w:cs="宋体"/>
          <w:color w:val="000000" w:themeColor="text1"/>
          <w:spacing w:val="-4"/>
          <w:sz w:val="24"/>
          <w:szCs w:val="24"/>
          <w:highlight w:val="none"/>
          <w14:textFill>
            <w14:solidFill>
              <w14:schemeClr w14:val="tx1"/>
            </w14:solidFill>
          </w14:textFill>
        </w:rPr>
        <w:t>任职或工作关系；</w:t>
      </w:r>
    </w:p>
    <w:p w14:paraId="2FD43894">
      <w:pPr>
        <w:pageBreakBefore w:val="0"/>
        <w:kinsoku/>
        <w:wordWrap w:val="0"/>
        <w:overflowPunct/>
        <w:topLinePunct/>
        <w:bidi w:val="0"/>
        <w:spacing w:before="157"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（11）被依法暂停或者取消投标资格；</w:t>
      </w:r>
    </w:p>
    <w:p w14:paraId="04488065">
      <w:pPr>
        <w:pageBreakBefore w:val="0"/>
        <w:kinsoku/>
        <w:wordWrap w:val="0"/>
        <w:overflowPunct/>
        <w:topLinePunct/>
        <w:bidi w:val="0"/>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（12）被责令停产停业、暂扣或者吊销许可证、暂扣或者吊销执照；</w:t>
      </w:r>
    </w:p>
    <w:p w14:paraId="2A211480">
      <w:pPr>
        <w:pageBreakBefore w:val="0"/>
        <w:kinsoku/>
        <w:wordWrap w:val="0"/>
        <w:overflowPunct/>
        <w:topLinePunct/>
        <w:bidi w:val="0"/>
        <w:spacing w:before="154" w:line="219" w:lineRule="auto"/>
        <w:ind w:left="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（13）进入清算程序，或被宣告破产，或其他丧失履约能力的情形；</w:t>
      </w:r>
    </w:p>
    <w:p w14:paraId="3447C751">
      <w:pPr>
        <w:pStyle w:val="22"/>
        <w:pageBreakBefore w:val="0"/>
        <w:kinsoku/>
        <w:wordWrap w:val="0"/>
        <w:overflowPunct/>
        <w:topLinePunct/>
        <w:bidi w:val="0"/>
        <w:adjustRightInd w:val="0"/>
        <w:snapToGrid w:val="0"/>
        <w:spacing w:line="440" w:lineRule="exact"/>
        <w:ind w:firstLine="480"/>
        <w:jc w:val="left"/>
        <w:rPr>
          <w:rFonts w:hint="eastAsia" w:ascii="宋体" w:hAnsi="宋体" w:eastAsia="宋体" w:cs="宋体"/>
          <w:color w:val="000000" w:themeColor="text1"/>
          <w:spacing w:val="2"/>
          <w:sz w:val="24"/>
          <w:szCs w:val="24"/>
          <w:highlight w:val="none"/>
          <w14:textFill>
            <w14:solidFill>
              <w14:schemeClr w14:val="tx1"/>
            </w14:solidFill>
          </w14:textFill>
        </w:rPr>
      </w:pPr>
      <w:bookmarkStart w:id="18" w:name="bookmark116"/>
      <w:bookmarkEnd w:id="18"/>
      <w:r>
        <w:rPr>
          <w:rFonts w:hint="eastAsia" w:ascii="宋体" w:hAnsi="宋体" w:eastAsia="宋体" w:cs="宋体"/>
          <w:color w:val="000000" w:themeColor="text1"/>
          <w:spacing w:val="-1"/>
          <w:sz w:val="24"/>
          <w:szCs w:val="24"/>
          <w:highlight w:val="none"/>
          <w14:textFill>
            <w14:solidFill>
              <w14:schemeClr w14:val="tx1"/>
            </w14:solidFill>
          </w14:textFill>
        </w:rPr>
        <w:t>处罚决定或司法机关出具的有关法律文书为准</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2C761525">
      <w:pPr>
        <w:pStyle w:val="22"/>
        <w:pageBreakBefore w:val="0"/>
        <w:kinsoku/>
        <w:wordWrap w:val="0"/>
        <w:overflowPunct/>
        <w:topLinePunct/>
        <w:bidi w:val="0"/>
        <w:adjustRightInd w:val="0"/>
        <w:snapToGrid w:val="0"/>
        <w:spacing w:line="440" w:lineRule="exact"/>
        <w:ind w:firstLine="48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highlight w:val="none"/>
          <w14:textFill>
            <w14:solidFill>
              <w14:schemeClr w14:val="tx1"/>
            </w14:solidFill>
          </w14:textFill>
        </w:rPr>
        <w:t>（14）在最近三年内发生重大工程质量或安全问题（以相关行业主管部门的行政处罚决定或司法机关出具的有关法律文书为准）；</w:t>
      </w:r>
    </w:p>
    <w:p w14:paraId="5BC819E1">
      <w:pPr>
        <w:pageBreakBefore w:val="0"/>
        <w:kinsoku/>
        <w:wordWrap w:val="0"/>
        <w:overflowPunct/>
        <w:topLinePunct/>
        <w:bidi w:val="0"/>
        <w:spacing w:before="118" w:line="293" w:lineRule="auto"/>
        <w:ind w:left="232" w:right="0" w:rightChars="0" w:firstLine="36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（15）被“信用中国”网站（https</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//www.creditchina.gov.cn）发布的《法人和</w:t>
      </w:r>
      <w:r>
        <w:rPr>
          <w:rFonts w:hint="eastAsia" w:ascii="宋体" w:hAnsi="宋体" w:eastAsia="宋体" w:cs="宋体"/>
          <w:color w:val="000000" w:themeColor="text1"/>
          <w:spacing w:val="-3"/>
          <w:sz w:val="24"/>
          <w:szCs w:val="24"/>
          <w:highlight w:val="none"/>
          <w14:textFill>
            <w14:solidFill>
              <w14:schemeClr w14:val="tx1"/>
            </w14:solidFill>
          </w14:textFill>
        </w:rPr>
        <w:t>非法</w:t>
      </w:r>
      <w:r>
        <w:rPr>
          <w:rFonts w:hint="eastAsia" w:ascii="宋体" w:hAnsi="宋体" w:eastAsia="宋体" w:cs="宋体"/>
          <w:color w:val="000000" w:themeColor="text1"/>
          <w:spacing w:val="3"/>
          <w:sz w:val="24"/>
          <w:szCs w:val="24"/>
          <w:highlight w:val="none"/>
          <w14:textFill>
            <w14:solidFill>
              <w14:schemeClr w14:val="tx1"/>
            </w14:solidFill>
          </w14:textFill>
        </w:rPr>
        <w:t>人组织公共信用信息报告</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》列为严重失信主体名单的</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4F6EF02B">
      <w:pPr>
        <w:pageBreakBefore w:val="0"/>
        <w:kinsoku/>
        <w:wordWrap w:val="0"/>
        <w:overflowPunct/>
        <w:topLinePunct/>
        <w:bidi w:val="0"/>
        <w:spacing w:before="155" w:line="219" w:lineRule="auto"/>
        <w:ind w:left="706"/>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2.4.2 </w:t>
      </w:r>
      <w:r>
        <w:rPr>
          <w:rFonts w:hint="eastAsia" w:ascii="宋体" w:hAnsi="宋体" w:eastAsia="宋体" w:cs="宋体"/>
          <w:color w:val="000000" w:themeColor="text1"/>
          <w:sz w:val="24"/>
          <w:szCs w:val="24"/>
          <w:highlight w:val="none"/>
          <w14:textFill>
            <w14:solidFill>
              <w14:schemeClr w14:val="tx1"/>
            </w14:solidFill>
          </w14:textFill>
        </w:rPr>
        <w:t>招标人拒绝以下名单中的单位</w:t>
      </w:r>
      <w:r>
        <w:rPr>
          <w:rFonts w:hint="eastAsia" w:ascii="宋体" w:hAnsi="宋体" w:eastAsia="宋体" w:cs="宋体"/>
          <w:color w:val="000000" w:themeColor="text1"/>
          <w:spacing w:val="-1"/>
          <w:sz w:val="24"/>
          <w:szCs w:val="24"/>
          <w:highlight w:val="none"/>
          <w14:textFill>
            <w14:solidFill>
              <w14:schemeClr w14:val="tx1"/>
            </w14:solidFill>
          </w14:textFill>
        </w:rPr>
        <w:t>参加本次投标：</w:t>
      </w:r>
    </w:p>
    <w:tbl>
      <w:tblPr>
        <w:tblStyle w:val="14"/>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4471"/>
        <w:gridCol w:w="4280"/>
      </w:tblGrid>
      <w:tr w14:paraId="6046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30676045">
            <w:pPr>
              <w:pageBreakBefore w:val="0"/>
              <w:widowControl w:val="0"/>
              <w:kinsoku/>
              <w:wordWrap w:val="0"/>
              <w:overflowPunct/>
              <w:topLinePunct/>
              <w:autoSpaceDE/>
              <w:autoSpaceDN/>
              <w:bidi w:val="0"/>
              <w:adjustRightInd w:val="0"/>
              <w:snapToGrid w:val="0"/>
              <w:spacing w:line="400" w:lineRule="exact"/>
              <w:jc w:val="both"/>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序号</w:t>
            </w:r>
          </w:p>
        </w:tc>
        <w:tc>
          <w:tcPr>
            <w:tcW w:w="4471" w:type="dxa"/>
            <w:vAlign w:val="center"/>
          </w:tcPr>
          <w:p w14:paraId="3BB978AE">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单位名称</w:t>
            </w:r>
          </w:p>
        </w:tc>
        <w:tc>
          <w:tcPr>
            <w:tcW w:w="4280" w:type="dxa"/>
            <w:vAlign w:val="center"/>
          </w:tcPr>
          <w:p w14:paraId="2DF8B3BF">
            <w:pPr>
              <w:pageBreakBefore w:val="0"/>
              <w:widowControl w:val="0"/>
              <w:kinsoku/>
              <w:wordWrap w:val="0"/>
              <w:overflowPunct/>
              <w:topLinePunct/>
              <w:autoSpaceDE/>
              <w:autoSpaceDN/>
              <w:bidi w:val="0"/>
              <w:adjustRightInd w:val="0"/>
              <w:snapToGrid w:val="0"/>
              <w:spacing w:line="400" w:lineRule="exact"/>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拒绝原因</w:t>
            </w:r>
          </w:p>
        </w:tc>
      </w:tr>
      <w:tr w14:paraId="4BC08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208F87D6">
            <w:pPr>
              <w:pStyle w:val="22"/>
              <w:pageBreakBefore w:val="0"/>
              <w:kinsoku/>
              <w:wordWrap w:val="0"/>
              <w:overflowPunct/>
              <w:topLinePunct/>
              <w:bidi w:val="0"/>
              <w:adjustRightInd w:val="0"/>
              <w:snapToGrid w:val="0"/>
              <w:spacing w:line="340" w:lineRule="exact"/>
              <w:jc w:val="cente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p>
        </w:tc>
        <w:tc>
          <w:tcPr>
            <w:tcW w:w="4471" w:type="dxa"/>
            <w:vAlign w:val="center"/>
          </w:tcPr>
          <w:p w14:paraId="26A89D1A">
            <w:pPr>
              <w:pStyle w:val="22"/>
              <w:pageBreakBefore w:val="0"/>
              <w:kinsoku/>
              <w:wordWrap w:val="0"/>
              <w:overflowPunct/>
              <w:topLinePunct/>
              <w:bidi w:val="0"/>
              <w:adjustRightInd w:val="0"/>
              <w:snapToGrid w:val="0"/>
              <w:spacing w:line="34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韶关市浈江区鸿通投资有限公司</w:t>
            </w:r>
          </w:p>
        </w:tc>
        <w:tc>
          <w:tcPr>
            <w:tcW w:w="4280" w:type="dxa"/>
            <w:vAlign w:val="center"/>
          </w:tcPr>
          <w:p w14:paraId="052B1D86">
            <w:pPr>
              <w:pStyle w:val="22"/>
              <w:pageBreakBefore w:val="0"/>
              <w:kinsoku/>
              <w:wordWrap w:val="0"/>
              <w:overflowPunct/>
              <w:topLinePunct/>
              <w:bidi w:val="0"/>
              <w:adjustRightInd w:val="0"/>
              <w:snapToGrid w:val="0"/>
              <w:spacing w:line="340" w:lineRule="exact"/>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为本招标项目的招标人</w:t>
            </w:r>
          </w:p>
        </w:tc>
      </w:tr>
      <w:tr w14:paraId="62F1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75B613E9">
            <w:pPr>
              <w:pStyle w:val="22"/>
              <w:pageBreakBefore w:val="0"/>
              <w:kinsoku/>
              <w:wordWrap w:val="0"/>
              <w:overflowPunct/>
              <w:topLinePunct/>
              <w:bidi w:val="0"/>
              <w:adjustRightInd w:val="0"/>
              <w:snapToGrid w:val="0"/>
              <w:spacing w:line="340" w:lineRule="exact"/>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w:t>
            </w:r>
          </w:p>
        </w:tc>
        <w:tc>
          <w:tcPr>
            <w:tcW w:w="4471" w:type="dxa"/>
            <w:vAlign w:val="center"/>
          </w:tcPr>
          <w:p w14:paraId="21794ABA">
            <w:pPr>
              <w:pStyle w:val="22"/>
              <w:pageBreakBefore w:val="0"/>
              <w:kinsoku/>
              <w:wordWrap w:val="0"/>
              <w:overflowPunct/>
              <w:topLinePunct/>
              <w:bidi w:val="0"/>
              <w:adjustRightInd w:val="0"/>
              <w:snapToGrid w:val="0"/>
              <w:spacing w:line="34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广东合正项目管理有限公司</w:t>
            </w:r>
          </w:p>
        </w:tc>
        <w:tc>
          <w:tcPr>
            <w:tcW w:w="4280" w:type="dxa"/>
            <w:vAlign w:val="center"/>
          </w:tcPr>
          <w:p w14:paraId="0F0208F2">
            <w:pPr>
              <w:pStyle w:val="22"/>
              <w:pageBreakBefore w:val="0"/>
              <w:kinsoku/>
              <w:wordWrap w:val="0"/>
              <w:overflowPunct/>
              <w:topLinePunct/>
              <w:bidi w:val="0"/>
              <w:adjustRightInd w:val="0"/>
              <w:snapToGrid w:val="0"/>
              <w:spacing w:line="340" w:lineRule="exact"/>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为本招标项目的招标代理机构</w:t>
            </w:r>
          </w:p>
        </w:tc>
      </w:tr>
      <w:tr w14:paraId="5070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706" w:type="dxa"/>
            <w:vAlign w:val="center"/>
          </w:tcPr>
          <w:p w14:paraId="7922F35E">
            <w:pPr>
              <w:pStyle w:val="22"/>
              <w:pageBreakBefore w:val="0"/>
              <w:kinsoku/>
              <w:wordWrap w:val="0"/>
              <w:overflowPunct/>
              <w:topLinePunct/>
              <w:bidi w:val="0"/>
              <w:adjustRightInd w:val="0"/>
              <w:snapToGrid w:val="0"/>
              <w:spacing w:line="340" w:lineRule="exact"/>
              <w:jc w:val="cente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p>
        </w:tc>
        <w:tc>
          <w:tcPr>
            <w:tcW w:w="4471" w:type="dxa"/>
            <w:vAlign w:val="center"/>
          </w:tcPr>
          <w:p w14:paraId="4C7F2BCF">
            <w:pPr>
              <w:pStyle w:val="22"/>
              <w:pageBreakBefore w:val="0"/>
              <w:kinsoku/>
              <w:wordWrap w:val="0"/>
              <w:overflowPunct/>
              <w:topLinePunct/>
              <w:bidi w:val="0"/>
              <w:adjustRightInd w:val="0"/>
              <w:snapToGrid w:val="0"/>
              <w:spacing w:line="34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韶关市规划市政设计研究院有限公司</w:t>
            </w:r>
          </w:p>
        </w:tc>
        <w:tc>
          <w:tcPr>
            <w:tcW w:w="4280" w:type="dxa"/>
            <w:vAlign w:val="center"/>
          </w:tcPr>
          <w:p w14:paraId="6631E5E9">
            <w:pPr>
              <w:pStyle w:val="22"/>
              <w:pageBreakBefore w:val="0"/>
              <w:kinsoku/>
              <w:wordWrap w:val="0"/>
              <w:overflowPunct/>
              <w:topLinePunct/>
              <w:bidi w:val="0"/>
              <w:adjustRightInd w:val="0"/>
              <w:snapToGrid w:val="0"/>
              <w:spacing w:line="340" w:lineRule="exact"/>
              <w:jc w:val="left"/>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为本项目的可研编制单位</w:t>
            </w:r>
          </w:p>
        </w:tc>
      </w:tr>
      <w:tr w14:paraId="51DA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06" w:type="dxa"/>
            <w:vAlign w:val="center"/>
          </w:tcPr>
          <w:p w14:paraId="3324AD89">
            <w:pPr>
              <w:pStyle w:val="22"/>
              <w:pageBreakBefore w:val="0"/>
              <w:kinsoku/>
              <w:wordWrap w:val="0"/>
              <w:overflowPunct/>
              <w:topLinePunct/>
              <w:bidi w:val="0"/>
              <w:adjustRightInd w:val="0"/>
              <w:snapToGrid w:val="0"/>
              <w:spacing w:line="340" w:lineRule="exact"/>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p>
        </w:tc>
        <w:tc>
          <w:tcPr>
            <w:tcW w:w="4471" w:type="dxa"/>
            <w:vAlign w:val="center"/>
          </w:tcPr>
          <w:p w14:paraId="678A8EC9">
            <w:pPr>
              <w:pStyle w:val="22"/>
              <w:pageBreakBefore w:val="0"/>
              <w:kinsoku/>
              <w:wordWrap w:val="0"/>
              <w:overflowPunct/>
              <w:topLinePunct/>
              <w:bidi w:val="0"/>
              <w:adjustRightInd w:val="0"/>
              <w:snapToGrid w:val="0"/>
              <w:spacing w:line="34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成泸工程咨询有限公司</w:t>
            </w:r>
          </w:p>
        </w:tc>
        <w:tc>
          <w:tcPr>
            <w:tcW w:w="4280" w:type="dxa"/>
            <w:vAlign w:val="center"/>
          </w:tcPr>
          <w:p w14:paraId="2F0C006E">
            <w:pPr>
              <w:pStyle w:val="22"/>
              <w:pageBreakBefore w:val="0"/>
              <w:kinsoku/>
              <w:wordWrap w:val="0"/>
              <w:overflowPunct/>
              <w:topLinePunct/>
              <w:bidi w:val="0"/>
              <w:adjustRightInd w:val="0"/>
              <w:snapToGrid w:val="0"/>
              <w:spacing w:line="340" w:lineRule="exact"/>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为本招标项目的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全过程</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造价咨询单位</w:t>
            </w:r>
          </w:p>
        </w:tc>
      </w:tr>
    </w:tbl>
    <w:p w14:paraId="20FC7EC1">
      <w:pPr>
        <w:pageBreakBefore w:val="0"/>
        <w:kinsoku/>
        <w:wordWrap w:val="0"/>
        <w:overflowPunct/>
        <w:topLinePunct/>
        <w:bidi w:val="0"/>
        <w:spacing w:line="93" w:lineRule="auto"/>
        <w:rPr>
          <w:rFonts w:hint="eastAsia" w:ascii="宋体" w:hAnsi="宋体" w:eastAsia="宋体" w:cs="宋体"/>
          <w:color w:val="000000" w:themeColor="text1"/>
          <w:sz w:val="2"/>
          <w:highlight w:val="none"/>
          <w14:textFill>
            <w14:solidFill>
              <w14:schemeClr w14:val="tx1"/>
            </w14:solidFill>
          </w14:textFill>
        </w:rPr>
      </w:pPr>
    </w:p>
    <w:p w14:paraId="0B976FBA">
      <w:pPr>
        <w:pageBreakBefore w:val="0"/>
        <w:kinsoku/>
        <w:wordWrap w:val="0"/>
        <w:overflowPunct/>
        <w:topLinePunct/>
        <w:bidi w:val="0"/>
        <w:spacing w:before="153" w:line="221" w:lineRule="auto"/>
        <w:ind w:left="70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2.5 </w:t>
      </w:r>
      <w:r>
        <w:rPr>
          <w:rFonts w:hint="eastAsia" w:ascii="宋体" w:hAnsi="宋体" w:eastAsia="宋体" w:cs="宋体"/>
          <w:color w:val="000000" w:themeColor="text1"/>
          <w:spacing w:val="-1"/>
          <w:sz w:val="24"/>
          <w:szCs w:val="24"/>
          <w:highlight w:val="none"/>
          <w14:textFill>
            <w14:solidFill>
              <w14:schemeClr w14:val="tx1"/>
            </w14:solidFill>
          </w14:textFill>
        </w:rPr>
        <w:t>其他要求</w:t>
      </w:r>
    </w:p>
    <w:p w14:paraId="5213A64E">
      <w:pPr>
        <w:pageBreakBefore w:val="0"/>
        <w:kinsoku/>
        <w:wordWrap w:val="0"/>
        <w:overflowPunct/>
        <w:topLinePunct/>
        <w:bidi w:val="0"/>
        <w:spacing w:before="150" w:line="334" w:lineRule="auto"/>
        <w:ind w:left="232" w:right="99" w:firstLine="48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省外企业及其拟派往本项目管理机构的所有</w:t>
      </w:r>
      <w:r>
        <w:rPr>
          <w:rFonts w:hint="eastAsia" w:ascii="宋体" w:hAnsi="宋体" w:eastAsia="宋体" w:cs="宋体"/>
          <w:color w:val="000000" w:themeColor="text1"/>
          <w:spacing w:val="-2"/>
          <w:sz w:val="24"/>
          <w:szCs w:val="24"/>
          <w:highlight w:val="none"/>
          <w14:textFill>
            <w14:solidFill>
              <w14:schemeClr w14:val="tx1"/>
            </w14:solidFill>
          </w14:textFill>
        </w:rPr>
        <w:t>人员均须按照《广东省住房和城乡建</w:t>
      </w:r>
      <w:r>
        <w:rPr>
          <w:rFonts w:hint="eastAsia" w:ascii="宋体" w:hAnsi="宋体" w:eastAsia="宋体" w:cs="宋体"/>
          <w:color w:val="000000" w:themeColor="text1"/>
          <w:spacing w:val="-1"/>
          <w:sz w:val="24"/>
          <w:szCs w:val="24"/>
          <w:highlight w:val="none"/>
          <w14:textFill>
            <w14:solidFill>
              <w14:schemeClr w14:val="tx1"/>
            </w14:solidFill>
          </w14:textFill>
        </w:rPr>
        <w:t>设厅关于取消省外建筑企业和人员进粤信息备案有关工作的通知》</w:t>
      </w:r>
      <w:r>
        <w:rPr>
          <w:rFonts w:hint="eastAsia" w:ascii="宋体" w:hAnsi="宋体" w:eastAsia="宋体" w:cs="宋体"/>
          <w:color w:val="000000" w:themeColor="text1"/>
          <w:spacing w:val="-2"/>
          <w:sz w:val="24"/>
          <w:szCs w:val="24"/>
          <w:highlight w:val="none"/>
          <w14:textFill>
            <w14:solidFill>
              <w14:schemeClr w14:val="tx1"/>
            </w14:solidFill>
          </w14:textFill>
        </w:rPr>
        <w:t>（粤建市﹝2015﹞</w:t>
      </w:r>
      <w:r>
        <w:rPr>
          <w:rFonts w:hint="eastAsia" w:ascii="宋体" w:hAnsi="宋体" w:eastAsia="宋体" w:cs="宋体"/>
          <w:color w:val="000000" w:themeColor="text1"/>
          <w:spacing w:val="-4"/>
          <w:sz w:val="24"/>
          <w:szCs w:val="24"/>
          <w:highlight w:val="none"/>
          <w14:textFill>
            <w14:solidFill>
              <w14:schemeClr w14:val="tx1"/>
            </w14:solidFill>
          </w14:textFill>
        </w:rPr>
        <w:t>52号）规定在“进粤企业和人员诚信信息登记平台”录入相关信息并通过数</w:t>
      </w:r>
      <w:r>
        <w:rPr>
          <w:rFonts w:hint="eastAsia" w:ascii="宋体" w:hAnsi="宋体" w:eastAsia="宋体" w:cs="宋体"/>
          <w:color w:val="000000" w:themeColor="text1"/>
          <w:spacing w:val="-5"/>
          <w:sz w:val="24"/>
          <w:szCs w:val="24"/>
          <w:highlight w:val="none"/>
          <w14:textFill>
            <w14:solidFill>
              <w14:schemeClr w14:val="tx1"/>
            </w14:solidFill>
          </w14:textFill>
        </w:rPr>
        <w:t>据规范检</w:t>
      </w:r>
      <w:r>
        <w:rPr>
          <w:rFonts w:hint="eastAsia" w:ascii="宋体" w:hAnsi="宋体" w:eastAsia="宋体" w:cs="宋体"/>
          <w:color w:val="000000" w:themeColor="text1"/>
          <w:spacing w:val="-6"/>
          <w:sz w:val="24"/>
          <w:szCs w:val="24"/>
          <w:highlight w:val="none"/>
          <w14:textFill>
            <w14:solidFill>
              <w14:schemeClr w14:val="tx1"/>
            </w14:solidFill>
          </w14:textFill>
        </w:rPr>
        <w:t>查。</w:t>
      </w:r>
    </w:p>
    <w:p w14:paraId="3C205C06">
      <w:pPr>
        <w:pageBreakBefore w:val="0"/>
        <w:kinsoku/>
        <w:wordWrap w:val="0"/>
        <w:overflowPunct/>
        <w:topLinePunct/>
        <w:bidi w:val="0"/>
        <w:spacing w:before="79" w:line="220" w:lineRule="auto"/>
        <w:ind w:left="71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9" w:name="_Toc23951"/>
      <w:bookmarkStart w:id="20" w:name="_Toc23243"/>
      <w:r>
        <w:rPr>
          <w:rFonts w:hint="eastAsia" w:ascii="宋体" w:hAnsi="宋体" w:eastAsia="宋体" w:cs="宋体"/>
          <w:b/>
          <w:bCs/>
          <w:color w:val="000000" w:themeColor="text1"/>
          <w:spacing w:val="-4"/>
          <w:sz w:val="24"/>
          <w:szCs w:val="24"/>
          <w:highlight w:val="none"/>
          <w14:textFill>
            <w14:solidFill>
              <w14:schemeClr w14:val="tx1"/>
            </w14:solidFill>
          </w14:textFill>
        </w:rPr>
        <w:t>3．招标文件的获取</w:t>
      </w:r>
      <w:bookmarkEnd w:id="19"/>
      <w:bookmarkEnd w:id="20"/>
    </w:p>
    <w:p w14:paraId="49A170FE">
      <w:pPr>
        <w:pageBreakBefore w:val="0"/>
        <w:kinsoku/>
        <w:wordWrap w:val="0"/>
        <w:overflowPunct/>
        <w:topLinePunct/>
        <w:bidi w:val="0"/>
        <w:spacing w:before="182" w:line="219" w:lineRule="auto"/>
        <w:ind w:left="7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3.1 </w:t>
      </w:r>
      <w:r>
        <w:rPr>
          <w:rFonts w:hint="eastAsia" w:ascii="宋体" w:hAnsi="宋体" w:eastAsia="宋体" w:cs="宋体"/>
          <w:color w:val="000000" w:themeColor="text1"/>
          <w:spacing w:val="-1"/>
          <w:sz w:val="24"/>
          <w:szCs w:val="24"/>
          <w:highlight w:val="none"/>
          <w14:textFill>
            <w14:solidFill>
              <w14:schemeClr w14:val="tx1"/>
            </w14:solidFill>
          </w14:textFill>
        </w:rPr>
        <w:t>本次招标实行电子投标。</w:t>
      </w:r>
    </w:p>
    <w:p w14:paraId="6113E650">
      <w:pPr>
        <w:pageBreakBefore w:val="0"/>
        <w:kinsoku/>
        <w:wordWrap w:val="0"/>
        <w:overflowPunct/>
        <w:topLinePunct/>
        <w:bidi w:val="0"/>
        <w:spacing w:before="178" w:line="355" w:lineRule="auto"/>
        <w:ind w:left="229" w:firstLine="4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本次招标实行电子投标。本项目招标文件随招标公</w:t>
      </w:r>
      <w:r>
        <w:rPr>
          <w:rFonts w:hint="eastAsia" w:ascii="宋体" w:hAnsi="宋体" w:eastAsia="宋体" w:cs="宋体"/>
          <w:color w:val="000000" w:themeColor="text1"/>
          <w:spacing w:val="-2"/>
          <w:sz w:val="24"/>
          <w:szCs w:val="24"/>
          <w:highlight w:val="none"/>
          <w14:textFill>
            <w14:solidFill>
              <w14:schemeClr w14:val="tx1"/>
            </w14:solidFill>
          </w14:textFill>
        </w:rPr>
        <w:t>告一并在全国公共资源交易平台（广东省·韶关市</w:t>
      </w:r>
      <w:r>
        <w:rPr>
          <w:rFonts w:hint="eastAsia" w:ascii="宋体" w:hAnsi="宋体" w:eastAsia="宋体" w:cs="宋体"/>
          <w:color w:val="000000" w:themeColor="text1"/>
          <w:spacing w:val="-56"/>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https</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//yg</w:t>
      </w:r>
      <w:r>
        <w:rPr>
          <w:rFonts w:hint="eastAsia" w:ascii="宋体" w:hAnsi="宋体" w:eastAsia="宋体" w:cs="宋体"/>
          <w:color w:val="000000" w:themeColor="text1"/>
          <w:spacing w:val="-3"/>
          <w:sz w:val="24"/>
          <w:szCs w:val="24"/>
          <w:highlight w:val="none"/>
          <w14:textFill>
            <w14:solidFill>
              <w14:schemeClr w14:val="tx1"/>
            </w14:solidFill>
          </w14:textFill>
        </w:rPr>
        <w:t>p.gdzwfw.gov.cn/ggzy-portal/#/440200/index）</w:t>
      </w:r>
      <w:r>
        <w:rPr>
          <w:rFonts w:hint="eastAsia" w:ascii="宋体" w:hAnsi="宋体" w:eastAsia="宋体" w:cs="宋体"/>
          <w:color w:val="000000" w:themeColor="text1"/>
          <w:spacing w:val="-1"/>
          <w:sz w:val="24"/>
          <w:szCs w:val="24"/>
          <w:highlight w:val="none"/>
          <w14:textFill>
            <w14:solidFill>
              <w14:schemeClr w14:val="tx1"/>
            </w14:solidFill>
          </w14:textFill>
        </w:rPr>
        <w:t>网站发布。招标文件一经发布，视为发送投标人，招标文件及相</w:t>
      </w:r>
      <w:r>
        <w:rPr>
          <w:rFonts w:hint="eastAsia" w:ascii="宋体" w:hAnsi="宋体" w:eastAsia="宋体" w:cs="宋体"/>
          <w:color w:val="000000" w:themeColor="text1"/>
          <w:spacing w:val="-2"/>
          <w:sz w:val="24"/>
          <w:szCs w:val="24"/>
          <w:highlight w:val="none"/>
          <w14:textFill>
            <w14:solidFill>
              <w14:schemeClr w14:val="tx1"/>
            </w14:solidFill>
          </w14:textFill>
        </w:rPr>
        <w:t>关附件由投标人自行</w:t>
      </w:r>
      <w:r>
        <w:rPr>
          <w:rFonts w:hint="eastAsia" w:ascii="宋体" w:hAnsi="宋体" w:eastAsia="宋体" w:cs="宋体"/>
          <w:color w:val="000000" w:themeColor="text1"/>
          <w:spacing w:val="-7"/>
          <w:sz w:val="24"/>
          <w:szCs w:val="24"/>
          <w:highlight w:val="none"/>
          <w14:textFill>
            <w14:solidFill>
              <w14:schemeClr w14:val="tx1"/>
            </w14:solidFill>
          </w14:textFill>
        </w:rPr>
        <w:t>在全国公共资源交易平台（广东省·韶关市）网站下载。请于招标文件获取期间,（见</w:t>
      </w:r>
      <w:r>
        <w:rPr>
          <w:rFonts w:hint="eastAsia" w:ascii="宋体" w:hAnsi="宋体" w:eastAsia="宋体" w:cs="宋体"/>
          <w:color w:val="000000" w:themeColor="text1"/>
          <w:spacing w:val="-2"/>
          <w:sz w:val="24"/>
          <w:szCs w:val="24"/>
          <w:highlight w:val="none"/>
          <w14:textFill>
            <w14:solidFill>
              <w14:schemeClr w14:val="tx1"/>
            </w14:solidFill>
          </w14:textFill>
        </w:rPr>
        <w:t>本章第二节“重要事项时间地点一览表”）招标文件获取期间与招标公告发</w:t>
      </w:r>
      <w:r>
        <w:rPr>
          <w:rFonts w:hint="eastAsia" w:ascii="宋体" w:hAnsi="宋体" w:eastAsia="宋体" w:cs="宋体"/>
          <w:color w:val="000000" w:themeColor="text1"/>
          <w:spacing w:val="-3"/>
          <w:sz w:val="24"/>
          <w:szCs w:val="24"/>
          <w:highlight w:val="none"/>
          <w14:textFill>
            <w14:solidFill>
              <w14:schemeClr w14:val="tx1"/>
            </w14:solidFill>
          </w14:textFill>
        </w:rPr>
        <w:t>布时间一</w:t>
      </w:r>
      <w:r>
        <w:rPr>
          <w:rFonts w:hint="eastAsia" w:ascii="宋体" w:hAnsi="宋体" w:eastAsia="宋体" w:cs="宋体"/>
          <w:color w:val="000000" w:themeColor="text1"/>
          <w:spacing w:val="-4"/>
          <w:sz w:val="24"/>
          <w:szCs w:val="24"/>
          <w:highlight w:val="none"/>
          <w14:textFill>
            <w14:solidFill>
              <w14:schemeClr w14:val="tx1"/>
            </w14:solidFill>
          </w14:textFill>
        </w:rPr>
        <w:t>致，投标人须登录全国公共资源交易平台（广东省·韶关市</w:t>
      </w:r>
      <w:r>
        <w:rPr>
          <w:rFonts w:hint="eastAsia" w:ascii="宋体" w:hAnsi="宋体" w:eastAsia="宋体" w:cs="宋体"/>
          <w:color w:val="000000" w:themeColor="text1"/>
          <w:spacing w:val="-40"/>
          <w:sz w:val="24"/>
          <w:szCs w:val="24"/>
          <w:highlight w:val="none"/>
          <w14:textFill>
            <w14:solidFill>
              <w14:schemeClr w14:val="tx1"/>
            </w14:solidFill>
          </w14:textFill>
        </w:rPr>
        <w:t>）（</w:t>
      </w:r>
      <w:r>
        <w:rPr>
          <w:rFonts w:hint="eastAsia" w:ascii="宋体" w:hAnsi="宋体" w:eastAsia="宋体" w:cs="宋体"/>
          <w:color w:val="000000" w:themeColor="text1"/>
          <w:spacing w:val="-4"/>
          <w:sz w:val="24"/>
          <w:szCs w:val="24"/>
          <w:highlight w:val="none"/>
          <w14:textFill>
            <w14:solidFill>
              <w14:schemeClr w14:val="tx1"/>
            </w14:solidFill>
          </w14:textFill>
        </w:rPr>
        <w:t>https</w:t>
      </w:r>
      <w:r>
        <w:rPr>
          <w:rFonts w:hint="eastAsia" w:ascii="宋体" w:hAnsi="宋体" w:eastAsia="宋体" w:cs="宋体"/>
          <w:color w:val="000000" w:themeColor="text1"/>
          <w:spacing w:val="-4"/>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4"/>
          <w:sz w:val="24"/>
          <w:szCs w:val="24"/>
          <w:highlight w:val="none"/>
          <w14:textFill>
            <w14:solidFill>
              <w14:schemeClr w14:val="tx1"/>
            </w14:solidFill>
          </w14:textFill>
        </w:rPr>
        <w:t>//ygp.gdzwfw.</w:t>
      </w:r>
      <w:r>
        <w:rPr>
          <w:rFonts w:hint="eastAsia" w:ascii="宋体" w:hAnsi="宋体" w:eastAsia="宋体" w:cs="宋体"/>
          <w:color w:val="000000" w:themeColor="text1"/>
          <w:sz w:val="24"/>
          <w:szCs w:val="24"/>
          <w:highlight w:val="none"/>
          <w14:textFill>
            <w14:solidFill>
              <w14:schemeClr w14:val="tx1"/>
            </w14:solidFill>
          </w14:textFill>
        </w:rPr>
        <w:t>gov</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cn</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ggzy</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portal</w:t>
      </w:r>
      <w:r>
        <w:rPr>
          <w:rFonts w:hint="eastAsia" w:ascii="宋体" w:hAnsi="宋体" w:eastAsia="宋体" w:cs="宋体"/>
          <w:color w:val="000000" w:themeColor="text1"/>
          <w:spacing w:val="2"/>
          <w:sz w:val="24"/>
          <w:szCs w:val="24"/>
          <w:highlight w:val="none"/>
          <w14:textFill>
            <w14:solidFill>
              <w14:schemeClr w14:val="tx1"/>
            </w14:solidFill>
          </w14:textFill>
        </w:rPr>
        <w:t>/#/440200/</w:t>
      </w:r>
      <w:r>
        <w:rPr>
          <w:rFonts w:hint="eastAsia" w:ascii="宋体" w:hAnsi="宋体" w:eastAsia="宋体" w:cs="宋体"/>
          <w:color w:val="000000" w:themeColor="text1"/>
          <w:sz w:val="24"/>
          <w:szCs w:val="24"/>
          <w:highlight w:val="none"/>
          <w14:textFill>
            <w14:solidFill>
              <w14:schemeClr w14:val="tx1"/>
            </w14:solidFill>
          </w14:textFill>
        </w:rPr>
        <w:t>index</w:t>
      </w:r>
      <w:r>
        <w:rPr>
          <w:rFonts w:hint="eastAsia" w:ascii="宋体" w:hAnsi="宋体" w:eastAsia="宋体" w:cs="宋体"/>
          <w:color w:val="000000" w:themeColor="text1"/>
          <w:spacing w:val="7"/>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使用新建设工程交易系统进行下载</w:t>
      </w:r>
      <w:r>
        <w:rPr>
          <w:rFonts w:hint="eastAsia" w:ascii="宋体" w:hAnsi="宋体" w:eastAsia="宋体" w:cs="宋体"/>
          <w:color w:val="000000" w:themeColor="text1"/>
          <w:spacing w:val="1"/>
          <w:sz w:val="24"/>
          <w:szCs w:val="24"/>
          <w:highlight w:val="none"/>
          <w14:textFill>
            <w14:solidFill>
              <w14:schemeClr w14:val="tx1"/>
            </w14:solidFill>
          </w14:textFill>
        </w:rPr>
        <w:t>招标文</w:t>
      </w:r>
      <w:r>
        <w:rPr>
          <w:rFonts w:hint="eastAsia" w:ascii="宋体" w:hAnsi="宋体" w:eastAsia="宋体" w:cs="宋体"/>
          <w:color w:val="000000" w:themeColor="text1"/>
          <w:spacing w:val="-6"/>
          <w:sz w:val="24"/>
          <w:szCs w:val="24"/>
          <w:highlight w:val="none"/>
          <w14:textFill>
            <w14:solidFill>
              <w14:schemeClr w14:val="tx1"/>
            </w14:solidFill>
          </w14:textFill>
        </w:rPr>
        <w:t>件及相关附件，并于电子投标截止时间（见本章第二节“重要事项时间地点一览表”）</w:t>
      </w:r>
      <w:r>
        <w:rPr>
          <w:rFonts w:hint="eastAsia" w:ascii="宋体" w:hAnsi="宋体" w:eastAsia="宋体" w:cs="宋体"/>
          <w:color w:val="000000" w:themeColor="text1"/>
          <w:spacing w:val="-2"/>
          <w:sz w:val="24"/>
          <w:szCs w:val="24"/>
          <w:highlight w:val="none"/>
          <w14:textFill>
            <w14:solidFill>
              <w14:schemeClr w14:val="tx1"/>
            </w14:solidFill>
          </w14:textFill>
        </w:rPr>
        <w:t>前完成电子投标。投标人可登录全国公共资源交易平</w:t>
      </w:r>
      <w:r>
        <w:rPr>
          <w:rFonts w:hint="eastAsia" w:ascii="宋体" w:hAnsi="宋体" w:eastAsia="宋体" w:cs="宋体"/>
          <w:color w:val="000000" w:themeColor="text1"/>
          <w:spacing w:val="-3"/>
          <w:sz w:val="24"/>
          <w:szCs w:val="24"/>
          <w:highlight w:val="none"/>
          <w14:textFill>
            <w14:solidFill>
              <w14:schemeClr w14:val="tx1"/>
            </w14:solidFill>
          </w14:textFill>
        </w:rPr>
        <w:t>台（广东省·韶关市</w:t>
      </w:r>
      <w:r>
        <w:rPr>
          <w:rFonts w:hint="eastAsia" w:ascii="宋体" w:hAnsi="宋体" w:eastAsia="宋体" w:cs="宋体"/>
          <w:color w:val="000000" w:themeColor="text1"/>
          <w:spacing w:val="-25"/>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https</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//ygp.gdzwfw.gov.cn/ggz</w:t>
      </w:r>
      <w:r>
        <w:rPr>
          <w:rFonts w:hint="eastAsia" w:ascii="宋体" w:hAnsi="宋体" w:eastAsia="宋体" w:cs="宋体"/>
          <w:color w:val="000000" w:themeColor="text1"/>
          <w:spacing w:val="-1"/>
          <w:sz w:val="24"/>
          <w:szCs w:val="24"/>
          <w:highlight w:val="none"/>
          <w14:textFill>
            <w14:solidFill>
              <w14:schemeClr w14:val="tx1"/>
            </w14:solidFill>
          </w14:textFill>
        </w:rPr>
        <w:t>y-portal/#/440200/index</w:t>
      </w:r>
      <w:r>
        <w:rPr>
          <w:rFonts w:hint="eastAsia" w:ascii="宋体" w:hAnsi="宋体" w:eastAsia="宋体" w:cs="宋体"/>
          <w:color w:val="000000" w:themeColor="text1"/>
          <w:spacing w:val="-6"/>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在【服务指南】栏目中建设</w:t>
      </w:r>
      <w:r>
        <w:rPr>
          <w:rFonts w:hint="eastAsia" w:ascii="宋体" w:hAnsi="宋体" w:eastAsia="宋体" w:cs="宋体"/>
          <w:color w:val="000000" w:themeColor="text1"/>
          <w:spacing w:val="-2"/>
          <w:sz w:val="24"/>
          <w:szCs w:val="24"/>
          <w:highlight w:val="none"/>
          <w14:textFill>
            <w14:solidFill>
              <w14:schemeClr w14:val="tx1"/>
            </w14:solidFill>
          </w14:textFill>
        </w:rPr>
        <w:t>工程交易中下载《韶关市公共资源建设工程交易系统-投</w:t>
      </w:r>
      <w:r>
        <w:rPr>
          <w:rFonts w:hint="eastAsia" w:ascii="宋体" w:hAnsi="宋体" w:eastAsia="宋体" w:cs="宋体"/>
          <w:color w:val="000000" w:themeColor="text1"/>
          <w:spacing w:val="-1"/>
          <w:sz w:val="24"/>
          <w:szCs w:val="24"/>
          <w:highlight w:val="none"/>
          <w14:textFill>
            <w14:solidFill>
              <w14:schemeClr w14:val="tx1"/>
            </w14:solidFill>
          </w14:textFill>
        </w:rPr>
        <w:t>标人操作指南（电子评标）》（附件2），了解网上获取招标文件操作流程。技术咨询电话：0751-837</w:t>
      </w:r>
      <w:r>
        <w:rPr>
          <w:rFonts w:hint="eastAsia" w:ascii="宋体" w:hAnsi="宋体" w:eastAsia="宋体" w:cs="宋体"/>
          <w:color w:val="000000" w:themeColor="text1"/>
          <w:spacing w:val="-4"/>
          <w:sz w:val="24"/>
          <w:szCs w:val="24"/>
          <w:highlight w:val="none"/>
          <w14:textFill>
            <w14:solidFill>
              <w14:schemeClr w14:val="tx1"/>
            </w14:solidFill>
          </w14:textFill>
        </w:rPr>
        <w:t>9671伍</w:t>
      </w:r>
      <w:r>
        <w:rPr>
          <w:rFonts w:hint="eastAsia" w:ascii="宋体" w:hAnsi="宋体" w:eastAsia="宋体" w:cs="宋体"/>
          <w:color w:val="000000" w:themeColor="text1"/>
          <w:spacing w:val="-5"/>
          <w:sz w:val="24"/>
          <w:szCs w:val="24"/>
          <w:highlight w:val="none"/>
          <w14:textFill>
            <w14:solidFill>
              <w14:schemeClr w14:val="tx1"/>
            </w14:solidFill>
          </w14:textFill>
        </w:rPr>
        <w:t>先生，</w:t>
      </w:r>
      <w:r>
        <w:rPr>
          <w:rFonts w:hint="eastAsia" w:ascii="宋体" w:hAnsi="宋体" w:eastAsia="宋体" w:cs="宋体"/>
          <w:color w:val="000000" w:themeColor="text1"/>
          <w:spacing w:val="-1"/>
          <w:sz w:val="24"/>
          <w:szCs w:val="24"/>
          <w:highlight w:val="none"/>
          <w14:textFill>
            <w14:solidFill>
              <w14:schemeClr w14:val="tx1"/>
            </w14:solidFill>
          </w14:textFill>
        </w:rPr>
        <w:t>业务咨询电话：0751-8633211。</w:t>
      </w:r>
    </w:p>
    <w:p w14:paraId="50E0087A">
      <w:pPr>
        <w:pageBreakBefore w:val="0"/>
        <w:kinsoku/>
        <w:wordWrap w:val="0"/>
        <w:overflowPunct/>
        <w:topLinePunct/>
        <w:bidi w:val="0"/>
        <w:spacing w:before="142" w:line="330" w:lineRule="auto"/>
        <w:ind w:left="11" w:right="105" w:firstLine="473"/>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3.2 </w:t>
      </w:r>
      <w:r>
        <w:rPr>
          <w:rFonts w:hint="eastAsia" w:ascii="宋体" w:hAnsi="宋体" w:eastAsia="宋体" w:cs="宋体"/>
          <w:color w:val="000000" w:themeColor="text1"/>
          <w:spacing w:val="-1"/>
          <w:sz w:val="24"/>
          <w:szCs w:val="24"/>
          <w:highlight w:val="none"/>
          <w14:textFill>
            <w14:solidFill>
              <w14:schemeClr w14:val="tx1"/>
            </w14:solidFill>
          </w14:textFill>
        </w:rPr>
        <w:t>只有申领了数字证书（CA）、“粤企签”或GDCA/SZCA/NETCA等符合法律法规规定的电子印章，并在交易系统中完成企业信息数据入库</w:t>
      </w:r>
      <w:r>
        <w:rPr>
          <w:rFonts w:hint="eastAsia" w:ascii="宋体" w:hAnsi="宋体" w:eastAsia="宋体" w:cs="宋体"/>
          <w:color w:val="000000" w:themeColor="text1"/>
          <w:spacing w:val="-2"/>
          <w:sz w:val="24"/>
          <w:szCs w:val="24"/>
          <w:highlight w:val="none"/>
          <w14:textFill>
            <w14:solidFill>
              <w14:schemeClr w14:val="tx1"/>
            </w14:solidFill>
          </w14:textFill>
        </w:rPr>
        <w:t>的投标人，方可使用建设</w:t>
      </w:r>
      <w:r>
        <w:rPr>
          <w:rFonts w:hint="eastAsia" w:ascii="宋体" w:hAnsi="宋体" w:eastAsia="宋体" w:cs="宋体"/>
          <w:color w:val="000000" w:themeColor="text1"/>
          <w:spacing w:val="-1"/>
          <w:sz w:val="24"/>
          <w:szCs w:val="24"/>
          <w:highlight w:val="none"/>
          <w14:textFill>
            <w14:solidFill>
              <w14:schemeClr w14:val="tx1"/>
            </w14:solidFill>
          </w14:textFill>
        </w:rPr>
        <w:t>工程交易系统进行招标文件及附件获取和电子投标。</w:t>
      </w:r>
    </w:p>
    <w:p w14:paraId="420E9A01">
      <w:pPr>
        <w:pageBreakBefore w:val="0"/>
        <w:kinsoku/>
        <w:wordWrap w:val="0"/>
        <w:overflowPunct/>
        <w:topLinePunct/>
        <w:bidi w:val="0"/>
        <w:spacing w:before="32" w:line="332" w:lineRule="auto"/>
        <w:ind w:left="10" w:right="90" w:firstLine="483"/>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首次在韶关市参与建设工程招标投标活动的</w:t>
      </w:r>
      <w:r>
        <w:rPr>
          <w:rFonts w:hint="eastAsia" w:ascii="宋体" w:hAnsi="宋体" w:eastAsia="宋体" w:cs="宋体"/>
          <w:color w:val="000000" w:themeColor="text1"/>
          <w:spacing w:val="-2"/>
          <w:sz w:val="24"/>
          <w:szCs w:val="24"/>
          <w:highlight w:val="none"/>
          <w14:textFill>
            <w14:solidFill>
              <w14:schemeClr w14:val="tx1"/>
            </w14:solidFill>
          </w14:textFill>
        </w:rPr>
        <w:t>投标人，必须在平台系统上传企业相</w:t>
      </w:r>
      <w:r>
        <w:rPr>
          <w:rFonts w:hint="eastAsia" w:ascii="宋体" w:hAnsi="宋体" w:eastAsia="宋体" w:cs="宋体"/>
          <w:color w:val="000000" w:themeColor="text1"/>
          <w:spacing w:val="-3"/>
          <w:sz w:val="24"/>
          <w:szCs w:val="24"/>
          <w:highlight w:val="none"/>
          <w14:textFill>
            <w14:solidFill>
              <w14:schemeClr w14:val="tx1"/>
            </w14:solidFill>
          </w14:textFill>
        </w:rPr>
        <w:t>关资料办理企业入库事宜。投标人可登录全国公共资源</w:t>
      </w:r>
      <w:r>
        <w:rPr>
          <w:rFonts w:hint="eastAsia" w:ascii="宋体" w:hAnsi="宋体" w:eastAsia="宋体" w:cs="宋体"/>
          <w:color w:val="000000" w:themeColor="text1"/>
          <w:spacing w:val="-4"/>
          <w:sz w:val="24"/>
          <w:szCs w:val="24"/>
          <w:highlight w:val="none"/>
          <w14:textFill>
            <w14:solidFill>
              <w14:schemeClr w14:val="tx1"/>
            </w14:solidFill>
          </w14:textFill>
        </w:rPr>
        <w:t>交易平台（广东省·韶关市）</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"https://ygp.gdzwfw.gov.cn/ggzy-portal/#/440200/index"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spacing w:val="-1"/>
          <w:sz w:val="24"/>
          <w:szCs w:val="24"/>
          <w:highlight w:val="none"/>
          <w14:textFill>
            <w14:solidFill>
              <w14:schemeClr w14:val="tx1"/>
            </w14:solidFill>
          </w14:textFill>
        </w:rPr>
        <w:t>https</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//ygp.gdzwfw.gov.cn/ggzy-portal/#/440200/index</w:t>
      </w:r>
      <w:r>
        <w:rPr>
          <w:rFonts w:hint="eastAsia" w:ascii="宋体" w:hAnsi="宋体" w:eastAsia="宋体" w:cs="宋体"/>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1"/>
          <w:sz w:val="24"/>
          <w:szCs w:val="24"/>
          <w:highlight w:val="none"/>
          <w14:textFill>
            <w14:solidFill>
              <w14:schemeClr w14:val="tx1"/>
            </w14:solidFill>
          </w14:textFill>
        </w:rPr>
        <w:t>）办理企业入库、数字证书及电子印章事宜，具体请在平台查阅相应的交易指引。</w:t>
      </w:r>
    </w:p>
    <w:p w14:paraId="4791E9E5">
      <w:pPr>
        <w:pageBreakBefore w:val="0"/>
        <w:kinsoku/>
        <w:wordWrap w:val="0"/>
        <w:overflowPunct/>
        <w:topLinePunct/>
        <w:bidi w:val="0"/>
        <w:spacing w:before="37" w:line="329" w:lineRule="auto"/>
        <w:ind w:left="9" w:right="105" w:firstLine="507"/>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已入库企业有关信息（如单位名称、基本账号、资质、人员等）发生变化</w:t>
      </w:r>
      <w:r>
        <w:rPr>
          <w:rFonts w:hint="eastAsia" w:ascii="宋体" w:hAnsi="宋体" w:eastAsia="宋体" w:cs="宋体"/>
          <w:color w:val="000000" w:themeColor="text1"/>
          <w:spacing w:val="-3"/>
          <w:sz w:val="24"/>
          <w:szCs w:val="24"/>
          <w:highlight w:val="none"/>
          <w14:textFill>
            <w14:solidFill>
              <w14:schemeClr w14:val="tx1"/>
            </w14:solidFill>
          </w14:textFill>
        </w:rPr>
        <w:t>的，须</w:t>
      </w:r>
      <w:r>
        <w:rPr>
          <w:rFonts w:hint="eastAsia" w:ascii="宋体" w:hAnsi="宋体" w:eastAsia="宋体" w:cs="宋体"/>
          <w:color w:val="000000" w:themeColor="text1"/>
          <w:spacing w:val="-1"/>
          <w:sz w:val="24"/>
          <w:szCs w:val="24"/>
          <w:highlight w:val="none"/>
          <w14:textFill>
            <w14:solidFill>
              <w14:schemeClr w14:val="tx1"/>
            </w14:solidFill>
          </w14:textFill>
        </w:rPr>
        <w:t>及时在交易系统进行相应变更。投标人未及时变更信息而造成的</w:t>
      </w:r>
      <w:r>
        <w:rPr>
          <w:rFonts w:hint="eastAsia" w:ascii="宋体" w:hAnsi="宋体" w:eastAsia="宋体" w:cs="宋体"/>
          <w:color w:val="000000" w:themeColor="text1"/>
          <w:spacing w:val="-2"/>
          <w:sz w:val="24"/>
          <w:szCs w:val="24"/>
          <w:highlight w:val="none"/>
          <w14:textFill>
            <w14:solidFill>
              <w14:schemeClr w14:val="tx1"/>
            </w14:solidFill>
          </w14:textFill>
        </w:rPr>
        <w:t>损失和后果，由投标人自行承担。</w:t>
      </w:r>
    </w:p>
    <w:p w14:paraId="67A75E92">
      <w:pPr>
        <w:pageBreakBefore w:val="0"/>
        <w:kinsoku/>
        <w:wordWrap w:val="0"/>
        <w:overflowPunct/>
        <w:topLinePunct/>
        <w:bidi w:val="0"/>
        <w:spacing w:before="33" w:line="335" w:lineRule="auto"/>
        <w:ind w:left="10" w:right="105" w:firstLine="508"/>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电子印章：是指获得国家工业和信息化部颁发的《电子认证服务许可</w:t>
      </w:r>
      <w:r>
        <w:rPr>
          <w:rFonts w:hint="eastAsia" w:ascii="宋体" w:hAnsi="宋体" w:eastAsia="宋体" w:cs="宋体"/>
          <w:color w:val="000000" w:themeColor="text1"/>
          <w:spacing w:val="-3"/>
          <w:sz w:val="24"/>
          <w:szCs w:val="24"/>
          <w:highlight w:val="none"/>
          <w14:textFill>
            <w14:solidFill>
              <w14:schemeClr w14:val="tx1"/>
            </w14:solidFill>
          </w14:textFill>
        </w:rPr>
        <w:t>证》、国家</w:t>
      </w:r>
      <w:r>
        <w:rPr>
          <w:rFonts w:hint="eastAsia" w:ascii="宋体" w:hAnsi="宋体" w:eastAsia="宋体" w:cs="宋体"/>
          <w:color w:val="000000" w:themeColor="text1"/>
          <w:spacing w:val="-1"/>
          <w:sz w:val="24"/>
          <w:szCs w:val="24"/>
          <w:highlight w:val="none"/>
          <w14:textFill>
            <w14:solidFill>
              <w14:schemeClr w14:val="tx1"/>
            </w14:solidFill>
          </w14:textFill>
        </w:rPr>
        <w:t>密码管理局颁发的《电子认证服务使用密码许可证》等资质，</w:t>
      </w:r>
      <w:r>
        <w:rPr>
          <w:rFonts w:hint="eastAsia" w:ascii="宋体" w:hAnsi="宋体" w:eastAsia="宋体" w:cs="宋体"/>
          <w:color w:val="000000" w:themeColor="text1"/>
          <w:spacing w:val="-2"/>
          <w:sz w:val="24"/>
          <w:szCs w:val="24"/>
          <w:highlight w:val="none"/>
          <w14:textFill>
            <w14:solidFill>
              <w14:schemeClr w14:val="tx1"/>
            </w14:solidFill>
          </w14:textFill>
        </w:rPr>
        <w:t>具备承担因数字证书原</w:t>
      </w:r>
      <w:r>
        <w:rPr>
          <w:rFonts w:hint="eastAsia" w:ascii="宋体" w:hAnsi="宋体" w:eastAsia="宋体" w:cs="宋体"/>
          <w:color w:val="000000" w:themeColor="text1"/>
          <w:spacing w:val="-1"/>
          <w:sz w:val="24"/>
          <w:szCs w:val="24"/>
          <w:highlight w:val="none"/>
          <w14:textFill>
            <w14:solidFill>
              <w14:schemeClr w14:val="tx1"/>
            </w14:solidFill>
          </w14:textFill>
        </w:rPr>
        <w:t>因产生纠纷的相关责任的能力，且在广东省内具有数量基础和</w:t>
      </w:r>
      <w:r>
        <w:rPr>
          <w:rFonts w:hint="eastAsia" w:ascii="宋体" w:hAnsi="宋体" w:eastAsia="宋体" w:cs="宋体"/>
          <w:color w:val="000000" w:themeColor="text1"/>
          <w:spacing w:val="-2"/>
          <w:sz w:val="24"/>
          <w:szCs w:val="24"/>
          <w:highlight w:val="none"/>
          <w14:textFill>
            <w14:solidFill>
              <w14:schemeClr w14:val="tx1"/>
            </w14:solidFill>
          </w14:textFill>
        </w:rPr>
        <w:t>服务能力的依法设立的</w:t>
      </w:r>
      <w:r>
        <w:rPr>
          <w:rFonts w:hint="eastAsia" w:ascii="宋体" w:hAnsi="宋体" w:eastAsia="宋体" w:cs="宋体"/>
          <w:color w:val="000000" w:themeColor="text1"/>
          <w:spacing w:val="3"/>
          <w:sz w:val="24"/>
          <w:szCs w:val="24"/>
          <w:highlight w:val="none"/>
          <w14:textFill>
            <w14:solidFill>
              <w14:schemeClr w14:val="tx1"/>
            </w14:solidFill>
          </w14:textFill>
        </w:rPr>
        <w:t>电子认证服务机构签发的电子签章认证证书（即</w:t>
      </w:r>
      <w:r>
        <w:rPr>
          <w:rFonts w:hint="eastAsia" w:ascii="宋体" w:hAnsi="宋体" w:eastAsia="宋体" w:cs="宋体"/>
          <w:color w:val="000000" w:themeColor="text1"/>
          <w:sz w:val="24"/>
          <w:szCs w:val="24"/>
          <w:highlight w:val="none"/>
          <w14:textFill>
            <w14:solidFill>
              <w14:schemeClr w14:val="tx1"/>
            </w14:solidFill>
          </w14:textFill>
        </w:rPr>
        <w:t>CA</w:t>
      </w:r>
      <w:r>
        <w:rPr>
          <w:rFonts w:hint="eastAsia" w:ascii="宋体" w:hAnsi="宋体" w:eastAsia="宋体" w:cs="宋体"/>
          <w:color w:val="000000" w:themeColor="text1"/>
          <w:spacing w:val="3"/>
          <w:sz w:val="24"/>
          <w:szCs w:val="24"/>
          <w:highlight w:val="none"/>
          <w14:textFill>
            <w14:solidFill>
              <w14:schemeClr w14:val="tx1"/>
            </w14:solidFill>
          </w14:textFill>
        </w:rPr>
        <w:t>数字证书）。投标人应当到相关</w:t>
      </w:r>
      <w:r>
        <w:rPr>
          <w:rFonts w:hint="eastAsia" w:ascii="宋体" w:hAnsi="宋体" w:eastAsia="宋体" w:cs="宋体"/>
          <w:color w:val="000000" w:themeColor="text1"/>
          <w:spacing w:val="-1"/>
          <w:sz w:val="24"/>
          <w:szCs w:val="24"/>
          <w:highlight w:val="none"/>
          <w14:textFill>
            <w14:solidFill>
              <w14:schemeClr w14:val="tx1"/>
            </w14:solidFill>
          </w14:textFill>
        </w:rPr>
        <w:t>服务机构办理并取得数字证书介质和应用。电子印章包括机构</w:t>
      </w:r>
      <w:r>
        <w:rPr>
          <w:rFonts w:hint="eastAsia" w:ascii="宋体" w:hAnsi="宋体" w:eastAsia="宋体" w:cs="宋体"/>
          <w:color w:val="000000" w:themeColor="text1"/>
          <w:spacing w:val="-2"/>
          <w:sz w:val="24"/>
          <w:szCs w:val="24"/>
          <w:highlight w:val="none"/>
          <w14:textFill>
            <w14:solidFill>
              <w14:schemeClr w14:val="tx1"/>
            </w14:solidFill>
          </w14:textFill>
        </w:rPr>
        <w:t>法人电子形式印章，单</w:t>
      </w:r>
      <w:r>
        <w:rPr>
          <w:rFonts w:hint="eastAsia" w:ascii="宋体" w:hAnsi="宋体" w:eastAsia="宋体" w:cs="宋体"/>
          <w:color w:val="000000" w:themeColor="text1"/>
          <w:spacing w:val="-1"/>
          <w:sz w:val="24"/>
          <w:szCs w:val="24"/>
          <w:highlight w:val="none"/>
          <w14:textFill>
            <w14:solidFill>
              <w14:schemeClr w14:val="tx1"/>
            </w14:solidFill>
          </w14:textFill>
        </w:rPr>
        <w:t>位法定代表人、被委托人及其他个人的电子形式印章。电子印</w:t>
      </w:r>
      <w:r>
        <w:rPr>
          <w:rFonts w:hint="eastAsia" w:ascii="宋体" w:hAnsi="宋体" w:eastAsia="宋体" w:cs="宋体"/>
          <w:color w:val="000000" w:themeColor="text1"/>
          <w:spacing w:val="-2"/>
          <w:sz w:val="24"/>
          <w:szCs w:val="24"/>
          <w:highlight w:val="none"/>
          <w14:textFill>
            <w14:solidFill>
              <w14:schemeClr w14:val="tx1"/>
            </w14:solidFill>
          </w14:textFill>
        </w:rPr>
        <w:t>章与手写签名或者盖章</w:t>
      </w:r>
      <w:r>
        <w:rPr>
          <w:rFonts w:hint="eastAsia" w:ascii="宋体" w:hAnsi="宋体" w:eastAsia="宋体" w:cs="宋体"/>
          <w:color w:val="000000" w:themeColor="text1"/>
          <w:spacing w:val="-1"/>
          <w:sz w:val="24"/>
          <w:szCs w:val="24"/>
          <w:highlight w:val="none"/>
          <w14:textFill>
            <w14:solidFill>
              <w14:schemeClr w14:val="tx1"/>
            </w14:solidFill>
          </w14:textFill>
        </w:rPr>
        <w:t>具有同等的法律效力。</w:t>
      </w:r>
    </w:p>
    <w:p w14:paraId="0C319C5D">
      <w:pPr>
        <w:pageBreakBefore w:val="0"/>
        <w:kinsoku/>
        <w:wordWrap w:val="0"/>
        <w:overflowPunct/>
        <w:topLinePunct/>
        <w:bidi w:val="0"/>
        <w:spacing w:before="33" w:line="221" w:lineRule="auto"/>
        <w:ind w:left="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3.3</w:t>
      </w:r>
      <w:r>
        <w:rPr>
          <w:rFonts w:hint="eastAsia" w:ascii="宋体" w:hAnsi="宋体" w:eastAsia="宋体" w:cs="宋体"/>
          <w:b/>
          <w:bCs/>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投标保证</w:t>
      </w:r>
    </w:p>
    <w:p w14:paraId="642CE047">
      <w:pPr>
        <w:pageBreakBefore w:val="0"/>
        <w:kinsoku/>
        <w:wordWrap w:val="0"/>
        <w:overflowPunct/>
        <w:topLinePunct/>
        <w:bidi w:val="0"/>
        <w:spacing w:before="152" w:line="280" w:lineRule="auto"/>
        <w:ind w:left="8" w:right="105" w:firstLine="476"/>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3.3.1 </w:t>
      </w:r>
      <w:r>
        <w:rPr>
          <w:rFonts w:hint="eastAsia" w:ascii="宋体" w:hAnsi="宋体" w:eastAsia="宋体" w:cs="宋体"/>
          <w:color w:val="000000" w:themeColor="text1"/>
          <w:spacing w:val="-1"/>
          <w:sz w:val="24"/>
          <w:szCs w:val="24"/>
          <w:highlight w:val="none"/>
          <w14:textFill>
            <w14:solidFill>
              <w14:schemeClr w14:val="tx1"/>
            </w14:solidFill>
          </w14:textFill>
        </w:rPr>
        <w:t>投标人须缴纳金额为</w:t>
      </w:r>
      <w:r>
        <w:rPr>
          <w:rFonts w:hint="eastAsia" w:ascii="宋体" w:hAnsi="宋体" w:eastAsia="宋体" w:cs="宋体"/>
          <w:color w:val="000000" w:themeColor="text1"/>
          <w:spacing w:val="-1"/>
          <w:sz w:val="24"/>
          <w:szCs w:val="24"/>
          <w:highlight w:val="none"/>
          <w:u w:val="single"/>
          <w:lang w:val="en-US" w:eastAsia="zh-CN"/>
          <w14:textFill>
            <w14:solidFill>
              <w14:schemeClr w14:val="tx1"/>
            </w14:solidFill>
          </w14:textFill>
        </w:rPr>
        <w:t>20万元</w:t>
      </w:r>
      <w:r>
        <w:rPr>
          <w:rFonts w:hint="eastAsia" w:ascii="宋体" w:hAnsi="宋体" w:eastAsia="宋体" w:cs="宋体"/>
          <w:color w:val="000000" w:themeColor="text1"/>
          <w:spacing w:val="-1"/>
          <w:sz w:val="24"/>
          <w:szCs w:val="24"/>
          <w:highlight w:val="none"/>
          <w14:textFill>
            <w14:solidFill>
              <w14:schemeClr w14:val="tx1"/>
            </w14:solidFill>
          </w14:textFill>
        </w:rPr>
        <w:t>人民币的投标保证。</w:t>
      </w:r>
    </w:p>
    <w:p w14:paraId="69C5E23C">
      <w:pPr>
        <w:pageBreakBefore w:val="0"/>
        <w:kinsoku/>
        <w:wordWrap w:val="0"/>
        <w:overflowPunct/>
        <w:topLinePunct/>
        <w:bidi w:val="0"/>
        <w:spacing w:before="35" w:line="325" w:lineRule="auto"/>
        <w:ind w:left="12" w:right="108" w:firstLine="47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3.3.2 </w:t>
      </w:r>
      <w:r>
        <w:rPr>
          <w:rFonts w:hint="eastAsia" w:ascii="宋体" w:hAnsi="宋体" w:eastAsia="宋体" w:cs="宋体"/>
          <w:color w:val="000000" w:themeColor="text1"/>
          <w:spacing w:val="2"/>
          <w:sz w:val="24"/>
          <w:szCs w:val="24"/>
          <w:highlight w:val="none"/>
          <w14:textFill>
            <w14:solidFill>
              <w14:schemeClr w14:val="tx1"/>
            </w14:solidFill>
          </w14:textFill>
        </w:rPr>
        <w:t>投标保证的形式包括投标保证金、投标保证担保、投标保证保险三种</w:t>
      </w:r>
      <w:r>
        <w:rPr>
          <w:rFonts w:hint="eastAsia" w:ascii="宋体" w:hAnsi="宋体" w:eastAsia="宋体" w:cs="宋体"/>
          <w:color w:val="000000" w:themeColor="text1"/>
          <w:spacing w:val="1"/>
          <w:sz w:val="24"/>
          <w:szCs w:val="24"/>
          <w:highlight w:val="none"/>
          <w14:textFill>
            <w14:solidFill>
              <w14:schemeClr w14:val="tx1"/>
            </w14:solidFill>
          </w14:textFill>
        </w:rPr>
        <w:t>，由</w:t>
      </w:r>
      <w:r>
        <w:rPr>
          <w:rFonts w:hint="eastAsia" w:ascii="宋体" w:hAnsi="宋体" w:eastAsia="宋体" w:cs="宋体"/>
          <w:color w:val="000000" w:themeColor="text1"/>
          <w:spacing w:val="-2"/>
          <w:sz w:val="24"/>
          <w:szCs w:val="24"/>
          <w:highlight w:val="none"/>
          <w14:textFill>
            <w14:solidFill>
              <w14:schemeClr w14:val="tx1"/>
            </w14:solidFill>
          </w14:textFill>
        </w:rPr>
        <w:t>投标人自主选择。</w:t>
      </w:r>
    </w:p>
    <w:p w14:paraId="5A57446E">
      <w:pPr>
        <w:pageBreakBefore w:val="0"/>
        <w:kinsoku/>
        <w:wordWrap w:val="0"/>
        <w:overflowPunct/>
        <w:topLinePunct/>
        <w:bidi w:val="0"/>
        <w:spacing w:before="78" w:line="334" w:lineRule="auto"/>
        <w:ind w:left="12" w:right="2" w:firstLine="490"/>
        <w:jc w:val="both"/>
        <w:rPr>
          <w:rFonts w:hint="eastAsia" w:ascii="宋体" w:hAnsi="宋体" w:eastAsia="宋体" w:cs="宋体"/>
          <w:color w:val="000000" w:themeColor="text1"/>
          <w:spacing w:val="-1"/>
          <w:sz w:val="24"/>
          <w:szCs w:val="24"/>
          <w:highlight w:val="none"/>
          <w14:textFill>
            <w14:solidFill>
              <w14:schemeClr w14:val="tx1"/>
            </w14:solidFill>
          </w14:textFill>
        </w:rPr>
      </w:pPr>
      <w:bookmarkStart w:id="21" w:name="bookmark117"/>
      <w:bookmarkEnd w:id="21"/>
      <w:r>
        <w:rPr>
          <w:rFonts w:hint="eastAsia" w:ascii="宋体" w:hAnsi="宋体" w:eastAsia="宋体" w:cs="宋体"/>
          <w:color w:val="000000" w:themeColor="text1"/>
          <w:spacing w:val="2"/>
          <w:sz w:val="24"/>
          <w:szCs w:val="24"/>
          <w:highlight w:val="none"/>
          <w14:textFill>
            <w14:solidFill>
              <w14:schemeClr w14:val="tx1"/>
            </w14:solidFill>
          </w14:textFill>
        </w:rPr>
        <w:t>（1）采用投标保证金的，投标人在建设工程交易系统获取招</w:t>
      </w:r>
      <w:r>
        <w:rPr>
          <w:rFonts w:hint="eastAsia" w:ascii="宋体" w:hAnsi="宋体" w:eastAsia="宋体" w:cs="宋体"/>
          <w:color w:val="000000" w:themeColor="text1"/>
          <w:spacing w:val="1"/>
          <w:sz w:val="24"/>
          <w:szCs w:val="24"/>
          <w:highlight w:val="none"/>
          <w14:textFill>
            <w14:solidFill>
              <w14:schemeClr w14:val="tx1"/>
            </w14:solidFill>
          </w14:textFill>
        </w:rPr>
        <w:t>标文件完毕后，即</w:t>
      </w:r>
      <w:r>
        <w:rPr>
          <w:rFonts w:hint="eastAsia" w:ascii="宋体" w:hAnsi="宋体" w:eastAsia="宋体" w:cs="宋体"/>
          <w:color w:val="000000" w:themeColor="text1"/>
          <w:spacing w:val="-1"/>
          <w:sz w:val="24"/>
          <w:szCs w:val="24"/>
          <w:highlight w:val="none"/>
          <w14:textFill>
            <w14:solidFill>
              <w14:schemeClr w14:val="tx1"/>
            </w14:solidFill>
          </w14:textFill>
        </w:rPr>
        <w:t>可在系统申请缴纳投标保证金，获取本次招标投标保证金缴</w:t>
      </w:r>
      <w:r>
        <w:rPr>
          <w:rFonts w:hint="eastAsia" w:ascii="宋体" w:hAnsi="宋体" w:eastAsia="宋体" w:cs="宋体"/>
          <w:color w:val="000000" w:themeColor="text1"/>
          <w:spacing w:val="-2"/>
          <w:sz w:val="24"/>
          <w:szCs w:val="24"/>
          <w:highlight w:val="none"/>
          <w14:textFill>
            <w14:solidFill>
              <w14:schemeClr w14:val="tx1"/>
            </w14:solidFill>
          </w14:textFill>
        </w:rPr>
        <w:t>纳账号。投标人必须于投标保证金到账截</w:t>
      </w:r>
      <w:r>
        <w:rPr>
          <w:rFonts w:hint="eastAsia" w:ascii="宋体" w:hAnsi="宋体" w:eastAsia="宋体" w:cs="宋体"/>
          <w:color w:val="000000" w:themeColor="text1"/>
          <w:spacing w:val="-1"/>
          <w:sz w:val="24"/>
          <w:szCs w:val="24"/>
          <w:highlight w:val="none"/>
          <w14:textFill>
            <w14:solidFill>
              <w14:schemeClr w14:val="tx1"/>
            </w14:solidFill>
          </w14:textFill>
        </w:rPr>
        <w:t>止时间（见本招标文件“重要事项时间地点一览表”）前，从其基本账户将投标保证金转账到指定的缴纳账号。逾期到账的、从非投标人基本账户转出的，其投标无效。</w:t>
      </w:r>
    </w:p>
    <w:p w14:paraId="40572AAB">
      <w:pPr>
        <w:pageBreakBefore w:val="0"/>
        <w:kinsoku/>
        <w:wordWrap w:val="0"/>
        <w:overflowPunct/>
        <w:topLinePunct/>
        <w:bidi w:val="0"/>
        <w:spacing w:before="78" w:line="334" w:lineRule="auto"/>
        <w:ind w:left="12" w:right="2" w:firstLine="490"/>
        <w:jc w:val="both"/>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2093493F">
      <w:pPr>
        <w:pageBreakBefore w:val="0"/>
        <w:kinsoku/>
        <w:wordWrap w:val="0"/>
        <w:overflowPunct/>
        <w:topLinePunct/>
        <w:bidi w:val="0"/>
        <w:spacing w:before="78" w:line="334" w:lineRule="auto"/>
        <w:ind w:left="12" w:right="2" w:firstLine="490"/>
        <w:jc w:val="both"/>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采用投标保证保险的，投标人须在投标保证保险投保截止时间（见本招标文件“重要事项时间地点一览表”）前，使用建设工程交易系统完成网上投保。投标人可在系统选择保险机构、录入投保信息、支付保费、打印</w:t>
      </w:r>
      <w:r>
        <w:rPr>
          <w:rFonts w:hint="eastAsia" w:ascii="宋体" w:hAnsi="宋体" w:eastAsia="宋体" w:cs="宋体"/>
          <w:color w:val="000000" w:themeColor="text1"/>
          <w:spacing w:val="-2"/>
          <w:sz w:val="24"/>
          <w:szCs w:val="24"/>
          <w:highlight w:val="none"/>
          <w14:textFill>
            <w14:solidFill>
              <w14:schemeClr w14:val="tx1"/>
            </w14:solidFill>
          </w14:textFill>
        </w:rPr>
        <w:t>电子保单，电子保单的有</w:t>
      </w:r>
      <w:r>
        <w:rPr>
          <w:rFonts w:hint="eastAsia" w:ascii="宋体" w:hAnsi="宋体" w:eastAsia="宋体" w:cs="宋体"/>
          <w:color w:val="000000" w:themeColor="text1"/>
          <w:spacing w:val="-3"/>
          <w:sz w:val="24"/>
          <w:szCs w:val="24"/>
          <w:highlight w:val="none"/>
          <w14:textFill>
            <w14:solidFill>
              <w14:schemeClr w14:val="tx1"/>
            </w14:solidFill>
          </w14:textFill>
        </w:rPr>
        <w:t>效期不得短于投标有效期。投标人可登录全国公共资源交易平台（广东省·韶关市）（</w:t>
      </w:r>
      <w:r>
        <w:rPr>
          <w:rFonts w:hint="eastAsia" w:ascii="宋体" w:hAnsi="宋体" w:eastAsia="宋体" w:cs="宋体"/>
          <w:color w:val="000000" w:themeColor="text1"/>
          <w:spacing w:val="-3"/>
          <w:sz w:val="24"/>
          <w:szCs w:val="24"/>
          <w:highlight w:val="none"/>
          <w14:textFill>
            <w14:solidFill>
              <w14:schemeClr w14:val="tx1"/>
            </w14:solidFill>
          </w14:textFill>
        </w:rPr>
        <w:fldChar w:fldCharType="begin"/>
      </w:r>
      <w:r>
        <w:rPr>
          <w:rFonts w:hint="eastAsia" w:ascii="宋体" w:hAnsi="宋体" w:eastAsia="宋体" w:cs="宋体"/>
          <w:color w:val="000000" w:themeColor="text1"/>
          <w:spacing w:val="-3"/>
          <w:sz w:val="24"/>
          <w:szCs w:val="24"/>
          <w:highlight w:val="none"/>
          <w14:textFill>
            <w14:solidFill>
              <w14:schemeClr w14:val="tx1"/>
            </w14:solidFill>
          </w14:textFill>
        </w:rPr>
        <w:instrText xml:space="preserve"> HYPERLINK "https://ygp.gdzwfw.gov.cn/ggzy-portal/#/440200/index" </w:instrText>
      </w:r>
      <w:r>
        <w:rPr>
          <w:rFonts w:hint="eastAsia" w:ascii="宋体" w:hAnsi="宋体" w:eastAsia="宋体" w:cs="宋体"/>
          <w:color w:val="000000" w:themeColor="text1"/>
          <w:spacing w:val="-3"/>
          <w:sz w:val="24"/>
          <w:szCs w:val="24"/>
          <w:highlight w:val="none"/>
          <w14:textFill>
            <w14:solidFill>
              <w14:schemeClr w14:val="tx1"/>
            </w14:solidFill>
          </w14:textFill>
        </w:rPr>
        <w:fldChar w:fldCharType="separate"/>
      </w:r>
      <w:r>
        <w:rPr>
          <w:rFonts w:hint="eastAsia" w:ascii="宋体" w:hAnsi="宋体" w:eastAsia="宋体" w:cs="宋体"/>
          <w:color w:val="000000" w:themeColor="text1"/>
          <w:spacing w:val="-3"/>
          <w:sz w:val="24"/>
          <w:szCs w:val="24"/>
          <w:highlight w:val="none"/>
          <w14:textFill>
            <w14:solidFill>
              <w14:schemeClr w14:val="tx1"/>
            </w14:solidFill>
          </w14:textFill>
        </w:rPr>
        <w:t>https</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//ygp.gdzwfw.gov.cn/ggzy-portal/#/440200/index</w:t>
      </w:r>
      <w:r>
        <w:rPr>
          <w:rFonts w:hint="eastAsia" w:ascii="宋体" w:hAnsi="宋体" w:eastAsia="宋体" w:cs="宋体"/>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3"/>
          <w:sz w:val="24"/>
          <w:szCs w:val="24"/>
          <w:highlight w:val="none"/>
          <w14:textFill>
            <w14:solidFill>
              <w14:schemeClr w14:val="tx1"/>
            </w14:solidFill>
          </w14:textFill>
        </w:rPr>
        <w:t>），在【服务指南】栏目中下载《建设工程网上交易系统保险保证金缴纳操作指南》，了解网上投保具体操作流程。逾期投保的，其投标无效。</w:t>
      </w:r>
    </w:p>
    <w:p w14:paraId="0D075EB3">
      <w:pPr>
        <w:pageBreakBefore w:val="0"/>
        <w:kinsoku/>
        <w:wordWrap w:val="0"/>
        <w:overflowPunct/>
        <w:topLinePunct/>
        <w:bidi w:val="0"/>
        <w:spacing w:before="78" w:line="334" w:lineRule="auto"/>
        <w:ind w:left="12" w:right="2" w:firstLine="490"/>
        <w:jc w:val="both"/>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温馨提示：1.投标人采用投标保证担保或投标保证保险的，为避免在评标过程中因有效期发生争议，建议投标人将银行保函或电子保单有效期设置为较招标文件规定的投标有效期延长不少于20个日历天。</w:t>
      </w:r>
    </w:p>
    <w:p w14:paraId="2B690C09">
      <w:pPr>
        <w:pageBreakBefore w:val="0"/>
        <w:kinsoku/>
        <w:wordWrap w:val="0"/>
        <w:overflowPunct/>
        <w:topLinePunct/>
        <w:bidi w:val="0"/>
        <w:spacing w:before="78" w:line="334" w:lineRule="auto"/>
        <w:ind w:left="12" w:right="2" w:firstLine="49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3.4</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若投标人因自身原因未能正确完成获取招标文件</w:t>
      </w:r>
      <w:r>
        <w:rPr>
          <w:rFonts w:hint="eastAsia" w:ascii="宋体" w:hAnsi="宋体" w:eastAsia="宋体" w:cs="宋体"/>
          <w:color w:val="000000" w:themeColor="text1"/>
          <w:sz w:val="24"/>
          <w:szCs w:val="24"/>
          <w:highlight w:val="none"/>
          <w14:textFill>
            <w14:solidFill>
              <w14:schemeClr w14:val="tx1"/>
            </w14:solidFill>
          </w14:textFill>
        </w:rPr>
        <w:t>、电子投标、缴纳投标保证</w:t>
      </w:r>
      <w:r>
        <w:rPr>
          <w:rFonts w:hint="eastAsia" w:ascii="宋体" w:hAnsi="宋体" w:eastAsia="宋体" w:cs="宋体"/>
          <w:color w:val="000000" w:themeColor="text1"/>
          <w:spacing w:val="-4"/>
          <w:sz w:val="24"/>
          <w:szCs w:val="24"/>
          <w:highlight w:val="none"/>
          <w14:textFill>
            <w14:solidFill>
              <w14:schemeClr w14:val="tx1"/>
            </w14:solidFill>
          </w14:textFill>
        </w:rPr>
        <w:t>的，其投标无效。</w:t>
      </w:r>
    </w:p>
    <w:p w14:paraId="3A8DB521">
      <w:pPr>
        <w:pageBreakBefore w:val="0"/>
        <w:kinsoku/>
        <w:wordWrap w:val="0"/>
        <w:overflowPunct/>
        <w:topLinePunct/>
        <w:bidi w:val="0"/>
        <w:spacing w:before="79" w:line="221" w:lineRule="auto"/>
        <w:ind w:left="487"/>
        <w:outlineLvl w:val="2"/>
        <w:rPr>
          <w:rFonts w:hint="eastAsia" w:ascii="宋体" w:hAnsi="宋体" w:eastAsia="宋体" w:cs="宋体"/>
          <w:color w:val="000000" w:themeColor="text1"/>
          <w:sz w:val="24"/>
          <w:szCs w:val="24"/>
          <w:highlight w:val="none"/>
          <w14:textFill>
            <w14:solidFill>
              <w14:schemeClr w14:val="tx1"/>
            </w14:solidFill>
          </w14:textFill>
        </w:rPr>
      </w:pPr>
      <w:bookmarkStart w:id="22" w:name="bookmark78"/>
      <w:bookmarkEnd w:id="22"/>
      <w:bookmarkStart w:id="23" w:name="bookmark64"/>
      <w:bookmarkEnd w:id="23"/>
      <w:bookmarkStart w:id="24" w:name="_Toc20644"/>
      <w:bookmarkStart w:id="25" w:name="_Toc15498"/>
      <w:r>
        <w:rPr>
          <w:rFonts w:hint="eastAsia" w:ascii="宋体" w:hAnsi="宋体" w:eastAsia="宋体" w:cs="宋体"/>
          <w:b/>
          <w:bCs/>
          <w:color w:val="000000" w:themeColor="text1"/>
          <w:spacing w:val="-8"/>
          <w:sz w:val="24"/>
          <w:szCs w:val="24"/>
          <w:highlight w:val="none"/>
          <w14:textFill>
            <w14:solidFill>
              <w14:schemeClr w14:val="tx1"/>
            </w14:solidFill>
          </w14:textFill>
        </w:rPr>
        <w:t>4．工期要求</w:t>
      </w:r>
      <w:bookmarkEnd w:id="24"/>
      <w:bookmarkEnd w:id="25"/>
    </w:p>
    <w:p w14:paraId="5DE8484B">
      <w:pPr>
        <w:pageBreakBefore w:val="0"/>
        <w:kinsoku/>
        <w:wordWrap w:val="0"/>
        <w:overflowPunct/>
        <w:topLinePunct/>
        <w:bidi w:val="0"/>
        <w:spacing w:before="153" w:line="324" w:lineRule="auto"/>
        <w:ind w:left="30" w:right="65" w:firstLine="46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本招标项目招标工期为</w:t>
      </w:r>
      <w:r>
        <w:rPr>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90日历天</w:t>
      </w:r>
      <w:r>
        <w:rPr>
          <w:rFonts w:hint="eastAsia" w:ascii="宋体" w:hAnsi="宋体" w:eastAsia="宋体" w:cs="宋体"/>
          <w:color w:val="000000" w:themeColor="text1"/>
          <w:spacing w:val="-2"/>
          <w:sz w:val="24"/>
          <w:szCs w:val="24"/>
          <w:highlight w:val="none"/>
          <w14:textFill>
            <w14:solidFill>
              <w14:schemeClr w14:val="tx1"/>
            </w14:solidFill>
          </w14:textFill>
        </w:rPr>
        <w:t>，中标人必须在招标工期内完成招标范围内</w:t>
      </w:r>
      <w:r>
        <w:rPr>
          <w:rFonts w:hint="eastAsia" w:ascii="宋体" w:hAnsi="宋体" w:eastAsia="宋体" w:cs="宋体"/>
          <w:color w:val="000000" w:themeColor="text1"/>
          <w:spacing w:val="-5"/>
          <w:sz w:val="24"/>
          <w:szCs w:val="24"/>
          <w:highlight w:val="none"/>
          <w14:textFill>
            <w14:solidFill>
              <w14:schemeClr w14:val="tx1"/>
            </w14:solidFill>
          </w14:textFill>
        </w:rPr>
        <w:t>的全部内容。</w:t>
      </w:r>
    </w:p>
    <w:p w14:paraId="42D8AEDE">
      <w:pPr>
        <w:pageBreakBefore w:val="0"/>
        <w:kinsoku/>
        <w:wordWrap w:val="0"/>
        <w:overflowPunct/>
        <w:topLinePunct/>
        <w:bidi w:val="0"/>
        <w:spacing w:before="78" w:line="219" w:lineRule="auto"/>
        <w:ind w:left="488"/>
        <w:outlineLvl w:val="2"/>
        <w:rPr>
          <w:rFonts w:hint="eastAsia" w:ascii="宋体" w:hAnsi="宋体" w:eastAsia="宋体" w:cs="宋体"/>
          <w:color w:val="000000" w:themeColor="text1"/>
          <w:sz w:val="24"/>
          <w:szCs w:val="24"/>
          <w:highlight w:val="none"/>
          <w14:textFill>
            <w14:solidFill>
              <w14:schemeClr w14:val="tx1"/>
            </w14:solidFill>
          </w14:textFill>
        </w:rPr>
      </w:pPr>
      <w:bookmarkStart w:id="26" w:name="_Toc4154"/>
      <w:bookmarkStart w:id="27" w:name="_Toc13177"/>
      <w:r>
        <w:rPr>
          <w:rFonts w:hint="eastAsia" w:ascii="宋体" w:hAnsi="宋体" w:eastAsia="宋体" w:cs="宋体"/>
          <w:b/>
          <w:bCs/>
          <w:color w:val="000000" w:themeColor="text1"/>
          <w:spacing w:val="-5"/>
          <w:sz w:val="24"/>
          <w:szCs w:val="24"/>
          <w:highlight w:val="none"/>
          <w14:textFill>
            <w14:solidFill>
              <w14:schemeClr w14:val="tx1"/>
            </w14:solidFill>
          </w14:textFill>
        </w:rPr>
        <w:t>5．质量标准和材料、机械要求</w:t>
      </w:r>
      <w:bookmarkEnd w:id="26"/>
      <w:bookmarkEnd w:id="27"/>
    </w:p>
    <w:p w14:paraId="3B4B02A2">
      <w:pPr>
        <w:pageBreakBefore w:val="0"/>
        <w:kinsoku/>
        <w:wordWrap w:val="0"/>
        <w:overflowPunct/>
        <w:topLinePunct/>
        <w:bidi w:val="0"/>
        <w:spacing w:before="154" w:line="279" w:lineRule="auto"/>
        <w:ind w:left="11" w:right="99" w:firstLine="477"/>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5.1 </w:t>
      </w:r>
      <w:r>
        <w:rPr>
          <w:rFonts w:hint="eastAsia" w:ascii="宋体" w:hAnsi="宋体" w:eastAsia="宋体" w:cs="宋体"/>
          <w:color w:val="000000" w:themeColor="text1"/>
          <w:sz w:val="24"/>
          <w:szCs w:val="24"/>
          <w:highlight w:val="none"/>
          <w14:textFill>
            <w14:solidFill>
              <w14:schemeClr w14:val="tx1"/>
            </w14:solidFill>
          </w14:textFill>
        </w:rPr>
        <w:t>施工工艺严格按照国家和广东省的有关现行施工技术规范及标准执行，工程</w:t>
      </w:r>
      <w:r>
        <w:rPr>
          <w:rFonts w:hint="eastAsia" w:ascii="宋体" w:hAnsi="宋体" w:eastAsia="宋体" w:cs="宋体"/>
          <w:color w:val="000000" w:themeColor="text1"/>
          <w:spacing w:val="-1"/>
          <w:sz w:val="24"/>
          <w:szCs w:val="24"/>
          <w:highlight w:val="none"/>
          <w14:textFill>
            <w14:solidFill>
              <w14:schemeClr w14:val="tx1"/>
            </w14:solidFill>
          </w14:textFill>
        </w:rPr>
        <w:t>质量标准</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须</w:t>
      </w:r>
      <w:r>
        <w:rPr>
          <w:rFonts w:hint="eastAsia" w:ascii="宋体" w:hAnsi="宋体" w:eastAsia="宋体" w:cs="宋体"/>
          <w:color w:val="000000" w:themeColor="text1"/>
          <w:spacing w:val="-1"/>
          <w:sz w:val="24"/>
          <w:szCs w:val="24"/>
          <w:highlight w:val="none"/>
          <w14:textFill>
            <w14:solidFill>
              <w14:schemeClr w14:val="tx1"/>
            </w14:solidFill>
          </w14:textFill>
        </w:rPr>
        <w:t>符合现行国家有关工程施工质量验收规范和标准的要求。</w:t>
      </w:r>
    </w:p>
    <w:p w14:paraId="6981906A">
      <w:pPr>
        <w:pageBreakBefore w:val="0"/>
        <w:kinsoku/>
        <w:wordWrap w:val="0"/>
        <w:overflowPunct/>
        <w:topLinePunct/>
        <w:bidi w:val="0"/>
        <w:spacing w:before="154" w:line="279" w:lineRule="auto"/>
        <w:ind w:left="10" w:right="99"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5.2</w:t>
      </w:r>
      <w:r>
        <w:rPr>
          <w:rFonts w:hint="eastAsia" w:ascii="宋体" w:hAnsi="宋体" w:eastAsia="宋体" w:cs="宋体"/>
          <w:b/>
          <w:bCs/>
          <w:color w:val="000000" w:themeColor="text1"/>
          <w:spacing w:val="21"/>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中标人在施工中如果工程质量不符合设计要求和有关规定，招标人或监理单</w:t>
      </w:r>
      <w:r>
        <w:rPr>
          <w:rFonts w:hint="eastAsia" w:ascii="宋体" w:hAnsi="宋体" w:eastAsia="宋体" w:cs="宋体"/>
          <w:color w:val="000000" w:themeColor="text1"/>
          <w:sz w:val="24"/>
          <w:szCs w:val="24"/>
          <w:highlight w:val="none"/>
          <w14:textFill>
            <w14:solidFill>
              <w14:schemeClr w14:val="tx1"/>
            </w14:solidFill>
          </w14:textFill>
        </w:rPr>
        <w:t>位要求停工和返工的必须立即执行，并承担由此产生的各</w:t>
      </w:r>
      <w:r>
        <w:rPr>
          <w:rFonts w:hint="eastAsia" w:ascii="宋体" w:hAnsi="宋体" w:eastAsia="宋体" w:cs="宋体"/>
          <w:color w:val="000000" w:themeColor="text1"/>
          <w:spacing w:val="-1"/>
          <w:sz w:val="24"/>
          <w:szCs w:val="24"/>
          <w:highlight w:val="none"/>
          <w14:textFill>
            <w14:solidFill>
              <w14:schemeClr w14:val="tx1"/>
            </w14:solidFill>
          </w14:textFill>
        </w:rPr>
        <w:t>种费用，工期不予顺延。</w:t>
      </w:r>
    </w:p>
    <w:p w14:paraId="3FFEC17E">
      <w:pPr>
        <w:pageBreakBefore w:val="0"/>
        <w:kinsoku/>
        <w:wordWrap w:val="0"/>
        <w:overflowPunct/>
        <w:topLinePunct/>
        <w:bidi w:val="0"/>
        <w:spacing w:before="152" w:line="309" w:lineRule="auto"/>
        <w:ind w:left="9" w:firstLine="568"/>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6"/>
          <w:sz w:val="24"/>
          <w:szCs w:val="24"/>
          <w:highlight w:val="none"/>
          <w14:textFill>
            <w14:solidFill>
              <w14:schemeClr w14:val="tx1"/>
            </w14:solidFill>
          </w14:textFill>
        </w:rPr>
        <w:t xml:space="preserve">5.3 </w:t>
      </w:r>
      <w:r>
        <w:rPr>
          <w:rFonts w:hint="eastAsia" w:ascii="宋体" w:hAnsi="宋体" w:eastAsia="宋体" w:cs="宋体"/>
          <w:color w:val="000000" w:themeColor="text1"/>
          <w:spacing w:val="-6"/>
          <w:sz w:val="24"/>
          <w:szCs w:val="24"/>
          <w:highlight w:val="none"/>
          <w14:textFill>
            <w14:solidFill>
              <w14:schemeClr w14:val="tx1"/>
            </w14:solidFill>
          </w14:textFill>
        </w:rPr>
        <w:t>保修期限按《建设工程质量管理条例》（中华人民共和国国务院令第279号）</w:t>
      </w:r>
      <w:r>
        <w:rPr>
          <w:rFonts w:hint="eastAsia" w:ascii="宋体" w:hAnsi="宋体" w:eastAsia="宋体" w:cs="宋体"/>
          <w:color w:val="000000" w:themeColor="text1"/>
          <w:spacing w:val="-1"/>
          <w:sz w:val="24"/>
          <w:szCs w:val="24"/>
          <w:highlight w:val="none"/>
          <w14:textFill>
            <w14:solidFill>
              <w14:schemeClr w14:val="tx1"/>
            </w14:solidFill>
          </w14:textFill>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59728C4">
      <w:pPr>
        <w:pageBreakBefore w:val="0"/>
        <w:kinsoku/>
        <w:wordWrap w:val="0"/>
        <w:overflowPunct/>
        <w:topLinePunct/>
        <w:bidi w:val="0"/>
        <w:spacing w:before="152" w:line="309" w:lineRule="auto"/>
        <w:ind w:left="9" w:firstLine="568"/>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5.4</w:t>
      </w: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根据韶关市人民政府《关于加快推进全市绿色建筑发展工作的通知》（韶府办明电〔2013〕277号）有关规定，结合《韶关市住建管理局关于贯彻落实&lt;广东省绿色建筑条例&gt;有关工作的通知》（韶市建字〔2021〕85号）等有关规定，</w:t>
      </w:r>
      <w:r>
        <w:rPr>
          <w:rFonts w:hint="eastAsia" w:ascii="宋体" w:hAnsi="宋体" w:eastAsia="宋体" w:cs="宋体"/>
          <w:color w:val="000000" w:themeColor="text1"/>
          <w:spacing w:val="-6"/>
          <w:sz w:val="24"/>
          <w:szCs w:val="24"/>
          <w:highlight w:val="none"/>
          <w14:textFill>
            <w14:solidFill>
              <w14:schemeClr w14:val="tx1"/>
            </w14:solidFill>
          </w14:textFill>
        </w:rPr>
        <w:t>本招标项目</w:t>
      </w:r>
      <w:r>
        <w:rPr>
          <w:rFonts w:hint="eastAsia" w:ascii="宋体" w:hAnsi="宋体" w:eastAsia="宋体" w:cs="宋体"/>
          <w:color w:val="000000" w:themeColor="text1"/>
          <w:spacing w:val="-6"/>
          <w:sz w:val="24"/>
          <w:szCs w:val="24"/>
          <w:highlight w:val="none"/>
          <w:lang w:val="en-US" w:eastAsia="zh-CN"/>
          <w14:textFill>
            <w14:solidFill>
              <w14:schemeClr w14:val="tx1"/>
            </w14:solidFill>
          </w14:textFill>
        </w:rPr>
        <w:t>不</w:t>
      </w:r>
      <w:r>
        <w:rPr>
          <w:rFonts w:hint="eastAsia" w:ascii="宋体" w:hAnsi="宋体" w:eastAsia="宋体" w:cs="宋体"/>
          <w:color w:val="000000" w:themeColor="text1"/>
          <w:spacing w:val="-6"/>
          <w:sz w:val="24"/>
          <w:szCs w:val="24"/>
          <w:highlight w:val="none"/>
          <w14:textFill>
            <w14:solidFill>
              <w14:schemeClr w14:val="tx1"/>
            </w14:solidFill>
          </w14:textFill>
        </w:rPr>
        <w:t>纳入绿色建设实施范围</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w:t>
      </w:r>
    </w:p>
    <w:p w14:paraId="30B909BB">
      <w:pPr>
        <w:pageBreakBefore w:val="0"/>
        <w:kinsoku/>
        <w:wordWrap w:val="0"/>
        <w:overflowPunct/>
        <w:topLinePunct/>
        <w:bidi w:val="0"/>
        <w:spacing w:before="152" w:line="309" w:lineRule="auto"/>
        <w:ind w:left="9" w:firstLine="568"/>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5.5</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其它：</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本招标项目</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不</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纳入装配式建造建设实施范围。</w:t>
      </w:r>
    </w:p>
    <w:p w14:paraId="5116FCFC">
      <w:pPr>
        <w:pageBreakBefore w:val="0"/>
        <w:kinsoku/>
        <w:wordWrap w:val="0"/>
        <w:overflowPunct/>
        <w:topLinePunct/>
        <w:bidi w:val="0"/>
        <w:spacing w:before="152" w:line="309" w:lineRule="auto"/>
        <w:ind w:left="9" w:firstLine="568"/>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5.6</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则中标人必须使用合格材料或设备。</w:t>
      </w:r>
    </w:p>
    <w:p w14:paraId="1D4F6CCA">
      <w:pPr>
        <w:pageBreakBefore w:val="0"/>
        <w:kinsoku/>
        <w:wordWrap w:val="0"/>
        <w:overflowPunct/>
        <w:topLinePunct/>
        <w:bidi w:val="0"/>
        <w:spacing w:before="152" w:line="309" w:lineRule="auto"/>
        <w:ind w:left="9" w:firstLine="56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7</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8541CDD">
      <w:pPr>
        <w:pageBreakBefore w:val="0"/>
        <w:kinsoku/>
        <w:wordWrap w:val="0"/>
        <w:overflowPunct/>
        <w:topLinePunct/>
        <w:bidi w:val="0"/>
        <w:spacing w:before="78" w:line="220" w:lineRule="auto"/>
        <w:ind w:left="489"/>
        <w:outlineLvl w:val="2"/>
        <w:rPr>
          <w:rFonts w:hint="eastAsia" w:ascii="宋体" w:hAnsi="宋体" w:eastAsia="宋体" w:cs="宋体"/>
          <w:color w:val="000000" w:themeColor="text1"/>
          <w:sz w:val="24"/>
          <w:szCs w:val="24"/>
          <w:highlight w:val="none"/>
          <w14:textFill>
            <w14:solidFill>
              <w14:schemeClr w14:val="tx1"/>
            </w14:solidFill>
          </w14:textFill>
        </w:rPr>
      </w:pPr>
      <w:bookmarkStart w:id="28" w:name="_Toc7763"/>
      <w:bookmarkStart w:id="29" w:name="_Toc30638"/>
      <w:r>
        <w:rPr>
          <w:rFonts w:hint="eastAsia" w:ascii="宋体" w:hAnsi="宋体" w:eastAsia="宋体" w:cs="宋体"/>
          <w:b/>
          <w:bCs/>
          <w:color w:val="000000" w:themeColor="text1"/>
          <w:spacing w:val="-6"/>
          <w:sz w:val="24"/>
          <w:szCs w:val="24"/>
          <w:highlight w:val="none"/>
          <w14:textFill>
            <w14:solidFill>
              <w14:schemeClr w14:val="tx1"/>
            </w14:solidFill>
          </w14:textFill>
        </w:rPr>
        <w:t>6．施工条件及现场踏勘</w:t>
      </w:r>
      <w:bookmarkEnd w:id="28"/>
      <w:bookmarkEnd w:id="29"/>
    </w:p>
    <w:p w14:paraId="6711E740">
      <w:pPr>
        <w:pageBreakBefore w:val="0"/>
        <w:kinsoku/>
        <w:wordWrap w:val="0"/>
        <w:overflowPunct/>
        <w:topLinePunct/>
        <w:bidi w:val="0"/>
        <w:spacing w:before="155" w:line="324" w:lineRule="auto"/>
        <w:ind w:left="12" w:right="99" w:firstLine="556"/>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6.1 </w:t>
      </w:r>
      <w:r>
        <w:rPr>
          <w:rFonts w:hint="eastAsia" w:ascii="宋体" w:hAnsi="宋体" w:eastAsia="宋体" w:cs="宋体"/>
          <w:color w:val="000000" w:themeColor="text1"/>
          <w:spacing w:val="-2"/>
          <w:sz w:val="24"/>
          <w:szCs w:val="24"/>
          <w:highlight w:val="none"/>
          <w14:textFill>
            <w14:solidFill>
              <w14:schemeClr w14:val="tx1"/>
            </w14:solidFill>
          </w14:textFill>
        </w:rPr>
        <w:t>招标人仅在本招标项目征地红线范围内提供场地，其他一切场地费用由中标人自行负责（含临时道路）。</w:t>
      </w:r>
    </w:p>
    <w:p w14:paraId="21435868">
      <w:pPr>
        <w:pageBreakBefore w:val="0"/>
        <w:kinsoku/>
        <w:wordWrap w:val="0"/>
        <w:overflowPunct/>
        <w:topLinePunct/>
        <w:bidi w:val="0"/>
        <w:spacing w:before="155" w:line="324" w:lineRule="auto"/>
        <w:ind w:left="12" w:right="99" w:firstLine="556"/>
        <w:rPr>
          <w:rFonts w:hint="eastAsia" w:ascii="宋体" w:hAnsi="宋体" w:eastAsia="宋体" w:cs="宋体"/>
          <w:color w:val="000000" w:themeColor="text1"/>
          <w:spacing w:val="-2"/>
          <w:sz w:val="24"/>
          <w:szCs w:val="24"/>
          <w:highlight w:val="none"/>
          <w14:textFill>
            <w14:solidFill>
              <w14:schemeClr w14:val="tx1"/>
            </w14:solidFill>
          </w14:textFill>
        </w:rPr>
      </w:pPr>
      <w:bookmarkStart w:id="30" w:name="bookmark118"/>
      <w:bookmarkEnd w:id="30"/>
      <w:r>
        <w:rPr>
          <w:rFonts w:hint="eastAsia" w:ascii="宋体" w:hAnsi="宋体" w:eastAsia="宋体" w:cs="宋体"/>
          <w:b/>
          <w:bCs/>
          <w:color w:val="000000" w:themeColor="text1"/>
          <w:spacing w:val="-2"/>
          <w:sz w:val="24"/>
          <w:szCs w:val="24"/>
          <w:highlight w:val="none"/>
          <w14:textFill>
            <w14:solidFill>
              <w14:schemeClr w14:val="tx1"/>
            </w14:solidFill>
          </w14:textFill>
        </w:rPr>
        <w:t>6.2</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施工用水：</w:t>
      </w:r>
      <w:r>
        <w:rPr>
          <w:rFonts w:hint="eastAsia" w:ascii="宋体" w:hAnsi="宋体" w:eastAsia="宋体" w:cs="宋体"/>
          <w:color w:val="000000" w:themeColor="text1"/>
          <w:spacing w:val="-2"/>
          <w:sz w:val="24"/>
          <w:szCs w:val="24"/>
          <w:highlight w:val="none"/>
          <w:u w:val="single"/>
          <w14:textFill>
            <w14:solidFill>
              <w14:schemeClr w14:val="tx1"/>
            </w14:solidFill>
          </w14:textFill>
        </w:rPr>
        <w:t>由中标人自行解决，费用考虑在投标报价中</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04BB0335">
      <w:pPr>
        <w:pageBreakBefore w:val="0"/>
        <w:kinsoku/>
        <w:wordWrap w:val="0"/>
        <w:overflowPunct/>
        <w:topLinePunct/>
        <w:bidi w:val="0"/>
        <w:spacing w:before="155" w:line="324" w:lineRule="auto"/>
        <w:ind w:left="12" w:right="99" w:firstLine="556"/>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6.3</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施工用电：</w:t>
      </w:r>
      <w:r>
        <w:rPr>
          <w:rFonts w:hint="eastAsia" w:ascii="宋体" w:hAnsi="宋体" w:eastAsia="宋体" w:cs="宋体"/>
          <w:color w:val="000000" w:themeColor="text1"/>
          <w:spacing w:val="-2"/>
          <w:sz w:val="24"/>
          <w:szCs w:val="24"/>
          <w:highlight w:val="none"/>
          <w:u w:val="single"/>
          <w14:textFill>
            <w14:solidFill>
              <w14:schemeClr w14:val="tx1"/>
            </w14:solidFill>
          </w14:textFill>
        </w:rPr>
        <w:t>由中标人自行解决，费用考虑在投标报价中</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43776FD9">
      <w:pPr>
        <w:pageBreakBefore w:val="0"/>
        <w:kinsoku/>
        <w:wordWrap w:val="0"/>
        <w:overflowPunct/>
        <w:topLinePunct/>
        <w:bidi w:val="0"/>
        <w:spacing w:before="154" w:line="299" w:lineRule="auto"/>
        <w:ind w:left="9" w:right="16"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6.</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招标人不组织现场踏勘，</w:t>
      </w:r>
      <w:r>
        <w:rPr>
          <w:rFonts w:hint="eastAsia" w:ascii="宋体" w:hAnsi="宋体" w:eastAsia="宋体" w:cs="宋体"/>
          <w:color w:val="000000" w:themeColor="text1"/>
          <w:sz w:val="24"/>
          <w:szCs w:val="24"/>
          <w:highlight w:val="none"/>
          <w14:textFill>
            <w14:solidFill>
              <w14:schemeClr w14:val="tx1"/>
            </w14:solidFill>
          </w14:textFill>
        </w:rPr>
        <w:t>投标人需要了解现场情况的</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可自行进行现场踏勘。</w:t>
      </w:r>
    </w:p>
    <w:p w14:paraId="37310FDA">
      <w:pPr>
        <w:pageBreakBefore w:val="0"/>
        <w:kinsoku/>
        <w:wordWrap w:val="0"/>
        <w:overflowPunct/>
        <w:topLinePunct/>
        <w:bidi w:val="0"/>
        <w:spacing w:before="153" w:line="280" w:lineRule="auto"/>
        <w:ind w:left="9" w:right="16"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6.</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在现场踏勘过程中，投标人应确保自身安全，投标人如果发生人身伤亡、财</w:t>
      </w:r>
      <w:r>
        <w:rPr>
          <w:rFonts w:hint="eastAsia" w:ascii="宋体" w:hAnsi="宋体" w:eastAsia="宋体" w:cs="宋体"/>
          <w:color w:val="000000" w:themeColor="text1"/>
          <w:spacing w:val="-1"/>
          <w:sz w:val="24"/>
          <w:szCs w:val="24"/>
          <w:highlight w:val="none"/>
          <w14:textFill>
            <w14:solidFill>
              <w14:schemeClr w14:val="tx1"/>
            </w14:solidFill>
          </w14:textFill>
        </w:rPr>
        <w:t>物或其他损失，法律法规有规定的按有关规定处理，没有规定</w:t>
      </w:r>
      <w:r>
        <w:rPr>
          <w:rFonts w:hint="eastAsia" w:ascii="宋体" w:hAnsi="宋体" w:eastAsia="宋体" w:cs="宋体"/>
          <w:color w:val="000000" w:themeColor="text1"/>
          <w:spacing w:val="-2"/>
          <w:sz w:val="24"/>
          <w:szCs w:val="24"/>
          <w:highlight w:val="none"/>
          <w14:textFill>
            <w14:solidFill>
              <w14:schemeClr w14:val="tx1"/>
            </w14:solidFill>
          </w14:textFill>
        </w:rPr>
        <w:t>的由投标人自行负责。</w:t>
      </w:r>
    </w:p>
    <w:p w14:paraId="386C4ACA">
      <w:pPr>
        <w:pageBreakBefore w:val="0"/>
        <w:kinsoku/>
        <w:wordWrap w:val="0"/>
        <w:overflowPunct/>
        <w:topLinePunct/>
        <w:bidi w:val="0"/>
        <w:spacing w:before="153" w:line="220" w:lineRule="auto"/>
        <w:ind w:left="568"/>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6.</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现场踏勘期间的交通、食宿由投标人</w:t>
      </w:r>
      <w:r>
        <w:rPr>
          <w:rFonts w:hint="eastAsia" w:ascii="宋体" w:hAnsi="宋体" w:eastAsia="宋体" w:cs="宋体"/>
          <w:color w:val="000000" w:themeColor="text1"/>
          <w:spacing w:val="-1"/>
          <w:sz w:val="24"/>
          <w:szCs w:val="24"/>
          <w:highlight w:val="none"/>
          <w14:textFill>
            <w14:solidFill>
              <w14:schemeClr w14:val="tx1"/>
            </w14:solidFill>
          </w14:textFill>
        </w:rPr>
        <w:t>自行安排，费用自理。</w:t>
      </w:r>
    </w:p>
    <w:p w14:paraId="53EA72D8">
      <w:pPr>
        <w:pageBreakBefore w:val="0"/>
        <w:kinsoku/>
        <w:wordWrap w:val="0"/>
        <w:overflowPunct/>
        <w:topLinePunct/>
        <w:bidi w:val="0"/>
        <w:spacing w:before="78" w:line="220" w:lineRule="auto"/>
        <w:ind w:left="488"/>
        <w:outlineLvl w:val="2"/>
        <w:rPr>
          <w:rFonts w:hint="eastAsia" w:ascii="宋体" w:hAnsi="宋体" w:eastAsia="宋体" w:cs="宋体"/>
          <w:color w:val="000000" w:themeColor="text1"/>
          <w:sz w:val="24"/>
          <w:szCs w:val="24"/>
          <w:highlight w:val="none"/>
          <w14:textFill>
            <w14:solidFill>
              <w14:schemeClr w14:val="tx1"/>
            </w14:solidFill>
          </w14:textFill>
        </w:rPr>
      </w:pPr>
      <w:bookmarkStart w:id="31" w:name="bookmark81"/>
      <w:bookmarkEnd w:id="31"/>
      <w:bookmarkStart w:id="32" w:name="bookmark67"/>
      <w:bookmarkEnd w:id="32"/>
      <w:bookmarkStart w:id="33" w:name="bookmark69"/>
      <w:bookmarkEnd w:id="33"/>
      <w:bookmarkStart w:id="34" w:name="_Toc15543"/>
      <w:bookmarkStart w:id="35" w:name="_Toc16928"/>
      <w:r>
        <w:rPr>
          <w:rFonts w:hint="eastAsia" w:ascii="宋体" w:hAnsi="宋体" w:eastAsia="宋体" w:cs="宋体"/>
          <w:b/>
          <w:bCs/>
          <w:color w:val="000000" w:themeColor="text1"/>
          <w:spacing w:val="-5"/>
          <w:sz w:val="24"/>
          <w:szCs w:val="24"/>
          <w:highlight w:val="none"/>
          <w14:textFill>
            <w14:solidFill>
              <w14:schemeClr w14:val="tx1"/>
            </w14:solidFill>
          </w14:textFill>
        </w:rPr>
        <w:t>7．招标文件的提问和答疑</w:t>
      </w:r>
      <w:bookmarkEnd w:id="34"/>
      <w:bookmarkEnd w:id="35"/>
    </w:p>
    <w:p w14:paraId="1751AB2A">
      <w:pPr>
        <w:pageBreakBefore w:val="0"/>
        <w:kinsoku/>
        <w:wordWrap w:val="0"/>
        <w:overflowPunct/>
        <w:topLinePunct/>
        <w:bidi w:val="0"/>
        <w:spacing w:before="153" w:line="299" w:lineRule="auto"/>
        <w:ind w:left="9" w:right="16" w:firstLine="47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7.1 </w:t>
      </w:r>
      <w:r>
        <w:rPr>
          <w:rFonts w:hint="eastAsia" w:ascii="宋体" w:hAnsi="宋体" w:eastAsia="宋体" w:cs="宋体"/>
          <w:color w:val="000000" w:themeColor="text1"/>
          <w:sz w:val="24"/>
          <w:szCs w:val="24"/>
          <w:highlight w:val="none"/>
          <w14:textFill>
            <w14:solidFill>
              <w14:schemeClr w14:val="tx1"/>
            </w14:solidFill>
          </w14:textFill>
        </w:rPr>
        <w:t>投标人若对招标文件（含施工图、招标工程量清单）有疑问，应在提问截止</w:t>
      </w:r>
      <w:r>
        <w:rPr>
          <w:rFonts w:hint="eastAsia" w:ascii="宋体" w:hAnsi="宋体" w:eastAsia="宋体" w:cs="宋体"/>
          <w:color w:val="000000" w:themeColor="text1"/>
          <w:spacing w:val="-2"/>
          <w:sz w:val="24"/>
          <w:szCs w:val="24"/>
          <w:highlight w:val="none"/>
          <w14:textFill>
            <w14:solidFill>
              <w14:schemeClr w14:val="tx1"/>
            </w14:solidFill>
          </w14:textFill>
        </w:rPr>
        <w:t>时间（见本章第二节“重要事项时间地点一览表”）前使用建设工程交易</w:t>
      </w:r>
      <w:r>
        <w:rPr>
          <w:rFonts w:hint="eastAsia" w:ascii="宋体" w:hAnsi="宋体" w:eastAsia="宋体" w:cs="宋体"/>
          <w:color w:val="000000" w:themeColor="text1"/>
          <w:spacing w:val="-3"/>
          <w:sz w:val="24"/>
          <w:szCs w:val="24"/>
          <w:highlight w:val="none"/>
          <w14:textFill>
            <w14:solidFill>
              <w14:schemeClr w14:val="tx1"/>
            </w14:solidFill>
          </w14:textFill>
        </w:rPr>
        <w:t>系统提出问</w:t>
      </w:r>
      <w:r>
        <w:rPr>
          <w:rFonts w:hint="eastAsia" w:ascii="宋体" w:hAnsi="宋体" w:eastAsia="宋体" w:cs="宋体"/>
          <w:color w:val="000000" w:themeColor="text1"/>
          <w:spacing w:val="-1"/>
          <w:sz w:val="24"/>
          <w:szCs w:val="24"/>
          <w:highlight w:val="none"/>
          <w14:textFill>
            <w14:solidFill>
              <w14:schemeClr w14:val="tx1"/>
            </w14:solidFill>
          </w14:textFill>
        </w:rPr>
        <w:t>题。未在指定时间前、未采用指定方式提出的，招标人不予受理。</w:t>
      </w:r>
    </w:p>
    <w:p w14:paraId="1FAF2E23">
      <w:pPr>
        <w:pageBreakBefore w:val="0"/>
        <w:kinsoku/>
        <w:wordWrap w:val="0"/>
        <w:overflowPunct/>
        <w:topLinePunct/>
        <w:bidi w:val="0"/>
        <w:spacing w:before="154" w:line="309" w:lineRule="auto"/>
        <w:ind w:left="9" w:right="16"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7.2 </w:t>
      </w:r>
      <w:r>
        <w:rPr>
          <w:rFonts w:hint="eastAsia" w:ascii="宋体" w:hAnsi="宋体" w:eastAsia="宋体" w:cs="宋体"/>
          <w:color w:val="000000" w:themeColor="text1"/>
          <w:spacing w:val="-1"/>
          <w:sz w:val="24"/>
          <w:szCs w:val="24"/>
          <w:highlight w:val="none"/>
          <w14:textFill>
            <w14:solidFill>
              <w14:schemeClr w14:val="tx1"/>
            </w14:solidFill>
          </w14:textFill>
        </w:rPr>
        <w:t>招标人在提问截止时间（见本章第二节“重要</w:t>
      </w:r>
      <w:r>
        <w:rPr>
          <w:rFonts w:hint="eastAsia" w:ascii="宋体" w:hAnsi="宋体" w:eastAsia="宋体" w:cs="宋体"/>
          <w:color w:val="000000" w:themeColor="text1"/>
          <w:spacing w:val="-2"/>
          <w:sz w:val="24"/>
          <w:szCs w:val="24"/>
          <w:highlight w:val="none"/>
          <w14:textFill>
            <w14:solidFill>
              <w14:schemeClr w14:val="tx1"/>
            </w14:solidFill>
          </w14:textFill>
        </w:rPr>
        <w:t>事项时间地点一览表”）后3</w:t>
      </w:r>
      <w:r>
        <w:rPr>
          <w:rFonts w:hint="eastAsia" w:ascii="宋体" w:hAnsi="宋体" w:eastAsia="宋体" w:cs="宋体"/>
          <w:color w:val="000000" w:themeColor="text1"/>
          <w:spacing w:val="-1"/>
          <w:sz w:val="24"/>
          <w:szCs w:val="24"/>
          <w:highlight w:val="none"/>
          <w14:textFill>
            <w14:solidFill>
              <w14:schemeClr w14:val="tx1"/>
            </w14:solidFill>
          </w14:textFill>
        </w:rPr>
        <w:t>日内，一次性对收到的所有问题作出答复，并形成答疑（或修</w:t>
      </w:r>
      <w:r>
        <w:rPr>
          <w:rFonts w:hint="eastAsia" w:ascii="宋体" w:hAnsi="宋体" w:eastAsia="宋体" w:cs="宋体"/>
          <w:color w:val="000000" w:themeColor="text1"/>
          <w:spacing w:val="-2"/>
          <w:sz w:val="24"/>
          <w:szCs w:val="24"/>
          <w:highlight w:val="none"/>
          <w14:textFill>
            <w14:solidFill>
              <w14:schemeClr w14:val="tx1"/>
            </w14:solidFill>
          </w14:textFill>
        </w:rPr>
        <w:t>改）公告在发布招标公</w:t>
      </w:r>
      <w:r>
        <w:rPr>
          <w:rFonts w:hint="eastAsia" w:ascii="宋体" w:hAnsi="宋体" w:eastAsia="宋体" w:cs="宋体"/>
          <w:color w:val="000000" w:themeColor="text1"/>
          <w:spacing w:val="-1"/>
          <w:sz w:val="24"/>
          <w:szCs w:val="24"/>
          <w:highlight w:val="none"/>
          <w14:textFill>
            <w14:solidFill>
              <w14:schemeClr w14:val="tx1"/>
            </w14:solidFill>
          </w14:textFill>
        </w:rPr>
        <w:t>告的媒介上公开发布。答疑（或修改）公告一旦发布，即视所</w:t>
      </w:r>
      <w:r>
        <w:rPr>
          <w:rFonts w:hint="eastAsia" w:ascii="宋体" w:hAnsi="宋体" w:eastAsia="宋体" w:cs="宋体"/>
          <w:color w:val="000000" w:themeColor="text1"/>
          <w:spacing w:val="-2"/>
          <w:sz w:val="24"/>
          <w:szCs w:val="24"/>
          <w:highlight w:val="none"/>
          <w14:textFill>
            <w14:solidFill>
              <w14:schemeClr w14:val="tx1"/>
            </w14:solidFill>
          </w14:textFill>
        </w:rPr>
        <w:t>有潜在投标人已经知悉</w:t>
      </w:r>
      <w:r>
        <w:rPr>
          <w:rFonts w:hint="eastAsia" w:ascii="宋体" w:hAnsi="宋体" w:eastAsia="宋体" w:cs="宋体"/>
          <w:color w:val="000000" w:themeColor="text1"/>
          <w:spacing w:val="-1"/>
          <w:sz w:val="24"/>
          <w:szCs w:val="24"/>
          <w:highlight w:val="none"/>
          <w14:textFill>
            <w14:solidFill>
              <w14:schemeClr w14:val="tx1"/>
            </w14:solidFill>
          </w14:textFill>
        </w:rPr>
        <w:t>答疑（或修改）内容，投标人未及时关注而造成的损失和后果</w:t>
      </w:r>
      <w:r>
        <w:rPr>
          <w:rFonts w:hint="eastAsia" w:ascii="宋体" w:hAnsi="宋体" w:eastAsia="宋体" w:cs="宋体"/>
          <w:color w:val="000000" w:themeColor="text1"/>
          <w:spacing w:val="-2"/>
          <w:sz w:val="24"/>
          <w:szCs w:val="24"/>
          <w:highlight w:val="none"/>
          <w14:textFill>
            <w14:solidFill>
              <w14:schemeClr w14:val="tx1"/>
            </w14:solidFill>
          </w14:textFill>
        </w:rPr>
        <w:t>，由投标人自行承担。</w:t>
      </w:r>
    </w:p>
    <w:p w14:paraId="7646BA52">
      <w:pPr>
        <w:pageBreakBefore w:val="0"/>
        <w:kinsoku/>
        <w:wordWrap w:val="0"/>
        <w:overflowPunct/>
        <w:topLinePunct/>
        <w:bidi w:val="0"/>
        <w:spacing w:before="152" w:line="219" w:lineRule="auto"/>
        <w:ind w:firstLine="478"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7.3 </w:t>
      </w:r>
      <w:r>
        <w:rPr>
          <w:rFonts w:hint="eastAsia" w:ascii="宋体" w:hAnsi="宋体" w:eastAsia="宋体" w:cs="宋体"/>
          <w:color w:val="000000" w:themeColor="text1"/>
          <w:spacing w:val="-1"/>
          <w:sz w:val="24"/>
          <w:szCs w:val="24"/>
          <w:highlight w:val="none"/>
          <w14:textFill>
            <w14:solidFill>
              <w14:schemeClr w14:val="tx1"/>
            </w14:solidFill>
          </w14:textFill>
        </w:rPr>
        <w:t>招标人对招标文件所作的答疑（或修改）公告，构成</w:t>
      </w:r>
      <w:r>
        <w:rPr>
          <w:rFonts w:hint="eastAsia" w:ascii="宋体" w:hAnsi="宋体" w:eastAsia="宋体" w:cs="宋体"/>
          <w:color w:val="000000" w:themeColor="text1"/>
          <w:spacing w:val="-2"/>
          <w:sz w:val="24"/>
          <w:szCs w:val="24"/>
          <w:highlight w:val="none"/>
          <w14:textFill>
            <w14:solidFill>
              <w14:schemeClr w14:val="tx1"/>
            </w14:solidFill>
          </w14:textFill>
        </w:rPr>
        <w:t>招标文件的组成部分。</w:t>
      </w:r>
    </w:p>
    <w:p w14:paraId="7931DF63">
      <w:pPr>
        <w:pageBreakBefore w:val="0"/>
        <w:kinsoku/>
        <w:wordWrap w:val="0"/>
        <w:overflowPunct/>
        <w:topLinePunct/>
        <w:bidi w:val="0"/>
        <w:spacing w:before="79" w:line="219" w:lineRule="auto"/>
        <w:ind w:left="488"/>
        <w:outlineLvl w:val="2"/>
        <w:rPr>
          <w:rFonts w:hint="eastAsia" w:ascii="宋体" w:hAnsi="宋体" w:eastAsia="宋体" w:cs="宋体"/>
          <w:color w:val="000000" w:themeColor="text1"/>
          <w:sz w:val="24"/>
          <w:szCs w:val="24"/>
          <w:highlight w:val="none"/>
          <w:lang w:eastAsia="zh-CN"/>
          <w14:textFill>
            <w14:solidFill>
              <w14:schemeClr w14:val="tx1"/>
            </w14:solidFill>
          </w14:textFill>
        </w:rPr>
      </w:pPr>
      <w:bookmarkStart w:id="36" w:name="_Toc6897"/>
      <w:bookmarkStart w:id="37" w:name="_Toc17931"/>
      <w:r>
        <w:rPr>
          <w:rFonts w:hint="eastAsia" w:ascii="宋体" w:hAnsi="宋体" w:eastAsia="宋体" w:cs="宋体"/>
          <w:b/>
          <w:bCs/>
          <w:color w:val="000000" w:themeColor="text1"/>
          <w:spacing w:val="-5"/>
          <w:sz w:val="24"/>
          <w:szCs w:val="24"/>
          <w:highlight w:val="none"/>
          <w14:textFill>
            <w14:solidFill>
              <w14:schemeClr w14:val="tx1"/>
            </w14:solidFill>
          </w14:textFill>
        </w:rPr>
        <w:t>8．</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最高投标限价</w:t>
      </w:r>
      <w:bookmarkEnd w:id="36"/>
      <w:bookmarkEnd w:id="37"/>
    </w:p>
    <w:p w14:paraId="041D17E0">
      <w:pPr>
        <w:pageBreakBefore w:val="0"/>
        <w:kinsoku/>
        <w:wordWrap w:val="0"/>
        <w:overflowPunct/>
        <w:topLinePunct/>
        <w:bidi w:val="0"/>
        <w:spacing w:before="155" w:line="219"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8.1 </w:t>
      </w:r>
      <w:r>
        <w:rPr>
          <w:rFonts w:hint="eastAsia" w:ascii="宋体" w:hAnsi="宋体" w:eastAsia="宋体" w:cs="宋体"/>
          <w:color w:val="000000" w:themeColor="text1"/>
          <w:spacing w:val="-1"/>
          <w:sz w:val="24"/>
          <w:szCs w:val="24"/>
          <w:highlight w:val="none"/>
          <w14:textFill>
            <w14:solidFill>
              <w14:schemeClr w14:val="tx1"/>
            </w14:solidFill>
          </w14:textFill>
        </w:rPr>
        <w:t>本招标项目按照以下依据编制</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51F9D9EC">
      <w:pPr>
        <w:keepNext w:val="0"/>
        <w:keepLines w:val="0"/>
        <w:pageBreakBefore w:val="0"/>
        <w:widowControl/>
        <w:kinsoku/>
        <w:wordWrap w:val="0"/>
        <w:overflowPunct/>
        <w:topLinePunct/>
        <w:autoSpaceDE w:val="0"/>
        <w:autoSpaceDN w:val="0"/>
        <w:bidi w:val="0"/>
        <w:adjustRightInd w:val="0"/>
        <w:snapToGrid w:val="0"/>
        <w:spacing w:before="157" w:line="360" w:lineRule="auto"/>
        <w:ind w:left="501"/>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（1）《建设工程工程量清单计价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14:textFill>
            <w14:solidFill>
              <w14:schemeClr w14:val="tx1"/>
            </w14:solidFill>
          </w14:textFill>
        </w:rPr>
        <w:t>》（GB/T 50500-2024）；</w:t>
      </w:r>
    </w:p>
    <w:p w14:paraId="5B305CB5">
      <w:pPr>
        <w:keepNext w:val="0"/>
        <w:keepLines w:val="0"/>
        <w:pageBreakBefore w:val="0"/>
        <w:widowControl/>
        <w:kinsoku/>
        <w:wordWrap w:val="0"/>
        <w:overflowPunct/>
        <w:topLinePunct/>
        <w:autoSpaceDE w:val="0"/>
        <w:autoSpaceDN w:val="0"/>
        <w:bidi w:val="0"/>
        <w:adjustRightInd w:val="0"/>
        <w:snapToGrid w:val="0"/>
        <w:spacing w:line="360" w:lineRule="auto"/>
        <w:ind w:left="11" w:right="17" w:firstLine="49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23DFC194">
      <w:pPr>
        <w:keepNext w:val="0"/>
        <w:keepLines w:val="0"/>
        <w:pageBreakBefore w:val="0"/>
        <w:widowControl/>
        <w:kinsoku/>
        <w:wordWrap w:val="0"/>
        <w:overflowPunct/>
        <w:topLinePunct/>
        <w:autoSpaceDE w:val="0"/>
        <w:autoSpaceDN w:val="0"/>
        <w:bidi w:val="0"/>
        <w:adjustRightInd w:val="0"/>
        <w:snapToGrid w:val="0"/>
        <w:spacing w:line="360" w:lineRule="auto"/>
        <w:ind w:left="49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（3）施工图及相关资料；</w:t>
      </w:r>
    </w:p>
    <w:p w14:paraId="44333167">
      <w:pPr>
        <w:keepNext w:val="0"/>
        <w:keepLines w:val="0"/>
        <w:pageBreakBefore w:val="0"/>
        <w:widowControl/>
        <w:kinsoku/>
        <w:wordWrap w:val="0"/>
        <w:overflowPunct/>
        <w:topLinePunct/>
        <w:autoSpaceDE w:val="0"/>
        <w:autoSpaceDN w:val="0"/>
        <w:bidi w:val="0"/>
        <w:adjustRightInd w:val="0"/>
        <w:snapToGrid w:val="0"/>
        <w:spacing w:line="360" w:lineRule="auto"/>
        <w:ind w:left="502"/>
        <w:textAlignment w:val="baseline"/>
        <w:rPr>
          <w:rFonts w:hint="eastAsia" w:ascii="宋体" w:hAnsi="宋体" w:eastAsia="宋体" w:cs="宋体"/>
          <w:color w:val="000000" w:themeColor="text1"/>
          <w:sz w:val="24"/>
          <w:szCs w:val="24"/>
          <w:highlight w:val="none"/>
          <w14:textFill>
            <w14:solidFill>
              <w14:schemeClr w14:val="tx1"/>
            </w14:solidFill>
          </w14:textFill>
        </w:rPr>
      </w:pPr>
      <w:bookmarkStart w:id="38" w:name="bookmark119"/>
      <w:bookmarkEnd w:id="38"/>
      <w:r>
        <w:rPr>
          <w:rFonts w:hint="eastAsia" w:ascii="宋体" w:hAnsi="宋体" w:eastAsia="宋体" w:cs="宋体"/>
          <w:color w:val="000000" w:themeColor="text1"/>
          <w:spacing w:val="-2"/>
          <w:sz w:val="24"/>
          <w:szCs w:val="24"/>
          <w:highlight w:val="none"/>
          <w14:textFill>
            <w14:solidFill>
              <w14:schemeClr w14:val="tx1"/>
            </w14:solidFill>
          </w14:textFill>
        </w:rPr>
        <w:t>（4）招标文件及招标工程量清单；</w:t>
      </w:r>
    </w:p>
    <w:p w14:paraId="55BFAC62">
      <w:pPr>
        <w:keepNext w:val="0"/>
        <w:keepLines w:val="0"/>
        <w:pageBreakBefore w:val="0"/>
        <w:widowControl/>
        <w:kinsoku/>
        <w:wordWrap w:val="0"/>
        <w:overflowPunct/>
        <w:topLinePunct/>
        <w:autoSpaceDE w:val="0"/>
        <w:autoSpaceDN w:val="0"/>
        <w:bidi w:val="0"/>
        <w:adjustRightInd w:val="0"/>
        <w:snapToGrid w:val="0"/>
        <w:spacing w:line="360" w:lineRule="auto"/>
        <w:ind w:left="50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（5）施工现场情况、工程特点及常规施工方案；</w:t>
      </w:r>
    </w:p>
    <w:p w14:paraId="0336D8C8">
      <w:pPr>
        <w:keepNext w:val="0"/>
        <w:keepLines w:val="0"/>
        <w:pageBreakBefore w:val="0"/>
        <w:widowControl/>
        <w:kinsoku/>
        <w:wordWrap w:val="0"/>
        <w:overflowPunct/>
        <w:topLinePunct/>
        <w:autoSpaceDE w:val="0"/>
        <w:autoSpaceDN w:val="0"/>
        <w:bidi w:val="0"/>
        <w:adjustRightInd w:val="0"/>
        <w:snapToGrid w:val="0"/>
        <w:spacing w:line="360" w:lineRule="auto"/>
        <w:ind w:left="12" w:right="136" w:firstLine="48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（6）项目所在地工程造价管理机构发布的工程造价信息，工程造</w:t>
      </w:r>
      <w:r>
        <w:rPr>
          <w:rFonts w:hint="eastAsia" w:ascii="宋体" w:hAnsi="宋体" w:eastAsia="宋体" w:cs="宋体"/>
          <w:color w:val="000000" w:themeColor="text1"/>
          <w:spacing w:val="-4"/>
          <w:sz w:val="24"/>
          <w:szCs w:val="24"/>
          <w:highlight w:val="none"/>
          <w14:textFill>
            <w14:solidFill>
              <w14:schemeClr w14:val="tx1"/>
            </w14:solidFill>
          </w14:textFill>
        </w:rPr>
        <w:t>价信息缺项的，</w:t>
      </w:r>
      <w:r>
        <w:rPr>
          <w:rFonts w:hint="eastAsia" w:ascii="宋体" w:hAnsi="宋体" w:eastAsia="宋体" w:cs="宋体"/>
          <w:color w:val="000000" w:themeColor="text1"/>
          <w:spacing w:val="-2"/>
          <w:sz w:val="24"/>
          <w:szCs w:val="24"/>
          <w:highlight w:val="none"/>
          <w14:textFill>
            <w14:solidFill>
              <w14:schemeClr w14:val="tx1"/>
            </w14:solidFill>
          </w14:textFill>
        </w:rPr>
        <w:t>参照市场价格；</w:t>
      </w:r>
    </w:p>
    <w:p w14:paraId="6EA84EF9">
      <w:pPr>
        <w:keepNext w:val="0"/>
        <w:keepLines w:val="0"/>
        <w:pageBreakBefore w:val="0"/>
        <w:widowControl/>
        <w:kinsoku/>
        <w:wordWrap w:val="0"/>
        <w:overflowPunct/>
        <w:topLinePunct/>
        <w:autoSpaceDE w:val="0"/>
        <w:autoSpaceDN w:val="0"/>
        <w:bidi w:val="0"/>
        <w:adjustRightInd w:val="0"/>
        <w:snapToGrid w:val="0"/>
        <w:spacing w:line="360" w:lineRule="auto"/>
        <w:ind w:left="50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（7）与建设项目相关的标准、规范、技术资料。</w:t>
      </w:r>
    </w:p>
    <w:p w14:paraId="1340F9F8">
      <w:pPr>
        <w:pageBreakBefore w:val="0"/>
        <w:kinsoku/>
        <w:wordWrap w:val="0"/>
        <w:overflowPunct/>
        <w:topLinePunct/>
        <w:bidi w:val="0"/>
        <w:spacing w:before="79" w:line="333" w:lineRule="auto"/>
        <w:ind w:firstLine="482" w:firstLineChars="200"/>
        <w:jc w:val="both"/>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8.2</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本招标项目最高投标限价、施工图纸、工程量清单在开标前15天另行发布于全国公共资源交易平台（广东省·韶关市）（https：//ygp.gdzwfw.gov.cn/ggzy-portal/#/440200/index）、广东省招标投标监管网（http：//zbtb.gd.gov.cn）网站。</w:t>
      </w:r>
    </w:p>
    <w:p w14:paraId="07B57367">
      <w:pPr>
        <w:pageBreakBefore w:val="0"/>
        <w:kinsoku/>
        <w:wordWrap w:val="0"/>
        <w:overflowPunct/>
        <w:topLinePunct/>
        <w:bidi w:val="0"/>
        <w:spacing w:before="79" w:line="333" w:lineRule="auto"/>
        <w:ind w:firstLine="482"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r>
        <w:rPr>
          <w:rFonts w:hint="eastAsia" w:ascii="宋体" w:hAnsi="宋体" w:eastAsia="宋体" w:cs="宋体"/>
          <w:b/>
          <w:bCs/>
          <w:color w:val="000000" w:themeColor="text1"/>
          <w:sz w:val="24"/>
          <w:szCs w:val="24"/>
          <w:highlight w:val="none"/>
          <w:lang w:eastAsia="zh-CN"/>
          <w14:textFill>
            <w14:solidFill>
              <w14:schemeClr w14:val="tx1"/>
            </w14:solidFill>
          </w14:textFill>
        </w:rPr>
        <w:t>3</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暂估价指招标工程量清单中提供的用于支付必然发生但暂时不能确定价格的</w:t>
      </w:r>
      <w:r>
        <w:rPr>
          <w:rFonts w:hint="eastAsia" w:ascii="宋体" w:hAnsi="宋体" w:eastAsia="宋体" w:cs="宋体"/>
          <w:color w:val="000000" w:themeColor="text1"/>
          <w:spacing w:val="-1"/>
          <w:sz w:val="24"/>
          <w:szCs w:val="24"/>
          <w:highlight w:val="none"/>
          <w14:textFill>
            <w14:solidFill>
              <w14:schemeClr w14:val="tx1"/>
            </w14:solidFill>
          </w14:textFill>
        </w:rPr>
        <w:t>材料、工程设备的单价以及专业工程的金额；暂列金额指招标</w:t>
      </w:r>
      <w:r>
        <w:rPr>
          <w:rFonts w:hint="eastAsia" w:ascii="宋体" w:hAnsi="宋体" w:eastAsia="宋体" w:cs="宋体"/>
          <w:color w:val="000000" w:themeColor="text1"/>
          <w:spacing w:val="-2"/>
          <w:sz w:val="24"/>
          <w:szCs w:val="24"/>
          <w:highlight w:val="none"/>
          <w14:textFill>
            <w14:solidFill>
              <w14:schemeClr w14:val="tx1"/>
            </w14:solidFill>
          </w14:textFill>
        </w:rPr>
        <w:t>工程量清单中暂定并包括在合同价款中的一笔款项，用于工程合同签订时尚未确定或</w:t>
      </w:r>
      <w:r>
        <w:rPr>
          <w:rFonts w:hint="eastAsia" w:ascii="宋体" w:hAnsi="宋体" w:eastAsia="宋体" w:cs="宋体"/>
          <w:color w:val="000000" w:themeColor="text1"/>
          <w:spacing w:val="-3"/>
          <w:sz w:val="24"/>
          <w:szCs w:val="24"/>
          <w:highlight w:val="none"/>
          <w14:textFill>
            <w14:solidFill>
              <w14:schemeClr w14:val="tx1"/>
            </w14:solidFill>
          </w14:textFill>
        </w:rPr>
        <w:t>者不可预见的所需材料、</w:t>
      </w:r>
      <w:r>
        <w:rPr>
          <w:rFonts w:hint="eastAsia" w:ascii="宋体" w:hAnsi="宋体" w:eastAsia="宋体" w:cs="宋体"/>
          <w:color w:val="000000" w:themeColor="text1"/>
          <w:spacing w:val="-1"/>
          <w:sz w:val="24"/>
          <w:szCs w:val="24"/>
          <w:highlight w:val="none"/>
          <w14:textFill>
            <w14:solidFill>
              <w14:schemeClr w14:val="tx1"/>
            </w14:solidFill>
          </w14:textFill>
        </w:rPr>
        <w:t>工程设备、服务的采购，施工中可能发生的工程变更、合同约</w:t>
      </w:r>
      <w:r>
        <w:rPr>
          <w:rFonts w:hint="eastAsia" w:ascii="宋体" w:hAnsi="宋体" w:eastAsia="宋体" w:cs="宋体"/>
          <w:color w:val="000000" w:themeColor="text1"/>
          <w:spacing w:val="-2"/>
          <w:sz w:val="24"/>
          <w:szCs w:val="24"/>
          <w:highlight w:val="none"/>
          <w14:textFill>
            <w14:solidFill>
              <w14:schemeClr w14:val="tx1"/>
            </w14:solidFill>
          </w14:textFill>
        </w:rPr>
        <w:t>定调整因素出现时的合</w:t>
      </w:r>
      <w:r>
        <w:rPr>
          <w:rFonts w:hint="eastAsia" w:ascii="宋体" w:hAnsi="宋体" w:eastAsia="宋体" w:cs="宋体"/>
          <w:color w:val="000000" w:themeColor="text1"/>
          <w:spacing w:val="-1"/>
          <w:sz w:val="24"/>
          <w:szCs w:val="24"/>
          <w:highlight w:val="none"/>
          <w14:textFill>
            <w14:solidFill>
              <w14:schemeClr w14:val="tx1"/>
            </w14:solidFill>
          </w14:textFill>
        </w:rPr>
        <w:t>同价款调整以及发生的索赔、现场签证确认等的费用。</w:t>
      </w:r>
    </w:p>
    <w:p w14:paraId="55D52F1F">
      <w:pPr>
        <w:pageBreakBefore w:val="0"/>
        <w:kinsoku/>
        <w:wordWrap w:val="0"/>
        <w:overflowPunct/>
        <w:topLinePunct/>
        <w:bidi w:val="0"/>
        <w:spacing w:before="36" w:line="278" w:lineRule="auto"/>
        <w:ind w:left="10" w:right="200"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r>
        <w:rPr>
          <w:rFonts w:hint="eastAsia" w:ascii="宋体" w:hAnsi="宋体" w:eastAsia="宋体" w:cs="宋体"/>
          <w:b/>
          <w:bCs/>
          <w:color w:val="000000" w:themeColor="text1"/>
          <w:sz w:val="24"/>
          <w:szCs w:val="24"/>
          <w:highlight w:val="none"/>
          <w:lang w:eastAsia="zh-CN"/>
          <w14:textFill>
            <w14:solidFill>
              <w14:schemeClr w14:val="tx1"/>
            </w14:solidFill>
          </w14:textFill>
        </w:rPr>
        <w:t>4</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本招标项目以暂估价形式列入招标工程量清单中的材料、工程设备、专业工</w:t>
      </w:r>
      <w:r>
        <w:rPr>
          <w:rFonts w:hint="eastAsia" w:ascii="宋体" w:hAnsi="宋体" w:eastAsia="宋体" w:cs="宋体"/>
          <w:color w:val="000000" w:themeColor="text1"/>
          <w:spacing w:val="-2"/>
          <w:sz w:val="24"/>
          <w:szCs w:val="24"/>
          <w:highlight w:val="none"/>
          <w14:textFill>
            <w14:solidFill>
              <w14:schemeClr w14:val="tx1"/>
            </w14:solidFill>
          </w14:textFill>
        </w:rPr>
        <w:t>程（以下统称“暂估价项目”）包括：</w:t>
      </w:r>
      <w:r>
        <w:rPr>
          <w:rFonts w:hint="eastAsia" w:ascii="宋体" w:hAnsi="宋体" w:eastAsia="宋体" w:cs="宋体"/>
          <w:color w:val="000000" w:themeColor="text1"/>
          <w:sz w:val="24"/>
          <w:szCs w:val="24"/>
          <w:highlight w:val="none"/>
          <w:u w:val="single"/>
          <w14:textFill>
            <w14:solidFill>
              <w14:schemeClr w14:val="tx1"/>
            </w14:solidFill>
          </w14:textFill>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0759FFED">
      <w:pPr>
        <w:pageBreakBefore w:val="0"/>
        <w:kinsoku/>
        <w:wordWrap w:val="0"/>
        <w:overflowPunct/>
        <w:topLinePunct/>
        <w:bidi w:val="0"/>
        <w:spacing w:before="154" w:line="280" w:lineRule="auto"/>
        <w:ind w:left="12" w:right="200"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r>
        <w:rPr>
          <w:rFonts w:hint="eastAsia" w:ascii="宋体" w:hAnsi="宋体" w:eastAsia="宋体" w:cs="宋体"/>
          <w:b/>
          <w:bCs/>
          <w:color w:val="000000" w:themeColor="text1"/>
          <w:sz w:val="24"/>
          <w:szCs w:val="24"/>
          <w:highlight w:val="none"/>
          <w:lang w:eastAsia="zh-CN"/>
          <w14:textFill>
            <w14:solidFill>
              <w14:schemeClr w14:val="tx1"/>
            </w14:solidFill>
          </w14:textFill>
        </w:rPr>
        <w:t>5</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当暂估价项目的内容、标准、要求在项目实施过程中得以深化、明确、固定</w:t>
      </w:r>
      <w:r>
        <w:rPr>
          <w:rFonts w:hint="eastAsia" w:ascii="宋体" w:hAnsi="宋体" w:eastAsia="宋体" w:cs="宋体"/>
          <w:color w:val="000000" w:themeColor="text1"/>
          <w:spacing w:val="-2"/>
          <w:sz w:val="24"/>
          <w:szCs w:val="24"/>
          <w:highlight w:val="none"/>
          <w14:textFill>
            <w14:solidFill>
              <w14:schemeClr w14:val="tx1"/>
            </w14:solidFill>
          </w14:textFill>
        </w:rPr>
        <w:t>后，按以下原则发包：</w:t>
      </w:r>
    </w:p>
    <w:p w14:paraId="4F5FA967">
      <w:pPr>
        <w:pageBreakBefore w:val="0"/>
        <w:kinsoku/>
        <w:wordWrap w:val="0"/>
        <w:overflowPunct/>
        <w:topLinePunct/>
        <w:bidi w:val="0"/>
        <w:spacing w:before="154" w:line="309" w:lineRule="auto"/>
        <w:ind w:left="11" w:right="65" w:firstLine="489"/>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（1）暂估价项目按工程、货物（指材料或工程设备，下同）的类别分类汇总的金额，达到必须招标规模标准的，由中标人招标，招标人参与管理，确定专业工程承包人（或材料、工程设备供应商）和合同价格。</w:t>
      </w:r>
    </w:p>
    <w:p w14:paraId="2527E1F7">
      <w:pPr>
        <w:pageBreakBefore w:val="0"/>
        <w:kinsoku/>
        <w:wordWrap w:val="0"/>
        <w:overflowPunct/>
        <w:topLinePunct/>
        <w:bidi w:val="0"/>
        <w:spacing w:before="154" w:line="309" w:lineRule="auto"/>
        <w:ind w:left="11" w:right="65"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（2）暂估价项目按工程、货物的类别分类汇总的金额，未</w:t>
      </w:r>
      <w:r>
        <w:rPr>
          <w:rFonts w:hint="eastAsia" w:ascii="宋体" w:hAnsi="宋体" w:eastAsia="宋体" w:cs="宋体"/>
          <w:color w:val="000000" w:themeColor="text1"/>
          <w:spacing w:val="1"/>
          <w:sz w:val="24"/>
          <w:szCs w:val="24"/>
          <w:highlight w:val="none"/>
          <w14:textFill>
            <w14:solidFill>
              <w14:schemeClr w14:val="tx1"/>
            </w14:solidFill>
          </w14:textFill>
        </w:rPr>
        <w:t>达到必须招标规模标</w:t>
      </w:r>
      <w:r>
        <w:rPr>
          <w:rFonts w:hint="eastAsia" w:ascii="宋体" w:hAnsi="宋体" w:eastAsia="宋体" w:cs="宋体"/>
          <w:color w:val="000000" w:themeColor="text1"/>
          <w:spacing w:val="-1"/>
          <w:sz w:val="24"/>
          <w:szCs w:val="24"/>
          <w:highlight w:val="none"/>
          <w14:textFill>
            <w14:solidFill>
              <w14:schemeClr w14:val="tx1"/>
            </w14:solidFill>
          </w14:textFill>
        </w:rPr>
        <w:t>准但适用政府采购规定的，按照政府采购规定确定专业工</w:t>
      </w:r>
      <w:r>
        <w:rPr>
          <w:rFonts w:hint="eastAsia" w:ascii="宋体" w:hAnsi="宋体" w:eastAsia="宋体" w:cs="宋体"/>
          <w:color w:val="000000" w:themeColor="text1"/>
          <w:spacing w:val="-2"/>
          <w:sz w:val="24"/>
          <w:szCs w:val="24"/>
          <w:highlight w:val="none"/>
          <w14:textFill>
            <w14:solidFill>
              <w14:schemeClr w14:val="tx1"/>
            </w14:solidFill>
          </w14:textFill>
        </w:rPr>
        <w:t>程承包人（或材料、工程设备供应商）和合同价格。</w:t>
      </w:r>
    </w:p>
    <w:p w14:paraId="6213FDA6">
      <w:pPr>
        <w:pageBreakBefore w:val="0"/>
        <w:kinsoku/>
        <w:wordWrap w:val="0"/>
        <w:overflowPunct/>
        <w:topLinePunct/>
        <w:bidi w:val="0"/>
        <w:spacing w:before="154" w:line="309" w:lineRule="auto"/>
        <w:ind w:left="11" w:right="65"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（3）暂估价项目按工程、货物的类别分类汇总的金额，未</w:t>
      </w:r>
      <w:r>
        <w:rPr>
          <w:rFonts w:hint="eastAsia" w:ascii="宋体" w:hAnsi="宋体" w:eastAsia="宋体" w:cs="宋体"/>
          <w:color w:val="000000" w:themeColor="text1"/>
          <w:spacing w:val="1"/>
          <w:sz w:val="24"/>
          <w:szCs w:val="24"/>
          <w:highlight w:val="none"/>
          <w14:textFill>
            <w14:solidFill>
              <w14:schemeClr w14:val="tx1"/>
            </w14:solidFill>
          </w14:textFill>
        </w:rPr>
        <w:t>达到必须招标规模标</w:t>
      </w:r>
      <w:r>
        <w:rPr>
          <w:rFonts w:hint="eastAsia" w:ascii="宋体" w:hAnsi="宋体" w:eastAsia="宋体" w:cs="宋体"/>
          <w:color w:val="000000" w:themeColor="text1"/>
          <w:spacing w:val="-1"/>
          <w:sz w:val="24"/>
          <w:szCs w:val="24"/>
          <w:highlight w:val="none"/>
          <w14:textFill>
            <w14:solidFill>
              <w14:schemeClr w14:val="tx1"/>
            </w14:solidFill>
          </w14:textFill>
        </w:rPr>
        <w:t>准也不适用政府采购规定，中标人具备相应资格条件的，</w:t>
      </w:r>
      <w:r>
        <w:rPr>
          <w:rFonts w:hint="eastAsia" w:ascii="宋体" w:hAnsi="宋体" w:eastAsia="宋体" w:cs="宋体"/>
          <w:color w:val="000000" w:themeColor="text1"/>
          <w:spacing w:val="-2"/>
          <w:sz w:val="24"/>
          <w:szCs w:val="24"/>
          <w:highlight w:val="none"/>
          <w14:textFill>
            <w14:solidFill>
              <w14:schemeClr w14:val="tx1"/>
            </w14:solidFill>
          </w14:textFill>
        </w:rPr>
        <w:t>由中标人承包；中标人不具</w:t>
      </w:r>
      <w:r>
        <w:rPr>
          <w:rFonts w:hint="eastAsia" w:ascii="宋体" w:hAnsi="宋体" w:eastAsia="宋体" w:cs="宋体"/>
          <w:color w:val="000000" w:themeColor="text1"/>
          <w:spacing w:val="-1"/>
          <w:sz w:val="24"/>
          <w:szCs w:val="24"/>
          <w:highlight w:val="none"/>
          <w14:textFill>
            <w14:solidFill>
              <w14:schemeClr w14:val="tx1"/>
            </w14:solidFill>
          </w14:textFill>
        </w:rPr>
        <w:t>备相应资格条件但具备分包权的，由中标人分包，招标人</w:t>
      </w:r>
      <w:r>
        <w:rPr>
          <w:rFonts w:hint="eastAsia" w:ascii="宋体" w:hAnsi="宋体" w:eastAsia="宋体" w:cs="宋体"/>
          <w:color w:val="000000" w:themeColor="text1"/>
          <w:spacing w:val="-2"/>
          <w:sz w:val="24"/>
          <w:szCs w:val="24"/>
          <w:highlight w:val="none"/>
          <w14:textFill>
            <w14:solidFill>
              <w14:schemeClr w14:val="tx1"/>
            </w14:solidFill>
          </w14:textFill>
        </w:rPr>
        <w:t>同中标人结算原则按本招标文件相关条款执行。</w:t>
      </w:r>
    </w:p>
    <w:p w14:paraId="6A76ADC3">
      <w:pPr>
        <w:pageBreakBefore w:val="0"/>
        <w:kinsoku/>
        <w:wordWrap w:val="0"/>
        <w:overflowPunct/>
        <w:topLinePunct/>
        <w:bidi w:val="0"/>
        <w:spacing w:before="154" w:line="299" w:lineRule="auto"/>
        <w:ind w:left="11" w:right="65"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（4）暂估价项目按工程、货物的类别分类汇总的金额，未</w:t>
      </w:r>
      <w:r>
        <w:rPr>
          <w:rFonts w:hint="eastAsia" w:ascii="宋体" w:hAnsi="宋体" w:eastAsia="宋体" w:cs="宋体"/>
          <w:color w:val="000000" w:themeColor="text1"/>
          <w:spacing w:val="1"/>
          <w:sz w:val="24"/>
          <w:szCs w:val="24"/>
          <w:highlight w:val="none"/>
          <w14:textFill>
            <w14:solidFill>
              <w14:schemeClr w14:val="tx1"/>
            </w14:solidFill>
          </w14:textFill>
        </w:rPr>
        <w:t>达到必须招标规模标</w:t>
      </w:r>
      <w:r>
        <w:rPr>
          <w:rFonts w:hint="eastAsia" w:ascii="宋体" w:hAnsi="宋体" w:eastAsia="宋体" w:cs="宋体"/>
          <w:color w:val="000000" w:themeColor="text1"/>
          <w:spacing w:val="-1"/>
          <w:sz w:val="24"/>
          <w:szCs w:val="24"/>
          <w:highlight w:val="none"/>
          <w14:textFill>
            <w14:solidFill>
              <w14:schemeClr w14:val="tx1"/>
            </w14:solidFill>
          </w14:textFill>
        </w:rPr>
        <w:t>准也不适用政府采购规定，中标人既不具备相应资格条件</w:t>
      </w:r>
      <w:r>
        <w:rPr>
          <w:rFonts w:hint="eastAsia" w:ascii="宋体" w:hAnsi="宋体" w:eastAsia="宋体" w:cs="宋体"/>
          <w:color w:val="000000" w:themeColor="text1"/>
          <w:spacing w:val="-2"/>
          <w:sz w:val="24"/>
          <w:szCs w:val="24"/>
          <w:highlight w:val="none"/>
          <w14:textFill>
            <w14:solidFill>
              <w14:schemeClr w14:val="tx1"/>
            </w14:solidFill>
          </w14:textFill>
        </w:rPr>
        <w:t>又不具备分包权的，由招标人另行发包。</w:t>
      </w:r>
    </w:p>
    <w:p w14:paraId="17E830A5">
      <w:pPr>
        <w:pageBreakBefore w:val="0"/>
        <w:kinsoku/>
        <w:wordWrap w:val="0"/>
        <w:overflowPunct/>
        <w:topLinePunct/>
        <w:bidi w:val="0"/>
        <w:spacing w:before="155" w:line="279" w:lineRule="auto"/>
        <w:ind w:left="9" w:right="66"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（5）暂估价项目由其他承包人承包的，纳入中标人的管理</w:t>
      </w:r>
      <w:r>
        <w:rPr>
          <w:rFonts w:hint="eastAsia" w:ascii="宋体" w:hAnsi="宋体" w:eastAsia="宋体" w:cs="宋体"/>
          <w:color w:val="000000" w:themeColor="text1"/>
          <w:spacing w:val="1"/>
          <w:sz w:val="24"/>
          <w:szCs w:val="24"/>
          <w:highlight w:val="none"/>
          <w14:textFill>
            <w14:solidFill>
              <w14:schemeClr w14:val="tx1"/>
            </w14:solidFill>
          </w14:textFill>
        </w:rPr>
        <w:t>和协调范围，由其他</w:t>
      </w:r>
      <w:r>
        <w:rPr>
          <w:rFonts w:hint="eastAsia" w:ascii="宋体" w:hAnsi="宋体" w:eastAsia="宋体" w:cs="宋体"/>
          <w:color w:val="000000" w:themeColor="text1"/>
          <w:spacing w:val="-1"/>
          <w:sz w:val="24"/>
          <w:szCs w:val="24"/>
          <w:highlight w:val="none"/>
          <w14:textFill>
            <w14:solidFill>
              <w14:schemeClr w14:val="tx1"/>
            </w14:solidFill>
          </w14:textFill>
        </w:rPr>
        <w:t>承包人向中标人承担质量、安全、文明施工、工期责任，中标</w:t>
      </w:r>
      <w:r>
        <w:rPr>
          <w:rFonts w:hint="eastAsia" w:ascii="宋体" w:hAnsi="宋体" w:eastAsia="宋体" w:cs="宋体"/>
          <w:color w:val="000000" w:themeColor="text1"/>
          <w:spacing w:val="-2"/>
          <w:sz w:val="24"/>
          <w:szCs w:val="24"/>
          <w:highlight w:val="none"/>
          <w14:textFill>
            <w14:solidFill>
              <w14:schemeClr w14:val="tx1"/>
            </w14:solidFill>
          </w14:textFill>
        </w:rPr>
        <w:t>人向招标人承担责任。</w:t>
      </w:r>
    </w:p>
    <w:p w14:paraId="551C070F">
      <w:pPr>
        <w:pageBreakBefore w:val="0"/>
        <w:kinsoku/>
        <w:wordWrap w:val="0"/>
        <w:overflowPunct/>
        <w:topLinePunct/>
        <w:bidi w:val="0"/>
        <w:spacing w:before="155" w:line="333" w:lineRule="auto"/>
        <w:ind w:left="10" w:right="65" w:firstLine="478"/>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8</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本招标项目以暂列金额形式列入招标工程量清单中的所需货物和服务的采购</w:t>
      </w:r>
      <w:r>
        <w:rPr>
          <w:rFonts w:hint="eastAsia" w:ascii="宋体" w:hAnsi="宋体" w:eastAsia="宋体" w:cs="宋体"/>
          <w:color w:val="000000" w:themeColor="text1"/>
          <w:spacing w:val="-1"/>
          <w:sz w:val="24"/>
          <w:szCs w:val="24"/>
          <w:highlight w:val="none"/>
          <w14:textFill>
            <w14:solidFill>
              <w14:schemeClr w14:val="tx1"/>
            </w14:solidFill>
          </w14:textFill>
        </w:rPr>
        <w:t>（以下统称“暂列金额项目”）若有发生，按照本节第</w:t>
      </w:r>
      <w:r>
        <w:rPr>
          <w:rFonts w:hint="eastAsia" w:ascii="宋体" w:hAnsi="宋体" w:eastAsia="宋体" w:cs="宋体"/>
          <w:b/>
          <w:bCs/>
          <w:color w:val="000000" w:themeColor="text1"/>
          <w:spacing w:val="-1"/>
          <w:sz w:val="24"/>
          <w:szCs w:val="24"/>
          <w:highlight w:val="none"/>
          <w14:textFill>
            <w14:solidFill>
              <w14:schemeClr w14:val="tx1"/>
            </w14:solidFill>
          </w14:textFill>
        </w:rPr>
        <w:t>8.5</w:t>
      </w:r>
      <w:r>
        <w:rPr>
          <w:rFonts w:hint="eastAsia" w:ascii="宋体" w:hAnsi="宋体" w:eastAsia="宋体" w:cs="宋体"/>
          <w:color w:val="000000" w:themeColor="text1"/>
          <w:spacing w:val="-1"/>
          <w:sz w:val="24"/>
          <w:szCs w:val="24"/>
          <w:highlight w:val="none"/>
          <w14:textFill>
            <w14:solidFill>
              <w14:schemeClr w14:val="tx1"/>
            </w14:solidFill>
          </w14:textFill>
        </w:rPr>
        <w:t>条的规定确定货物（或服务）供应商和合同价格。暂列金额项目由其他承包人承包的</w:t>
      </w:r>
      <w:r>
        <w:rPr>
          <w:rFonts w:hint="eastAsia" w:ascii="宋体" w:hAnsi="宋体" w:eastAsia="宋体" w:cs="宋体"/>
          <w:color w:val="000000" w:themeColor="text1"/>
          <w:spacing w:val="-2"/>
          <w:sz w:val="24"/>
          <w:szCs w:val="24"/>
          <w:highlight w:val="none"/>
          <w14:textFill>
            <w14:solidFill>
              <w14:schemeClr w14:val="tx1"/>
            </w14:solidFill>
          </w14:textFill>
        </w:rPr>
        <w:t>，纳入中标人的管理和协</w:t>
      </w:r>
      <w:r>
        <w:rPr>
          <w:rFonts w:hint="eastAsia" w:ascii="宋体" w:hAnsi="宋体" w:eastAsia="宋体" w:cs="宋体"/>
          <w:color w:val="000000" w:themeColor="text1"/>
          <w:spacing w:val="-1"/>
          <w:sz w:val="24"/>
          <w:szCs w:val="24"/>
          <w:highlight w:val="none"/>
          <w14:textFill>
            <w14:solidFill>
              <w14:schemeClr w14:val="tx1"/>
            </w14:solidFill>
          </w14:textFill>
        </w:rPr>
        <w:t>调范围</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由其他承包人向中标人承担质量、安全、文明</w:t>
      </w:r>
      <w:r>
        <w:rPr>
          <w:rFonts w:hint="eastAsia" w:ascii="宋体" w:hAnsi="宋体" w:eastAsia="宋体" w:cs="宋体"/>
          <w:color w:val="000000" w:themeColor="text1"/>
          <w:spacing w:val="-2"/>
          <w:sz w:val="24"/>
          <w:szCs w:val="24"/>
          <w:highlight w:val="none"/>
          <w14:textFill>
            <w14:solidFill>
              <w14:schemeClr w14:val="tx1"/>
            </w14:solidFill>
          </w14:textFill>
        </w:rPr>
        <w:t>施工、工期责任，中标人向招标人承担责任。</w:t>
      </w:r>
    </w:p>
    <w:p w14:paraId="0305B8FB">
      <w:pPr>
        <w:pageBreakBefore w:val="0"/>
        <w:kinsoku/>
        <w:wordWrap w:val="0"/>
        <w:overflowPunct/>
        <w:topLinePunct/>
        <w:bidi w:val="0"/>
        <w:spacing w:before="79" w:line="219" w:lineRule="auto"/>
        <w:ind w:left="487"/>
        <w:outlineLvl w:val="2"/>
        <w:rPr>
          <w:rFonts w:hint="eastAsia" w:ascii="宋体" w:hAnsi="宋体" w:eastAsia="宋体" w:cs="宋体"/>
          <w:color w:val="000000" w:themeColor="text1"/>
          <w:sz w:val="24"/>
          <w:szCs w:val="24"/>
          <w:highlight w:val="none"/>
          <w14:textFill>
            <w14:solidFill>
              <w14:schemeClr w14:val="tx1"/>
            </w14:solidFill>
          </w14:textFill>
        </w:rPr>
      </w:pPr>
      <w:bookmarkStart w:id="39" w:name="_Toc22323"/>
      <w:bookmarkStart w:id="40" w:name="_Toc22978"/>
      <w:r>
        <w:rPr>
          <w:rFonts w:hint="eastAsia" w:ascii="宋体" w:hAnsi="宋体" w:eastAsia="宋体" w:cs="宋体"/>
          <w:b/>
          <w:bCs/>
          <w:color w:val="000000" w:themeColor="text1"/>
          <w:spacing w:val="-8"/>
          <w:sz w:val="24"/>
          <w:szCs w:val="24"/>
          <w:highlight w:val="none"/>
          <w14:textFill>
            <w14:solidFill>
              <w14:schemeClr w14:val="tx1"/>
            </w14:solidFill>
          </w14:textFill>
        </w:rPr>
        <w:t>9．投标报价</w:t>
      </w:r>
      <w:bookmarkEnd w:id="39"/>
      <w:bookmarkEnd w:id="40"/>
    </w:p>
    <w:p w14:paraId="55E791F9">
      <w:pPr>
        <w:pageBreakBefore w:val="0"/>
        <w:kinsoku/>
        <w:wordWrap w:val="0"/>
        <w:overflowPunct/>
        <w:topLinePunct/>
        <w:bidi w:val="0"/>
        <w:spacing w:before="157" w:line="219"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9.1 </w:t>
      </w:r>
      <w:r>
        <w:rPr>
          <w:rFonts w:hint="eastAsia" w:ascii="宋体" w:hAnsi="宋体" w:eastAsia="宋体" w:cs="宋体"/>
          <w:color w:val="000000" w:themeColor="text1"/>
          <w:spacing w:val="-1"/>
          <w:sz w:val="24"/>
          <w:szCs w:val="24"/>
          <w:highlight w:val="none"/>
          <w14:textFill>
            <w14:solidFill>
              <w14:schemeClr w14:val="tx1"/>
            </w14:solidFill>
          </w14:textFill>
        </w:rPr>
        <w:t>投标人应按照以下依据编制投标报价：</w:t>
      </w:r>
    </w:p>
    <w:p w14:paraId="1E4B22D2">
      <w:pPr>
        <w:pageBreakBefore w:val="0"/>
        <w:kinsoku/>
        <w:wordWrap w:val="0"/>
        <w:overflowPunct/>
        <w:topLinePunct/>
        <w:bidi w:val="0"/>
        <w:spacing w:before="155"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（1）《建设工程工程量清单计价标准》（GB/T 50500-2024）</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0F3B657D">
      <w:pPr>
        <w:pageBreakBefore w:val="0"/>
        <w:kinsoku/>
        <w:wordWrap w:val="0"/>
        <w:overflowPunct/>
        <w:topLinePunct/>
        <w:bidi w:val="0"/>
        <w:spacing w:before="153" w:line="309" w:lineRule="auto"/>
        <w:ind w:left="9" w:right="65"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6251D9F9">
      <w:pPr>
        <w:pageBreakBefore w:val="0"/>
        <w:kinsoku/>
        <w:wordWrap w:val="0"/>
        <w:overflowPunct/>
        <w:topLinePunct/>
        <w:bidi w:val="0"/>
        <w:spacing w:before="78"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bookmarkStart w:id="41" w:name="bookmark120"/>
      <w:bookmarkEnd w:id="41"/>
      <w:r>
        <w:rPr>
          <w:rFonts w:hint="eastAsia" w:ascii="宋体" w:hAnsi="宋体" w:eastAsia="宋体" w:cs="宋体"/>
          <w:color w:val="000000" w:themeColor="text1"/>
          <w:spacing w:val="-3"/>
          <w:sz w:val="24"/>
          <w:szCs w:val="24"/>
          <w:highlight w:val="none"/>
          <w14:textFill>
            <w14:solidFill>
              <w14:schemeClr w14:val="tx1"/>
            </w14:solidFill>
          </w14:textFill>
        </w:rPr>
        <w:t>（3）企业定额；</w:t>
      </w:r>
    </w:p>
    <w:p w14:paraId="5AA0A7BF">
      <w:pPr>
        <w:pageBreakBefore w:val="0"/>
        <w:kinsoku/>
        <w:wordWrap w:val="0"/>
        <w:overflowPunct/>
        <w:topLinePunct/>
        <w:bidi w:val="0"/>
        <w:spacing w:before="155"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（4）招标文件及其答疑（或修改）公告、招标工程量清单；</w:t>
      </w:r>
    </w:p>
    <w:p w14:paraId="7573FADB">
      <w:pPr>
        <w:pageBreakBefore w:val="0"/>
        <w:kinsoku/>
        <w:wordWrap w:val="0"/>
        <w:overflowPunct/>
        <w:topLinePunct/>
        <w:bidi w:val="0"/>
        <w:spacing w:before="154" w:line="221"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（5）施工图及相关资料；</w:t>
      </w:r>
    </w:p>
    <w:p w14:paraId="19EF5644">
      <w:pPr>
        <w:pageBreakBefore w:val="0"/>
        <w:kinsoku/>
        <w:wordWrap w:val="0"/>
        <w:overflowPunct/>
        <w:topLinePunct/>
        <w:bidi w:val="0"/>
        <w:spacing w:before="152"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（6）施工现场情况、工程特点及投标时拟定的施工组织设计或施工方案；</w:t>
      </w:r>
    </w:p>
    <w:p w14:paraId="7541B83A">
      <w:pPr>
        <w:pageBreakBefore w:val="0"/>
        <w:kinsoku/>
        <w:wordWrap w:val="0"/>
        <w:overflowPunct/>
        <w:topLinePunct/>
        <w:bidi w:val="0"/>
        <w:spacing w:before="156"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（7）市场价格信息或项目所在地工程造价管理机构发布的工程造价信息；</w:t>
      </w:r>
    </w:p>
    <w:p w14:paraId="122BBD41">
      <w:pPr>
        <w:pageBreakBefore w:val="0"/>
        <w:kinsoku/>
        <w:wordWrap w:val="0"/>
        <w:overflowPunct/>
        <w:topLinePunct/>
        <w:bidi w:val="0"/>
        <w:spacing w:before="155"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（8）与建设项目相关的标准、规范、技术资料。</w:t>
      </w:r>
    </w:p>
    <w:p w14:paraId="2107AD49">
      <w:pPr>
        <w:pageBreakBefore w:val="0"/>
        <w:kinsoku/>
        <w:wordWrap w:val="0"/>
        <w:overflowPunct/>
        <w:topLinePunct/>
        <w:bidi w:val="0"/>
        <w:spacing w:before="153" w:line="309" w:lineRule="auto"/>
        <w:ind w:left="8" w:right="150" w:firstLine="5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9.2 </w:t>
      </w:r>
      <w:r>
        <w:rPr>
          <w:rFonts w:hint="eastAsia" w:ascii="宋体" w:hAnsi="宋体" w:eastAsia="宋体" w:cs="宋体"/>
          <w:color w:val="000000" w:themeColor="text1"/>
          <w:spacing w:val="-2"/>
          <w:sz w:val="24"/>
          <w:szCs w:val="24"/>
          <w:highlight w:val="none"/>
          <w14:textFill>
            <w14:solidFill>
              <w14:schemeClr w14:val="tx1"/>
            </w14:solidFill>
          </w14:textFill>
        </w:rPr>
        <w:t>投标人应根据招标工程量清单、工程量清单计价规范中的工作内容、设计文</w:t>
      </w:r>
      <w:r>
        <w:rPr>
          <w:rFonts w:hint="eastAsia" w:ascii="宋体" w:hAnsi="宋体" w:eastAsia="宋体" w:cs="宋体"/>
          <w:color w:val="000000" w:themeColor="text1"/>
          <w:spacing w:val="-1"/>
          <w:sz w:val="24"/>
          <w:szCs w:val="24"/>
          <w:highlight w:val="none"/>
          <w14:textFill>
            <w14:solidFill>
              <w14:schemeClr w14:val="tx1"/>
            </w14:solidFill>
          </w14:textFill>
        </w:rPr>
        <w:t>件和有关要求、施工现场实际情况、投标人拟定的施工组织设计</w:t>
      </w:r>
      <w:r>
        <w:rPr>
          <w:rFonts w:hint="eastAsia" w:ascii="宋体" w:hAnsi="宋体" w:eastAsia="宋体" w:cs="宋体"/>
          <w:color w:val="000000" w:themeColor="text1"/>
          <w:spacing w:val="-2"/>
          <w:sz w:val="24"/>
          <w:szCs w:val="24"/>
          <w:highlight w:val="none"/>
          <w14:textFill>
            <w14:solidFill>
              <w14:schemeClr w14:val="tx1"/>
            </w14:solidFill>
          </w14:textFill>
        </w:rPr>
        <w:t>、本单位的企业定额</w:t>
      </w:r>
      <w:r>
        <w:rPr>
          <w:rFonts w:hint="eastAsia" w:ascii="宋体" w:hAnsi="宋体" w:eastAsia="宋体" w:cs="宋体"/>
          <w:color w:val="000000" w:themeColor="text1"/>
          <w:spacing w:val="-1"/>
          <w:sz w:val="24"/>
          <w:szCs w:val="24"/>
          <w:highlight w:val="none"/>
          <w14:textFill>
            <w14:solidFill>
              <w14:schemeClr w14:val="tx1"/>
            </w14:solidFill>
          </w14:textFill>
        </w:rPr>
        <w:t>和市场价格进行编制，自行报价，并承担一定范围内的风险费用</w:t>
      </w:r>
      <w:r>
        <w:rPr>
          <w:rFonts w:hint="eastAsia" w:ascii="宋体" w:hAnsi="宋体" w:eastAsia="宋体" w:cs="宋体"/>
          <w:color w:val="000000" w:themeColor="text1"/>
          <w:spacing w:val="-2"/>
          <w:sz w:val="24"/>
          <w:szCs w:val="24"/>
          <w:highlight w:val="none"/>
          <w14:textFill>
            <w14:solidFill>
              <w14:schemeClr w14:val="tx1"/>
            </w14:solidFill>
          </w14:textFill>
        </w:rPr>
        <w:t>。所谓“一定范围内</w:t>
      </w:r>
      <w:r>
        <w:rPr>
          <w:rFonts w:hint="eastAsia" w:ascii="宋体" w:hAnsi="宋体" w:eastAsia="宋体" w:cs="宋体"/>
          <w:color w:val="000000" w:themeColor="text1"/>
          <w:spacing w:val="-3"/>
          <w:sz w:val="24"/>
          <w:szCs w:val="24"/>
          <w:highlight w:val="none"/>
          <w14:textFill>
            <w14:solidFill>
              <w14:schemeClr w14:val="tx1"/>
            </w14:solidFill>
          </w14:textFill>
        </w:rPr>
        <w:t>的风险”是指合同约定的风险。</w:t>
      </w:r>
    </w:p>
    <w:p w14:paraId="7B33AE91">
      <w:pPr>
        <w:pageBreakBefore w:val="0"/>
        <w:kinsoku/>
        <w:wordWrap w:val="0"/>
        <w:overflowPunct/>
        <w:topLinePunct/>
        <w:bidi w:val="0"/>
        <w:spacing w:before="152" w:line="309" w:lineRule="auto"/>
        <w:ind w:left="9" w:right="150" w:firstLine="5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9.3 </w:t>
      </w:r>
      <w:r>
        <w:rPr>
          <w:rFonts w:hint="eastAsia" w:ascii="宋体" w:hAnsi="宋体" w:eastAsia="宋体" w:cs="宋体"/>
          <w:color w:val="000000" w:themeColor="text1"/>
          <w:spacing w:val="-2"/>
          <w:sz w:val="24"/>
          <w:szCs w:val="24"/>
          <w:highlight w:val="none"/>
          <w14:textFill>
            <w14:solidFill>
              <w14:schemeClr w14:val="tx1"/>
            </w14:solidFill>
          </w14:textFill>
        </w:rPr>
        <w:t>招标人及招标代理机构不集中组织现场踏勘，投标人需要了解现场情况的，</w:t>
      </w:r>
      <w:r>
        <w:rPr>
          <w:rFonts w:hint="eastAsia" w:ascii="宋体" w:hAnsi="宋体" w:eastAsia="宋体" w:cs="宋体"/>
          <w:color w:val="000000" w:themeColor="text1"/>
          <w:spacing w:val="-1"/>
          <w:sz w:val="24"/>
          <w:szCs w:val="24"/>
          <w:highlight w:val="none"/>
          <w14:textFill>
            <w14:solidFill>
              <w14:schemeClr w14:val="tx1"/>
            </w14:solidFill>
          </w14:textFill>
        </w:rPr>
        <w:t>可自行进行现场踏勘。各投标人应勘察施工现场及周围环</w:t>
      </w:r>
      <w:r>
        <w:rPr>
          <w:rFonts w:hint="eastAsia" w:ascii="宋体" w:hAnsi="宋体" w:eastAsia="宋体" w:cs="宋体"/>
          <w:color w:val="000000" w:themeColor="text1"/>
          <w:spacing w:val="-2"/>
          <w:sz w:val="24"/>
          <w:szCs w:val="24"/>
          <w:highlight w:val="none"/>
          <w14:textFill>
            <w14:solidFill>
              <w14:schemeClr w14:val="tx1"/>
            </w14:solidFill>
          </w14:textFill>
        </w:rPr>
        <w:t>境、地形、地貌、水文、交</w:t>
      </w:r>
      <w:r>
        <w:rPr>
          <w:rFonts w:hint="eastAsia" w:ascii="宋体" w:hAnsi="宋体" w:eastAsia="宋体" w:cs="宋体"/>
          <w:color w:val="000000" w:themeColor="text1"/>
          <w:spacing w:val="-1"/>
          <w:sz w:val="24"/>
          <w:szCs w:val="24"/>
          <w:highlight w:val="none"/>
          <w14:textFill>
            <w14:solidFill>
              <w14:schemeClr w14:val="tx1"/>
            </w14:solidFill>
          </w14:textFill>
        </w:rPr>
        <w:t>通等情况，以获得一切可能影响到投标的直接资料。投标人应</w:t>
      </w:r>
      <w:r>
        <w:rPr>
          <w:rFonts w:hint="eastAsia" w:ascii="宋体" w:hAnsi="宋体" w:eastAsia="宋体" w:cs="宋体"/>
          <w:color w:val="000000" w:themeColor="text1"/>
          <w:spacing w:val="-2"/>
          <w:sz w:val="24"/>
          <w:szCs w:val="24"/>
          <w:highlight w:val="none"/>
          <w14:textFill>
            <w14:solidFill>
              <w14:schemeClr w14:val="tx1"/>
            </w14:solidFill>
          </w14:textFill>
        </w:rPr>
        <w:t>针对现场情况编制施工</w:t>
      </w:r>
      <w:r>
        <w:rPr>
          <w:rFonts w:hint="eastAsia" w:ascii="宋体" w:hAnsi="宋体" w:eastAsia="宋体" w:cs="宋体"/>
          <w:color w:val="000000" w:themeColor="text1"/>
          <w:spacing w:val="-1"/>
          <w:sz w:val="24"/>
          <w:szCs w:val="24"/>
          <w:highlight w:val="none"/>
          <w14:textFill>
            <w14:solidFill>
              <w14:schemeClr w14:val="tx1"/>
            </w14:solidFill>
          </w14:textFill>
        </w:rPr>
        <w:t>组织设计，并在编制投标报价时考虑现场情况的影响。</w:t>
      </w:r>
    </w:p>
    <w:p w14:paraId="124B141D">
      <w:pPr>
        <w:pageBreakBefore w:val="0"/>
        <w:kinsoku/>
        <w:wordWrap w:val="0"/>
        <w:overflowPunct/>
        <w:topLinePunct/>
        <w:bidi w:val="0"/>
        <w:spacing w:before="155" w:line="279" w:lineRule="auto"/>
        <w:ind w:left="10" w:right="150" w:firstLine="5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9.4 </w:t>
      </w:r>
      <w:r>
        <w:rPr>
          <w:rFonts w:hint="eastAsia" w:ascii="宋体" w:hAnsi="宋体" w:eastAsia="宋体" w:cs="宋体"/>
          <w:color w:val="000000" w:themeColor="text1"/>
          <w:spacing w:val="-2"/>
          <w:sz w:val="24"/>
          <w:szCs w:val="24"/>
          <w:highlight w:val="none"/>
          <w14:textFill>
            <w14:solidFill>
              <w14:schemeClr w14:val="tx1"/>
            </w14:solidFill>
          </w14:textFill>
        </w:rPr>
        <w:t>招标人向投标人提供的有关现场的数据和资料，是招标人现有的能被投标人</w:t>
      </w:r>
      <w:r>
        <w:rPr>
          <w:rFonts w:hint="eastAsia" w:ascii="宋体" w:hAnsi="宋体" w:eastAsia="宋体" w:cs="宋体"/>
          <w:color w:val="000000" w:themeColor="text1"/>
          <w:sz w:val="24"/>
          <w:szCs w:val="24"/>
          <w:highlight w:val="none"/>
          <w14:textFill>
            <w14:solidFill>
              <w14:schemeClr w14:val="tx1"/>
            </w14:solidFill>
          </w14:textFill>
        </w:rPr>
        <w:t>利用的资料，招标人对投标人做出的任何推论</w:t>
      </w:r>
      <w:r>
        <w:rPr>
          <w:rFonts w:hint="eastAsia" w:ascii="宋体" w:hAnsi="宋体" w:eastAsia="宋体" w:cs="宋体"/>
          <w:color w:val="000000" w:themeColor="text1"/>
          <w:spacing w:val="-1"/>
          <w:sz w:val="24"/>
          <w:szCs w:val="24"/>
          <w:highlight w:val="none"/>
          <w14:textFill>
            <w14:solidFill>
              <w14:schemeClr w14:val="tx1"/>
            </w14:solidFill>
          </w14:textFill>
        </w:rPr>
        <w:t>、理解和结论均不负责任。</w:t>
      </w:r>
    </w:p>
    <w:p w14:paraId="1B51D4EE">
      <w:pPr>
        <w:pageBreakBefore w:val="0"/>
        <w:kinsoku/>
        <w:wordWrap w:val="0"/>
        <w:overflowPunct/>
        <w:topLinePunct/>
        <w:bidi w:val="0"/>
        <w:spacing w:before="154" w:line="299" w:lineRule="auto"/>
        <w:ind w:left="12" w:firstLine="55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9.5 </w:t>
      </w:r>
      <w:r>
        <w:rPr>
          <w:rFonts w:hint="eastAsia" w:ascii="宋体" w:hAnsi="宋体" w:eastAsia="宋体" w:cs="宋体"/>
          <w:color w:val="000000" w:themeColor="text1"/>
          <w:spacing w:val="-2"/>
          <w:sz w:val="24"/>
          <w:szCs w:val="24"/>
          <w:highlight w:val="none"/>
          <w14:textFill>
            <w14:solidFill>
              <w14:schemeClr w14:val="tx1"/>
            </w14:solidFill>
          </w14:textFill>
        </w:rPr>
        <w:t>投标人必须按照招标工程量清单及表格填报价格。项目编码、项目名称、项</w:t>
      </w:r>
      <w:r>
        <w:rPr>
          <w:rFonts w:hint="eastAsia" w:ascii="宋体" w:hAnsi="宋体" w:eastAsia="宋体" w:cs="宋体"/>
          <w:color w:val="000000" w:themeColor="text1"/>
          <w:spacing w:val="2"/>
          <w:sz w:val="24"/>
          <w:szCs w:val="24"/>
          <w:highlight w:val="none"/>
          <w14:textFill>
            <w14:solidFill>
              <w14:schemeClr w14:val="tx1"/>
            </w14:solidFill>
          </w14:textFill>
        </w:rPr>
        <w:t>目特征、计量单位、工程量必须与招标工程量清单一致。所有报价均以人</w:t>
      </w:r>
      <w:r>
        <w:rPr>
          <w:rFonts w:hint="eastAsia" w:ascii="宋体" w:hAnsi="宋体" w:eastAsia="宋体" w:cs="宋体"/>
          <w:color w:val="000000" w:themeColor="text1"/>
          <w:spacing w:val="1"/>
          <w:sz w:val="24"/>
          <w:szCs w:val="24"/>
          <w:highlight w:val="none"/>
          <w14:textFill>
            <w14:solidFill>
              <w14:schemeClr w14:val="tx1"/>
            </w14:solidFill>
          </w14:textFill>
        </w:rPr>
        <w:t>民币“元”</w:t>
      </w:r>
      <w:r>
        <w:rPr>
          <w:rFonts w:hint="eastAsia" w:ascii="宋体" w:hAnsi="宋体" w:eastAsia="宋体" w:cs="宋体"/>
          <w:color w:val="000000" w:themeColor="text1"/>
          <w:spacing w:val="-1"/>
          <w:sz w:val="24"/>
          <w:szCs w:val="24"/>
          <w:highlight w:val="none"/>
          <w14:textFill>
            <w14:solidFill>
              <w14:schemeClr w14:val="tx1"/>
            </w14:solidFill>
          </w14:textFill>
        </w:rPr>
        <w:t>为单位，并保留小数点后两位。</w:t>
      </w:r>
    </w:p>
    <w:p w14:paraId="71FFC14B">
      <w:pPr>
        <w:pageBreakBefore w:val="0"/>
        <w:kinsoku/>
        <w:wordWrap w:val="0"/>
        <w:overflowPunct/>
        <w:topLinePunct/>
        <w:bidi w:val="0"/>
        <w:spacing w:before="158" w:line="314" w:lineRule="auto"/>
        <w:ind w:left="9" w:right="150" w:firstLine="5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9.6 </w:t>
      </w:r>
      <w:r>
        <w:rPr>
          <w:rFonts w:hint="eastAsia" w:ascii="宋体" w:hAnsi="宋体" w:eastAsia="宋体" w:cs="宋体"/>
          <w:color w:val="000000" w:themeColor="text1"/>
          <w:spacing w:val="-2"/>
          <w:sz w:val="24"/>
          <w:szCs w:val="24"/>
          <w:highlight w:val="none"/>
          <w14:textFill>
            <w14:solidFill>
              <w14:schemeClr w14:val="tx1"/>
            </w14:solidFill>
          </w14:textFill>
        </w:rPr>
        <w:t>投标人只允许有一个投标总价。投标总价必须同时用大、小写表示，大、小</w:t>
      </w:r>
      <w:r>
        <w:rPr>
          <w:rFonts w:hint="eastAsia" w:ascii="宋体" w:hAnsi="宋体" w:eastAsia="宋体" w:cs="宋体"/>
          <w:color w:val="000000" w:themeColor="text1"/>
          <w:spacing w:val="-1"/>
          <w:sz w:val="24"/>
          <w:szCs w:val="24"/>
          <w:highlight w:val="none"/>
          <w14:textFill>
            <w14:solidFill>
              <w14:schemeClr w14:val="tx1"/>
            </w14:solidFill>
          </w14:textFill>
        </w:rPr>
        <w:t>写报价应保持一致，若不一致，以大写报价为准。招标工程量</w:t>
      </w:r>
      <w:r>
        <w:rPr>
          <w:rFonts w:hint="eastAsia" w:ascii="宋体" w:hAnsi="宋体" w:eastAsia="宋体" w:cs="宋体"/>
          <w:color w:val="000000" w:themeColor="text1"/>
          <w:spacing w:val="-2"/>
          <w:sz w:val="24"/>
          <w:szCs w:val="24"/>
          <w:highlight w:val="none"/>
          <w14:textFill>
            <w14:solidFill>
              <w14:schemeClr w14:val="tx1"/>
            </w14:solidFill>
          </w14:textFill>
        </w:rPr>
        <w:t>清单与计价表中列明的</w:t>
      </w:r>
      <w:r>
        <w:rPr>
          <w:rFonts w:hint="eastAsia" w:ascii="宋体" w:hAnsi="宋体" w:eastAsia="宋体" w:cs="宋体"/>
          <w:color w:val="000000" w:themeColor="text1"/>
          <w:spacing w:val="-1"/>
          <w:sz w:val="24"/>
          <w:szCs w:val="24"/>
          <w:highlight w:val="none"/>
          <w14:textFill>
            <w14:solidFill>
              <w14:schemeClr w14:val="tx1"/>
            </w14:solidFill>
          </w14:textFill>
        </w:rPr>
        <w:t>所有需要填写单价和合价的项目，投标人均应填写且只允许有</w:t>
      </w:r>
      <w:r>
        <w:rPr>
          <w:rFonts w:hint="eastAsia" w:ascii="宋体" w:hAnsi="宋体" w:eastAsia="宋体" w:cs="宋体"/>
          <w:color w:val="000000" w:themeColor="text1"/>
          <w:spacing w:val="-2"/>
          <w:sz w:val="24"/>
          <w:szCs w:val="24"/>
          <w:highlight w:val="none"/>
          <w14:textFill>
            <w14:solidFill>
              <w14:schemeClr w14:val="tx1"/>
            </w14:solidFill>
          </w14:textFill>
        </w:rPr>
        <w:t>一个报价。未填写单价</w:t>
      </w:r>
      <w:r>
        <w:rPr>
          <w:rFonts w:hint="eastAsia" w:ascii="宋体" w:hAnsi="宋体" w:eastAsia="宋体" w:cs="宋体"/>
          <w:color w:val="000000" w:themeColor="text1"/>
          <w:spacing w:val="-1"/>
          <w:sz w:val="24"/>
          <w:szCs w:val="24"/>
          <w:highlight w:val="none"/>
          <w14:textFill>
            <w14:solidFill>
              <w14:schemeClr w14:val="tx1"/>
            </w14:solidFill>
          </w14:textFill>
        </w:rPr>
        <w:t>和合价的项目，视为此项费用已包含在已标价工程量清单其他</w:t>
      </w:r>
      <w:r>
        <w:rPr>
          <w:rFonts w:hint="eastAsia" w:ascii="宋体" w:hAnsi="宋体" w:eastAsia="宋体" w:cs="宋体"/>
          <w:color w:val="000000" w:themeColor="text1"/>
          <w:spacing w:val="-2"/>
          <w:sz w:val="24"/>
          <w:szCs w:val="24"/>
          <w:highlight w:val="none"/>
          <w14:textFill>
            <w14:solidFill>
              <w14:schemeClr w14:val="tx1"/>
            </w14:solidFill>
          </w14:textFill>
        </w:rPr>
        <w:t>项目的单价和合价中，</w:t>
      </w:r>
      <w:r>
        <w:rPr>
          <w:rFonts w:hint="eastAsia" w:ascii="宋体" w:hAnsi="宋体" w:eastAsia="宋体" w:cs="宋体"/>
          <w:color w:val="000000" w:themeColor="text1"/>
          <w:spacing w:val="-1"/>
          <w:sz w:val="24"/>
          <w:szCs w:val="24"/>
          <w:highlight w:val="none"/>
          <w14:textFill>
            <w14:solidFill>
              <w14:schemeClr w14:val="tx1"/>
            </w14:solidFill>
          </w14:textFill>
        </w:rPr>
        <w:t>竣工结算时不得重新组价和调整。</w:t>
      </w:r>
    </w:p>
    <w:p w14:paraId="1FDE330D">
      <w:pPr>
        <w:pageBreakBefore w:val="0"/>
        <w:kinsoku/>
        <w:wordWrap w:val="0"/>
        <w:overflowPunct/>
        <w:topLinePunct/>
        <w:bidi w:val="0"/>
        <w:spacing w:before="152" w:line="309" w:lineRule="auto"/>
        <w:ind w:left="7" w:right="120" w:firstLine="480"/>
        <w:rPr>
          <w:rFonts w:hint="eastAsia" w:ascii="宋体" w:hAnsi="宋体" w:eastAsia="宋体" w:cs="宋体"/>
          <w:b/>
          <w:bCs/>
          <w:color w:val="000000" w:themeColor="text1"/>
          <w:spacing w:val="-3"/>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9.7 </w:t>
      </w:r>
      <w:r>
        <w:rPr>
          <w:rFonts w:hint="eastAsia" w:ascii="宋体" w:hAnsi="宋体" w:eastAsia="宋体" w:cs="宋体"/>
          <w:color w:val="000000" w:themeColor="text1"/>
          <w:sz w:val="24"/>
          <w:szCs w:val="24"/>
          <w:highlight w:val="none"/>
          <w14:textFill>
            <w14:solidFill>
              <w14:schemeClr w14:val="tx1"/>
            </w14:solidFill>
          </w14:textFill>
        </w:rPr>
        <w:t>投标人的投标总价不得高于</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最高投标限价</w:t>
      </w:r>
      <w:r>
        <w:rPr>
          <w:rFonts w:hint="eastAsia" w:ascii="宋体" w:hAnsi="宋体" w:eastAsia="宋体" w:cs="宋体"/>
          <w:color w:val="000000" w:themeColor="text1"/>
          <w:sz w:val="24"/>
          <w:szCs w:val="24"/>
          <w:highlight w:val="none"/>
          <w14:textFill>
            <w14:solidFill>
              <w14:schemeClr w14:val="tx1"/>
            </w14:solidFill>
          </w14:textFill>
        </w:rPr>
        <w:t>，也不得低于工程成本。投标人对</w:t>
      </w:r>
      <w:r>
        <w:rPr>
          <w:rFonts w:hint="eastAsia" w:ascii="宋体" w:hAnsi="宋体" w:eastAsia="宋体" w:cs="宋体"/>
          <w:color w:val="000000" w:themeColor="text1"/>
          <w:spacing w:val="-1"/>
          <w:sz w:val="24"/>
          <w:szCs w:val="24"/>
          <w:highlight w:val="none"/>
          <w14:textFill>
            <w14:solidFill>
              <w14:schemeClr w14:val="tx1"/>
            </w14:solidFill>
          </w14:textFill>
        </w:rPr>
        <w:t>投标总价的所有优惠（降价、让利等</w:t>
      </w:r>
      <w:r>
        <w:rPr>
          <w:rFonts w:hint="eastAsia" w:ascii="宋体" w:hAnsi="宋体" w:eastAsia="宋体" w:cs="宋体"/>
          <w:color w:val="000000" w:themeColor="text1"/>
          <w:spacing w:val="-4"/>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均应当反映在具体清单项目或其综合</w:t>
      </w:r>
      <w:r>
        <w:rPr>
          <w:rFonts w:hint="eastAsia" w:ascii="宋体" w:hAnsi="宋体" w:eastAsia="宋体" w:cs="宋体"/>
          <w:color w:val="000000" w:themeColor="text1"/>
          <w:spacing w:val="-2"/>
          <w:sz w:val="24"/>
          <w:szCs w:val="24"/>
          <w:highlight w:val="none"/>
          <w14:textFill>
            <w14:solidFill>
              <w14:schemeClr w14:val="tx1"/>
            </w14:solidFill>
          </w14:textFill>
        </w:rPr>
        <w:t>单价的</w:t>
      </w:r>
      <w:r>
        <w:rPr>
          <w:rFonts w:hint="eastAsia" w:ascii="宋体" w:hAnsi="宋体" w:eastAsia="宋体" w:cs="宋体"/>
          <w:color w:val="000000" w:themeColor="text1"/>
          <w:spacing w:val="1"/>
          <w:sz w:val="24"/>
          <w:szCs w:val="24"/>
          <w:highlight w:val="none"/>
          <w14:textFill>
            <w14:solidFill>
              <w14:schemeClr w14:val="tx1"/>
            </w14:solidFill>
          </w14:textFill>
        </w:rPr>
        <w:t>报价上。</w:t>
      </w:r>
      <w:r>
        <w:rPr>
          <w:rFonts w:hint="eastAsia" w:ascii="宋体" w:hAnsi="宋体" w:eastAsia="宋体" w:cs="宋体"/>
          <w:b/>
          <w:bCs/>
          <w:color w:val="000000" w:themeColor="text1"/>
          <w:spacing w:val="1"/>
          <w:sz w:val="24"/>
          <w:szCs w:val="24"/>
          <w:highlight w:val="none"/>
          <w14:textFill>
            <w14:solidFill>
              <w14:schemeClr w14:val="tx1"/>
            </w14:solidFill>
          </w14:textFill>
        </w:rPr>
        <w:t>如果投标人的投标总价下浮率高于15%时，投标人必须在投标文件中专项</w:t>
      </w:r>
      <w:r>
        <w:rPr>
          <w:rFonts w:hint="eastAsia" w:ascii="宋体" w:hAnsi="宋体" w:eastAsia="宋体" w:cs="宋体"/>
          <w:b/>
          <w:bCs/>
          <w:color w:val="000000" w:themeColor="text1"/>
          <w:spacing w:val="-3"/>
          <w:sz w:val="24"/>
          <w:szCs w:val="24"/>
          <w:highlight w:val="none"/>
          <w14:textFill>
            <w14:solidFill>
              <w14:schemeClr w14:val="tx1"/>
            </w14:solidFill>
          </w14:textFill>
        </w:rPr>
        <w:t>作出详细合理的书面说明并提供以往类似工程详细成本分析报告供评标委员会审查。</w:t>
      </w:r>
    </w:p>
    <w:p w14:paraId="0DB0DFA3">
      <w:pPr>
        <w:pageBreakBefore w:val="0"/>
        <w:kinsoku/>
        <w:wordWrap w:val="0"/>
        <w:overflowPunct/>
        <w:topLinePunct/>
        <w:bidi w:val="0"/>
        <w:outlineLvl w:val="9"/>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b/>
          <w:bCs/>
          <w:color w:val="000000" w:themeColor="text1"/>
          <w:spacing w:val="-3"/>
          <w:sz w:val="24"/>
          <w:szCs w:val="24"/>
          <w:highlight w:val="none"/>
          <w:lang w:eastAsia="zh-CN"/>
          <w14:textFill>
            <w14:solidFill>
              <w14:schemeClr w14:val="tx1"/>
            </w14:solidFill>
          </w14:textFill>
        </w:rPr>
        <w:t>投标总价下浮率=（1-投标总价</w:t>
      </w:r>
      <w:r>
        <w:rPr>
          <w:rFonts w:hint="eastAsia" w:ascii="宋体" w:hAnsi="宋体" w:eastAsia="宋体" w:cs="宋体"/>
          <w:b/>
          <w:bCs/>
          <w:color w:val="000000" w:themeColor="text1"/>
          <w:spacing w:val="-1"/>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1"/>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lang w:eastAsia="zh-CN"/>
          <w14:textFill>
            <w14:solidFill>
              <w14:schemeClr w14:val="tx1"/>
            </w14:solidFill>
          </w14:textFill>
        </w:rPr>
        <w:t>100%</w:t>
      </w:r>
    </w:p>
    <w:p w14:paraId="3FBBF027">
      <w:pPr>
        <w:pageBreakBefore w:val="0"/>
        <w:kinsoku/>
        <w:wordWrap w:val="0"/>
        <w:overflowPunct/>
        <w:topLinePunct/>
        <w:bidi w:val="0"/>
        <w:spacing w:before="146" w:line="325" w:lineRule="auto"/>
        <w:ind w:right="153" w:firstLine="482" w:firstLineChars="200"/>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9.8 投标人的安全生产措施费报价必须达到或超过</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最高投标限价</w:t>
      </w:r>
      <w:r>
        <w:rPr>
          <w:rFonts w:hint="eastAsia" w:ascii="宋体" w:hAnsi="宋体" w:eastAsia="宋体" w:cs="宋体"/>
          <w:b/>
          <w:bCs/>
          <w:color w:val="000000" w:themeColor="text1"/>
          <w:sz w:val="24"/>
          <w:szCs w:val="24"/>
          <w:highlight w:val="none"/>
          <w14:textFill>
            <w14:solidFill>
              <w14:schemeClr w14:val="tx1"/>
            </w14:solidFill>
          </w14:textFill>
        </w:rPr>
        <w:t>中</w:t>
      </w:r>
      <w:r>
        <w:rPr>
          <w:rFonts w:hint="eastAsia" w:ascii="宋体" w:hAnsi="宋体" w:eastAsia="宋体" w:cs="宋体"/>
          <w:b/>
          <w:bCs/>
          <w:color w:val="000000" w:themeColor="text1"/>
          <w:spacing w:val="-1"/>
          <w:sz w:val="24"/>
          <w:szCs w:val="24"/>
          <w:highlight w:val="none"/>
          <w14:textFill>
            <w14:solidFill>
              <w14:schemeClr w14:val="tx1"/>
            </w14:solidFill>
          </w14:textFill>
        </w:rPr>
        <w:t>提供</w:t>
      </w:r>
      <w:r>
        <w:rPr>
          <w:rFonts w:hint="eastAsia" w:ascii="宋体" w:hAnsi="宋体" w:eastAsia="宋体" w:cs="宋体"/>
          <w:b/>
          <w:bCs/>
          <w:color w:val="000000" w:themeColor="text1"/>
          <w:spacing w:val="-3"/>
          <w:sz w:val="24"/>
          <w:szCs w:val="24"/>
          <w:highlight w:val="none"/>
          <w14:textFill>
            <w14:solidFill>
              <w14:schemeClr w14:val="tx1"/>
            </w14:solidFill>
          </w14:textFill>
        </w:rPr>
        <w:t>的安全生产措施费。</w:t>
      </w:r>
    </w:p>
    <w:p w14:paraId="35A733C6">
      <w:pPr>
        <w:pageBreakBefore w:val="0"/>
        <w:kinsoku/>
        <w:wordWrap w:val="0"/>
        <w:overflowPunct/>
        <w:topLinePunct/>
        <w:bidi w:val="0"/>
        <w:spacing w:before="78" w:line="309" w:lineRule="auto"/>
        <w:ind w:right="99"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9.9 </w:t>
      </w:r>
      <w:r>
        <w:rPr>
          <w:rFonts w:hint="eastAsia" w:ascii="宋体" w:hAnsi="宋体" w:eastAsia="宋体" w:cs="宋体"/>
          <w:color w:val="000000" w:themeColor="text1"/>
          <w:sz w:val="24"/>
          <w:szCs w:val="24"/>
          <w:highlight w:val="none"/>
          <w14:textFill>
            <w14:solidFill>
              <w14:schemeClr w14:val="tx1"/>
            </w14:solidFill>
          </w14:textFill>
        </w:rPr>
        <w:t>投标人必须按照招标工程量清单中提供的暂列金额和暂估价统一报价。投标</w:t>
      </w:r>
      <w:r>
        <w:rPr>
          <w:rFonts w:hint="eastAsia" w:ascii="宋体" w:hAnsi="宋体" w:eastAsia="宋体" w:cs="宋体"/>
          <w:color w:val="000000" w:themeColor="text1"/>
          <w:spacing w:val="-1"/>
          <w:sz w:val="24"/>
          <w:szCs w:val="24"/>
          <w:highlight w:val="none"/>
          <w14:textFill>
            <w14:solidFill>
              <w14:schemeClr w14:val="tx1"/>
            </w14:solidFill>
          </w14:textFill>
        </w:rPr>
        <w:t>人应充分考虑暂估价项目（或暂列金额项目）的管理和协调所发</w:t>
      </w:r>
      <w:r>
        <w:rPr>
          <w:rFonts w:hint="eastAsia" w:ascii="宋体" w:hAnsi="宋体" w:eastAsia="宋体" w:cs="宋体"/>
          <w:color w:val="000000" w:themeColor="text1"/>
          <w:spacing w:val="-2"/>
          <w:sz w:val="24"/>
          <w:szCs w:val="24"/>
          <w:highlight w:val="none"/>
          <w14:textFill>
            <w14:solidFill>
              <w14:schemeClr w14:val="tx1"/>
            </w14:solidFill>
          </w14:textFill>
        </w:rPr>
        <w:t>生的费用，并将其纳</w:t>
      </w:r>
      <w:r>
        <w:rPr>
          <w:rFonts w:hint="eastAsia" w:ascii="宋体" w:hAnsi="宋体" w:eastAsia="宋体" w:cs="宋体"/>
          <w:color w:val="000000" w:themeColor="text1"/>
          <w:spacing w:val="-1"/>
          <w:sz w:val="24"/>
          <w:szCs w:val="24"/>
          <w:highlight w:val="none"/>
          <w14:textFill>
            <w14:solidFill>
              <w14:schemeClr w14:val="tx1"/>
            </w14:solidFill>
          </w14:textFill>
        </w:rPr>
        <w:t>入已标价工程量清单中的适当项目。招标人视该项管理和协调所</w:t>
      </w:r>
      <w:r>
        <w:rPr>
          <w:rFonts w:hint="eastAsia" w:ascii="宋体" w:hAnsi="宋体" w:eastAsia="宋体" w:cs="宋体"/>
          <w:color w:val="000000" w:themeColor="text1"/>
          <w:spacing w:val="-2"/>
          <w:sz w:val="24"/>
          <w:szCs w:val="24"/>
          <w:highlight w:val="none"/>
          <w14:textFill>
            <w14:solidFill>
              <w14:schemeClr w14:val="tx1"/>
            </w14:solidFill>
          </w14:textFill>
        </w:rPr>
        <w:t>发生的费用已包含在</w:t>
      </w:r>
      <w:r>
        <w:rPr>
          <w:rFonts w:hint="eastAsia" w:ascii="宋体" w:hAnsi="宋体" w:eastAsia="宋体" w:cs="宋体"/>
          <w:color w:val="000000" w:themeColor="text1"/>
          <w:spacing w:val="-1"/>
          <w:sz w:val="24"/>
          <w:szCs w:val="24"/>
          <w:highlight w:val="none"/>
          <w14:textFill>
            <w14:solidFill>
              <w14:schemeClr w14:val="tx1"/>
            </w14:solidFill>
          </w14:textFill>
        </w:rPr>
        <w:t>其它有价款的竞争性报价内，不再另行支付。</w:t>
      </w:r>
    </w:p>
    <w:p w14:paraId="6A2289B4">
      <w:pPr>
        <w:pStyle w:val="5"/>
        <w:pageBreakBefore w:val="0"/>
        <w:kinsoku/>
        <w:wordWrap w:val="0"/>
        <w:overflowPunct/>
        <w:topLinePunct/>
        <w:bidi w:val="0"/>
        <w:spacing w:line="253" w:lineRule="auto"/>
        <w:ind w:firstLine="482" w:firstLineChars="200"/>
        <w:rPr>
          <w:rFonts w:hint="eastAsia" w:ascii="宋体" w:hAnsi="宋体" w:eastAsia="宋体" w:cs="宋体"/>
          <w:snapToGrid w:val="0"/>
          <w:color w:val="000000" w:themeColor="text1"/>
          <w:sz w:val="24"/>
          <w:szCs w:val="24"/>
          <w:highlight w:val="none"/>
          <w:lang w:val="en-US" w:eastAsia="en-US" w:bidi="ar-SA"/>
          <w14:textFill>
            <w14:solidFill>
              <w14:schemeClr w14:val="tx1"/>
            </w14:solidFill>
          </w14:textFill>
        </w:rPr>
      </w:pPr>
      <w:r>
        <w:rPr>
          <w:rFonts w:hint="eastAsia" w:ascii="宋体" w:hAnsi="宋体" w:eastAsia="宋体" w:cs="宋体"/>
          <w:b/>
          <w:bCs/>
          <w:snapToGrid w:val="0"/>
          <w:color w:val="000000" w:themeColor="text1"/>
          <w:sz w:val="24"/>
          <w:szCs w:val="24"/>
          <w:highlight w:val="none"/>
          <w:lang w:val="en-US" w:eastAsia="en-US" w:bidi="ar-SA"/>
          <w14:textFill>
            <w14:solidFill>
              <w14:schemeClr w14:val="tx1"/>
            </w14:solidFill>
          </w14:textFill>
        </w:rPr>
        <w:t xml:space="preserve">9.10 </w:t>
      </w:r>
      <w:r>
        <w:rPr>
          <w:rFonts w:hint="eastAsia" w:ascii="宋体" w:hAnsi="宋体" w:eastAsia="宋体" w:cs="宋体"/>
          <w:snapToGrid w:val="0"/>
          <w:color w:val="000000" w:themeColor="text1"/>
          <w:sz w:val="24"/>
          <w:szCs w:val="24"/>
          <w:highlight w:val="none"/>
          <w:lang w:val="en-US" w:eastAsia="en-US" w:bidi="ar-SA"/>
          <w14:textFill>
            <w14:solidFill>
              <w14:schemeClr w14:val="tx1"/>
            </w14:solidFill>
          </w14:textFill>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w:t>
      </w:r>
      <w:r>
        <w:rPr>
          <w:rFonts w:hint="eastAsia" w:ascii="宋体" w:hAnsi="宋体" w:eastAsia="宋体" w:cs="宋体"/>
          <w:snapToGrid w:val="0"/>
          <w:color w:val="000000" w:themeColor="text1"/>
          <w:sz w:val="24"/>
          <w:szCs w:val="24"/>
          <w:highlight w:val="none"/>
          <w:lang w:val="en-US" w:eastAsia="zh-CN" w:bidi="ar-SA"/>
          <w14:textFill>
            <w14:solidFill>
              <w14:schemeClr w14:val="tx1"/>
            </w14:solidFill>
          </w14:textFill>
        </w:rPr>
        <w:t>《广东省建设工程计价依据(2018)》</w:t>
      </w:r>
      <w:r>
        <w:rPr>
          <w:rFonts w:hint="eastAsia" w:ascii="宋体" w:hAnsi="宋体" w:eastAsia="宋体" w:cs="宋体"/>
          <w:snapToGrid w:val="0"/>
          <w:color w:val="000000" w:themeColor="text1"/>
          <w:sz w:val="24"/>
          <w:szCs w:val="24"/>
          <w:highlight w:val="none"/>
          <w:lang w:val="en-US" w:eastAsia="en-US" w:bidi="ar-SA"/>
          <w14:textFill>
            <w14:solidFill>
              <w14:schemeClr w14:val="tx1"/>
            </w14:solidFill>
          </w14:textFill>
        </w:rPr>
        <w:t>》相关规定。若发生工程签证变更，应按合同约定计取预算包干费。</w:t>
      </w:r>
    </w:p>
    <w:p w14:paraId="5535285A">
      <w:pPr>
        <w:pageBreakBefore w:val="0"/>
        <w:kinsoku/>
        <w:wordWrap w:val="0"/>
        <w:overflowPunct/>
        <w:topLinePunct/>
        <w:bidi w:val="0"/>
        <w:spacing w:before="78" w:line="220"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42" w:name="_Toc16322"/>
      <w:bookmarkStart w:id="43" w:name="_Toc14572"/>
      <w:r>
        <w:rPr>
          <w:rFonts w:hint="eastAsia" w:ascii="宋体" w:hAnsi="宋体" w:eastAsia="宋体" w:cs="宋体"/>
          <w:b/>
          <w:bCs/>
          <w:color w:val="000000" w:themeColor="text1"/>
          <w:spacing w:val="-6"/>
          <w:sz w:val="24"/>
          <w:szCs w:val="24"/>
          <w:highlight w:val="none"/>
          <w14:textFill>
            <w14:solidFill>
              <w14:schemeClr w14:val="tx1"/>
            </w14:solidFill>
          </w14:textFill>
        </w:rPr>
        <w:t>10．投标文件的编制要求</w:t>
      </w:r>
      <w:bookmarkEnd w:id="42"/>
      <w:bookmarkEnd w:id="43"/>
    </w:p>
    <w:p w14:paraId="45475C17">
      <w:pPr>
        <w:pageBreakBefore w:val="0"/>
        <w:kinsoku/>
        <w:wordWrap w:val="0"/>
        <w:overflowPunct/>
        <w:topLinePunct/>
        <w:bidi w:val="0"/>
        <w:ind w:firstLine="466" w:firstLineChars="200"/>
        <w:rPr>
          <w:rFonts w:hint="eastAsia" w:ascii="宋体" w:hAnsi="宋体" w:eastAsia="宋体" w:cs="宋体"/>
          <w:color w:val="000000" w:themeColor="text1"/>
          <w:sz w:val="24"/>
          <w:szCs w:val="24"/>
          <w:highlight w:val="none"/>
          <w14:textFill>
            <w14:solidFill>
              <w14:schemeClr w14:val="tx1"/>
            </w14:solidFill>
          </w14:textFill>
        </w:rPr>
      </w:pPr>
      <w:bookmarkStart w:id="44" w:name="_Toc20590"/>
      <w:bookmarkStart w:id="45" w:name="_Toc22937"/>
      <w:r>
        <w:rPr>
          <w:rFonts w:hint="eastAsia" w:ascii="宋体" w:hAnsi="宋体" w:eastAsia="宋体" w:cs="宋体"/>
          <w:b/>
          <w:bCs/>
          <w:color w:val="000000" w:themeColor="text1"/>
          <w:spacing w:val="-4"/>
          <w:sz w:val="24"/>
          <w:szCs w:val="24"/>
          <w:highlight w:val="none"/>
          <w14:textFill>
            <w14:solidFill>
              <w14:schemeClr w14:val="tx1"/>
            </w14:solidFill>
          </w14:textFill>
        </w:rPr>
        <w:t>10.1</w:t>
      </w:r>
      <w:r>
        <w:rPr>
          <w:rFonts w:hint="eastAsia" w:ascii="宋体" w:hAnsi="宋体" w:eastAsia="宋体" w:cs="宋体"/>
          <w:b/>
          <w:bCs/>
          <w:color w:val="000000" w:themeColor="text1"/>
          <w:spacing w:val="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一般要求</w:t>
      </w:r>
      <w:bookmarkEnd w:id="44"/>
      <w:bookmarkEnd w:id="45"/>
    </w:p>
    <w:p w14:paraId="0B3AC42E">
      <w:pPr>
        <w:pageBreakBefore w:val="0"/>
        <w:kinsoku/>
        <w:wordWrap w:val="0"/>
        <w:overflowPunct/>
        <w:topLinePunct/>
        <w:bidi w:val="0"/>
        <w:spacing w:before="118" w:line="295" w:lineRule="auto"/>
        <w:ind w:left="11" w:right="99"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投标文件应按第六章投标文件格式规定的内容，投标人提交的投标文件应当使</w:t>
      </w:r>
      <w:r>
        <w:rPr>
          <w:rFonts w:hint="eastAsia" w:ascii="宋体" w:hAnsi="宋体" w:eastAsia="宋体" w:cs="宋体"/>
          <w:color w:val="000000" w:themeColor="text1"/>
          <w:spacing w:val="-1"/>
          <w:sz w:val="24"/>
          <w:szCs w:val="24"/>
          <w:highlight w:val="none"/>
          <w14:textFill>
            <w14:solidFill>
              <w14:schemeClr w14:val="tx1"/>
            </w14:solidFill>
          </w14:textFill>
        </w:rPr>
        <w:t>用招标文件所提供的投标文件全部格式。</w:t>
      </w:r>
    </w:p>
    <w:p w14:paraId="51D2D09E">
      <w:pPr>
        <w:pageBreakBefore w:val="0"/>
        <w:kinsoku/>
        <w:wordWrap w:val="0"/>
        <w:overflowPunct/>
        <w:topLinePunct/>
        <w:bidi w:val="0"/>
        <w:spacing w:before="68" w:line="299" w:lineRule="auto"/>
        <w:ind w:left="11" w:right="99" w:firstLine="56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10.1.1 </w:t>
      </w:r>
      <w:r>
        <w:rPr>
          <w:rFonts w:hint="eastAsia" w:ascii="宋体" w:hAnsi="宋体" w:eastAsia="宋体" w:cs="宋体"/>
          <w:color w:val="000000" w:themeColor="text1"/>
          <w:spacing w:val="-3"/>
          <w:sz w:val="24"/>
          <w:szCs w:val="24"/>
          <w:highlight w:val="none"/>
          <w14:textFill>
            <w14:solidFill>
              <w14:schemeClr w14:val="tx1"/>
            </w14:solidFill>
          </w14:textFill>
        </w:rPr>
        <w:t>投标人必须响应招标文件，并在充分理解招</w:t>
      </w:r>
      <w:r>
        <w:rPr>
          <w:rFonts w:hint="eastAsia" w:ascii="宋体" w:hAnsi="宋体" w:eastAsia="宋体" w:cs="宋体"/>
          <w:color w:val="000000" w:themeColor="text1"/>
          <w:spacing w:val="-4"/>
          <w:sz w:val="24"/>
          <w:szCs w:val="24"/>
          <w:highlight w:val="none"/>
          <w14:textFill>
            <w14:solidFill>
              <w14:schemeClr w14:val="tx1"/>
            </w14:solidFill>
          </w14:textFill>
        </w:rPr>
        <w:t>标人提供的全部文件、设计图</w:t>
      </w:r>
      <w:r>
        <w:rPr>
          <w:rFonts w:hint="eastAsia" w:ascii="宋体" w:hAnsi="宋体" w:eastAsia="宋体" w:cs="宋体"/>
          <w:color w:val="000000" w:themeColor="text1"/>
          <w:spacing w:val="-1"/>
          <w:sz w:val="24"/>
          <w:szCs w:val="24"/>
          <w:highlight w:val="none"/>
          <w14:textFill>
            <w14:solidFill>
              <w14:schemeClr w14:val="tx1"/>
            </w14:solidFill>
          </w14:textFill>
        </w:rPr>
        <w:t>纸、资料及现场条件的基础上编制投标文件。因投标文件</w:t>
      </w:r>
      <w:r>
        <w:rPr>
          <w:rFonts w:hint="eastAsia" w:ascii="宋体" w:hAnsi="宋体" w:eastAsia="宋体" w:cs="宋体"/>
          <w:color w:val="000000" w:themeColor="text1"/>
          <w:spacing w:val="-2"/>
          <w:sz w:val="24"/>
          <w:szCs w:val="24"/>
          <w:highlight w:val="none"/>
          <w14:textFill>
            <w14:solidFill>
              <w14:schemeClr w14:val="tx1"/>
            </w14:solidFill>
          </w14:textFill>
        </w:rPr>
        <w:t>不符合招标文件的要求而造</w:t>
      </w:r>
      <w:r>
        <w:rPr>
          <w:rFonts w:hint="eastAsia" w:ascii="宋体" w:hAnsi="宋体" w:eastAsia="宋体" w:cs="宋体"/>
          <w:color w:val="000000" w:themeColor="text1"/>
          <w:spacing w:val="-1"/>
          <w:sz w:val="24"/>
          <w:szCs w:val="24"/>
          <w:highlight w:val="none"/>
          <w14:textFill>
            <w14:solidFill>
              <w14:schemeClr w14:val="tx1"/>
            </w14:solidFill>
          </w14:textFill>
        </w:rPr>
        <w:t>成的损失和后果，由投标人自行承担。</w:t>
      </w:r>
    </w:p>
    <w:p w14:paraId="39EDB7B0">
      <w:pPr>
        <w:pageBreakBefore w:val="0"/>
        <w:kinsoku/>
        <w:wordWrap w:val="0"/>
        <w:overflowPunct/>
        <w:topLinePunct/>
        <w:bidi w:val="0"/>
        <w:spacing w:before="123" w:line="290" w:lineRule="auto"/>
        <w:ind w:left="8" w:firstLine="56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10.1.2 投标文件包括商务标书、经济标书、施工组织设计和定标文件四个分册，</w:t>
      </w:r>
      <w:r>
        <w:rPr>
          <w:rFonts w:hint="eastAsia" w:ascii="宋体" w:hAnsi="宋体" w:eastAsia="宋体" w:cs="宋体"/>
          <w:color w:val="000000" w:themeColor="text1"/>
          <w:spacing w:val="-3"/>
          <w:sz w:val="24"/>
          <w:szCs w:val="24"/>
          <w:highlight w:val="none"/>
          <w14:textFill>
            <w14:solidFill>
              <w14:schemeClr w14:val="tx1"/>
            </w14:solidFill>
          </w14:textFill>
        </w:rPr>
        <w:t>投标文件全部采用电子文档，投标文件所附</w:t>
      </w:r>
      <w:r>
        <w:rPr>
          <w:rFonts w:hint="eastAsia" w:ascii="宋体" w:hAnsi="宋体" w:eastAsia="宋体" w:cs="宋体"/>
          <w:color w:val="000000" w:themeColor="text1"/>
          <w:spacing w:val="-4"/>
          <w:sz w:val="24"/>
          <w:szCs w:val="24"/>
          <w:highlight w:val="none"/>
          <w14:textFill>
            <w14:solidFill>
              <w14:schemeClr w14:val="tx1"/>
            </w14:solidFill>
          </w14:textFill>
        </w:rPr>
        <w:t>证书证件均为原件扫描件，并</w:t>
      </w:r>
      <w:r>
        <w:rPr>
          <w:rFonts w:hint="eastAsia" w:ascii="宋体" w:hAnsi="宋体" w:eastAsia="宋体" w:cs="宋体"/>
          <w:color w:val="000000" w:themeColor="text1"/>
          <w:spacing w:val="-1"/>
          <w:sz w:val="24"/>
          <w:szCs w:val="24"/>
          <w:highlight w:val="none"/>
          <w14:textFill>
            <w14:solidFill>
              <w14:schemeClr w14:val="tx1"/>
            </w14:solidFill>
          </w14:textFill>
        </w:rPr>
        <w:t>采用单位数字证书，按招标文件要求在相应位置加盖电子印章。</w:t>
      </w:r>
      <w:r>
        <w:rPr>
          <w:rFonts w:hint="eastAsia" w:ascii="宋体" w:hAnsi="宋体" w:eastAsia="宋体" w:cs="宋体"/>
          <w:color w:val="000000" w:themeColor="text1"/>
          <w:spacing w:val="-2"/>
          <w:sz w:val="24"/>
          <w:szCs w:val="24"/>
          <w:highlight w:val="none"/>
          <w14:textFill>
            <w14:solidFill>
              <w14:schemeClr w14:val="tx1"/>
            </w14:solidFill>
          </w14:textFill>
        </w:rPr>
        <w:t>投标文件中需个人签</w:t>
      </w:r>
      <w:r>
        <w:rPr>
          <w:rFonts w:hint="eastAsia" w:ascii="宋体" w:hAnsi="宋体" w:eastAsia="宋体" w:cs="宋体"/>
          <w:color w:val="000000" w:themeColor="text1"/>
          <w:spacing w:val="-1"/>
          <w:sz w:val="24"/>
          <w:szCs w:val="24"/>
          <w:highlight w:val="none"/>
          <w14:textFill>
            <w14:solidFill>
              <w14:schemeClr w14:val="tx1"/>
            </w14:solidFill>
          </w14:textFill>
        </w:rPr>
        <w:t>字或盖章的，应加盖个人电子印章或在线下完成后扫描上传。按</w:t>
      </w:r>
      <w:r>
        <w:rPr>
          <w:rFonts w:hint="eastAsia" w:ascii="宋体" w:hAnsi="宋体" w:eastAsia="宋体" w:cs="宋体"/>
          <w:color w:val="000000" w:themeColor="text1"/>
          <w:spacing w:val="-2"/>
          <w:sz w:val="24"/>
          <w:szCs w:val="24"/>
          <w:highlight w:val="none"/>
          <w14:textFill>
            <w14:solidFill>
              <w14:schemeClr w14:val="tx1"/>
            </w14:solidFill>
          </w14:textFill>
        </w:rPr>
        <w:t>照交易平台关于全流</w:t>
      </w:r>
      <w:r>
        <w:rPr>
          <w:rFonts w:hint="eastAsia" w:ascii="宋体" w:hAnsi="宋体" w:eastAsia="宋体" w:cs="宋体"/>
          <w:color w:val="000000" w:themeColor="text1"/>
          <w:spacing w:val="-7"/>
          <w:sz w:val="24"/>
          <w:szCs w:val="24"/>
          <w:highlight w:val="none"/>
          <w14:textFill>
            <w14:solidFill>
              <w14:schemeClr w14:val="tx1"/>
            </w14:solidFill>
          </w14:textFill>
        </w:rPr>
        <w:t>程电子化项目的相关指南进行操作。详见：全国公共资源</w:t>
      </w:r>
      <w:r>
        <w:rPr>
          <w:rFonts w:hint="eastAsia" w:ascii="宋体" w:hAnsi="宋体" w:eastAsia="宋体" w:cs="宋体"/>
          <w:color w:val="000000" w:themeColor="text1"/>
          <w:spacing w:val="-8"/>
          <w:sz w:val="24"/>
          <w:szCs w:val="24"/>
          <w:highlight w:val="none"/>
          <w14:textFill>
            <w14:solidFill>
              <w14:schemeClr w14:val="tx1"/>
            </w14:solidFill>
          </w14:textFill>
        </w:rPr>
        <w:t>交易平台（广东省·韶关市）</w:t>
      </w:r>
      <w:r>
        <w:rPr>
          <w:rFonts w:hint="eastAsia" w:ascii="宋体" w:hAnsi="宋体" w:eastAsia="宋体" w:cs="宋体"/>
          <w:color w:val="000000" w:themeColor="text1"/>
          <w:spacing w:val="-2"/>
          <w:sz w:val="24"/>
          <w:szCs w:val="24"/>
          <w:highlight w:val="none"/>
          <w14:textFill>
            <w14:solidFill>
              <w14:schemeClr w14:val="tx1"/>
            </w14:solidFill>
          </w14:textFill>
        </w:rPr>
        <w:t>交易指引。</w:t>
      </w:r>
    </w:p>
    <w:p w14:paraId="2173AA33">
      <w:pPr>
        <w:pageBreakBefore w:val="0"/>
        <w:kinsoku/>
        <w:wordWrap w:val="0"/>
        <w:overflowPunct/>
        <w:topLinePunct/>
        <w:bidi w:val="0"/>
        <w:spacing w:before="1" w:line="219" w:lineRule="auto"/>
        <w:ind w:left="5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10.1.3 </w:t>
      </w:r>
      <w:r>
        <w:rPr>
          <w:rFonts w:hint="eastAsia" w:ascii="宋体" w:hAnsi="宋体" w:eastAsia="宋体" w:cs="宋体"/>
          <w:color w:val="000000" w:themeColor="text1"/>
          <w:spacing w:val="-1"/>
          <w:sz w:val="24"/>
          <w:szCs w:val="24"/>
          <w:highlight w:val="none"/>
          <w14:textFill>
            <w14:solidFill>
              <w14:schemeClr w14:val="tx1"/>
            </w14:solidFill>
          </w14:textFill>
        </w:rPr>
        <w:t>投标文件需按以下要求签字、盖章：电子投标文件：</w:t>
      </w:r>
    </w:p>
    <w:p w14:paraId="3619FCB6">
      <w:pPr>
        <w:pageBreakBefore w:val="0"/>
        <w:kinsoku/>
        <w:wordWrap w:val="0"/>
        <w:overflowPunct/>
        <w:topLinePunct/>
        <w:bidi w:val="0"/>
        <w:spacing w:before="111" w:line="279" w:lineRule="auto"/>
        <w:ind w:right="133" w:firstLine="5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"10.1.3.1"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2"/>
          <w:sz w:val="24"/>
          <w:szCs w:val="24"/>
          <w:highlight w:val="none"/>
          <w14:textFill>
            <w14:solidFill>
              <w14:schemeClr w14:val="tx1"/>
            </w14:solidFill>
          </w14:textFill>
        </w:rPr>
        <w:t>10.1.3.1</w:t>
      </w:r>
      <w:r>
        <w:rPr>
          <w:rFonts w:hint="eastAsia" w:ascii="宋体" w:hAnsi="宋体" w:eastAsia="宋体" w:cs="宋体"/>
          <w:b/>
          <w:bCs/>
          <w:color w:val="000000" w:themeColor="text1"/>
          <w:spacing w:val="-2"/>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投标文件封面、组成</w:t>
      </w:r>
      <w:r>
        <w:rPr>
          <w:rFonts w:hint="eastAsia" w:ascii="宋体" w:hAnsi="宋体" w:eastAsia="宋体" w:cs="宋体"/>
          <w:color w:val="000000" w:themeColor="text1"/>
          <w:spacing w:val="-3"/>
          <w:sz w:val="24"/>
          <w:szCs w:val="24"/>
          <w:highlight w:val="none"/>
          <w14:textFill>
            <w14:solidFill>
              <w14:schemeClr w14:val="tx1"/>
            </w14:solidFill>
          </w14:textFill>
        </w:rPr>
        <w:t>内容中凡注明“签字”处由要求的人员签字或电子</w:t>
      </w:r>
      <w:r>
        <w:rPr>
          <w:rFonts w:hint="eastAsia" w:ascii="宋体" w:hAnsi="宋体" w:eastAsia="宋体" w:cs="宋体"/>
          <w:color w:val="000000" w:themeColor="text1"/>
          <w:spacing w:val="-2"/>
          <w:sz w:val="24"/>
          <w:szCs w:val="24"/>
          <w:highlight w:val="none"/>
          <w14:textFill>
            <w14:solidFill>
              <w14:schemeClr w14:val="tx1"/>
            </w14:solidFill>
          </w14:textFill>
        </w:rPr>
        <w:t>签章；凡注明“签字或盖章”处由要求的人员签字或盖其私章（</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pacing w:val="-2"/>
          <w:sz w:val="24"/>
          <w:szCs w:val="24"/>
          <w:highlight w:val="none"/>
          <w14:textFill>
            <w14:solidFill>
              <w14:schemeClr w14:val="tx1"/>
            </w14:solidFill>
          </w14:textFill>
        </w:rPr>
        <w:t>电子印章</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凡注明</w:t>
      </w:r>
      <w:r>
        <w:rPr>
          <w:rFonts w:hint="eastAsia" w:ascii="宋体" w:hAnsi="宋体" w:eastAsia="宋体" w:cs="宋体"/>
          <w:color w:val="000000" w:themeColor="text1"/>
          <w:spacing w:val="-1"/>
          <w:sz w:val="24"/>
          <w:szCs w:val="24"/>
          <w:highlight w:val="none"/>
          <w14:textFill>
            <w14:solidFill>
              <w14:schemeClr w14:val="tx1"/>
            </w14:solidFill>
          </w14:textFill>
        </w:rPr>
        <w:t>“签字并盖执业印章”处由要求的人员签字并盖其执业印</w:t>
      </w:r>
      <w:r>
        <w:rPr>
          <w:rFonts w:hint="eastAsia" w:ascii="宋体" w:hAnsi="宋体" w:eastAsia="宋体" w:cs="宋体"/>
          <w:color w:val="000000" w:themeColor="text1"/>
          <w:spacing w:val="-2"/>
          <w:sz w:val="24"/>
          <w:szCs w:val="24"/>
          <w:highlight w:val="none"/>
          <w14:textFill>
            <w14:solidFill>
              <w14:schemeClr w14:val="tx1"/>
            </w14:solidFill>
          </w14:textFill>
        </w:rPr>
        <w:t>章。</w:t>
      </w:r>
    </w:p>
    <w:p w14:paraId="0E22DFDB">
      <w:pPr>
        <w:pageBreakBefore w:val="0"/>
        <w:kinsoku/>
        <w:wordWrap w:val="0"/>
        <w:overflowPunct/>
        <w:topLinePunct/>
        <w:bidi w:val="0"/>
        <w:spacing w:before="112" w:line="264" w:lineRule="auto"/>
        <w:ind w:left="13" w:right="133" w:firstLine="5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"10.1.3.2"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2"/>
          <w:sz w:val="24"/>
          <w:szCs w:val="24"/>
          <w:highlight w:val="none"/>
          <w14:textFill>
            <w14:solidFill>
              <w14:schemeClr w14:val="tx1"/>
            </w14:solidFill>
          </w14:textFill>
        </w:rPr>
        <w:t>10.1.3.2</w:t>
      </w:r>
      <w:r>
        <w:rPr>
          <w:rFonts w:hint="eastAsia" w:ascii="宋体" w:hAnsi="宋体" w:eastAsia="宋体" w:cs="宋体"/>
          <w:b/>
          <w:bCs/>
          <w:color w:val="000000" w:themeColor="text1"/>
          <w:spacing w:val="-2"/>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投标文件封面、组成内容中凡要求录入投标人名称且注明“盖单</w:t>
      </w:r>
      <w:r>
        <w:rPr>
          <w:rFonts w:hint="eastAsia" w:ascii="宋体" w:hAnsi="宋体" w:eastAsia="宋体" w:cs="宋体"/>
          <w:color w:val="000000" w:themeColor="text1"/>
          <w:spacing w:val="-3"/>
          <w:sz w:val="24"/>
          <w:szCs w:val="24"/>
          <w:highlight w:val="none"/>
          <w14:textFill>
            <w14:solidFill>
              <w14:schemeClr w14:val="tx1"/>
            </w14:solidFill>
          </w14:textFill>
        </w:rPr>
        <w:t>位章”处盖单位法人公章（</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pacing w:val="-3"/>
          <w:sz w:val="24"/>
          <w:szCs w:val="24"/>
          <w:highlight w:val="none"/>
          <w14:textFill>
            <w14:solidFill>
              <w14:schemeClr w14:val="tx1"/>
            </w14:solidFill>
          </w14:textFill>
        </w:rPr>
        <w:t>电子印章）。</w:t>
      </w:r>
    </w:p>
    <w:p w14:paraId="5023944D">
      <w:pPr>
        <w:pageBreakBefore w:val="0"/>
        <w:kinsoku/>
        <w:wordWrap w:val="0"/>
        <w:overflowPunct/>
        <w:topLinePunct/>
        <w:bidi w:val="0"/>
        <w:spacing w:before="146" w:line="279" w:lineRule="auto"/>
        <w:ind w:left="16" w:right="135" w:firstLine="56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"10.1.3.3"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10.1.3.3</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投标文件的签字均为签字人本人亲笔署名或签章</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pacing w:val="-2"/>
          <w:sz w:val="24"/>
          <w:szCs w:val="24"/>
          <w:highlight w:val="none"/>
          <w14:textFill>
            <w14:solidFill>
              <w14:schemeClr w14:val="tx1"/>
            </w14:solidFill>
          </w14:textFill>
        </w:rPr>
        <w:t>电子印章</w:t>
      </w:r>
      <w:r>
        <w:rPr>
          <w:rFonts w:hint="eastAsia" w:ascii="宋体" w:hAnsi="宋体" w:eastAsia="宋体" w:cs="宋体"/>
          <w:color w:val="000000" w:themeColor="text1"/>
          <w:spacing w:val="-1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其余部</w:t>
      </w:r>
      <w:r>
        <w:rPr>
          <w:rFonts w:hint="eastAsia" w:ascii="宋体" w:hAnsi="宋体" w:eastAsia="宋体" w:cs="宋体"/>
          <w:color w:val="000000" w:themeColor="text1"/>
          <w:spacing w:val="-1"/>
          <w:sz w:val="24"/>
          <w:szCs w:val="24"/>
          <w:highlight w:val="none"/>
          <w14:textFill>
            <w14:solidFill>
              <w14:schemeClr w14:val="tx1"/>
            </w14:solidFill>
          </w14:textFill>
        </w:rPr>
        <w:t>分的复印件无须另行签字、盖章。</w:t>
      </w:r>
    </w:p>
    <w:p w14:paraId="245025FE">
      <w:pPr>
        <w:pageBreakBefore w:val="0"/>
        <w:kinsoku/>
        <w:wordWrap w:val="0"/>
        <w:overflowPunct/>
        <w:topLinePunct/>
        <w:bidi w:val="0"/>
        <w:ind w:firstLine="474" w:firstLineChars="200"/>
        <w:rPr>
          <w:rFonts w:hint="eastAsia" w:ascii="宋体" w:hAnsi="宋体" w:eastAsia="宋体" w:cs="宋体"/>
          <w:b w:val="0"/>
          <w:bCs w:val="0"/>
          <w:color w:val="000000" w:themeColor="text1"/>
          <w:spacing w:val="-2"/>
          <w:sz w:val="24"/>
          <w:szCs w:val="24"/>
          <w:highlight w:val="none"/>
          <w14:textFill>
            <w14:solidFill>
              <w14:schemeClr w14:val="tx1"/>
            </w14:solidFill>
          </w14:textFill>
        </w:rPr>
      </w:pPr>
      <w:bookmarkStart w:id="46" w:name="_Toc21271"/>
      <w:bookmarkStart w:id="47" w:name="_Toc20223"/>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10.1.3.4 </w:t>
      </w:r>
      <w:r>
        <w:rPr>
          <w:rFonts w:hint="eastAsia" w:ascii="宋体" w:hAnsi="宋体" w:eastAsia="宋体" w:cs="宋体"/>
          <w:color w:val="000000" w:themeColor="text1"/>
          <w:spacing w:val="-3"/>
          <w:sz w:val="24"/>
          <w:szCs w:val="24"/>
          <w:highlight w:val="none"/>
          <w14:textFill>
            <w14:solidFill>
              <w14:schemeClr w14:val="tx1"/>
            </w14:solidFill>
          </w14:textFill>
        </w:rPr>
        <w:t>联合体投标的，除《联合体协议书》外，由联合体牵头人按以上要求签亲笔署名或签章（</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含</w:t>
      </w:r>
      <w:r>
        <w:rPr>
          <w:rFonts w:hint="eastAsia" w:ascii="宋体" w:hAnsi="宋体" w:eastAsia="宋体" w:cs="宋体"/>
          <w:color w:val="000000" w:themeColor="text1"/>
          <w:spacing w:val="-3"/>
          <w:sz w:val="24"/>
          <w:szCs w:val="24"/>
          <w:highlight w:val="none"/>
          <w14:textFill>
            <w14:solidFill>
              <w14:schemeClr w14:val="tx1"/>
            </w14:solidFill>
          </w14:textFill>
        </w:rPr>
        <w:t>电子印章）即可。</w:t>
      </w:r>
    </w:p>
    <w:p w14:paraId="43D5DC0B">
      <w:pPr>
        <w:pageBreakBefore w:val="0"/>
        <w:kinsoku/>
        <w:wordWrap w:val="0"/>
        <w:overflowPunct/>
        <w:topLinePunct/>
        <w:bidi w:val="0"/>
        <w:ind w:firstLine="478" w:firstLineChars="200"/>
        <w:rPr>
          <w:rFonts w:hint="eastAsia"/>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10.2</w:t>
      </w:r>
      <w:r>
        <w:rPr>
          <w:rFonts w:hint="eastAsia"/>
          <w:color w:val="000000" w:themeColor="text1"/>
          <w:highlight w:val="none"/>
          <w14:textFill>
            <w14:solidFill>
              <w14:schemeClr w14:val="tx1"/>
            </w14:solidFill>
          </w14:textFill>
        </w:rPr>
        <w:t xml:space="preserve"> 商务标书的编制要求</w:t>
      </w:r>
      <w:bookmarkEnd w:id="46"/>
      <w:bookmarkEnd w:id="47"/>
    </w:p>
    <w:p w14:paraId="38A0DF0A">
      <w:pPr>
        <w:pageBreakBefore w:val="0"/>
        <w:kinsoku/>
        <w:wordWrap w:val="0"/>
        <w:overflowPunct/>
        <w:topLinePunct/>
        <w:bidi w:val="0"/>
        <w:spacing w:before="157" w:line="219" w:lineRule="auto"/>
        <w:ind w:firstLine="478"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10.2.1 </w:t>
      </w:r>
      <w:r>
        <w:rPr>
          <w:rFonts w:hint="eastAsia" w:ascii="宋体" w:hAnsi="宋体" w:eastAsia="宋体" w:cs="宋体"/>
          <w:color w:val="000000" w:themeColor="text1"/>
          <w:spacing w:val="-1"/>
          <w:sz w:val="24"/>
          <w:szCs w:val="24"/>
          <w:highlight w:val="none"/>
          <w14:textFill>
            <w14:solidFill>
              <w14:schemeClr w14:val="tx1"/>
            </w14:solidFill>
          </w14:textFill>
        </w:rPr>
        <w:t>商务标书包括但不限于以下内容：</w:t>
      </w:r>
    </w:p>
    <w:p w14:paraId="1156A5A1">
      <w:pPr>
        <w:pageBreakBefore w:val="0"/>
        <w:kinsoku/>
        <w:wordWrap w:val="0"/>
        <w:overflowPunct/>
        <w:topLinePunct/>
        <w:bidi w:val="0"/>
        <w:spacing w:before="154"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（1）封面（格式一</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67DE235F">
      <w:pPr>
        <w:pageBreakBefore w:val="0"/>
        <w:kinsoku/>
        <w:wordWrap w:val="0"/>
        <w:overflowPunct/>
        <w:topLinePunct/>
        <w:bidi w:val="0"/>
        <w:spacing w:before="153" w:line="222"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3"/>
          <w:sz w:val="24"/>
          <w:szCs w:val="24"/>
          <w:highlight w:val="none"/>
          <w14:textFill>
            <w14:solidFill>
              <w14:schemeClr w14:val="tx1"/>
            </w14:solidFill>
          </w14:textFill>
        </w:rPr>
        <w:t>（2）目录；</w:t>
      </w:r>
    </w:p>
    <w:p w14:paraId="6E0F7270">
      <w:pPr>
        <w:pageBreakBefore w:val="0"/>
        <w:kinsoku/>
        <w:wordWrap w:val="0"/>
        <w:overflowPunct/>
        <w:topLinePunct/>
        <w:bidi w:val="0"/>
        <w:spacing w:before="153"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（3）《投标函》（格式二</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2C362A85">
      <w:pPr>
        <w:pageBreakBefore w:val="0"/>
        <w:kinsoku/>
        <w:wordWrap w:val="0"/>
        <w:overflowPunct/>
        <w:topLinePunct/>
        <w:bidi w:val="0"/>
        <w:spacing w:before="153"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（4）《各项承诺一览表》（格式三</w:t>
      </w:r>
      <w:r>
        <w:rPr>
          <w:rFonts w:hint="eastAsia" w:ascii="宋体" w:hAnsi="宋体" w:eastAsia="宋体" w:cs="宋体"/>
          <w:color w:val="000000" w:themeColor="text1"/>
          <w:spacing w:val="5"/>
          <w:sz w:val="24"/>
          <w:szCs w:val="24"/>
          <w:highlight w:val="none"/>
          <w14:textFill>
            <w14:solidFill>
              <w14:schemeClr w14:val="tx1"/>
            </w14:solidFill>
          </w14:textFill>
        </w:rPr>
        <w:t>）；</w:t>
      </w:r>
    </w:p>
    <w:p w14:paraId="468D4180">
      <w:pPr>
        <w:pageBreakBefore w:val="0"/>
        <w:kinsoku/>
        <w:wordWrap w:val="0"/>
        <w:overflowPunct/>
        <w:topLinePunct/>
        <w:bidi w:val="0"/>
        <w:spacing w:before="154"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（5）《授权委托书》（格式四</w:t>
      </w:r>
      <w:r>
        <w:rPr>
          <w:rFonts w:hint="eastAsia" w:ascii="宋体" w:hAnsi="宋体" w:eastAsia="宋体" w:cs="宋体"/>
          <w:color w:val="000000" w:themeColor="text1"/>
          <w:spacing w:val="3"/>
          <w:sz w:val="24"/>
          <w:szCs w:val="24"/>
          <w:highlight w:val="none"/>
          <w14:textFill>
            <w14:solidFill>
              <w14:schemeClr w14:val="tx1"/>
            </w14:solidFill>
          </w14:textFill>
        </w:rPr>
        <w:t>）；</w:t>
      </w:r>
    </w:p>
    <w:p w14:paraId="60462BE6">
      <w:pPr>
        <w:pageBreakBefore w:val="0"/>
        <w:kinsoku/>
        <w:wordWrap w:val="0"/>
        <w:overflowPunct/>
        <w:topLinePunct/>
        <w:bidi w:val="0"/>
        <w:spacing w:before="156"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（6）《法定代表人身份证明》（格式五</w:t>
      </w:r>
      <w:r>
        <w:rPr>
          <w:rFonts w:hint="eastAsia" w:ascii="宋体" w:hAnsi="宋体" w:eastAsia="宋体" w:cs="宋体"/>
          <w:color w:val="000000" w:themeColor="text1"/>
          <w:spacing w:val="7"/>
          <w:sz w:val="24"/>
          <w:szCs w:val="24"/>
          <w:highlight w:val="none"/>
          <w14:textFill>
            <w14:solidFill>
              <w14:schemeClr w14:val="tx1"/>
            </w14:solidFill>
          </w14:textFill>
        </w:rPr>
        <w:t>）；</w:t>
      </w:r>
    </w:p>
    <w:p w14:paraId="65B40A5C">
      <w:pPr>
        <w:pageBreakBefore w:val="0"/>
        <w:kinsoku/>
        <w:wordWrap w:val="0"/>
        <w:overflowPunct/>
        <w:topLinePunct/>
        <w:bidi w:val="0"/>
        <w:spacing w:before="154"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（7）《联合体协议书》（格式六）及所附资料；</w:t>
      </w:r>
    </w:p>
    <w:p w14:paraId="362B3E76">
      <w:pPr>
        <w:pageBreakBefore w:val="0"/>
        <w:kinsoku/>
        <w:wordWrap w:val="0"/>
        <w:overflowPunct/>
        <w:topLinePunct/>
        <w:bidi w:val="0"/>
        <w:spacing w:before="153" w:line="309" w:lineRule="auto"/>
        <w:ind w:left="13" w:right="133"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（8）投标保证缴纳证明（投标人采用投标保证金的，附建</w:t>
      </w:r>
      <w:r>
        <w:rPr>
          <w:rFonts w:hint="eastAsia" w:ascii="宋体" w:hAnsi="宋体" w:eastAsia="宋体" w:cs="宋体"/>
          <w:color w:val="000000" w:themeColor="text1"/>
          <w:spacing w:val="1"/>
          <w:sz w:val="24"/>
          <w:szCs w:val="24"/>
          <w:highlight w:val="none"/>
          <w14:textFill>
            <w14:solidFill>
              <w14:schemeClr w14:val="tx1"/>
            </w14:solidFill>
          </w14:textFill>
        </w:rPr>
        <w:t>设工程交易系统《缴</w:t>
      </w:r>
      <w:r>
        <w:rPr>
          <w:rFonts w:hint="eastAsia" w:ascii="宋体" w:hAnsi="宋体" w:eastAsia="宋体" w:cs="宋体"/>
          <w:color w:val="000000" w:themeColor="text1"/>
          <w:spacing w:val="-1"/>
          <w:sz w:val="24"/>
          <w:szCs w:val="24"/>
          <w:highlight w:val="none"/>
          <w14:textFill>
            <w14:solidFill>
              <w14:schemeClr w14:val="tx1"/>
            </w14:solidFill>
          </w14:textFill>
        </w:rPr>
        <w:t>纳投标保证金通知书》页面截图和银行转账单彩色扫描件；采</w:t>
      </w:r>
      <w:r>
        <w:rPr>
          <w:rFonts w:hint="eastAsia" w:ascii="宋体" w:hAnsi="宋体" w:eastAsia="宋体" w:cs="宋体"/>
          <w:color w:val="000000" w:themeColor="text1"/>
          <w:spacing w:val="-2"/>
          <w:sz w:val="24"/>
          <w:szCs w:val="24"/>
          <w:highlight w:val="none"/>
          <w14:textFill>
            <w14:solidFill>
              <w14:schemeClr w14:val="tx1"/>
            </w14:solidFill>
          </w14:textFill>
        </w:rPr>
        <w:t>用投标保证担保的，附银行保函彩色扫描件；采用投标保证保险的，附电子保单和</w:t>
      </w:r>
      <w:r>
        <w:rPr>
          <w:rFonts w:hint="eastAsia" w:ascii="宋体" w:hAnsi="宋体" w:eastAsia="宋体" w:cs="宋体"/>
          <w:b/>
          <w:bCs/>
          <w:color w:val="000000" w:themeColor="text1"/>
          <w:spacing w:val="-2"/>
          <w:sz w:val="24"/>
          <w:szCs w:val="24"/>
          <w:highlight w:val="none"/>
          <w14:textFill>
            <w14:solidFill>
              <w14:schemeClr w14:val="tx1"/>
            </w14:solidFill>
          </w14:textFill>
        </w:rPr>
        <w:t>《韶关市公共资源交易一</w:t>
      </w:r>
      <w:r>
        <w:rPr>
          <w:rFonts w:hint="eastAsia" w:ascii="宋体" w:hAnsi="宋体" w:eastAsia="宋体" w:cs="宋体"/>
          <w:b/>
          <w:bCs/>
          <w:color w:val="000000" w:themeColor="text1"/>
          <w:spacing w:val="-3"/>
          <w:sz w:val="24"/>
          <w:szCs w:val="24"/>
          <w:highlight w:val="none"/>
          <w14:textFill>
            <w14:solidFill>
              <w14:schemeClr w14:val="tx1"/>
            </w14:solidFill>
          </w14:textFill>
        </w:rPr>
        <w:t>体化平台保证金缴纳信息》页面截图</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3ACCB50E">
      <w:pPr>
        <w:pageBreakBefore w:val="0"/>
        <w:kinsoku/>
        <w:wordWrap w:val="0"/>
        <w:overflowPunct/>
        <w:topLinePunct/>
        <w:bidi w:val="0"/>
        <w:spacing w:before="156"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（9）《投标人基本情况表》（格式七）及所附资料；</w:t>
      </w:r>
    </w:p>
    <w:p w14:paraId="3F7A82E0">
      <w:pPr>
        <w:pageBreakBefore w:val="0"/>
        <w:kinsoku/>
        <w:wordWrap w:val="0"/>
        <w:overflowPunct/>
        <w:topLinePunct/>
        <w:bidi w:val="0"/>
        <w:spacing w:before="155"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（10）《项目经理简历表》（格式八）及所附资料；</w:t>
      </w:r>
    </w:p>
    <w:p w14:paraId="2029A2D5">
      <w:pPr>
        <w:pageBreakBefore w:val="0"/>
        <w:kinsoku/>
        <w:wordWrap w:val="0"/>
        <w:overflowPunct/>
        <w:topLinePunct/>
        <w:bidi w:val="0"/>
        <w:spacing w:before="154" w:line="220"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（11）《项目经理任职声明》（格式九</w:t>
      </w:r>
      <w:r>
        <w:rPr>
          <w:rFonts w:hint="eastAsia" w:ascii="宋体" w:hAnsi="宋体" w:eastAsia="宋体" w:cs="宋体"/>
          <w:color w:val="000000" w:themeColor="text1"/>
          <w:spacing w:val="7"/>
          <w:sz w:val="24"/>
          <w:szCs w:val="24"/>
          <w:highlight w:val="none"/>
          <w14:textFill>
            <w14:solidFill>
              <w14:schemeClr w14:val="tx1"/>
            </w14:solidFill>
          </w14:textFill>
        </w:rPr>
        <w:t>）；</w:t>
      </w:r>
    </w:p>
    <w:p w14:paraId="7FB57517">
      <w:pPr>
        <w:pageBreakBefore w:val="0"/>
        <w:kinsoku/>
        <w:wordWrap w:val="0"/>
        <w:overflowPunct/>
        <w:topLinePunct/>
        <w:bidi w:val="0"/>
        <w:spacing w:before="156"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（12）《项目技术负责人简历表》（格式十）及所附资料；</w:t>
      </w:r>
    </w:p>
    <w:p w14:paraId="7C6701E1">
      <w:pPr>
        <w:pageBreakBefore w:val="0"/>
        <w:kinsoku/>
        <w:wordWrap w:val="0"/>
        <w:overflowPunct/>
        <w:topLinePunct/>
        <w:bidi w:val="0"/>
        <w:spacing w:before="154"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（13）《项</w:t>
      </w:r>
      <w:bookmarkStart w:id="48" w:name="OLE_LINK7"/>
      <w:r>
        <w:rPr>
          <w:rFonts w:hint="eastAsia" w:ascii="宋体" w:hAnsi="宋体" w:eastAsia="宋体" w:cs="宋体"/>
          <w:color w:val="000000" w:themeColor="text1"/>
          <w:spacing w:val="-1"/>
          <w:sz w:val="24"/>
          <w:szCs w:val="24"/>
          <w:highlight w:val="none"/>
          <w14:textFill>
            <w14:solidFill>
              <w14:schemeClr w14:val="tx1"/>
            </w14:solidFill>
          </w14:textFill>
        </w:rPr>
        <w:t>目管理机构组成表》（格式十一）及</w:t>
      </w:r>
      <w:bookmarkEnd w:id="48"/>
      <w:r>
        <w:rPr>
          <w:rFonts w:hint="eastAsia" w:ascii="宋体" w:hAnsi="宋体" w:eastAsia="宋体" w:cs="宋体"/>
          <w:color w:val="000000" w:themeColor="text1"/>
          <w:spacing w:val="-1"/>
          <w:sz w:val="24"/>
          <w:szCs w:val="24"/>
          <w:highlight w:val="none"/>
          <w14:textFill>
            <w14:solidFill>
              <w14:schemeClr w14:val="tx1"/>
            </w14:solidFill>
          </w14:textFill>
        </w:rPr>
        <w:t>所附资料；</w:t>
      </w:r>
    </w:p>
    <w:p w14:paraId="64F1A84D">
      <w:pPr>
        <w:pageBreakBefore w:val="0"/>
        <w:kinsoku/>
        <w:wordWrap w:val="0"/>
        <w:overflowPunct/>
        <w:topLinePunct/>
        <w:bidi w:val="0"/>
        <w:spacing w:before="155" w:line="219" w:lineRule="auto"/>
        <w:ind w:left="5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（14）本节第</w:t>
      </w:r>
      <w:r>
        <w:rPr>
          <w:rFonts w:hint="eastAsia" w:ascii="宋体" w:hAnsi="宋体" w:eastAsia="宋体" w:cs="宋体"/>
          <w:b/>
          <w:bCs/>
          <w:color w:val="000000" w:themeColor="text1"/>
          <w:spacing w:val="-4"/>
          <w:sz w:val="24"/>
          <w:szCs w:val="24"/>
          <w:highlight w:val="none"/>
          <w14:textFill>
            <w14:solidFill>
              <w14:schemeClr w14:val="tx1"/>
            </w14:solidFill>
          </w14:textFill>
        </w:rPr>
        <w:t>15.5.1</w:t>
      </w:r>
      <w:r>
        <w:rPr>
          <w:rFonts w:hint="eastAsia" w:ascii="宋体" w:hAnsi="宋体" w:eastAsia="宋体" w:cs="宋体"/>
          <w:color w:val="000000" w:themeColor="text1"/>
          <w:spacing w:val="-4"/>
          <w:sz w:val="24"/>
          <w:szCs w:val="24"/>
          <w:highlight w:val="none"/>
          <w14:textFill>
            <w14:solidFill>
              <w14:schemeClr w14:val="tx1"/>
            </w14:solidFill>
          </w14:textFill>
        </w:rPr>
        <w:t>目“评标方法”要求提供的</w:t>
      </w:r>
      <w:r>
        <w:rPr>
          <w:rFonts w:hint="eastAsia" w:ascii="宋体" w:hAnsi="宋体" w:eastAsia="宋体" w:cs="宋体"/>
          <w:color w:val="000000" w:themeColor="text1"/>
          <w:spacing w:val="-5"/>
          <w:sz w:val="24"/>
          <w:szCs w:val="24"/>
          <w:highlight w:val="none"/>
          <w14:textFill>
            <w14:solidFill>
              <w14:schemeClr w14:val="tx1"/>
            </w14:solidFill>
          </w14:textFill>
        </w:rPr>
        <w:t>评审资料；</w:t>
      </w:r>
    </w:p>
    <w:p w14:paraId="1647A777">
      <w:pPr>
        <w:pageBreakBefore w:val="0"/>
        <w:kinsoku/>
        <w:wordWrap w:val="0"/>
        <w:overflowPunct/>
        <w:topLinePunct/>
        <w:bidi w:val="0"/>
        <w:spacing w:before="78" w:line="299" w:lineRule="auto"/>
        <w:ind w:left="8" w:right="61" w:firstLine="49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（15）投标人认为有必要补充的其他资料。（例如投标人已经工商变更，但其企</w:t>
      </w:r>
      <w:r>
        <w:rPr>
          <w:rFonts w:hint="eastAsia" w:ascii="宋体" w:hAnsi="宋体" w:eastAsia="宋体" w:cs="宋体"/>
          <w:color w:val="000000" w:themeColor="text1"/>
          <w:spacing w:val="-1"/>
          <w:sz w:val="24"/>
          <w:szCs w:val="24"/>
          <w:highlight w:val="none"/>
          <w14:textFill>
            <w14:solidFill>
              <w14:schemeClr w14:val="tx1"/>
            </w14:solidFill>
          </w14:textFill>
        </w:rPr>
        <w:t>业资质证书、安全生产许可证或其员工执业资格注册证书上的企</w:t>
      </w:r>
      <w:r>
        <w:rPr>
          <w:rFonts w:hint="eastAsia" w:ascii="宋体" w:hAnsi="宋体" w:eastAsia="宋体" w:cs="宋体"/>
          <w:color w:val="000000" w:themeColor="text1"/>
          <w:spacing w:val="-2"/>
          <w:sz w:val="24"/>
          <w:szCs w:val="24"/>
          <w:highlight w:val="none"/>
          <w14:textFill>
            <w14:solidFill>
              <w14:schemeClr w14:val="tx1"/>
            </w14:solidFill>
          </w14:textFill>
        </w:rPr>
        <w:t>业名称未能在投标期</w:t>
      </w:r>
      <w:r>
        <w:rPr>
          <w:rFonts w:hint="eastAsia" w:ascii="宋体" w:hAnsi="宋体" w:eastAsia="宋体" w:cs="宋体"/>
          <w:color w:val="000000" w:themeColor="text1"/>
          <w:spacing w:val="-1"/>
          <w:sz w:val="24"/>
          <w:szCs w:val="24"/>
          <w:highlight w:val="none"/>
          <w14:textFill>
            <w14:solidFill>
              <w14:schemeClr w14:val="tx1"/>
            </w14:solidFill>
          </w14:textFill>
        </w:rPr>
        <w:t>间完成变更的书面说明和佐证材料等）</w:t>
      </w:r>
    </w:p>
    <w:p w14:paraId="56FFC7E6">
      <w:pPr>
        <w:pageBreakBefore w:val="0"/>
        <w:kinsoku/>
        <w:wordWrap w:val="0"/>
        <w:overflowPunct/>
        <w:topLinePunct/>
        <w:bidi w:val="0"/>
        <w:spacing w:before="155" w:line="262" w:lineRule="auto"/>
        <w:ind w:left="9" w:right="61" w:firstLine="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10.2.2 </w:t>
      </w:r>
      <w:r>
        <w:rPr>
          <w:rFonts w:hint="eastAsia" w:ascii="宋体" w:hAnsi="宋体" w:eastAsia="宋体" w:cs="宋体"/>
          <w:color w:val="000000" w:themeColor="text1"/>
          <w:sz w:val="24"/>
          <w:szCs w:val="24"/>
          <w:highlight w:val="none"/>
          <w14:textFill>
            <w14:solidFill>
              <w14:schemeClr w14:val="tx1"/>
            </w14:solidFill>
          </w14:textFill>
        </w:rPr>
        <w:t>本节第</w:t>
      </w:r>
      <w:r>
        <w:rPr>
          <w:rFonts w:hint="eastAsia" w:ascii="宋体" w:hAnsi="宋体" w:eastAsia="宋体" w:cs="宋体"/>
          <w:b/>
          <w:bCs/>
          <w:color w:val="000000" w:themeColor="text1"/>
          <w:sz w:val="24"/>
          <w:szCs w:val="24"/>
          <w:highlight w:val="none"/>
          <w14:textFill>
            <w14:solidFill>
              <w14:schemeClr w14:val="tx1"/>
            </w14:solidFill>
          </w14:textFill>
        </w:rPr>
        <w:t>10.2.1</w:t>
      </w:r>
      <w:r>
        <w:rPr>
          <w:rFonts w:hint="eastAsia" w:ascii="宋体" w:hAnsi="宋体" w:eastAsia="宋体" w:cs="宋体"/>
          <w:color w:val="000000" w:themeColor="text1"/>
          <w:sz w:val="24"/>
          <w:szCs w:val="24"/>
          <w:highlight w:val="none"/>
          <w14:textFill>
            <w14:solidFill>
              <w14:schemeClr w14:val="tx1"/>
            </w14:solidFill>
          </w14:textFill>
        </w:rPr>
        <w:t>目中所列出的商务标书组成内容中，第（</w:t>
      </w:r>
      <w:r>
        <w:rPr>
          <w:rFonts w:hint="eastAsia" w:ascii="宋体" w:hAnsi="宋体" w:eastAsia="宋体" w:cs="宋体"/>
          <w:color w:val="000000" w:themeColor="text1"/>
          <w:spacing w:val="-1"/>
          <w:sz w:val="24"/>
          <w:szCs w:val="24"/>
          <w:highlight w:val="none"/>
          <w14:textFill>
            <w14:solidFill>
              <w14:schemeClr w14:val="tx1"/>
            </w14:solidFill>
          </w14:textFill>
        </w:rPr>
        <w:t>1）至第（13）项</w:t>
      </w:r>
      <w:r>
        <w:rPr>
          <w:rFonts w:hint="eastAsia" w:ascii="宋体" w:hAnsi="宋体" w:eastAsia="宋体" w:cs="宋体"/>
          <w:color w:val="000000" w:themeColor="text1"/>
          <w:sz w:val="24"/>
          <w:szCs w:val="24"/>
          <w:highlight w:val="none"/>
          <w14:textFill>
            <w14:solidFill>
              <w14:schemeClr w14:val="tx1"/>
            </w14:solidFill>
          </w14:textFill>
        </w:rPr>
        <w:t>所有投标人均应提供，</w:t>
      </w:r>
      <w:r>
        <w:rPr>
          <w:rFonts w:hint="eastAsia" w:ascii="宋体" w:hAnsi="宋体" w:eastAsia="宋体" w:cs="宋体"/>
          <w:b/>
          <w:bCs/>
          <w:color w:val="000000" w:themeColor="text1"/>
          <w:sz w:val="24"/>
          <w:szCs w:val="24"/>
          <w:highlight w:val="none"/>
          <w14:textFill>
            <w14:solidFill>
              <w14:schemeClr w14:val="tx1"/>
            </w14:solidFill>
          </w14:textFill>
        </w:rPr>
        <w:t>但非联合体投标的，</w:t>
      </w:r>
      <w:r>
        <w:rPr>
          <w:rFonts w:hint="eastAsia" w:ascii="宋体" w:hAnsi="宋体" w:eastAsia="宋体" w:cs="宋体"/>
          <w:b/>
          <w:bCs/>
          <w:color w:val="000000" w:themeColor="text1"/>
          <w:spacing w:val="-1"/>
          <w:sz w:val="24"/>
          <w:szCs w:val="24"/>
          <w:highlight w:val="none"/>
          <w14:textFill>
            <w14:solidFill>
              <w14:schemeClr w14:val="tx1"/>
            </w14:solidFill>
          </w14:textFill>
        </w:rPr>
        <w:t>无需提供第（7）项内容。</w:t>
      </w:r>
    </w:p>
    <w:p w14:paraId="3445AC70">
      <w:pPr>
        <w:pageBreakBefore w:val="0"/>
        <w:kinsoku/>
        <w:wordWrap w:val="0"/>
        <w:overflowPunct/>
        <w:topLinePunct/>
        <w:bidi w:val="0"/>
        <w:spacing w:before="199" w:line="279" w:lineRule="auto"/>
        <w:ind w:right="61" w:firstLine="48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10.2.3 </w:t>
      </w:r>
      <w:r>
        <w:rPr>
          <w:rFonts w:hint="eastAsia" w:ascii="宋体" w:hAnsi="宋体" w:eastAsia="宋体" w:cs="宋体"/>
          <w:color w:val="000000" w:themeColor="text1"/>
          <w:spacing w:val="-8"/>
          <w:sz w:val="24"/>
          <w:szCs w:val="24"/>
          <w:highlight w:val="none"/>
          <w14:textFill>
            <w14:solidFill>
              <w14:schemeClr w14:val="tx1"/>
            </w14:solidFill>
          </w14:textFill>
        </w:rPr>
        <w:t>商务标书的组成内容按本节第10.2.1目规定的顺序整理、编排后，逐页（页</w:t>
      </w:r>
      <w:r>
        <w:rPr>
          <w:rFonts w:hint="eastAsia" w:ascii="宋体" w:hAnsi="宋体" w:eastAsia="宋体" w:cs="宋体"/>
          <w:color w:val="000000" w:themeColor="text1"/>
          <w:spacing w:val="-1"/>
          <w:sz w:val="24"/>
          <w:szCs w:val="24"/>
          <w:highlight w:val="none"/>
          <w14:textFill>
            <w14:solidFill>
              <w14:schemeClr w14:val="tx1"/>
            </w14:solidFill>
          </w14:textFill>
        </w:rPr>
        <w:t>码起始从封面开始）连续标记页码。</w:t>
      </w:r>
    </w:p>
    <w:p w14:paraId="152E0748">
      <w:pPr>
        <w:pStyle w:val="5"/>
        <w:pageBreakBefore w:val="0"/>
        <w:kinsoku/>
        <w:wordWrap w:val="0"/>
        <w:overflowPunct/>
        <w:topLinePunct/>
        <w:bidi w:val="0"/>
        <w:spacing w:line="257" w:lineRule="auto"/>
        <w:rPr>
          <w:rFonts w:hint="eastAsia" w:ascii="宋体" w:hAnsi="宋体" w:eastAsia="宋体" w:cs="宋体"/>
          <w:color w:val="000000" w:themeColor="text1"/>
          <w:highlight w:val="none"/>
          <w14:textFill>
            <w14:solidFill>
              <w14:schemeClr w14:val="tx1"/>
            </w14:solidFill>
          </w14:textFill>
        </w:rPr>
      </w:pPr>
    </w:p>
    <w:p w14:paraId="1F92D474">
      <w:pPr>
        <w:pageBreakBefore w:val="0"/>
        <w:kinsoku/>
        <w:wordWrap w:val="0"/>
        <w:overflowPunct/>
        <w:topLinePunct/>
        <w:bidi w:val="0"/>
        <w:ind w:firstLine="482" w:firstLineChars="200"/>
        <w:rPr>
          <w:rFonts w:hint="eastAsia"/>
          <w:color w:val="000000" w:themeColor="text1"/>
          <w:highlight w:val="none"/>
          <w14:textFill>
            <w14:solidFill>
              <w14:schemeClr w14:val="tx1"/>
            </w14:solidFill>
          </w14:textFill>
        </w:rPr>
      </w:pPr>
      <w:bookmarkStart w:id="49" w:name="_Toc29370"/>
      <w:bookmarkStart w:id="50" w:name="_Toc10602"/>
      <w:r>
        <w:rPr>
          <w:rFonts w:hint="eastAsia" w:ascii="宋体" w:hAnsi="宋体" w:eastAsia="宋体" w:cs="宋体"/>
          <w:b/>
          <w:bCs/>
          <w:color w:val="000000" w:themeColor="text1"/>
          <w:sz w:val="24"/>
          <w:szCs w:val="24"/>
          <w:highlight w:val="none"/>
          <w14:textFill>
            <w14:solidFill>
              <w14:schemeClr w14:val="tx1"/>
            </w14:solidFill>
          </w14:textFill>
        </w:rPr>
        <w:t>10.3</w:t>
      </w:r>
      <w:r>
        <w:rPr>
          <w:rFonts w:hint="eastAsia"/>
          <w:color w:val="000000" w:themeColor="text1"/>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经济标书的编制要求</w:t>
      </w:r>
      <w:bookmarkEnd w:id="49"/>
      <w:bookmarkEnd w:id="50"/>
    </w:p>
    <w:p w14:paraId="73193A55">
      <w:pPr>
        <w:pageBreakBefore w:val="0"/>
        <w:kinsoku/>
        <w:wordWrap w:val="0"/>
        <w:overflowPunct/>
        <w:topLinePunct/>
        <w:bidi w:val="0"/>
        <w:spacing w:before="154"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10.3.1 </w:t>
      </w:r>
      <w:r>
        <w:rPr>
          <w:rFonts w:hint="eastAsia" w:ascii="宋体" w:hAnsi="宋体" w:eastAsia="宋体" w:cs="宋体"/>
          <w:color w:val="000000" w:themeColor="text1"/>
          <w:spacing w:val="-1"/>
          <w:sz w:val="24"/>
          <w:szCs w:val="24"/>
          <w:highlight w:val="none"/>
          <w14:textFill>
            <w14:solidFill>
              <w14:schemeClr w14:val="tx1"/>
            </w14:solidFill>
          </w14:textFill>
        </w:rPr>
        <w:t>经济标书包括以下内容：</w:t>
      </w:r>
    </w:p>
    <w:p w14:paraId="70B16EA8">
      <w:pPr>
        <w:pageBreakBefore w:val="0"/>
        <w:kinsoku/>
        <w:wordWrap w:val="0"/>
        <w:overflowPunct/>
        <w:topLinePunct/>
        <w:bidi w:val="0"/>
        <w:spacing w:before="156"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（1）封面（格式一</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61BFEFB0">
      <w:pPr>
        <w:pageBreakBefore w:val="0"/>
        <w:kinsoku/>
        <w:wordWrap w:val="0"/>
        <w:overflowPunct/>
        <w:topLinePunct/>
        <w:bidi w:val="0"/>
        <w:spacing w:before="153" w:line="222"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3"/>
          <w:sz w:val="24"/>
          <w:szCs w:val="24"/>
          <w:highlight w:val="none"/>
          <w14:textFill>
            <w14:solidFill>
              <w14:schemeClr w14:val="tx1"/>
            </w14:solidFill>
          </w14:textFill>
        </w:rPr>
        <w:t>（2）目录；</w:t>
      </w:r>
    </w:p>
    <w:p w14:paraId="38375818">
      <w:pPr>
        <w:pageBreakBefore w:val="0"/>
        <w:kinsoku/>
        <w:wordWrap w:val="0"/>
        <w:overflowPunct/>
        <w:topLinePunct/>
        <w:bidi w:val="0"/>
        <w:spacing w:before="150"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（3）《投标总价》(即表B.3.1)；</w:t>
      </w:r>
    </w:p>
    <w:p w14:paraId="55535D99">
      <w:pPr>
        <w:pageBreakBefore w:val="0"/>
        <w:kinsoku/>
        <w:wordWrap w:val="0"/>
        <w:overflowPunct/>
        <w:topLinePunct/>
        <w:bidi w:val="0"/>
        <w:spacing w:before="157" w:line="219" w:lineRule="auto"/>
        <w:ind w:left="12" w:leftChars="0"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说明：《投标总价》的格式按照《建设工程工程量</w:t>
      </w:r>
      <w:r>
        <w:rPr>
          <w:rFonts w:hint="eastAsia" w:ascii="宋体" w:hAnsi="宋体" w:eastAsia="宋体" w:cs="宋体"/>
          <w:color w:val="000000" w:themeColor="text1"/>
          <w:spacing w:val="-1"/>
          <w:sz w:val="24"/>
          <w:szCs w:val="24"/>
          <w:highlight w:val="none"/>
          <w14:textFill>
            <w14:solidFill>
              <w14:schemeClr w14:val="tx1"/>
            </w14:solidFill>
          </w14:textFill>
        </w:rPr>
        <w:t>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14:textFill>
            <w14:solidFill>
              <w14:schemeClr w14:val="tx1"/>
            </w14:solidFill>
          </w14:textFill>
        </w:rPr>
        <w:t>》（GB50500—20</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1"/>
          <w:sz w:val="24"/>
          <w:szCs w:val="24"/>
          <w:highlight w:val="none"/>
          <w14:textFill>
            <w14:solidFill>
              <w14:schemeClr w14:val="tx1"/>
            </w14:solidFill>
          </w14:textFill>
        </w:rPr>
        <w:t>）执行，并应满足以下要求：</w:t>
      </w:r>
    </w:p>
    <w:p w14:paraId="6BC2C8A8">
      <w:pPr>
        <w:pageBreakBefore w:val="0"/>
        <w:kinsoku/>
        <w:wordWrap w:val="0"/>
        <w:overflowPunct/>
        <w:topLinePunct/>
        <w:bidi w:val="0"/>
        <w:spacing w:before="150" w:line="309" w:lineRule="auto"/>
        <w:ind w:left="8" w:firstLine="48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a</w:t>
      </w:r>
      <w:r>
        <w:rPr>
          <w:rFonts w:hint="eastAsia" w:ascii="宋体" w:hAnsi="宋体" w:eastAsia="宋体" w:cs="宋体"/>
          <w:color w:val="000000" w:themeColor="text1"/>
          <w:spacing w:val="-2"/>
          <w:sz w:val="24"/>
          <w:szCs w:val="24"/>
          <w:highlight w:val="none"/>
          <w14:textFill>
            <w14:solidFill>
              <w14:schemeClr w14:val="tx1"/>
            </w14:solidFill>
          </w14:textFill>
        </w:rPr>
        <w:t>．《投标总价扉页》(即表</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C</w:t>
      </w:r>
      <w:r>
        <w:rPr>
          <w:rFonts w:hint="eastAsia" w:ascii="宋体" w:hAnsi="宋体" w:eastAsia="宋体" w:cs="宋体"/>
          <w:color w:val="000000" w:themeColor="text1"/>
          <w:spacing w:val="-2"/>
          <w:sz w:val="24"/>
          <w:szCs w:val="24"/>
          <w:highlight w:val="none"/>
          <w14:textFill>
            <w14:solidFill>
              <w14:schemeClr w14:val="tx1"/>
            </w14:solidFill>
          </w14:textFill>
        </w:rPr>
        <w:t>.3.1)后应附编制人的造价工程师注册证书彩色扫描件（须扫描至变更注册栏，</w:t>
      </w:r>
      <w:r>
        <w:rPr>
          <w:rFonts w:hint="eastAsia" w:ascii="宋体" w:hAnsi="宋体" w:eastAsia="宋体" w:cs="宋体"/>
          <w:b/>
          <w:bCs/>
          <w:color w:val="000000" w:themeColor="text1"/>
          <w:spacing w:val="-2"/>
          <w:sz w:val="24"/>
          <w:szCs w:val="24"/>
          <w:highlight w:val="none"/>
          <w14:textFill>
            <w14:solidFill>
              <w14:schemeClr w14:val="tx1"/>
            </w14:solidFill>
          </w14:textFill>
        </w:rPr>
        <w:t>一级造价师或二级造价师均可提供电子证书</w:t>
      </w:r>
      <w:r>
        <w:rPr>
          <w:rFonts w:hint="eastAsia" w:ascii="宋体" w:hAnsi="宋体" w:eastAsia="宋体" w:cs="宋体"/>
          <w:color w:val="000000" w:themeColor="text1"/>
          <w:spacing w:val="-2"/>
          <w:sz w:val="24"/>
          <w:szCs w:val="24"/>
          <w:highlight w:val="none"/>
          <w14:textFill>
            <w14:solidFill>
              <w14:schemeClr w14:val="tx1"/>
            </w14:solidFill>
          </w14:textFill>
        </w:rPr>
        <w:t>）；投标人委托造价咨询单位编制《投标总价》的，在该扉页“投标人”栏目加盖造价</w:t>
      </w:r>
      <w:r>
        <w:rPr>
          <w:rFonts w:hint="eastAsia" w:ascii="宋体" w:hAnsi="宋体" w:eastAsia="宋体" w:cs="宋体"/>
          <w:color w:val="000000" w:themeColor="text1"/>
          <w:spacing w:val="-7"/>
          <w:sz w:val="24"/>
          <w:szCs w:val="24"/>
          <w:highlight w:val="none"/>
          <w14:textFill>
            <w14:solidFill>
              <w14:schemeClr w14:val="tx1"/>
            </w14:solidFill>
          </w14:textFill>
        </w:rPr>
        <w:t>咨询人公章，</w:t>
      </w:r>
      <w:r>
        <w:rPr>
          <w:rFonts w:hint="eastAsia" w:ascii="宋体" w:hAnsi="宋体" w:eastAsia="宋体" w:cs="宋体"/>
          <w:color w:val="000000" w:themeColor="text1"/>
          <w:spacing w:val="-1"/>
          <w:sz w:val="24"/>
          <w:szCs w:val="24"/>
          <w:highlight w:val="none"/>
          <w14:textFill>
            <w14:solidFill>
              <w14:schemeClr w14:val="tx1"/>
            </w14:solidFill>
          </w14:textFill>
        </w:rPr>
        <w:t>并在该扉页后附造价咨询人的营业执照副本彩色扫描件。</w:t>
      </w:r>
    </w:p>
    <w:p w14:paraId="0A017721">
      <w:pPr>
        <w:pageBreakBefore w:val="0"/>
        <w:kinsoku/>
        <w:wordWrap w:val="0"/>
        <w:overflowPunct/>
        <w:topLinePunct/>
        <w:bidi w:val="0"/>
        <w:spacing w:before="119" w:line="314" w:lineRule="auto"/>
        <w:ind w:left="10" w:right="61" w:firstLine="474"/>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b.</w:t>
      </w:r>
      <w:r>
        <w:rPr>
          <w:rFonts w:hint="eastAsia" w:ascii="宋体" w:hAnsi="宋体" w:eastAsia="宋体" w:cs="宋体"/>
          <w:b w:val="0"/>
          <w:bCs w:val="0"/>
          <w:color w:val="000000" w:themeColor="text1"/>
          <w:spacing w:val="2"/>
          <w:sz w:val="24"/>
          <w:szCs w:val="24"/>
          <w:highlight w:val="none"/>
          <w14:textFill>
            <w14:solidFill>
              <w14:schemeClr w14:val="tx1"/>
            </w14:solidFill>
          </w14:textFill>
        </w:rPr>
        <w:t>《投标报价填报说明》(即表D.2.1)中的填写内容除按照《建设工程工程量清单计价标准》(GB/T50500一2024)附录D工程计价说明D.2.1款执行外，尚应就造价软件的名称、版本、加密锁编号作出专项说明。</w:t>
      </w:r>
      <w:r>
        <w:rPr>
          <w:rFonts w:hint="eastAsia" w:ascii="宋体" w:hAnsi="宋体" w:eastAsia="宋体" w:cs="宋体"/>
          <w:b w:val="0"/>
          <w:bCs w:val="0"/>
          <w:color w:val="000000" w:themeColor="text1"/>
          <w:spacing w:val="2"/>
          <w:sz w:val="24"/>
          <w:szCs w:val="24"/>
          <w:highlight w:val="none"/>
          <w:lang w:val="en-US" w:eastAsia="zh-CN"/>
          <w14:textFill>
            <w14:solidFill>
              <w14:schemeClr w14:val="tx1"/>
            </w14:solidFill>
          </w14:textFill>
        </w:rPr>
        <w:tab/>
      </w:r>
    </w:p>
    <w:p w14:paraId="04C84B9F">
      <w:pPr>
        <w:pageBreakBefore w:val="0"/>
        <w:kinsoku/>
        <w:wordWrap w:val="0"/>
        <w:overflowPunct/>
        <w:topLinePunct/>
        <w:bidi w:val="0"/>
        <w:spacing w:before="119" w:line="314" w:lineRule="auto"/>
        <w:ind w:left="10" w:right="61"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投标人认为有必要补充的其他资料(例如关于投标报价低于招标项目的成本警示价的书面说明和佐证材料)</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711DA1EA">
      <w:pPr>
        <w:pageBreakBefore w:val="0"/>
        <w:kinsoku/>
        <w:wordWrap w:val="0"/>
        <w:overflowPunct/>
        <w:topLinePunct/>
        <w:bidi w:val="0"/>
        <w:spacing w:before="99" w:line="280" w:lineRule="auto"/>
        <w:ind w:left="10" w:right="63" w:firstLine="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10.3.2 </w:t>
      </w:r>
      <w:r>
        <w:rPr>
          <w:rFonts w:hint="eastAsia" w:ascii="宋体" w:hAnsi="宋体" w:eastAsia="宋体" w:cs="宋体"/>
          <w:color w:val="000000" w:themeColor="text1"/>
          <w:spacing w:val="-3"/>
          <w:sz w:val="24"/>
          <w:szCs w:val="24"/>
          <w:highlight w:val="none"/>
          <w14:textFill>
            <w14:solidFill>
              <w14:schemeClr w14:val="tx1"/>
            </w14:solidFill>
          </w14:textFill>
        </w:rPr>
        <w:t>本节第</w:t>
      </w:r>
      <w:r>
        <w:rPr>
          <w:rFonts w:hint="eastAsia" w:ascii="宋体" w:hAnsi="宋体" w:eastAsia="宋体" w:cs="宋体"/>
          <w:b/>
          <w:bCs/>
          <w:color w:val="000000" w:themeColor="text1"/>
          <w:spacing w:val="-3"/>
          <w:sz w:val="24"/>
          <w:szCs w:val="24"/>
          <w:highlight w:val="none"/>
          <w14:textFill>
            <w14:solidFill>
              <w14:schemeClr w14:val="tx1"/>
            </w14:solidFill>
          </w14:textFill>
        </w:rPr>
        <w:t>10.3.1</w:t>
      </w:r>
      <w:r>
        <w:rPr>
          <w:rFonts w:hint="eastAsia" w:ascii="宋体" w:hAnsi="宋体" w:eastAsia="宋体" w:cs="宋体"/>
          <w:color w:val="000000" w:themeColor="text1"/>
          <w:spacing w:val="-3"/>
          <w:sz w:val="24"/>
          <w:szCs w:val="24"/>
          <w:highlight w:val="none"/>
          <w14:textFill>
            <w14:solidFill>
              <w14:schemeClr w14:val="tx1"/>
            </w14:solidFill>
          </w14:textFill>
        </w:rPr>
        <w:t>目中所列出的经济标书组成内容中，第（1）至第（3）项所</w:t>
      </w:r>
      <w:r>
        <w:rPr>
          <w:rFonts w:hint="eastAsia" w:ascii="宋体" w:hAnsi="宋体" w:eastAsia="宋体" w:cs="宋体"/>
          <w:color w:val="000000" w:themeColor="text1"/>
          <w:spacing w:val="-2"/>
          <w:sz w:val="24"/>
          <w:szCs w:val="24"/>
          <w:highlight w:val="none"/>
          <w14:textFill>
            <w14:solidFill>
              <w14:schemeClr w14:val="tx1"/>
            </w14:solidFill>
          </w14:textFill>
        </w:rPr>
        <w:t>有投标人均应提供。</w:t>
      </w:r>
    </w:p>
    <w:p w14:paraId="55335CEE">
      <w:pPr>
        <w:pageBreakBefore w:val="0"/>
        <w:kinsoku/>
        <w:wordWrap w:val="0"/>
        <w:overflowPunct/>
        <w:topLinePunct/>
        <w:bidi w:val="0"/>
        <w:spacing w:before="155" w:line="279" w:lineRule="auto"/>
        <w:ind w:left="8" w:right="61" w:firstLine="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0"/>
          <w:sz w:val="24"/>
          <w:szCs w:val="24"/>
          <w:highlight w:val="none"/>
          <w14:textFill>
            <w14:solidFill>
              <w14:schemeClr w14:val="tx1"/>
            </w14:solidFill>
          </w14:textFill>
        </w:rPr>
        <w:t>10.3.3</w:t>
      </w:r>
      <w:r>
        <w:rPr>
          <w:rFonts w:hint="eastAsia" w:ascii="宋体" w:hAnsi="宋体" w:eastAsia="宋体" w:cs="宋体"/>
          <w:b/>
          <w:bCs/>
          <w:color w:val="000000" w:themeColor="text1"/>
          <w:spacing w:val="-10"/>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经济标书的组成内容按本节第10</w:t>
      </w:r>
      <w:r>
        <w:rPr>
          <w:rFonts w:hint="eastAsia" w:ascii="宋体" w:hAnsi="宋体" w:eastAsia="宋体" w:cs="宋体"/>
          <w:color w:val="000000" w:themeColor="text1"/>
          <w:spacing w:val="-11"/>
          <w:sz w:val="24"/>
          <w:szCs w:val="24"/>
          <w:highlight w:val="none"/>
          <w14:textFill>
            <w14:solidFill>
              <w14:schemeClr w14:val="tx1"/>
            </w14:solidFill>
          </w14:textFill>
        </w:rPr>
        <w:t>.3.1目规定的顺序整理、编排后，逐页（页</w:t>
      </w:r>
      <w:r>
        <w:rPr>
          <w:rFonts w:hint="eastAsia" w:ascii="宋体" w:hAnsi="宋体" w:eastAsia="宋体" w:cs="宋体"/>
          <w:color w:val="000000" w:themeColor="text1"/>
          <w:spacing w:val="-1"/>
          <w:sz w:val="24"/>
          <w:szCs w:val="24"/>
          <w:highlight w:val="none"/>
          <w14:textFill>
            <w14:solidFill>
              <w14:schemeClr w14:val="tx1"/>
            </w14:solidFill>
          </w14:textFill>
        </w:rPr>
        <w:t>码起始从封面开始）连续标记页码。</w:t>
      </w:r>
    </w:p>
    <w:p w14:paraId="069773A7">
      <w:pPr>
        <w:pageBreakBefore w:val="0"/>
        <w:kinsoku/>
        <w:wordWrap w:val="0"/>
        <w:overflowPunct/>
        <w:topLinePunct/>
        <w:bidi w:val="0"/>
        <w:ind w:firstLine="442" w:firstLineChars="200"/>
        <w:rPr>
          <w:rFonts w:hint="eastAsia"/>
          <w:color w:val="000000" w:themeColor="text1"/>
          <w:highlight w:val="none"/>
          <w14:textFill>
            <w14:solidFill>
              <w14:schemeClr w14:val="tx1"/>
            </w14:solidFill>
          </w14:textFill>
        </w:rPr>
      </w:pPr>
      <w:r>
        <w:rPr>
          <w:rFonts w:hint="eastAsia" w:ascii="宋体" w:hAnsi="宋体" w:eastAsia="宋体" w:cs="宋体"/>
          <w:b/>
          <w:bCs/>
          <w:color w:val="000000" w:themeColor="text1"/>
          <w:spacing w:val="-10"/>
          <w:sz w:val="24"/>
          <w:szCs w:val="24"/>
          <w:highlight w:val="none"/>
          <w14:textFill>
            <w14:solidFill>
              <w14:schemeClr w14:val="tx1"/>
            </w14:solidFill>
          </w14:textFill>
        </w:rPr>
        <w:t>10.4</w:t>
      </w:r>
      <w:r>
        <w:rPr>
          <w:rFonts w:hint="eastAsia"/>
          <w:color w:val="000000" w:themeColor="text1"/>
          <w:highlight w:val="none"/>
          <w14:textFill>
            <w14:solidFill>
              <w14:schemeClr w14:val="tx1"/>
            </w14:solidFill>
          </w14:textFill>
        </w:rPr>
        <w:t xml:space="preserve"> </w:t>
      </w:r>
      <w:r>
        <w:rPr>
          <w:rFonts w:hint="eastAsia" w:ascii="宋体" w:hAnsi="宋体" w:eastAsia="宋体" w:cs="宋体"/>
          <w:color w:val="000000" w:themeColor="text1"/>
          <w:spacing w:val="-10"/>
          <w:sz w:val="24"/>
          <w:szCs w:val="24"/>
          <w:highlight w:val="none"/>
          <w14:textFill>
            <w14:solidFill>
              <w14:schemeClr w14:val="tx1"/>
            </w14:solidFill>
          </w14:textFill>
        </w:rPr>
        <w:t>施工组织设计的编制要求</w:t>
      </w:r>
    </w:p>
    <w:p w14:paraId="14F8736B">
      <w:pPr>
        <w:pageBreakBefore w:val="0"/>
        <w:kinsoku/>
        <w:wordWrap w:val="0"/>
        <w:overflowPunct/>
        <w:topLinePunct/>
        <w:bidi w:val="0"/>
        <w:spacing w:before="151"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10.4.1 </w:t>
      </w:r>
      <w:r>
        <w:rPr>
          <w:rFonts w:hint="eastAsia" w:ascii="宋体" w:hAnsi="宋体" w:eastAsia="宋体" w:cs="宋体"/>
          <w:color w:val="000000" w:themeColor="text1"/>
          <w:spacing w:val="-1"/>
          <w:sz w:val="24"/>
          <w:szCs w:val="24"/>
          <w:highlight w:val="none"/>
          <w14:textFill>
            <w14:solidFill>
              <w14:schemeClr w14:val="tx1"/>
            </w14:solidFill>
          </w14:textFill>
        </w:rPr>
        <w:t>施工组织设计的编制依据包括且不限于：</w:t>
      </w:r>
    </w:p>
    <w:p w14:paraId="3BA2C9BA">
      <w:pPr>
        <w:pageBreakBefore w:val="0"/>
        <w:kinsoku/>
        <w:wordWrap w:val="0"/>
        <w:overflowPunct/>
        <w:topLinePunct/>
        <w:bidi w:val="0"/>
        <w:spacing w:before="156"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（1）招标文件及其答疑（或修改）公告；</w:t>
      </w:r>
    </w:p>
    <w:p w14:paraId="72B2B8CD">
      <w:pPr>
        <w:pageBreakBefore w:val="0"/>
        <w:kinsoku/>
        <w:wordWrap w:val="0"/>
        <w:overflowPunct/>
        <w:topLinePunct/>
        <w:bidi w:val="0"/>
        <w:spacing w:before="155" w:line="221"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（2）施工图及相关资料；</w:t>
      </w:r>
    </w:p>
    <w:p w14:paraId="75646AEA">
      <w:pPr>
        <w:pageBreakBefore w:val="0"/>
        <w:kinsoku/>
        <w:wordWrap w:val="0"/>
        <w:overflowPunct/>
        <w:topLinePunct/>
        <w:bidi w:val="0"/>
        <w:spacing w:before="152"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（3）施工现场情况、工程特点；</w:t>
      </w:r>
    </w:p>
    <w:p w14:paraId="0A14092A">
      <w:pPr>
        <w:pageBreakBefore w:val="0"/>
        <w:kinsoku/>
        <w:wordWrap w:val="0"/>
        <w:overflowPunct/>
        <w:topLinePunct/>
        <w:bidi w:val="0"/>
        <w:spacing w:before="78"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（4）相关法律、法规、规定；</w:t>
      </w:r>
    </w:p>
    <w:p w14:paraId="737359AB">
      <w:pPr>
        <w:pageBreakBefore w:val="0"/>
        <w:kinsoku/>
        <w:wordWrap w:val="0"/>
        <w:overflowPunct/>
        <w:topLinePunct/>
        <w:bidi w:val="0"/>
        <w:spacing w:before="153" w:line="299" w:lineRule="auto"/>
        <w:ind w:left="10" w:right="211" w:firstLine="4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（5）国家、广东省、韶关市关于施工现场管理、施工工艺</w:t>
      </w:r>
      <w:r>
        <w:rPr>
          <w:rFonts w:hint="eastAsia" w:ascii="宋体" w:hAnsi="宋体" w:eastAsia="宋体" w:cs="宋体"/>
          <w:color w:val="000000" w:themeColor="text1"/>
          <w:spacing w:val="1"/>
          <w:sz w:val="24"/>
          <w:szCs w:val="24"/>
          <w:highlight w:val="none"/>
          <w14:textFill>
            <w14:solidFill>
              <w14:schemeClr w14:val="tx1"/>
            </w14:solidFill>
          </w14:textFill>
        </w:rPr>
        <w:t>、绿色施工、安全防</w:t>
      </w:r>
      <w:r>
        <w:rPr>
          <w:rFonts w:hint="eastAsia" w:ascii="宋体" w:hAnsi="宋体" w:eastAsia="宋体" w:cs="宋体"/>
          <w:color w:val="000000" w:themeColor="text1"/>
          <w:spacing w:val="-1"/>
          <w:sz w:val="24"/>
          <w:szCs w:val="24"/>
          <w:highlight w:val="none"/>
          <w14:textFill>
            <w14:solidFill>
              <w14:schemeClr w14:val="tx1"/>
            </w14:solidFill>
          </w14:textFill>
        </w:rPr>
        <w:t>护、文明施工、环境保护等方面的标准、规范、技术资料。</w:t>
      </w:r>
      <w:r>
        <w:rPr>
          <w:rFonts w:hint="eastAsia" w:ascii="宋体" w:hAnsi="宋体" w:eastAsia="宋体" w:cs="宋体"/>
          <w:color w:val="000000" w:themeColor="text1"/>
          <w:spacing w:val="-2"/>
          <w:sz w:val="24"/>
          <w:szCs w:val="24"/>
          <w:highlight w:val="none"/>
          <w14:textFill>
            <w14:solidFill>
              <w14:schemeClr w14:val="tx1"/>
            </w14:solidFill>
          </w14:textFill>
        </w:rPr>
        <w:t>如《广东省住房和城乡建</w:t>
      </w:r>
      <w:r>
        <w:rPr>
          <w:rFonts w:hint="eastAsia" w:ascii="宋体" w:hAnsi="宋体" w:eastAsia="宋体" w:cs="宋体"/>
          <w:color w:val="000000" w:themeColor="text1"/>
          <w:sz w:val="24"/>
          <w:szCs w:val="24"/>
          <w:highlight w:val="none"/>
          <w14:textFill>
            <w14:solidFill>
              <w14:schemeClr w14:val="tx1"/>
            </w14:solidFill>
          </w14:textFill>
        </w:rPr>
        <w:t>设厅绿色施工导则》《广东省建设工程施工扬尘污染防</w:t>
      </w:r>
      <w:r>
        <w:rPr>
          <w:rFonts w:hint="eastAsia" w:ascii="宋体" w:hAnsi="宋体" w:eastAsia="宋体" w:cs="宋体"/>
          <w:color w:val="000000" w:themeColor="text1"/>
          <w:spacing w:val="-1"/>
          <w:sz w:val="24"/>
          <w:szCs w:val="24"/>
          <w:highlight w:val="none"/>
          <w14:textFill>
            <w14:solidFill>
              <w14:schemeClr w14:val="tx1"/>
            </w14:solidFill>
          </w14:textFill>
        </w:rPr>
        <w:t>治管理办法（试行）》等；</w:t>
      </w:r>
    </w:p>
    <w:p w14:paraId="3BD2A4DE">
      <w:pPr>
        <w:pageBreakBefore w:val="0"/>
        <w:kinsoku/>
        <w:wordWrap w:val="0"/>
        <w:overflowPunct/>
        <w:topLinePunct/>
        <w:bidi w:val="0"/>
        <w:spacing w:before="155"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（6）企业内部标准、工法。</w:t>
      </w:r>
    </w:p>
    <w:p w14:paraId="3F822AA0">
      <w:pPr>
        <w:pageBreakBefore w:val="0"/>
        <w:kinsoku/>
        <w:wordWrap w:val="0"/>
        <w:overflowPunct/>
        <w:topLinePunct/>
        <w:bidi w:val="0"/>
        <w:spacing w:before="153"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10.4.2 </w:t>
      </w:r>
      <w:r>
        <w:rPr>
          <w:rFonts w:hint="eastAsia" w:ascii="宋体" w:hAnsi="宋体" w:eastAsia="宋体" w:cs="宋体"/>
          <w:color w:val="000000" w:themeColor="text1"/>
          <w:spacing w:val="-1"/>
          <w:sz w:val="24"/>
          <w:szCs w:val="24"/>
          <w:highlight w:val="none"/>
          <w14:textFill>
            <w14:solidFill>
              <w14:schemeClr w14:val="tx1"/>
            </w14:solidFill>
          </w14:textFill>
        </w:rPr>
        <w:t>施工组织设计包括但不限于以下内容：</w:t>
      </w:r>
    </w:p>
    <w:p w14:paraId="65885708">
      <w:pPr>
        <w:pageBreakBefore w:val="0"/>
        <w:kinsoku/>
        <w:wordWrap w:val="0"/>
        <w:overflowPunct/>
        <w:topLinePunct/>
        <w:bidi w:val="0"/>
        <w:spacing w:before="153"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（1）封面（格式一</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5803699B">
      <w:pPr>
        <w:pageBreakBefore w:val="0"/>
        <w:kinsoku/>
        <w:wordWrap w:val="0"/>
        <w:overflowPunct/>
        <w:topLinePunct/>
        <w:bidi w:val="0"/>
        <w:spacing w:before="156" w:line="222"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3"/>
          <w:sz w:val="24"/>
          <w:szCs w:val="24"/>
          <w:highlight w:val="none"/>
          <w14:textFill>
            <w14:solidFill>
              <w14:schemeClr w14:val="tx1"/>
            </w14:solidFill>
          </w14:textFill>
        </w:rPr>
        <w:t>（2）目录；</w:t>
      </w:r>
    </w:p>
    <w:p w14:paraId="42DACCDD">
      <w:pPr>
        <w:pageBreakBefore w:val="0"/>
        <w:kinsoku/>
        <w:wordWrap w:val="0"/>
        <w:overflowPunct/>
        <w:topLinePunct/>
        <w:bidi w:val="0"/>
        <w:spacing w:before="150"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（3）总体概述（包括施工程序总体设想及施工段划分等内容</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2550462D">
      <w:pPr>
        <w:pageBreakBefore w:val="0"/>
        <w:kinsoku/>
        <w:wordWrap w:val="0"/>
        <w:overflowPunct/>
        <w:topLinePunct/>
        <w:bidi w:val="0"/>
        <w:spacing w:before="154" w:line="299" w:lineRule="auto"/>
        <w:ind w:left="9" w:right="211"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（4）施工总进度计划及保证措施（包括进度管理目标；以</w:t>
      </w:r>
      <w:r>
        <w:rPr>
          <w:rFonts w:hint="eastAsia" w:ascii="宋体" w:hAnsi="宋体" w:eastAsia="宋体" w:cs="宋体"/>
          <w:color w:val="000000" w:themeColor="text1"/>
          <w:spacing w:val="1"/>
          <w:sz w:val="24"/>
          <w:szCs w:val="24"/>
          <w:highlight w:val="none"/>
          <w14:textFill>
            <w14:solidFill>
              <w14:schemeClr w14:val="tx1"/>
            </w14:solidFill>
          </w14:textFill>
        </w:rPr>
        <w:t>横道图或标明关键线</w:t>
      </w:r>
      <w:r>
        <w:rPr>
          <w:rFonts w:hint="eastAsia" w:ascii="宋体" w:hAnsi="宋体" w:eastAsia="宋体" w:cs="宋体"/>
          <w:color w:val="000000" w:themeColor="text1"/>
          <w:spacing w:val="-1"/>
          <w:sz w:val="24"/>
          <w:szCs w:val="24"/>
          <w:highlight w:val="none"/>
          <w14:textFill>
            <w14:solidFill>
              <w14:schemeClr w14:val="tx1"/>
            </w14:solidFill>
          </w14:textFill>
        </w:rPr>
        <w:t>路的网络进度计划；保障进度计划需要的人、材、机需求计划</w:t>
      </w:r>
      <w:r>
        <w:rPr>
          <w:rFonts w:hint="eastAsia" w:ascii="宋体" w:hAnsi="宋体" w:eastAsia="宋体" w:cs="宋体"/>
          <w:color w:val="000000" w:themeColor="text1"/>
          <w:spacing w:val="-2"/>
          <w:sz w:val="24"/>
          <w:szCs w:val="24"/>
          <w:highlight w:val="none"/>
          <w14:textFill>
            <w14:solidFill>
              <w14:schemeClr w14:val="tx1"/>
            </w14:solidFill>
          </w14:textFill>
        </w:rPr>
        <w:t>及保证措施；违约责任承诺等内容</w:t>
      </w:r>
      <w:r>
        <w:rPr>
          <w:rFonts w:hint="eastAsia" w:ascii="宋体" w:hAnsi="宋体" w:eastAsia="宋体" w:cs="宋体"/>
          <w:color w:val="000000" w:themeColor="text1"/>
          <w:sz w:val="24"/>
          <w:szCs w:val="24"/>
          <w:highlight w:val="none"/>
          <w14:textFill>
            <w14:solidFill>
              <w14:schemeClr w14:val="tx1"/>
            </w14:solidFill>
          </w14:textFill>
        </w:rPr>
        <w:t>）；</w:t>
      </w:r>
    </w:p>
    <w:p w14:paraId="03BB9655">
      <w:pPr>
        <w:pageBreakBefore w:val="0"/>
        <w:kinsoku/>
        <w:wordWrap w:val="0"/>
        <w:overflowPunct/>
        <w:topLinePunct/>
        <w:bidi w:val="0"/>
        <w:spacing w:before="153" w:line="220"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（5）质量保证措施（包括质量管理目标；相应保证措施；违约责任承诺</w:t>
      </w:r>
      <w:r>
        <w:rPr>
          <w:rFonts w:hint="eastAsia" w:ascii="宋体" w:hAnsi="宋体" w:eastAsia="宋体" w:cs="宋体"/>
          <w:color w:val="000000" w:themeColor="text1"/>
          <w:spacing w:val="-6"/>
          <w:sz w:val="24"/>
          <w:szCs w:val="24"/>
          <w:highlight w:val="none"/>
          <w14:textFill>
            <w14:solidFill>
              <w14:schemeClr w14:val="tx1"/>
            </w14:solidFill>
          </w14:textFill>
        </w:rPr>
        <w:t>等内容</w:t>
      </w:r>
      <w:r>
        <w:rPr>
          <w:rFonts w:hint="eastAsia" w:ascii="宋体" w:hAnsi="宋体" w:eastAsia="宋体" w:cs="宋体"/>
          <w:color w:val="000000" w:themeColor="text1"/>
          <w:spacing w:val="-62"/>
          <w:w w:val="97"/>
          <w:sz w:val="24"/>
          <w:szCs w:val="24"/>
          <w:highlight w:val="none"/>
          <w14:textFill>
            <w14:solidFill>
              <w14:schemeClr w14:val="tx1"/>
            </w14:solidFill>
          </w14:textFill>
        </w:rPr>
        <w:t>）；</w:t>
      </w:r>
    </w:p>
    <w:p w14:paraId="3847B349">
      <w:pPr>
        <w:pageBreakBefore w:val="0"/>
        <w:kinsoku/>
        <w:wordWrap w:val="0"/>
        <w:overflowPunct/>
        <w:topLinePunct/>
        <w:bidi w:val="0"/>
        <w:spacing w:before="156" w:line="279" w:lineRule="auto"/>
        <w:ind w:left="11" w:right="211"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（6）施工技术措施（包括关键施工技术、工艺及工程项目</w:t>
      </w:r>
      <w:r>
        <w:rPr>
          <w:rFonts w:hint="eastAsia" w:ascii="宋体" w:hAnsi="宋体" w:eastAsia="宋体" w:cs="宋体"/>
          <w:color w:val="000000" w:themeColor="text1"/>
          <w:spacing w:val="1"/>
          <w:sz w:val="24"/>
          <w:szCs w:val="24"/>
          <w:highlight w:val="none"/>
          <w14:textFill>
            <w14:solidFill>
              <w14:schemeClr w14:val="tx1"/>
            </w14:solidFill>
          </w14:textFill>
        </w:rPr>
        <w:t>实施的重点、难点分</w:t>
      </w:r>
      <w:r>
        <w:rPr>
          <w:rFonts w:hint="eastAsia" w:ascii="宋体" w:hAnsi="宋体" w:eastAsia="宋体" w:cs="宋体"/>
          <w:color w:val="000000" w:themeColor="text1"/>
          <w:spacing w:val="-1"/>
          <w:sz w:val="24"/>
          <w:szCs w:val="24"/>
          <w:highlight w:val="none"/>
          <w14:textFill>
            <w14:solidFill>
              <w14:schemeClr w14:val="tx1"/>
            </w14:solidFill>
          </w14:textFill>
        </w:rPr>
        <w:t>析和解决方案；新技术应用与承诺等内容</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2BBDA7D3">
      <w:pPr>
        <w:pageBreakBefore w:val="0"/>
        <w:kinsoku/>
        <w:wordWrap w:val="0"/>
        <w:overflowPunct/>
        <w:topLinePunct/>
        <w:bidi w:val="0"/>
        <w:spacing w:before="118" w:line="297" w:lineRule="auto"/>
        <w:ind w:left="11" w:right="31" w:firstLine="489"/>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000000" w:themeColor="text1"/>
          <w:spacing w:val="-3"/>
          <w:sz w:val="24"/>
          <w:szCs w:val="24"/>
          <w:highlight w:val="none"/>
          <w14:textFill>
            <w14:solidFill>
              <w14:schemeClr w14:val="tx1"/>
            </w14:solidFill>
          </w14:textFill>
        </w:rPr>
        <w:t>；</w:t>
      </w:r>
    </w:p>
    <w:p w14:paraId="574F4257">
      <w:pPr>
        <w:pageBreakBefore w:val="0"/>
        <w:kinsoku/>
        <w:wordWrap w:val="0"/>
        <w:overflowPunct/>
        <w:topLinePunct/>
        <w:bidi w:val="0"/>
        <w:spacing w:before="118" w:line="297" w:lineRule="auto"/>
        <w:ind w:left="11" w:right="31"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（8）施工现场总平面布置</w:t>
      </w:r>
      <w:r>
        <w:rPr>
          <w:rFonts w:hint="eastAsia" w:ascii="宋体" w:hAnsi="宋体" w:eastAsia="宋体" w:cs="宋体"/>
          <w:b/>
          <w:bCs/>
          <w:color w:val="000000" w:themeColor="text1"/>
          <w:spacing w:val="2"/>
          <w:sz w:val="24"/>
          <w:szCs w:val="24"/>
          <w:highlight w:val="none"/>
          <w14:textFill>
            <w14:solidFill>
              <w14:schemeClr w14:val="tx1"/>
            </w14:solidFill>
          </w14:textFill>
        </w:rPr>
        <w:t>（</w:t>
      </w:r>
      <w:bookmarkStart w:id="51" w:name="OLE_LINK8"/>
      <w:r>
        <w:rPr>
          <w:rFonts w:hint="eastAsia" w:ascii="宋体" w:hAnsi="宋体" w:eastAsia="宋体" w:cs="宋体"/>
          <w:b/>
          <w:bCs/>
          <w:color w:val="000000" w:themeColor="text1"/>
          <w:spacing w:val="2"/>
          <w:sz w:val="24"/>
          <w:szCs w:val="24"/>
          <w:highlight w:val="none"/>
          <w14:textFill>
            <w14:solidFill>
              <w14:schemeClr w14:val="tx1"/>
            </w14:solidFill>
          </w14:textFill>
        </w:rPr>
        <w:t>投标人应递交一份施工现场总</w:t>
      </w:r>
      <w:r>
        <w:rPr>
          <w:rFonts w:hint="eastAsia" w:ascii="宋体" w:hAnsi="宋体" w:eastAsia="宋体" w:cs="宋体"/>
          <w:b/>
          <w:bCs/>
          <w:color w:val="000000" w:themeColor="text1"/>
          <w:spacing w:val="1"/>
          <w:sz w:val="24"/>
          <w:szCs w:val="24"/>
          <w:highlight w:val="none"/>
          <w14:textFill>
            <w14:solidFill>
              <w14:schemeClr w14:val="tx1"/>
            </w14:solidFill>
          </w14:textFill>
        </w:rPr>
        <w:t>平面布置图，绘出现</w:t>
      </w:r>
      <w:r>
        <w:rPr>
          <w:rFonts w:hint="eastAsia" w:ascii="宋体" w:hAnsi="宋体" w:eastAsia="宋体" w:cs="宋体"/>
          <w:b/>
          <w:bCs/>
          <w:color w:val="000000" w:themeColor="text1"/>
          <w:spacing w:val="-1"/>
          <w:sz w:val="24"/>
          <w:szCs w:val="24"/>
          <w:highlight w:val="none"/>
          <w14:textFill>
            <w14:solidFill>
              <w14:schemeClr w14:val="tx1"/>
            </w14:solidFill>
          </w14:textFill>
        </w:rPr>
        <w:t>场临时设施布置图表并附文字说明，说明临时设施、加工车间、</w:t>
      </w:r>
      <w:r>
        <w:rPr>
          <w:rFonts w:hint="eastAsia" w:ascii="宋体" w:hAnsi="宋体" w:eastAsia="宋体" w:cs="宋体"/>
          <w:b/>
          <w:bCs/>
          <w:color w:val="000000" w:themeColor="text1"/>
          <w:spacing w:val="-2"/>
          <w:sz w:val="24"/>
          <w:szCs w:val="24"/>
          <w:highlight w:val="none"/>
          <w14:textFill>
            <w14:solidFill>
              <w14:schemeClr w14:val="tx1"/>
            </w14:solidFill>
          </w14:textFill>
        </w:rPr>
        <w:t>现场办公、设备及仓</w:t>
      </w:r>
      <w:r>
        <w:rPr>
          <w:rFonts w:hint="eastAsia" w:ascii="宋体" w:hAnsi="宋体" w:eastAsia="宋体" w:cs="宋体"/>
          <w:b/>
          <w:bCs/>
          <w:color w:val="000000" w:themeColor="text1"/>
          <w:spacing w:val="-1"/>
          <w:sz w:val="24"/>
          <w:szCs w:val="24"/>
          <w:highlight w:val="none"/>
          <w14:textFill>
            <w14:solidFill>
              <w14:schemeClr w14:val="tx1"/>
            </w14:solidFill>
          </w14:textFill>
        </w:rPr>
        <w:t>储、供电、供水、卫生、生活、道路、消防等设施的情况和布置</w:t>
      </w:r>
      <w:bookmarkEnd w:id="51"/>
      <w:r>
        <w:rPr>
          <w:rFonts w:hint="eastAsia" w:ascii="宋体" w:hAnsi="宋体" w:eastAsia="宋体" w:cs="宋体"/>
          <w:b/>
          <w:bCs/>
          <w:color w:val="000000" w:themeColor="text1"/>
          <w:spacing w:val="9"/>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w:t>
      </w:r>
    </w:p>
    <w:p w14:paraId="70FBB4CF">
      <w:pPr>
        <w:pageBreakBefore w:val="0"/>
        <w:kinsoku/>
        <w:wordWrap w:val="0"/>
        <w:overflowPunct/>
        <w:topLinePunct/>
        <w:bidi w:val="0"/>
        <w:spacing w:before="155" w:line="219" w:lineRule="auto"/>
        <w:ind w:left="50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（9）项目管理机构。</w:t>
      </w:r>
    </w:p>
    <w:p w14:paraId="4C6D6EBC">
      <w:pPr>
        <w:pageBreakBefore w:val="0"/>
        <w:kinsoku/>
        <w:wordWrap w:val="0"/>
        <w:overflowPunct/>
        <w:topLinePunct/>
        <w:bidi w:val="0"/>
        <w:spacing w:before="154" w:line="280" w:lineRule="auto"/>
        <w:ind w:right="211" w:firstLine="47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（10）投标人认为有必要补充的其他内容（例如对总包管理的认识以及对专业分</w:t>
      </w:r>
      <w:r>
        <w:rPr>
          <w:rFonts w:hint="eastAsia" w:ascii="宋体" w:hAnsi="宋体" w:eastAsia="宋体" w:cs="宋体"/>
          <w:color w:val="000000" w:themeColor="text1"/>
          <w:spacing w:val="-1"/>
          <w:sz w:val="24"/>
          <w:szCs w:val="24"/>
          <w:highlight w:val="none"/>
          <w14:textFill>
            <w14:solidFill>
              <w14:schemeClr w14:val="tx1"/>
            </w14:solidFill>
          </w14:textFill>
        </w:rPr>
        <w:t>包工程的管理、协调、配合、服务方案）。</w:t>
      </w:r>
    </w:p>
    <w:p w14:paraId="32D80BA5">
      <w:pPr>
        <w:pageBreakBefore w:val="0"/>
        <w:kinsoku/>
        <w:wordWrap w:val="0"/>
        <w:overflowPunct/>
        <w:topLinePunct/>
        <w:bidi w:val="0"/>
        <w:spacing w:before="152" w:line="279" w:lineRule="auto"/>
        <w:ind w:right="196" w:firstLine="474"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10.4.3 </w:t>
      </w:r>
      <w:r>
        <w:rPr>
          <w:rFonts w:hint="eastAsia" w:ascii="宋体" w:hAnsi="宋体" w:eastAsia="宋体" w:cs="宋体"/>
          <w:color w:val="000000" w:themeColor="text1"/>
          <w:spacing w:val="-2"/>
          <w:sz w:val="24"/>
          <w:szCs w:val="24"/>
          <w:highlight w:val="none"/>
          <w14:textFill>
            <w14:solidFill>
              <w14:schemeClr w14:val="tx1"/>
            </w14:solidFill>
          </w14:textFill>
        </w:rPr>
        <w:t>本节第</w:t>
      </w:r>
      <w:r>
        <w:rPr>
          <w:rFonts w:hint="eastAsia" w:ascii="宋体" w:hAnsi="宋体" w:eastAsia="宋体" w:cs="宋体"/>
          <w:b/>
          <w:bCs/>
          <w:color w:val="000000" w:themeColor="text1"/>
          <w:spacing w:val="-2"/>
          <w:sz w:val="24"/>
          <w:szCs w:val="24"/>
          <w:highlight w:val="none"/>
          <w14:textFill>
            <w14:solidFill>
              <w14:schemeClr w14:val="tx1"/>
            </w14:solidFill>
          </w14:textFill>
        </w:rPr>
        <w:t>10.4.2</w:t>
      </w:r>
      <w:r>
        <w:rPr>
          <w:rFonts w:hint="eastAsia" w:ascii="宋体" w:hAnsi="宋体" w:eastAsia="宋体" w:cs="宋体"/>
          <w:color w:val="000000" w:themeColor="text1"/>
          <w:spacing w:val="-2"/>
          <w:sz w:val="24"/>
          <w:szCs w:val="24"/>
          <w:highlight w:val="none"/>
          <w14:textFill>
            <w14:solidFill>
              <w14:schemeClr w14:val="tx1"/>
            </w14:solidFill>
          </w14:textFill>
        </w:rPr>
        <w:t>目中所列出</w:t>
      </w:r>
      <w:r>
        <w:rPr>
          <w:rFonts w:hint="eastAsia" w:ascii="宋体" w:hAnsi="宋体" w:eastAsia="宋体" w:cs="宋体"/>
          <w:color w:val="000000" w:themeColor="text1"/>
          <w:spacing w:val="-3"/>
          <w:sz w:val="24"/>
          <w:szCs w:val="24"/>
          <w:highlight w:val="none"/>
          <w14:textFill>
            <w14:solidFill>
              <w14:schemeClr w14:val="tx1"/>
            </w14:solidFill>
          </w14:textFill>
        </w:rPr>
        <w:t>的施工组织设计组成内容中，第（1）至第（9）</w:t>
      </w:r>
      <w:r>
        <w:rPr>
          <w:rFonts w:hint="eastAsia" w:ascii="宋体" w:hAnsi="宋体" w:eastAsia="宋体" w:cs="宋体"/>
          <w:color w:val="000000" w:themeColor="text1"/>
          <w:spacing w:val="-2"/>
          <w:sz w:val="24"/>
          <w:szCs w:val="24"/>
          <w:highlight w:val="none"/>
          <w14:textFill>
            <w14:solidFill>
              <w14:schemeClr w14:val="tx1"/>
            </w14:solidFill>
          </w14:textFill>
        </w:rPr>
        <w:t>项所有投标人均应提供。</w:t>
      </w:r>
    </w:p>
    <w:p w14:paraId="4F94C9FC">
      <w:pPr>
        <w:pageBreakBefore w:val="0"/>
        <w:kinsoku/>
        <w:wordWrap w:val="0"/>
        <w:overflowPunct/>
        <w:topLinePunct/>
        <w:bidi w:val="0"/>
        <w:spacing w:before="157" w:line="279" w:lineRule="auto"/>
        <w:ind w:right="211" w:firstLine="462" w:firstLineChars="200"/>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 xml:space="preserve">10.4.4 </w:t>
      </w:r>
      <w:r>
        <w:rPr>
          <w:rFonts w:hint="eastAsia" w:ascii="宋体" w:hAnsi="宋体" w:eastAsia="宋体" w:cs="宋体"/>
          <w:color w:val="000000" w:themeColor="text1"/>
          <w:spacing w:val="-5"/>
          <w:sz w:val="24"/>
          <w:szCs w:val="24"/>
          <w:highlight w:val="none"/>
          <w14:textFill>
            <w14:solidFill>
              <w14:schemeClr w14:val="tx1"/>
            </w14:solidFill>
          </w14:textFill>
        </w:rPr>
        <w:t>施工组织设计的组成内容按本节第10.4.2目规定的顺序整理、编排后，逐</w:t>
      </w:r>
      <w:r>
        <w:rPr>
          <w:rFonts w:hint="eastAsia" w:ascii="宋体" w:hAnsi="宋体" w:eastAsia="宋体" w:cs="宋体"/>
          <w:color w:val="000000" w:themeColor="text1"/>
          <w:spacing w:val="-1"/>
          <w:sz w:val="24"/>
          <w:szCs w:val="24"/>
          <w:highlight w:val="none"/>
          <w14:textFill>
            <w14:solidFill>
              <w14:schemeClr w14:val="tx1"/>
            </w14:solidFill>
          </w14:textFill>
        </w:rPr>
        <w:t>页（页码起始从封面开始）连续标记页码。</w:t>
      </w:r>
    </w:p>
    <w:p w14:paraId="1DD4CEDC">
      <w:pPr>
        <w:pageBreakBefore w:val="0"/>
        <w:kinsoku/>
        <w:wordWrap w:val="0"/>
        <w:overflowPunct/>
        <w:topLinePunct/>
        <w:bidi w:val="0"/>
        <w:ind w:firstLine="472"/>
        <w:outlineLvl w:val="9"/>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10.4.5</w:t>
      </w:r>
      <w:bookmarkStart w:id="52" w:name="OLE_LINK9"/>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施工组织设计的正文不得超过</w:t>
      </w:r>
      <w:r>
        <w:rPr>
          <w:rFonts w:hint="eastAsia" w:ascii="宋体" w:hAnsi="宋体" w:eastAsia="宋体" w:cs="宋体"/>
          <w:color w:val="000000" w:themeColor="text1"/>
          <w:spacing w:val="-1"/>
          <w:sz w:val="24"/>
          <w:szCs w:val="24"/>
          <w:highlight w:val="none"/>
          <w:u w:val="single"/>
          <w:lang w:val="en-US" w:eastAsia="zh-CN"/>
          <w14:textFill>
            <w14:solidFill>
              <w14:schemeClr w14:val="tx1"/>
            </w14:solidFill>
          </w14:textFill>
        </w:rPr>
        <w:t>150</w:t>
      </w:r>
      <w:r>
        <w:rPr>
          <w:rFonts w:hint="eastAsia" w:ascii="宋体" w:hAnsi="宋体" w:eastAsia="宋体" w:cs="宋体"/>
          <w:color w:val="000000" w:themeColor="text1"/>
          <w:spacing w:val="-1"/>
          <w:sz w:val="24"/>
          <w:szCs w:val="24"/>
          <w:highlight w:val="none"/>
          <w14:textFill>
            <w14:solidFill>
              <w14:schemeClr w14:val="tx1"/>
            </w14:solidFill>
          </w14:textFill>
        </w:rPr>
        <w:t>页</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bookmarkEnd w:id="52"/>
      <w:bookmarkStart w:id="53" w:name="bookmark121"/>
      <w:bookmarkEnd w:id="53"/>
    </w:p>
    <w:p w14:paraId="1510A114">
      <w:pPr>
        <w:keepNext w:val="0"/>
        <w:keepLines w:val="0"/>
        <w:pageBreakBefore w:val="0"/>
        <w:widowControl w:val="0"/>
        <w:kinsoku/>
        <w:wordWrap w:val="0"/>
        <w:overflowPunct/>
        <w:topLinePunct/>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pPr>
      <w:bookmarkStart w:id="54" w:name="_Toc20579"/>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10.5定标文件的编制要求：</w:t>
      </w:r>
    </w:p>
    <w:p w14:paraId="3C14DE63">
      <w:pPr>
        <w:keepNext w:val="0"/>
        <w:keepLines w:val="0"/>
        <w:pageBreakBefore w:val="0"/>
        <w:widowControl w:val="0"/>
        <w:kinsoku/>
        <w:wordWrap w:val="0"/>
        <w:overflowPunct/>
        <w:topLinePunct/>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0.5</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.1 </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定标文件</w:t>
      </w:r>
      <w:r>
        <w:rPr>
          <w:rFonts w:hint="eastAsia" w:ascii="宋体" w:hAnsi="宋体" w:eastAsia="宋体" w:cs="宋体"/>
          <w:snapToGrid w:val="0"/>
          <w:color w:val="000000" w:themeColor="text1"/>
          <w:kern w:val="0"/>
          <w:sz w:val="24"/>
          <w:szCs w:val="24"/>
          <w:highlight w:val="none"/>
          <w14:textFill>
            <w14:solidFill>
              <w14:schemeClr w14:val="tx1"/>
            </w14:solidFill>
          </w14:textFill>
        </w:rPr>
        <w:t>包括以下内容：</w:t>
      </w:r>
    </w:p>
    <w:bookmarkEnd w:id="54"/>
    <w:p w14:paraId="7CDAD766">
      <w:pPr>
        <w:keepNext w:val="0"/>
        <w:keepLines w:val="0"/>
        <w:pageBreakBefore w:val="0"/>
        <w:widowControl w:val="0"/>
        <w:kinsoku/>
        <w:wordWrap w:val="0"/>
        <w:overflowPunct/>
        <w:topLinePunct/>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lang w:val="en-US"/>
          <w14:textFill>
            <w14:solidFill>
              <w14:schemeClr w14:val="tx1"/>
            </w14:solidFill>
          </w14:textFill>
        </w:rPr>
      </w:pPr>
      <w:bookmarkStart w:id="55" w:name="_Toc21936"/>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1)封面（格式一）</w:t>
      </w:r>
    </w:p>
    <w:p w14:paraId="39EF3EF1">
      <w:pPr>
        <w:keepNext w:val="0"/>
        <w:keepLines w:val="0"/>
        <w:pageBreakBefore w:val="0"/>
        <w:widowControl w:val="0"/>
        <w:kinsoku/>
        <w:wordWrap w:val="0"/>
        <w:overflowPunct/>
        <w:topLinePunct/>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（2）目录；</w:t>
      </w:r>
    </w:p>
    <w:p w14:paraId="262CD743">
      <w:pPr>
        <w:keepNext w:val="0"/>
        <w:keepLines w:val="0"/>
        <w:pageBreakBefore w:val="0"/>
        <w:widowControl w:val="0"/>
        <w:kinsoku/>
        <w:wordWrap w:val="0"/>
        <w:overflowPunct/>
        <w:topLinePunct/>
        <w:autoSpaceDE/>
        <w:autoSpaceDN/>
        <w:bidi w:val="0"/>
        <w:adjustRightInd/>
        <w:snapToGrid/>
        <w:spacing w:line="400" w:lineRule="exact"/>
        <w:ind w:firstLine="480" w:firstLineChars="200"/>
        <w:textAlignment w:val="baseline"/>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（3）定标因素评审资料（格式十六）</w:t>
      </w:r>
    </w:p>
    <w:p w14:paraId="493DBFFF">
      <w:pPr>
        <w:pStyle w:val="8"/>
        <w:pageBreakBefore w:val="0"/>
        <w:kinsoku/>
        <w:wordWrap w:val="0"/>
        <w:overflowPunct/>
        <w:topLinePunct/>
        <w:bidi w:val="0"/>
        <w:ind w:firstLine="482" w:firstLineChars="200"/>
        <w:rPr>
          <w:rFonts w:hint="eastAsia" w:ascii="宋体" w:hAnsi="宋体" w:eastAsia="宋体" w:cs="宋体"/>
          <w:b/>
          <w:bCs/>
          <w:color w:val="000000" w:themeColor="text1"/>
          <w:highlight w:val="none"/>
          <w:lang w:val="en-US"/>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lang w:val="en-US" w:eastAsia="zh-CN"/>
          <w14:textFill>
            <w14:solidFill>
              <w14:schemeClr w14:val="tx1"/>
            </w14:solidFill>
          </w14:textFill>
        </w:rPr>
        <w:t>10.5.2</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本节第10.5.1目中所列出的组成内容中，第（1）项所有投标人均应提供。</w:t>
      </w:r>
    </w:p>
    <w:p w14:paraId="4CE15386">
      <w:pPr>
        <w:pageBreakBefore w:val="0"/>
        <w:kinsoku/>
        <w:wordWrap w:val="0"/>
        <w:overflowPunct/>
        <w:topLinePunct/>
        <w:bidi w:val="0"/>
        <w:spacing w:before="78" w:line="221"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56" w:name="_Toc20574"/>
      <w:r>
        <w:rPr>
          <w:rFonts w:hint="eastAsia" w:ascii="宋体" w:hAnsi="宋体" w:eastAsia="宋体" w:cs="宋体"/>
          <w:b/>
          <w:bCs/>
          <w:color w:val="000000" w:themeColor="text1"/>
          <w:spacing w:val="-9"/>
          <w:sz w:val="24"/>
          <w:szCs w:val="24"/>
          <w:highlight w:val="none"/>
          <w14:textFill>
            <w14:solidFill>
              <w14:schemeClr w14:val="tx1"/>
            </w14:solidFill>
          </w14:textFill>
        </w:rPr>
        <w:t>11.</w:t>
      </w:r>
      <w:r>
        <w:rPr>
          <w:rFonts w:hint="eastAsia" w:ascii="宋体" w:hAnsi="宋体" w:eastAsia="宋体" w:cs="宋体"/>
          <w:color w:val="000000" w:themeColor="text1"/>
          <w:spacing w:val="-9"/>
          <w:sz w:val="24"/>
          <w:szCs w:val="24"/>
          <w:highlight w:val="none"/>
          <w14:textFill>
            <w14:solidFill>
              <w14:schemeClr w14:val="tx1"/>
            </w14:solidFill>
          </w14:textFill>
        </w:rPr>
        <w:t>电子投标：</w:t>
      </w:r>
      <w:bookmarkEnd w:id="55"/>
      <w:bookmarkEnd w:id="56"/>
    </w:p>
    <w:p w14:paraId="1C481B62">
      <w:pPr>
        <w:pageBreakBefore w:val="0"/>
        <w:kinsoku/>
        <w:wordWrap w:val="0"/>
        <w:overflowPunct/>
        <w:topLinePunct/>
        <w:bidi w:val="0"/>
        <w:spacing w:before="112" w:line="295" w:lineRule="auto"/>
        <w:ind w:left="10" w:firstLine="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11.1 </w:t>
      </w:r>
      <w:r>
        <w:rPr>
          <w:rFonts w:hint="eastAsia" w:ascii="宋体" w:hAnsi="宋体" w:eastAsia="宋体" w:cs="宋体"/>
          <w:color w:val="000000" w:themeColor="text1"/>
          <w:spacing w:val="-3"/>
          <w:sz w:val="24"/>
          <w:szCs w:val="24"/>
          <w:highlight w:val="none"/>
          <w14:textFill>
            <w14:solidFill>
              <w14:schemeClr w14:val="tx1"/>
            </w14:solidFill>
          </w14:textFill>
        </w:rPr>
        <w:t>在建设工程交易系统上传加盖了电子印章的投标文件、录入相关信息及标书</w:t>
      </w:r>
      <w:r>
        <w:rPr>
          <w:rFonts w:hint="eastAsia" w:ascii="宋体" w:hAnsi="宋体" w:eastAsia="宋体" w:cs="宋体"/>
          <w:color w:val="000000" w:themeColor="text1"/>
          <w:spacing w:val="2"/>
          <w:sz w:val="24"/>
          <w:szCs w:val="24"/>
          <w:highlight w:val="none"/>
          <w14:textFill>
            <w14:solidFill>
              <w14:schemeClr w14:val="tx1"/>
            </w14:solidFill>
          </w14:textFill>
        </w:rPr>
        <w:t>页码信息</w:t>
      </w:r>
      <w:r>
        <w:rPr>
          <w:rFonts w:hint="eastAsia" w:ascii="宋体" w:hAnsi="宋体" w:eastAsia="宋体" w:cs="宋体"/>
          <w:color w:val="000000" w:themeColor="text1"/>
          <w:spacing w:val="-25"/>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页码起始从封面开始）并提交投标标书。提交标书为已加密投标文件。</w:t>
      </w:r>
      <w:r>
        <w:rPr>
          <w:rFonts w:hint="eastAsia" w:ascii="宋体" w:hAnsi="宋体" w:eastAsia="宋体" w:cs="宋体"/>
          <w:color w:val="000000" w:themeColor="text1"/>
          <w:spacing w:val="-2"/>
          <w:sz w:val="24"/>
          <w:szCs w:val="24"/>
          <w:highlight w:val="none"/>
          <w14:textFill>
            <w14:solidFill>
              <w14:schemeClr w14:val="tx1"/>
            </w14:solidFill>
          </w14:textFill>
        </w:rPr>
        <w:t>具体操作参照《韶关市公共资源建设工程交易系统-投标人操</w:t>
      </w:r>
      <w:r>
        <w:rPr>
          <w:rFonts w:hint="eastAsia" w:ascii="宋体" w:hAnsi="宋体" w:eastAsia="宋体" w:cs="宋体"/>
          <w:color w:val="000000" w:themeColor="text1"/>
          <w:spacing w:val="-3"/>
          <w:sz w:val="24"/>
          <w:szCs w:val="24"/>
          <w:highlight w:val="none"/>
          <w14:textFill>
            <w14:solidFill>
              <w14:schemeClr w14:val="tx1"/>
            </w14:solidFill>
          </w14:textFill>
        </w:rPr>
        <w:t>作指南（电子评标）》。</w:t>
      </w:r>
      <w:r>
        <w:rPr>
          <w:rFonts w:hint="eastAsia" w:ascii="宋体" w:hAnsi="宋体" w:eastAsia="宋体" w:cs="宋体"/>
          <w:color w:val="000000" w:themeColor="text1"/>
          <w:spacing w:val="-1"/>
          <w:sz w:val="24"/>
          <w:szCs w:val="24"/>
          <w:highlight w:val="none"/>
          <w14:textFill>
            <w14:solidFill>
              <w14:schemeClr w14:val="tx1"/>
            </w14:solidFill>
          </w14:textFill>
        </w:rPr>
        <w:t>本项目评标采用全流程电子化进行招标投标（投标人应根据</w:t>
      </w:r>
      <w:r>
        <w:rPr>
          <w:rFonts w:hint="eastAsia" w:ascii="宋体" w:hAnsi="宋体" w:eastAsia="宋体" w:cs="宋体"/>
          <w:color w:val="000000" w:themeColor="text1"/>
          <w:spacing w:val="-2"/>
          <w:sz w:val="24"/>
          <w:szCs w:val="24"/>
          <w:highlight w:val="none"/>
          <w14:textFill>
            <w14:solidFill>
              <w14:schemeClr w14:val="tx1"/>
            </w14:solidFill>
          </w14:textFill>
        </w:rPr>
        <w:t>韶关市公共资源建设工程</w:t>
      </w:r>
      <w:r>
        <w:rPr>
          <w:rFonts w:hint="eastAsia" w:ascii="宋体" w:hAnsi="宋体" w:eastAsia="宋体" w:cs="宋体"/>
          <w:color w:val="000000" w:themeColor="text1"/>
          <w:spacing w:val="-1"/>
          <w:sz w:val="24"/>
          <w:szCs w:val="24"/>
          <w:highlight w:val="none"/>
          <w14:textFill>
            <w14:solidFill>
              <w14:schemeClr w14:val="tx1"/>
            </w14:solidFill>
          </w14:textFill>
        </w:rPr>
        <w:t>交易系统进行编辑投标相关内容、按招标文件电子投标要求</w:t>
      </w:r>
      <w:r>
        <w:rPr>
          <w:rFonts w:hint="eastAsia" w:ascii="宋体" w:hAnsi="宋体" w:eastAsia="宋体" w:cs="宋体"/>
          <w:color w:val="000000" w:themeColor="text1"/>
          <w:spacing w:val="-2"/>
          <w:sz w:val="24"/>
          <w:szCs w:val="24"/>
          <w:highlight w:val="none"/>
          <w14:textFill>
            <w14:solidFill>
              <w14:schemeClr w14:val="tx1"/>
            </w14:solidFill>
          </w14:textFill>
        </w:rPr>
        <w:t>上传已加盖电子印章投标</w:t>
      </w:r>
      <w:r>
        <w:rPr>
          <w:rFonts w:hint="eastAsia" w:ascii="宋体" w:hAnsi="宋体" w:eastAsia="宋体" w:cs="宋体"/>
          <w:color w:val="000000" w:themeColor="text1"/>
          <w:spacing w:val="-1"/>
          <w:sz w:val="24"/>
          <w:szCs w:val="24"/>
          <w:highlight w:val="none"/>
          <w14:textFill>
            <w14:solidFill>
              <w14:schemeClr w14:val="tx1"/>
            </w14:solidFill>
          </w14:textFill>
        </w:rPr>
        <w:t>文件，否则将自行承担不利后果）。投标文件完成上传后，投标人应</w:t>
      </w:r>
      <w:r>
        <w:rPr>
          <w:rFonts w:hint="eastAsia" w:ascii="宋体" w:hAnsi="宋体" w:eastAsia="宋体" w:cs="宋体"/>
          <w:color w:val="000000" w:themeColor="text1"/>
          <w:spacing w:val="-2"/>
          <w:sz w:val="24"/>
          <w:szCs w:val="24"/>
          <w:highlight w:val="none"/>
          <w14:textFill>
            <w14:solidFill>
              <w14:schemeClr w14:val="tx1"/>
            </w14:solidFill>
          </w14:textFill>
        </w:rPr>
        <w:t>使用CA数字证</w:t>
      </w:r>
      <w:r>
        <w:rPr>
          <w:rFonts w:hint="eastAsia" w:ascii="宋体" w:hAnsi="宋体" w:eastAsia="宋体" w:cs="宋体"/>
          <w:color w:val="000000" w:themeColor="text1"/>
          <w:spacing w:val="-1"/>
          <w:sz w:val="24"/>
          <w:szCs w:val="24"/>
          <w:highlight w:val="none"/>
          <w14:textFill>
            <w14:solidFill>
              <w14:schemeClr w14:val="tx1"/>
            </w14:solidFill>
          </w14:textFill>
        </w:rPr>
        <w:t>书对投标文件进行文件加密，形成加密的投标文件并提交标书。</w:t>
      </w:r>
    </w:p>
    <w:p w14:paraId="2D123AE3">
      <w:pPr>
        <w:pageBreakBefore w:val="0"/>
        <w:kinsoku/>
        <w:wordWrap w:val="0"/>
        <w:overflowPunct/>
        <w:topLinePunct/>
        <w:bidi w:val="0"/>
        <w:spacing w:before="115" w:line="286" w:lineRule="auto"/>
        <w:ind w:left="10" w:right="81" w:firstLine="48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11.2</w:t>
      </w:r>
      <w:r>
        <w:rPr>
          <w:rFonts w:hint="eastAsia" w:ascii="宋体" w:hAnsi="宋体" w:eastAsia="宋体" w:cs="宋体"/>
          <w:b/>
          <w:bCs/>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电子投标文件的修改、撤回：在提交投标文件截止时间前，投标人可</w:t>
      </w:r>
      <w:r>
        <w:rPr>
          <w:rFonts w:hint="eastAsia" w:ascii="宋体" w:hAnsi="宋体" w:eastAsia="宋体" w:cs="宋体"/>
          <w:color w:val="000000" w:themeColor="text1"/>
          <w:spacing w:val="-5"/>
          <w:sz w:val="24"/>
          <w:szCs w:val="24"/>
          <w:highlight w:val="none"/>
          <w14:textFill>
            <w14:solidFill>
              <w14:schemeClr w14:val="tx1"/>
            </w14:solidFill>
          </w14:textFill>
        </w:rPr>
        <w:t>以修改</w:t>
      </w:r>
      <w:r>
        <w:rPr>
          <w:rFonts w:hint="eastAsia" w:ascii="宋体" w:hAnsi="宋体" w:eastAsia="宋体" w:cs="宋体"/>
          <w:color w:val="000000" w:themeColor="text1"/>
          <w:spacing w:val="-1"/>
          <w:sz w:val="24"/>
          <w:szCs w:val="24"/>
          <w:highlight w:val="none"/>
          <w14:textFill>
            <w14:solidFill>
              <w14:schemeClr w14:val="tx1"/>
            </w14:solidFill>
          </w14:textFill>
        </w:rPr>
        <w:t>或撤回未解密的电子投标文件，并于提交投标文件截止时间</w:t>
      </w:r>
      <w:r>
        <w:rPr>
          <w:rFonts w:hint="eastAsia" w:ascii="宋体" w:hAnsi="宋体" w:eastAsia="宋体" w:cs="宋体"/>
          <w:color w:val="000000" w:themeColor="text1"/>
          <w:spacing w:val="-2"/>
          <w:sz w:val="24"/>
          <w:szCs w:val="24"/>
          <w:highlight w:val="none"/>
          <w14:textFill>
            <w14:solidFill>
              <w14:schemeClr w14:val="tx1"/>
            </w14:solidFill>
          </w14:textFill>
        </w:rPr>
        <w:t>前将重新上传修改后的电</w:t>
      </w:r>
      <w:r>
        <w:rPr>
          <w:rFonts w:hint="eastAsia" w:ascii="宋体" w:hAnsi="宋体" w:eastAsia="宋体" w:cs="宋体"/>
          <w:color w:val="000000" w:themeColor="text1"/>
          <w:spacing w:val="-1"/>
          <w:sz w:val="24"/>
          <w:szCs w:val="24"/>
          <w:highlight w:val="none"/>
          <w14:textFill>
            <w14:solidFill>
              <w14:schemeClr w14:val="tx1"/>
            </w14:solidFill>
          </w14:textFill>
        </w:rPr>
        <w:t>子投标文件至系统，到达投标文件提交截止时间后投标人不</w:t>
      </w:r>
      <w:r>
        <w:rPr>
          <w:rFonts w:hint="eastAsia" w:ascii="宋体" w:hAnsi="宋体" w:eastAsia="宋体" w:cs="宋体"/>
          <w:color w:val="000000" w:themeColor="text1"/>
          <w:spacing w:val="-2"/>
          <w:sz w:val="24"/>
          <w:szCs w:val="24"/>
          <w:highlight w:val="none"/>
          <w14:textFill>
            <w14:solidFill>
              <w14:schemeClr w14:val="tx1"/>
            </w14:solidFill>
          </w14:textFill>
        </w:rPr>
        <w:t>得撤回、补充、修改和更换投标文件。</w:t>
      </w:r>
    </w:p>
    <w:p w14:paraId="4F4178A9">
      <w:pPr>
        <w:pageBreakBefore w:val="0"/>
        <w:numPr>
          <w:ilvl w:val="0"/>
          <w:numId w:val="0"/>
        </w:numPr>
        <w:kinsoku/>
        <w:wordWrap w:val="0"/>
        <w:overflowPunct/>
        <w:topLinePunct/>
        <w:bidi w:val="0"/>
        <w:spacing w:before="78" w:line="220" w:lineRule="auto"/>
        <w:ind w:firstLine="446" w:firstLineChars="200"/>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57" w:name="_Toc8101"/>
      <w:r>
        <w:rPr>
          <w:rFonts w:hint="eastAsia" w:ascii="宋体" w:hAnsi="宋体" w:eastAsia="宋体" w:cs="宋体"/>
          <w:b/>
          <w:bCs/>
          <w:color w:val="000000" w:themeColor="text1"/>
          <w:spacing w:val="-9"/>
          <w:sz w:val="24"/>
          <w:szCs w:val="24"/>
          <w:highlight w:val="none"/>
          <w:lang w:val="en-US" w:eastAsia="zh-CN"/>
          <w14:textFill>
            <w14:solidFill>
              <w14:schemeClr w14:val="tx1"/>
            </w14:solidFill>
          </w14:textFill>
        </w:rPr>
        <w:t>12.</w:t>
      </w:r>
      <w:bookmarkStart w:id="58" w:name="_Toc29834"/>
      <w:r>
        <w:rPr>
          <w:rFonts w:hint="eastAsia" w:ascii="宋体" w:hAnsi="宋体" w:eastAsia="宋体" w:cs="宋体"/>
          <w:b/>
          <w:bCs/>
          <w:color w:val="000000" w:themeColor="text1"/>
          <w:spacing w:val="-4"/>
          <w:sz w:val="24"/>
          <w:szCs w:val="24"/>
          <w:highlight w:val="none"/>
          <w14:textFill>
            <w14:solidFill>
              <w14:schemeClr w14:val="tx1"/>
            </w14:solidFill>
          </w14:textFill>
        </w:rPr>
        <w:t>电子投标及投标解密失败及突发情况的补救方案</w:t>
      </w:r>
      <w:bookmarkEnd w:id="57"/>
      <w:bookmarkEnd w:id="58"/>
    </w:p>
    <w:p w14:paraId="60B730A5">
      <w:pPr>
        <w:keepNext w:val="0"/>
        <w:keepLines w:val="0"/>
        <w:pageBreakBefore w:val="0"/>
        <w:widowControl/>
        <w:kinsoku/>
        <w:wordWrap w:val="0"/>
        <w:overflowPunct/>
        <w:topLinePunct/>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12.1 </w:t>
      </w:r>
      <w:r>
        <w:rPr>
          <w:rFonts w:hint="eastAsia" w:ascii="宋体" w:hAnsi="宋体" w:eastAsia="宋体" w:cs="宋体"/>
          <w:color w:val="000000" w:themeColor="text1"/>
          <w:spacing w:val="-1"/>
          <w:sz w:val="24"/>
          <w:szCs w:val="24"/>
          <w:highlight w:val="none"/>
          <w14:textFill>
            <w14:solidFill>
              <w14:schemeClr w14:val="tx1"/>
            </w14:solidFill>
          </w14:textFill>
        </w:rPr>
        <w:t>按照交易平台关于全流程电子化项目的相</w:t>
      </w:r>
      <w:r>
        <w:rPr>
          <w:rFonts w:hint="eastAsia" w:ascii="宋体" w:hAnsi="宋体" w:eastAsia="宋体" w:cs="宋体"/>
          <w:color w:val="000000" w:themeColor="text1"/>
          <w:spacing w:val="-2"/>
          <w:sz w:val="24"/>
          <w:szCs w:val="24"/>
          <w:highlight w:val="none"/>
          <w14:textFill>
            <w14:solidFill>
              <w14:schemeClr w14:val="tx1"/>
            </w14:solidFill>
          </w14:textFill>
        </w:rPr>
        <w:t>关指南进行操作。详见：全国公共</w:t>
      </w:r>
      <w:r>
        <w:rPr>
          <w:rFonts w:hint="eastAsia" w:ascii="宋体" w:hAnsi="宋体" w:eastAsia="宋体" w:cs="宋体"/>
          <w:color w:val="000000" w:themeColor="text1"/>
          <w:spacing w:val="-1"/>
          <w:sz w:val="24"/>
          <w:szCs w:val="24"/>
          <w:highlight w:val="none"/>
          <w14:textFill>
            <w14:solidFill>
              <w14:schemeClr w14:val="tx1"/>
            </w14:solidFill>
          </w14:textFill>
        </w:rPr>
        <w:t>资源交易平台（广东省·韶关市</w:t>
      </w:r>
      <w:r>
        <w:rPr>
          <w:rFonts w:hint="eastAsia" w:ascii="宋体" w:hAnsi="宋体" w:eastAsia="宋体" w:cs="宋体"/>
          <w:color w:val="000000" w:themeColor="text1"/>
          <w:spacing w:val="-26"/>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https</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//y</w:t>
      </w:r>
      <w:r>
        <w:rPr>
          <w:rFonts w:hint="eastAsia" w:ascii="宋体" w:hAnsi="宋体" w:eastAsia="宋体" w:cs="宋体"/>
          <w:color w:val="000000" w:themeColor="text1"/>
          <w:spacing w:val="-2"/>
          <w:sz w:val="24"/>
          <w:szCs w:val="24"/>
          <w:highlight w:val="none"/>
          <w14:textFill>
            <w14:solidFill>
              <w14:schemeClr w14:val="tx1"/>
            </w14:solidFill>
          </w14:textFill>
        </w:rPr>
        <w:t>gp.gdzwfw.gov.cn/ggzy-portal/#/44</w:t>
      </w:r>
      <w:r>
        <w:rPr>
          <w:rFonts w:hint="eastAsia" w:ascii="宋体" w:hAnsi="宋体" w:eastAsia="宋体" w:cs="宋体"/>
          <w:color w:val="000000" w:themeColor="text1"/>
          <w:spacing w:val="-1"/>
          <w:sz w:val="24"/>
          <w:szCs w:val="24"/>
          <w:highlight w:val="none"/>
          <w14:textFill>
            <w14:solidFill>
              <w14:schemeClr w14:val="tx1"/>
            </w14:solidFill>
          </w14:textFill>
        </w:rPr>
        <w:t>0200/index）服务指南栏目发布的最新版操作指引。</w:t>
      </w:r>
    </w:p>
    <w:p w14:paraId="1E0E911C">
      <w:pPr>
        <w:pageBreakBefore w:val="0"/>
        <w:kinsoku/>
        <w:wordWrap w:val="0"/>
        <w:overflowPunct/>
        <w:topLinePunct/>
        <w:bidi w:val="0"/>
        <w:spacing w:before="113"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12.2 </w:t>
      </w:r>
      <w:r>
        <w:rPr>
          <w:rFonts w:hint="eastAsia" w:ascii="宋体" w:hAnsi="宋体" w:eastAsia="宋体" w:cs="宋体"/>
          <w:color w:val="000000" w:themeColor="text1"/>
          <w:spacing w:val="-2"/>
          <w:sz w:val="24"/>
          <w:szCs w:val="24"/>
          <w:highlight w:val="none"/>
          <w14:textFill>
            <w14:solidFill>
              <w14:schemeClr w14:val="tx1"/>
            </w14:solidFill>
          </w14:textFill>
        </w:rPr>
        <w:t>补救方案：</w:t>
      </w:r>
    </w:p>
    <w:p w14:paraId="65320B9C">
      <w:pPr>
        <w:pageBreakBefore w:val="0"/>
        <w:kinsoku/>
        <w:wordWrap w:val="0"/>
        <w:overflowPunct/>
        <w:topLinePunct/>
        <w:bidi w:val="0"/>
        <w:spacing w:before="115"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12.2.1 </w:t>
      </w:r>
      <w:r>
        <w:rPr>
          <w:rFonts w:hint="eastAsia" w:ascii="宋体" w:hAnsi="宋体" w:eastAsia="宋体" w:cs="宋体"/>
          <w:color w:val="000000" w:themeColor="text1"/>
          <w:spacing w:val="-1"/>
          <w:sz w:val="24"/>
          <w:szCs w:val="24"/>
          <w:highlight w:val="none"/>
          <w14:textFill>
            <w14:solidFill>
              <w14:schemeClr w14:val="tx1"/>
            </w14:solidFill>
          </w14:textFill>
        </w:rPr>
        <w:t>投标文件解密失败的补救方案：</w:t>
      </w:r>
    </w:p>
    <w:p w14:paraId="6FEA6E64">
      <w:pPr>
        <w:pageBreakBefore w:val="0"/>
        <w:kinsoku/>
        <w:wordWrap w:val="0"/>
        <w:overflowPunct/>
        <w:topLinePunct/>
        <w:bidi w:val="0"/>
        <w:spacing w:before="115" w:line="298" w:lineRule="auto"/>
        <w:ind w:right="81" w:firstLine="488"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000000" w:themeColor="text1"/>
          <w:spacing w:val="1"/>
          <w:sz w:val="24"/>
          <w:szCs w:val="24"/>
          <w:highlight w:val="none"/>
          <w14:textFill>
            <w14:solidFill>
              <w14:schemeClr w14:val="tx1"/>
            </w14:solidFill>
          </w14:textFill>
        </w:rPr>
        <w:t>解密失败投标人可在建设工程交易系统在规定时间（代理机构授权后30分钟内）内</w:t>
      </w:r>
      <w:bookmarkStart w:id="59" w:name="bookmark122"/>
      <w:bookmarkEnd w:id="59"/>
      <w:r>
        <w:rPr>
          <w:rFonts w:hint="eastAsia" w:ascii="宋体" w:hAnsi="宋体" w:eastAsia="宋体" w:cs="宋体"/>
          <w:color w:val="000000" w:themeColor="text1"/>
          <w:spacing w:val="-1"/>
          <w:sz w:val="24"/>
          <w:szCs w:val="24"/>
          <w:highlight w:val="none"/>
          <w14:textFill>
            <w14:solidFill>
              <w14:schemeClr w14:val="tx1"/>
            </w14:solidFill>
          </w14:textFill>
        </w:rPr>
        <w:t>重新提交投标文件继续开标程序。</w:t>
      </w:r>
    </w:p>
    <w:p w14:paraId="1F8BC5B2">
      <w:pPr>
        <w:pageBreakBefore w:val="0"/>
        <w:kinsoku/>
        <w:wordWrap w:val="0"/>
        <w:overflowPunct/>
        <w:topLinePunct/>
        <w:bidi w:val="0"/>
        <w:spacing w:before="114"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12.2.2 </w:t>
      </w:r>
      <w:r>
        <w:rPr>
          <w:rFonts w:hint="eastAsia" w:ascii="宋体" w:hAnsi="宋体" w:eastAsia="宋体" w:cs="宋体"/>
          <w:color w:val="000000" w:themeColor="text1"/>
          <w:spacing w:val="-1"/>
          <w:sz w:val="24"/>
          <w:szCs w:val="24"/>
          <w:highlight w:val="none"/>
          <w14:textFill>
            <w14:solidFill>
              <w14:schemeClr w14:val="tx1"/>
            </w14:solidFill>
          </w14:textFill>
        </w:rPr>
        <w:t>评标时突发情况的补救方案</w:t>
      </w:r>
    </w:p>
    <w:p w14:paraId="6371BC31">
      <w:pPr>
        <w:pageBreakBefore w:val="0"/>
        <w:kinsoku/>
        <w:wordWrap w:val="0"/>
        <w:overflowPunct/>
        <w:topLinePunct/>
        <w:bidi w:val="0"/>
        <w:spacing w:before="114" w:line="303" w:lineRule="auto"/>
        <w:ind w:right="81" w:firstLine="476"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在评标过程中，因主场或副场网络故障、电子设备或者</w:t>
      </w:r>
      <w:r>
        <w:rPr>
          <w:rFonts w:hint="eastAsia" w:ascii="宋体" w:hAnsi="宋体" w:eastAsia="宋体" w:cs="宋体"/>
          <w:color w:val="000000" w:themeColor="text1"/>
          <w:spacing w:val="-2"/>
          <w:sz w:val="24"/>
          <w:szCs w:val="24"/>
          <w:highlight w:val="none"/>
          <w14:textFill>
            <w14:solidFill>
              <w14:schemeClr w14:val="tx1"/>
            </w14:solidFill>
          </w14:textFill>
        </w:rPr>
        <w:t>评标系统故障，以及其他</w:t>
      </w:r>
      <w:r>
        <w:rPr>
          <w:rFonts w:hint="eastAsia" w:ascii="宋体" w:hAnsi="宋体" w:eastAsia="宋体" w:cs="宋体"/>
          <w:color w:val="000000" w:themeColor="text1"/>
          <w:spacing w:val="-3"/>
          <w:sz w:val="24"/>
          <w:szCs w:val="24"/>
          <w:highlight w:val="none"/>
          <w14:textFill>
            <w14:solidFill>
              <w14:schemeClr w14:val="tx1"/>
            </w14:solidFill>
          </w14:textFill>
        </w:rPr>
        <w:t>原因导致无法继续进行评标时，在4小时以内解除故障的可继续评标，超过4小时无</w:t>
      </w:r>
      <w:r>
        <w:rPr>
          <w:rFonts w:hint="eastAsia" w:ascii="宋体" w:hAnsi="宋体" w:eastAsia="宋体" w:cs="宋体"/>
          <w:color w:val="000000" w:themeColor="text1"/>
          <w:spacing w:val="-1"/>
          <w:sz w:val="24"/>
          <w:szCs w:val="24"/>
          <w:highlight w:val="none"/>
          <w14:textFill>
            <w14:solidFill>
              <w14:schemeClr w14:val="tx1"/>
            </w14:solidFill>
          </w14:textFill>
        </w:rPr>
        <w:t>法解除故障的，由招标人确定是否进行评标。如延期评标，</w:t>
      </w:r>
      <w:r>
        <w:rPr>
          <w:rFonts w:hint="eastAsia" w:ascii="宋体" w:hAnsi="宋体" w:eastAsia="宋体" w:cs="宋体"/>
          <w:color w:val="000000" w:themeColor="text1"/>
          <w:spacing w:val="-2"/>
          <w:sz w:val="24"/>
          <w:szCs w:val="24"/>
          <w:highlight w:val="none"/>
          <w14:textFill>
            <w14:solidFill>
              <w14:schemeClr w14:val="tx1"/>
            </w14:solidFill>
          </w14:textFill>
        </w:rPr>
        <w:t>招标人及参与评标活动的</w:t>
      </w:r>
      <w:r>
        <w:rPr>
          <w:rFonts w:hint="eastAsia" w:ascii="宋体" w:hAnsi="宋体" w:eastAsia="宋体" w:cs="宋体"/>
          <w:color w:val="000000" w:themeColor="text1"/>
          <w:spacing w:val="-1"/>
          <w:sz w:val="24"/>
          <w:szCs w:val="24"/>
          <w:highlight w:val="none"/>
          <w14:textFill>
            <w14:solidFill>
              <w14:schemeClr w14:val="tx1"/>
            </w14:solidFill>
          </w14:textFill>
        </w:rPr>
        <w:t>各方主体及其有关工作人员应当配合主场、副场做好招投标</w:t>
      </w:r>
      <w:r>
        <w:rPr>
          <w:rFonts w:hint="eastAsia" w:ascii="宋体" w:hAnsi="宋体" w:eastAsia="宋体" w:cs="宋体"/>
          <w:color w:val="000000" w:themeColor="text1"/>
          <w:spacing w:val="-2"/>
          <w:sz w:val="24"/>
          <w:szCs w:val="24"/>
          <w:highlight w:val="none"/>
          <w14:textFill>
            <w14:solidFill>
              <w14:schemeClr w14:val="tx1"/>
            </w14:solidFill>
          </w14:textFill>
        </w:rPr>
        <w:t>资料的封存和保密工作，</w:t>
      </w:r>
      <w:r>
        <w:rPr>
          <w:rFonts w:hint="eastAsia" w:ascii="宋体" w:hAnsi="宋体" w:eastAsia="宋体" w:cs="宋体"/>
          <w:color w:val="000000" w:themeColor="text1"/>
          <w:spacing w:val="-1"/>
          <w:sz w:val="24"/>
          <w:szCs w:val="24"/>
          <w:highlight w:val="none"/>
          <w14:textFill>
            <w14:solidFill>
              <w14:schemeClr w14:val="tx1"/>
            </w14:solidFill>
          </w14:textFill>
        </w:rPr>
        <w:t>另行组建评标委员会重新评标。原评标委员会成员应当对评</w:t>
      </w:r>
      <w:r>
        <w:rPr>
          <w:rFonts w:hint="eastAsia" w:ascii="宋体" w:hAnsi="宋体" w:eastAsia="宋体" w:cs="宋体"/>
          <w:color w:val="000000" w:themeColor="text1"/>
          <w:spacing w:val="-2"/>
          <w:sz w:val="24"/>
          <w:szCs w:val="24"/>
          <w:highlight w:val="none"/>
          <w14:textFill>
            <w14:solidFill>
              <w14:schemeClr w14:val="tx1"/>
            </w14:solidFill>
          </w14:textFill>
        </w:rPr>
        <w:t>标情况保密，不得对外透</w:t>
      </w:r>
      <w:r>
        <w:rPr>
          <w:rFonts w:hint="eastAsia" w:ascii="宋体" w:hAnsi="宋体" w:eastAsia="宋体" w:cs="宋体"/>
          <w:color w:val="000000" w:themeColor="text1"/>
          <w:spacing w:val="-1"/>
          <w:sz w:val="24"/>
          <w:szCs w:val="24"/>
          <w:highlight w:val="none"/>
          <w14:textFill>
            <w14:solidFill>
              <w14:schemeClr w14:val="tx1"/>
            </w14:solidFill>
          </w14:textFill>
        </w:rPr>
        <w:t>露与评标有关的任何信息与情况。</w:t>
      </w:r>
    </w:p>
    <w:p w14:paraId="33C2AB2E">
      <w:pPr>
        <w:pageBreakBefore w:val="0"/>
        <w:kinsoku/>
        <w:wordWrap w:val="0"/>
        <w:overflowPunct/>
        <w:topLinePunct/>
        <w:bidi w:val="0"/>
        <w:spacing w:before="69" w:line="324" w:lineRule="auto"/>
        <w:ind w:left="11" w:right="81" w:firstLine="48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12.2.3 </w:t>
      </w:r>
      <w:r>
        <w:rPr>
          <w:rFonts w:hint="eastAsia" w:ascii="宋体" w:hAnsi="宋体" w:eastAsia="宋体" w:cs="宋体"/>
          <w:color w:val="000000" w:themeColor="text1"/>
          <w:spacing w:val="-1"/>
          <w:sz w:val="24"/>
          <w:szCs w:val="24"/>
          <w:highlight w:val="none"/>
          <w14:textFill>
            <w14:solidFill>
              <w14:schemeClr w14:val="tx1"/>
            </w14:solidFill>
          </w14:textFill>
        </w:rPr>
        <w:t>除发生上述情况外，开标评标均以投标人（联合体投标的，由联合体牵头人）通过交易平台网上递交的电子投标文件为准。</w:t>
      </w:r>
    </w:p>
    <w:p w14:paraId="11AB5BB5">
      <w:pPr>
        <w:pageBreakBefore w:val="0"/>
        <w:kinsoku/>
        <w:wordWrap w:val="0"/>
        <w:overflowPunct/>
        <w:topLinePunct/>
        <w:bidi w:val="0"/>
        <w:spacing w:before="78" w:line="220"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60" w:name="_Toc20140"/>
      <w:bookmarkStart w:id="61" w:name="_Toc27195"/>
      <w:r>
        <w:rPr>
          <w:rFonts w:hint="eastAsia" w:ascii="宋体" w:hAnsi="宋体" w:eastAsia="宋体" w:cs="宋体"/>
          <w:b/>
          <w:bCs/>
          <w:color w:val="000000" w:themeColor="text1"/>
          <w:spacing w:val="-7"/>
          <w:sz w:val="24"/>
          <w:szCs w:val="24"/>
          <w:highlight w:val="none"/>
          <w14:textFill>
            <w14:solidFill>
              <w14:schemeClr w14:val="tx1"/>
            </w14:solidFill>
          </w14:textFill>
        </w:rPr>
        <w:t>13．投标文件的提交</w:t>
      </w:r>
      <w:bookmarkEnd w:id="60"/>
      <w:bookmarkEnd w:id="61"/>
    </w:p>
    <w:p w14:paraId="677A3781">
      <w:pPr>
        <w:pageBreakBefore w:val="0"/>
        <w:kinsoku/>
        <w:wordWrap w:val="0"/>
        <w:overflowPunct/>
        <w:topLinePunct/>
        <w:bidi w:val="0"/>
        <w:spacing w:before="123" w:line="278" w:lineRule="auto"/>
        <w:ind w:left="13" w:right="81" w:firstLine="48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1"/>
          <w:sz w:val="24"/>
          <w:szCs w:val="24"/>
          <w:highlight w:val="none"/>
          <w14:textFill>
            <w14:solidFill>
              <w14:schemeClr w14:val="tx1"/>
            </w14:solidFill>
          </w14:textFill>
        </w:rPr>
        <w:t xml:space="preserve">13.1 </w:t>
      </w:r>
      <w:r>
        <w:rPr>
          <w:rFonts w:hint="eastAsia" w:ascii="宋体" w:hAnsi="宋体" w:eastAsia="宋体" w:cs="宋体"/>
          <w:color w:val="000000" w:themeColor="text1"/>
          <w:spacing w:val="-11"/>
          <w:sz w:val="24"/>
          <w:szCs w:val="24"/>
          <w:highlight w:val="none"/>
          <w14:textFill>
            <w14:solidFill>
              <w14:schemeClr w14:val="tx1"/>
            </w14:solidFill>
          </w14:textFill>
        </w:rPr>
        <w:t>在投标文件提交截止时间前，投标人通过全国公共资源交易平台（</w:t>
      </w:r>
      <w:r>
        <w:rPr>
          <w:rFonts w:hint="eastAsia" w:ascii="宋体" w:hAnsi="宋体" w:eastAsia="宋体" w:cs="宋体"/>
          <w:color w:val="000000" w:themeColor="text1"/>
          <w:spacing w:val="-12"/>
          <w:sz w:val="24"/>
          <w:szCs w:val="24"/>
          <w:highlight w:val="none"/>
          <w14:textFill>
            <w14:solidFill>
              <w14:schemeClr w14:val="tx1"/>
            </w14:solidFill>
          </w14:textFill>
        </w:rPr>
        <w:t>广东省·韶</w:t>
      </w:r>
      <w:r>
        <w:rPr>
          <w:rFonts w:hint="eastAsia" w:ascii="宋体" w:hAnsi="宋体" w:eastAsia="宋体" w:cs="宋体"/>
          <w:color w:val="000000" w:themeColor="text1"/>
          <w:spacing w:val="-1"/>
          <w:sz w:val="24"/>
          <w:szCs w:val="24"/>
          <w:highlight w:val="none"/>
          <w14:textFill>
            <w14:solidFill>
              <w14:schemeClr w14:val="tx1"/>
            </w14:solidFill>
          </w14:textFill>
        </w:rPr>
        <w:t>关市）提交已加密投标文件。逾期提交的电子投标文</w:t>
      </w:r>
      <w:r>
        <w:rPr>
          <w:rFonts w:hint="eastAsia" w:ascii="宋体" w:hAnsi="宋体" w:eastAsia="宋体" w:cs="宋体"/>
          <w:color w:val="000000" w:themeColor="text1"/>
          <w:spacing w:val="-2"/>
          <w:sz w:val="24"/>
          <w:szCs w:val="24"/>
          <w:highlight w:val="none"/>
          <w14:textFill>
            <w14:solidFill>
              <w14:schemeClr w14:val="tx1"/>
            </w14:solidFill>
          </w14:textFill>
        </w:rPr>
        <w:t>件，全国公共资源交易平台（广</w:t>
      </w:r>
      <w:r>
        <w:rPr>
          <w:rFonts w:hint="eastAsia" w:ascii="宋体" w:hAnsi="宋体" w:eastAsia="宋体" w:cs="宋体"/>
          <w:color w:val="000000" w:themeColor="text1"/>
          <w:spacing w:val="-9"/>
          <w:sz w:val="24"/>
          <w:szCs w:val="24"/>
          <w:highlight w:val="none"/>
          <w14:textFill>
            <w14:solidFill>
              <w14:schemeClr w14:val="tx1"/>
            </w14:solidFill>
          </w14:textFill>
        </w:rPr>
        <w:t>东省·韶关市）将予以拒收。</w:t>
      </w:r>
    </w:p>
    <w:p w14:paraId="0BA3604D">
      <w:pPr>
        <w:pageBreakBefore w:val="0"/>
        <w:kinsoku/>
        <w:wordWrap w:val="0"/>
        <w:overflowPunct/>
        <w:topLinePunct/>
        <w:bidi w:val="0"/>
        <w:spacing w:before="115"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13.2 </w:t>
      </w:r>
      <w:r>
        <w:rPr>
          <w:rFonts w:hint="eastAsia" w:ascii="宋体" w:hAnsi="宋体" w:eastAsia="宋体" w:cs="宋体"/>
          <w:color w:val="000000" w:themeColor="text1"/>
          <w:spacing w:val="2"/>
          <w:sz w:val="24"/>
          <w:szCs w:val="24"/>
          <w:highlight w:val="none"/>
          <w14:textFill>
            <w14:solidFill>
              <w14:schemeClr w14:val="tx1"/>
            </w14:solidFill>
          </w14:textFill>
        </w:rPr>
        <w:t>提交时间和地点：见本章第二节“重要事项时间地点一览表”</w:t>
      </w:r>
    </w:p>
    <w:p w14:paraId="3A418B80">
      <w:pPr>
        <w:pageBreakBefore w:val="0"/>
        <w:kinsoku/>
        <w:wordWrap w:val="0"/>
        <w:overflowPunct/>
        <w:topLinePunct/>
        <w:bidi w:val="0"/>
        <w:spacing w:before="113" w:line="279" w:lineRule="auto"/>
        <w:ind w:left="9" w:right="24" w:firstLine="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13.3 </w:t>
      </w:r>
      <w:r>
        <w:rPr>
          <w:rFonts w:hint="eastAsia" w:ascii="宋体" w:hAnsi="宋体" w:eastAsia="宋体" w:cs="宋体"/>
          <w:color w:val="000000" w:themeColor="text1"/>
          <w:spacing w:val="-1"/>
          <w:sz w:val="24"/>
          <w:szCs w:val="24"/>
          <w:highlight w:val="none"/>
          <w14:textFill>
            <w14:solidFill>
              <w14:schemeClr w14:val="tx1"/>
            </w14:solidFill>
          </w14:textFill>
        </w:rPr>
        <w:t>递交时间和地点：投标人如有招标</w:t>
      </w:r>
      <w:r>
        <w:rPr>
          <w:rFonts w:hint="eastAsia" w:ascii="宋体" w:hAnsi="宋体" w:eastAsia="宋体" w:cs="宋体"/>
          <w:color w:val="000000" w:themeColor="text1"/>
          <w:spacing w:val="-2"/>
          <w:sz w:val="24"/>
          <w:szCs w:val="24"/>
          <w:highlight w:val="none"/>
          <w14:textFill>
            <w14:solidFill>
              <w14:schemeClr w14:val="tx1"/>
            </w14:solidFill>
          </w14:textFill>
        </w:rPr>
        <w:t>文件要求提交的用于评审的证书、证件、证明原件（附一式两份清单</w:t>
      </w:r>
      <w:r>
        <w:rPr>
          <w:rFonts w:hint="eastAsia" w:ascii="宋体" w:hAnsi="宋体" w:eastAsia="宋体" w:cs="宋体"/>
          <w:color w:val="000000" w:themeColor="text1"/>
          <w:spacing w:val="11"/>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由投标人法定代表人或其委托代理人在指定的时间和</w:t>
      </w:r>
      <w:r>
        <w:rPr>
          <w:rFonts w:hint="eastAsia" w:ascii="宋体" w:hAnsi="宋体" w:eastAsia="宋体" w:cs="宋体"/>
          <w:color w:val="000000" w:themeColor="text1"/>
          <w:spacing w:val="-1"/>
          <w:sz w:val="24"/>
          <w:szCs w:val="24"/>
          <w:highlight w:val="none"/>
          <w14:textFill>
            <w14:solidFill>
              <w14:schemeClr w14:val="tx1"/>
            </w14:solidFill>
          </w14:textFill>
        </w:rPr>
        <w:t>地点递交（见“重要事项时间地点一览表”</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48AC8790">
      <w:pPr>
        <w:pageBreakBefore w:val="0"/>
        <w:kinsoku/>
        <w:wordWrap w:val="0"/>
        <w:overflowPunct/>
        <w:topLinePunct/>
        <w:bidi w:val="0"/>
        <w:spacing w:before="112" w:line="219" w:lineRule="auto"/>
        <w:ind w:firstLine="478"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13.4 </w:t>
      </w:r>
      <w:r>
        <w:rPr>
          <w:rFonts w:hint="eastAsia" w:ascii="宋体" w:hAnsi="宋体" w:eastAsia="宋体" w:cs="宋体"/>
          <w:color w:val="000000" w:themeColor="text1"/>
          <w:spacing w:val="-1"/>
          <w:sz w:val="24"/>
          <w:szCs w:val="24"/>
          <w:highlight w:val="none"/>
          <w14:textFill>
            <w14:solidFill>
              <w14:schemeClr w14:val="tx1"/>
            </w14:solidFill>
          </w14:textFill>
        </w:rPr>
        <w:t>代理机构对因不可抗力事件造成的投</w:t>
      </w:r>
      <w:r>
        <w:rPr>
          <w:rFonts w:hint="eastAsia" w:ascii="宋体" w:hAnsi="宋体" w:eastAsia="宋体" w:cs="宋体"/>
          <w:color w:val="000000" w:themeColor="text1"/>
          <w:spacing w:val="-2"/>
          <w:sz w:val="24"/>
          <w:szCs w:val="24"/>
          <w:highlight w:val="none"/>
          <w14:textFill>
            <w14:solidFill>
              <w14:schemeClr w14:val="tx1"/>
            </w14:solidFill>
          </w14:textFill>
        </w:rPr>
        <w:t>标文件的损坏、丢失的，不承担责任。</w:t>
      </w:r>
    </w:p>
    <w:p w14:paraId="1A3073BA">
      <w:pPr>
        <w:pageBreakBefore w:val="0"/>
        <w:kinsoku/>
        <w:wordWrap w:val="0"/>
        <w:overflowPunct/>
        <w:topLinePunct/>
        <w:bidi w:val="0"/>
        <w:spacing w:before="116"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13.5</w:t>
      </w:r>
      <w:r>
        <w:rPr>
          <w:rFonts w:hint="eastAsia" w:ascii="宋体" w:hAnsi="宋体" w:eastAsia="宋体" w:cs="宋体"/>
          <w:b/>
          <w:bCs/>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出现下述情形之一，属于未成功提</w:t>
      </w:r>
      <w:r>
        <w:rPr>
          <w:rFonts w:hint="eastAsia" w:ascii="宋体" w:hAnsi="宋体" w:eastAsia="宋体" w:cs="宋体"/>
          <w:color w:val="000000" w:themeColor="text1"/>
          <w:spacing w:val="-2"/>
          <w:sz w:val="24"/>
          <w:szCs w:val="24"/>
          <w:highlight w:val="none"/>
          <w14:textFill>
            <w14:solidFill>
              <w14:schemeClr w14:val="tx1"/>
            </w14:solidFill>
          </w14:textFill>
        </w:rPr>
        <w:t>交投标文件，按无效投标处理：</w:t>
      </w:r>
    </w:p>
    <w:p w14:paraId="1474BEED">
      <w:pPr>
        <w:pageBreakBefore w:val="0"/>
        <w:kinsoku/>
        <w:wordWrap w:val="0"/>
        <w:overflowPunct/>
        <w:topLinePunct/>
        <w:bidi w:val="0"/>
        <w:spacing w:before="115" w:line="219" w:lineRule="auto"/>
        <w:ind w:left="7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（1）至提交投标文件截止时，投标文件未完整上传及提交标书；</w:t>
      </w:r>
    </w:p>
    <w:p w14:paraId="07D36726">
      <w:pPr>
        <w:pageBreakBefore w:val="0"/>
        <w:kinsoku/>
        <w:wordWrap w:val="0"/>
        <w:overflowPunct/>
        <w:topLinePunct/>
        <w:bidi w:val="0"/>
        <w:spacing w:before="114" w:line="220" w:lineRule="auto"/>
        <w:ind w:left="7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（2）解密失败且在规定时间内未重新提交投标文件的；</w:t>
      </w:r>
    </w:p>
    <w:p w14:paraId="3C9C2662">
      <w:pPr>
        <w:pageBreakBefore w:val="0"/>
        <w:kinsoku/>
        <w:wordWrap w:val="0"/>
        <w:overflowPunct/>
        <w:topLinePunct/>
        <w:bidi w:val="0"/>
        <w:spacing w:before="115" w:line="220" w:lineRule="auto"/>
        <w:ind w:left="7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（3）投标文件损坏或格式不正确的；</w:t>
      </w:r>
    </w:p>
    <w:p w14:paraId="670853C7">
      <w:pPr>
        <w:pageBreakBefore w:val="0"/>
        <w:kinsoku/>
        <w:wordWrap w:val="0"/>
        <w:overflowPunct/>
        <w:topLinePunct/>
        <w:bidi w:val="0"/>
        <w:spacing w:before="115" w:line="219" w:lineRule="auto"/>
        <w:ind w:left="496"/>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13.6 </w:t>
      </w:r>
      <w:r>
        <w:rPr>
          <w:rFonts w:hint="eastAsia" w:ascii="宋体" w:hAnsi="宋体" w:eastAsia="宋体" w:cs="宋体"/>
          <w:color w:val="000000" w:themeColor="text1"/>
          <w:spacing w:val="-2"/>
          <w:sz w:val="24"/>
          <w:szCs w:val="24"/>
          <w:highlight w:val="none"/>
          <w14:textFill>
            <w14:solidFill>
              <w14:schemeClr w14:val="tx1"/>
            </w14:solidFill>
          </w14:textFill>
        </w:rPr>
        <w:t>招标人或其授权的招标代理机构核对、接收投标人递交的投标相关资料后，</w:t>
      </w:r>
      <w:r>
        <w:rPr>
          <w:rFonts w:hint="eastAsia" w:ascii="宋体" w:hAnsi="宋体" w:eastAsia="宋体" w:cs="宋体"/>
          <w:color w:val="000000" w:themeColor="text1"/>
          <w:spacing w:val="-1"/>
          <w:sz w:val="24"/>
          <w:szCs w:val="24"/>
          <w:highlight w:val="none"/>
          <w14:textFill>
            <w14:solidFill>
              <w14:schemeClr w14:val="tx1"/>
            </w14:solidFill>
          </w14:textFill>
        </w:rPr>
        <w:t>应向投标人出具标明签收</w:t>
      </w:r>
      <w:r>
        <w:rPr>
          <w:rFonts w:hint="eastAsia" w:ascii="宋体" w:hAnsi="宋体" w:eastAsia="宋体" w:cs="宋体"/>
          <w:color w:val="000000" w:themeColor="text1"/>
          <w:spacing w:val="-2"/>
          <w:sz w:val="24"/>
          <w:szCs w:val="24"/>
          <w:highlight w:val="none"/>
          <w14:textFill>
            <w14:solidFill>
              <w14:schemeClr w14:val="tx1"/>
            </w14:solidFill>
          </w14:textFill>
        </w:rPr>
        <w:t>人和签收时间的凭证，并妥善保管。</w:t>
      </w:r>
    </w:p>
    <w:p w14:paraId="5580E68C">
      <w:pPr>
        <w:pageBreakBefore w:val="0"/>
        <w:kinsoku/>
        <w:wordWrap w:val="0"/>
        <w:overflowPunct/>
        <w:topLinePunct/>
        <w:bidi w:val="0"/>
        <w:spacing w:before="113" w:line="279" w:lineRule="auto"/>
        <w:ind w:left="9" w:right="24" w:firstLine="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13.</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本次招标投标有效期为</w:t>
      </w:r>
      <w:r>
        <w:rPr>
          <w:rFonts w:hint="eastAsia" w:ascii="宋体" w:hAnsi="宋体" w:eastAsia="宋体" w:cs="宋体"/>
          <w:color w:val="000000" w:themeColor="text1"/>
          <w:spacing w:val="-2"/>
          <w:sz w:val="24"/>
          <w:szCs w:val="24"/>
          <w:highlight w:val="none"/>
          <w:u w:val="single"/>
          <w:lang w:eastAsia="zh-CN"/>
          <w14:textFill>
            <w14:solidFill>
              <w14:schemeClr w14:val="tx1"/>
            </w14:solidFill>
          </w14:textFill>
        </w:rPr>
        <w:t>90</w:t>
      </w:r>
      <w:r>
        <w:rPr>
          <w:rFonts w:hint="eastAsia" w:ascii="宋体" w:hAnsi="宋体" w:eastAsia="宋体" w:cs="宋体"/>
          <w:color w:val="000000" w:themeColor="text1"/>
          <w:spacing w:val="-2"/>
          <w:sz w:val="24"/>
          <w:szCs w:val="24"/>
          <w:highlight w:val="none"/>
          <w14:textFill>
            <w14:solidFill>
              <w14:schemeClr w14:val="tx1"/>
            </w14:solidFill>
          </w14:textFill>
        </w:rPr>
        <w:t>个日历天，投标有效期从提交投标文件的截止之日起计算。在此期间，投标人不得撤销或修改其</w:t>
      </w:r>
      <w:r>
        <w:rPr>
          <w:rFonts w:hint="eastAsia" w:ascii="宋体" w:hAnsi="宋体" w:eastAsia="宋体" w:cs="宋体"/>
          <w:color w:val="000000" w:themeColor="text1"/>
          <w:spacing w:val="-7"/>
          <w:sz w:val="24"/>
          <w:szCs w:val="24"/>
          <w:highlight w:val="none"/>
          <w14:textFill>
            <w14:solidFill>
              <w14:schemeClr w14:val="tx1"/>
            </w14:solidFill>
          </w14:textFill>
        </w:rPr>
        <w:t>投标文件，否则其投标保证不予退还。</w:t>
      </w:r>
    </w:p>
    <w:p w14:paraId="33574A50">
      <w:pPr>
        <w:pageBreakBefore w:val="0"/>
        <w:kinsoku/>
        <w:wordWrap w:val="0"/>
        <w:overflowPunct/>
        <w:topLinePunct/>
        <w:bidi w:val="0"/>
        <w:spacing w:before="145" w:line="221" w:lineRule="auto"/>
        <w:ind w:left="496"/>
        <w:outlineLvl w:val="2"/>
        <w:rPr>
          <w:rFonts w:hint="eastAsia" w:ascii="宋体" w:hAnsi="宋体" w:eastAsia="宋体" w:cs="宋体"/>
          <w:color w:val="000000" w:themeColor="text1"/>
          <w:sz w:val="24"/>
          <w:szCs w:val="24"/>
          <w:highlight w:val="none"/>
          <w14:textFill>
            <w14:solidFill>
              <w14:schemeClr w14:val="tx1"/>
            </w14:solidFill>
          </w14:textFill>
        </w:rPr>
      </w:pPr>
      <w:bookmarkStart w:id="62" w:name="_Toc22047"/>
      <w:bookmarkStart w:id="63" w:name="_Toc4592"/>
      <w:r>
        <w:rPr>
          <w:rFonts w:hint="eastAsia" w:ascii="宋体" w:hAnsi="宋体" w:eastAsia="宋体" w:cs="宋体"/>
          <w:b/>
          <w:bCs/>
          <w:color w:val="000000" w:themeColor="text1"/>
          <w:spacing w:val="-11"/>
          <w:sz w:val="24"/>
          <w:szCs w:val="24"/>
          <w:highlight w:val="none"/>
          <w14:textFill>
            <w14:solidFill>
              <w14:schemeClr w14:val="tx1"/>
            </w14:solidFill>
          </w14:textFill>
        </w:rPr>
        <w:t>14．开标</w:t>
      </w:r>
      <w:bookmarkEnd w:id="62"/>
      <w:bookmarkEnd w:id="63"/>
    </w:p>
    <w:p w14:paraId="7A5106C5">
      <w:pPr>
        <w:pageBreakBefore w:val="0"/>
        <w:kinsoku/>
        <w:wordWrap w:val="0"/>
        <w:overflowPunct/>
        <w:topLinePunct/>
        <w:bidi w:val="0"/>
        <w:spacing w:before="155" w:line="329" w:lineRule="auto"/>
        <w:ind w:left="10" w:right="81" w:firstLine="485"/>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14.1 </w:t>
      </w:r>
      <w:r>
        <w:rPr>
          <w:rFonts w:hint="eastAsia" w:ascii="宋体" w:hAnsi="宋体" w:eastAsia="宋体" w:cs="宋体"/>
          <w:color w:val="000000" w:themeColor="text1"/>
          <w:spacing w:val="-3"/>
          <w:sz w:val="24"/>
          <w:szCs w:val="24"/>
          <w:highlight w:val="none"/>
          <w14:textFill>
            <w14:solidFill>
              <w14:schemeClr w14:val="tx1"/>
            </w14:solidFill>
          </w14:textFill>
        </w:rPr>
        <w:t>招标人邀请所有正确获取招标文件、电子投标、缴纳投标保证的投标人参加</w:t>
      </w:r>
      <w:r>
        <w:rPr>
          <w:rFonts w:hint="eastAsia" w:ascii="宋体" w:hAnsi="宋体" w:eastAsia="宋体" w:cs="宋体"/>
          <w:color w:val="000000" w:themeColor="text1"/>
          <w:spacing w:val="-1"/>
          <w:sz w:val="24"/>
          <w:szCs w:val="24"/>
          <w:highlight w:val="none"/>
          <w14:textFill>
            <w14:solidFill>
              <w14:schemeClr w14:val="tx1"/>
            </w14:solidFill>
          </w14:textFill>
        </w:rPr>
        <w:t>开标，投标人可自主决定是否参加。投标人可登陆交易平台</w:t>
      </w:r>
      <w:r>
        <w:rPr>
          <w:rFonts w:hint="eastAsia" w:ascii="宋体" w:hAnsi="宋体" w:eastAsia="宋体" w:cs="宋体"/>
          <w:color w:val="000000" w:themeColor="text1"/>
          <w:spacing w:val="-2"/>
          <w:sz w:val="24"/>
          <w:szCs w:val="24"/>
          <w:highlight w:val="none"/>
          <w14:textFill>
            <w14:solidFill>
              <w14:schemeClr w14:val="tx1"/>
            </w14:solidFill>
          </w14:textFill>
        </w:rPr>
        <w:t>观看开标实况、提出异议</w:t>
      </w:r>
      <w:r>
        <w:rPr>
          <w:rFonts w:hint="eastAsia" w:ascii="宋体" w:hAnsi="宋体" w:eastAsia="宋体" w:cs="宋体"/>
          <w:color w:val="000000" w:themeColor="text1"/>
          <w:spacing w:val="-1"/>
          <w:sz w:val="24"/>
          <w:szCs w:val="24"/>
          <w:highlight w:val="none"/>
          <w14:textFill>
            <w14:solidFill>
              <w14:schemeClr w14:val="tx1"/>
            </w14:solidFill>
          </w14:textFill>
        </w:rPr>
        <w:t>或进行澄清、确认等操作（具体按招标文件和系统操作手册</w:t>
      </w:r>
      <w:r>
        <w:rPr>
          <w:rFonts w:hint="eastAsia" w:ascii="宋体" w:hAnsi="宋体" w:eastAsia="宋体" w:cs="宋体"/>
          <w:color w:val="000000" w:themeColor="text1"/>
          <w:spacing w:val="-2"/>
          <w:sz w:val="24"/>
          <w:szCs w:val="24"/>
          <w:highlight w:val="none"/>
          <w14:textFill>
            <w14:solidFill>
              <w14:schemeClr w14:val="tx1"/>
            </w14:solidFill>
          </w14:textFill>
        </w:rPr>
        <w:t>为准）。投标人不参加开</w:t>
      </w:r>
      <w:bookmarkStart w:id="64" w:name="bookmark123"/>
      <w:bookmarkEnd w:id="64"/>
      <w:r>
        <w:rPr>
          <w:rFonts w:hint="eastAsia" w:ascii="宋体" w:hAnsi="宋体" w:eastAsia="宋体" w:cs="宋体"/>
          <w:color w:val="000000" w:themeColor="text1"/>
          <w:sz w:val="24"/>
          <w:szCs w:val="24"/>
          <w:highlight w:val="none"/>
          <w14:textFill>
            <w14:solidFill>
              <w14:schemeClr w14:val="tx1"/>
            </w14:solidFill>
          </w14:textFill>
        </w:rPr>
        <w:t>标的，视其默认开标结果，以及放弃在开标期间见证、</w:t>
      </w:r>
      <w:r>
        <w:rPr>
          <w:rFonts w:hint="eastAsia" w:ascii="宋体" w:hAnsi="宋体" w:eastAsia="宋体" w:cs="宋体"/>
          <w:color w:val="000000" w:themeColor="text1"/>
          <w:spacing w:val="-1"/>
          <w:sz w:val="24"/>
          <w:szCs w:val="24"/>
          <w:highlight w:val="none"/>
          <w14:textFill>
            <w14:solidFill>
              <w14:schemeClr w14:val="tx1"/>
            </w14:solidFill>
          </w14:textFill>
        </w:rPr>
        <w:t>监督、投诉、申辩的权利。</w:t>
      </w:r>
    </w:p>
    <w:p w14:paraId="1046B62C">
      <w:pPr>
        <w:pageBreakBefore w:val="0"/>
        <w:kinsoku/>
        <w:wordWrap w:val="0"/>
        <w:overflowPunct/>
        <w:topLinePunct/>
        <w:bidi w:val="0"/>
        <w:spacing w:before="156"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14.1.1 </w:t>
      </w:r>
      <w:r>
        <w:rPr>
          <w:rFonts w:hint="eastAsia" w:ascii="宋体" w:hAnsi="宋体" w:eastAsia="宋体" w:cs="宋体"/>
          <w:color w:val="000000" w:themeColor="text1"/>
          <w:sz w:val="24"/>
          <w:szCs w:val="24"/>
          <w:highlight w:val="none"/>
          <w14:textFill>
            <w14:solidFill>
              <w14:schemeClr w14:val="tx1"/>
            </w14:solidFill>
          </w14:textFill>
        </w:rPr>
        <w:t>开标时间和地点：见本章第</w:t>
      </w:r>
      <w:r>
        <w:rPr>
          <w:rFonts w:hint="eastAsia" w:ascii="宋体" w:hAnsi="宋体" w:eastAsia="宋体" w:cs="宋体"/>
          <w:color w:val="000000" w:themeColor="text1"/>
          <w:spacing w:val="-1"/>
          <w:sz w:val="24"/>
          <w:szCs w:val="24"/>
          <w:highlight w:val="none"/>
          <w14:textFill>
            <w14:solidFill>
              <w14:schemeClr w14:val="tx1"/>
            </w14:solidFill>
          </w14:textFill>
        </w:rPr>
        <w:t>二节“重要事项时间地点一览表”。</w:t>
      </w:r>
    </w:p>
    <w:p w14:paraId="5A04B4D1">
      <w:pPr>
        <w:keepNext w:val="0"/>
        <w:keepLines w:val="0"/>
        <w:pageBreakBefore w:val="0"/>
        <w:widowControl/>
        <w:kinsoku/>
        <w:wordWrap w:val="0"/>
        <w:overflowPunct/>
        <w:topLinePunct/>
        <w:autoSpaceDE w:val="0"/>
        <w:autoSpaceDN w:val="0"/>
        <w:bidi w:val="0"/>
        <w:adjustRightInd w:val="0"/>
        <w:snapToGrid w:val="0"/>
        <w:spacing w:before="153" w:line="320" w:lineRule="auto"/>
        <w:ind w:left="11" w:firstLine="48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7"/>
          <w:sz w:val="24"/>
          <w:szCs w:val="24"/>
          <w:highlight w:val="none"/>
          <w14:textFill>
            <w14:solidFill>
              <w14:schemeClr w14:val="tx1"/>
            </w14:solidFill>
          </w14:textFill>
        </w:rPr>
        <w:t xml:space="preserve">14.1.2 </w:t>
      </w:r>
      <w:r>
        <w:rPr>
          <w:rFonts w:hint="eastAsia" w:ascii="宋体" w:hAnsi="宋体" w:eastAsia="宋体" w:cs="宋体"/>
          <w:color w:val="000000" w:themeColor="text1"/>
          <w:spacing w:val="-7"/>
          <w:sz w:val="24"/>
          <w:szCs w:val="24"/>
          <w:highlight w:val="none"/>
          <w14:textFill>
            <w14:solidFill>
              <w14:schemeClr w14:val="tx1"/>
            </w14:solidFill>
          </w14:textFill>
        </w:rPr>
        <w:t>开标前24小时，若建设工程交易系统显示缴</w:t>
      </w:r>
      <w:r>
        <w:rPr>
          <w:rFonts w:hint="eastAsia" w:ascii="宋体" w:hAnsi="宋体" w:eastAsia="宋体" w:cs="宋体"/>
          <w:color w:val="000000" w:themeColor="text1"/>
          <w:spacing w:val="-8"/>
          <w:sz w:val="24"/>
          <w:szCs w:val="24"/>
          <w:highlight w:val="none"/>
          <w14:textFill>
            <w14:solidFill>
              <w14:schemeClr w14:val="tx1"/>
            </w14:solidFill>
          </w14:textFill>
        </w:rPr>
        <w:t>纳投标保证（包括投标保证金、</w:t>
      </w:r>
      <w:r>
        <w:rPr>
          <w:rFonts w:hint="eastAsia" w:ascii="宋体" w:hAnsi="宋体" w:eastAsia="宋体" w:cs="宋体"/>
          <w:color w:val="000000" w:themeColor="text1"/>
          <w:spacing w:val="-2"/>
          <w:sz w:val="24"/>
          <w:szCs w:val="24"/>
          <w:highlight w:val="none"/>
          <w14:textFill>
            <w14:solidFill>
              <w14:schemeClr w14:val="tx1"/>
            </w14:solidFill>
          </w14:textFill>
        </w:rPr>
        <w:t>投标保证担保、投标保证保险）的投标人数量不足3个时，招标人将取消原定于次日</w:t>
      </w:r>
      <w:r>
        <w:rPr>
          <w:rFonts w:hint="eastAsia" w:ascii="宋体" w:hAnsi="宋体" w:eastAsia="宋体" w:cs="宋体"/>
          <w:color w:val="000000" w:themeColor="text1"/>
          <w:spacing w:val="-1"/>
          <w:sz w:val="24"/>
          <w:szCs w:val="24"/>
          <w:highlight w:val="none"/>
          <w14:textFill>
            <w14:solidFill>
              <w14:schemeClr w14:val="tx1"/>
            </w14:solidFill>
          </w14:textFill>
        </w:rPr>
        <w:t>召开的开标活动。投标人可在投标保证缴纳截止时间（见本章</w:t>
      </w:r>
      <w:r>
        <w:rPr>
          <w:rFonts w:hint="eastAsia" w:ascii="宋体" w:hAnsi="宋体" w:eastAsia="宋体" w:cs="宋体"/>
          <w:color w:val="000000" w:themeColor="text1"/>
          <w:spacing w:val="-2"/>
          <w:sz w:val="24"/>
          <w:szCs w:val="24"/>
          <w:highlight w:val="none"/>
          <w14:textFill>
            <w14:solidFill>
              <w14:schemeClr w14:val="tx1"/>
            </w14:solidFill>
          </w14:textFill>
        </w:rPr>
        <w:t>第二节“重要事项时间</w:t>
      </w:r>
      <w:r>
        <w:rPr>
          <w:rFonts w:hint="eastAsia" w:ascii="宋体" w:hAnsi="宋体" w:eastAsia="宋体" w:cs="宋体"/>
          <w:color w:val="000000" w:themeColor="text1"/>
          <w:spacing w:val="-1"/>
          <w:sz w:val="24"/>
          <w:szCs w:val="24"/>
          <w:highlight w:val="none"/>
          <w14:textFill>
            <w14:solidFill>
              <w14:schemeClr w14:val="tx1"/>
            </w14:solidFill>
          </w14:textFill>
        </w:rPr>
        <w:t>地点一览表”）至电子投标截止时间（见本章第二节“重要事项时间地点一览</w:t>
      </w:r>
      <w:r>
        <w:rPr>
          <w:rFonts w:hint="eastAsia" w:ascii="宋体" w:hAnsi="宋体" w:eastAsia="宋体" w:cs="宋体"/>
          <w:color w:val="000000" w:themeColor="text1"/>
          <w:spacing w:val="-2"/>
          <w:sz w:val="24"/>
          <w:szCs w:val="24"/>
          <w:highlight w:val="none"/>
          <w14:textFill>
            <w14:solidFill>
              <w14:schemeClr w14:val="tx1"/>
            </w14:solidFill>
          </w14:textFill>
        </w:rPr>
        <w:t>表”）期间登录全国公共资源交易平台（广东省·韶关市</w:t>
      </w:r>
      <w:r>
        <w:rPr>
          <w:rFonts w:hint="eastAsia" w:ascii="宋体" w:hAnsi="宋体" w:eastAsia="宋体" w:cs="宋体"/>
          <w:color w:val="000000" w:themeColor="text1"/>
          <w:spacing w:val="-22"/>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https</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//ygp.gdzwfw.gov.cn/</w:t>
      </w:r>
      <w:r>
        <w:rPr>
          <w:rFonts w:hint="eastAsia" w:ascii="宋体" w:hAnsi="宋体" w:eastAsia="宋体" w:cs="宋体"/>
          <w:color w:val="000000" w:themeColor="text1"/>
          <w:sz w:val="24"/>
          <w:szCs w:val="24"/>
          <w:highlight w:val="none"/>
          <w14:textFill>
            <w14:solidFill>
              <w14:schemeClr w14:val="tx1"/>
            </w14:solidFill>
          </w14:textFill>
        </w:rPr>
        <w:t>ggzy-portal/#/440200/index）查询是否发布了取</w:t>
      </w:r>
      <w:r>
        <w:rPr>
          <w:rFonts w:hint="eastAsia" w:ascii="宋体" w:hAnsi="宋体" w:eastAsia="宋体" w:cs="宋体"/>
          <w:color w:val="000000" w:themeColor="text1"/>
          <w:spacing w:val="-1"/>
          <w:sz w:val="24"/>
          <w:szCs w:val="24"/>
          <w:highlight w:val="none"/>
          <w14:textFill>
            <w14:solidFill>
              <w14:schemeClr w14:val="tx1"/>
            </w14:solidFill>
          </w14:textFill>
        </w:rPr>
        <w:t>消开标活动的相关信息。</w:t>
      </w:r>
    </w:p>
    <w:p w14:paraId="7427C95C">
      <w:pPr>
        <w:pageBreakBefore w:val="0"/>
        <w:kinsoku/>
        <w:wordWrap w:val="0"/>
        <w:overflowPunct/>
        <w:topLinePunct/>
        <w:bidi w:val="0"/>
        <w:spacing w:before="159" w:line="319" w:lineRule="auto"/>
        <w:ind w:left="10" w:right="80" w:firstLine="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14.1.3</w:t>
      </w:r>
      <w:r>
        <w:rPr>
          <w:rFonts w:hint="eastAsia" w:ascii="宋体" w:hAnsi="宋体" w:eastAsia="宋体" w:cs="宋体"/>
          <w:color w:val="000000" w:themeColor="text1"/>
          <w:spacing w:val="-4"/>
          <w:sz w:val="24"/>
          <w:szCs w:val="24"/>
          <w:highlight w:val="none"/>
          <w14:textFill>
            <w14:solidFill>
              <w14:schemeClr w14:val="tx1"/>
            </w14:solidFill>
          </w14:textFill>
        </w:rPr>
        <w:t>本项目实行全流程电子化招标投标，投标人在交易平台按要求上传加盖电</w:t>
      </w:r>
      <w:r>
        <w:rPr>
          <w:rFonts w:hint="eastAsia" w:ascii="宋体" w:hAnsi="宋体" w:eastAsia="宋体" w:cs="宋体"/>
          <w:color w:val="000000" w:themeColor="text1"/>
          <w:spacing w:val="-1"/>
          <w:sz w:val="24"/>
          <w:szCs w:val="24"/>
          <w:highlight w:val="none"/>
          <w14:textFill>
            <w14:solidFill>
              <w14:schemeClr w14:val="tx1"/>
            </w14:solidFill>
          </w14:textFill>
        </w:rPr>
        <w:t>子印章并经加密的电子投标文件，并在交易平台录入准确的</w:t>
      </w:r>
      <w:r>
        <w:rPr>
          <w:rFonts w:hint="eastAsia" w:ascii="宋体" w:hAnsi="宋体" w:eastAsia="宋体" w:cs="宋体"/>
          <w:color w:val="000000" w:themeColor="text1"/>
          <w:spacing w:val="-2"/>
          <w:sz w:val="24"/>
          <w:szCs w:val="24"/>
          <w:highlight w:val="none"/>
          <w14:textFill>
            <w14:solidFill>
              <w14:schemeClr w14:val="tx1"/>
            </w14:solidFill>
          </w14:textFill>
        </w:rPr>
        <w:t>页码信息即可完成在线投</w:t>
      </w:r>
      <w:r>
        <w:rPr>
          <w:rFonts w:hint="eastAsia" w:ascii="宋体" w:hAnsi="宋体" w:eastAsia="宋体" w:cs="宋体"/>
          <w:color w:val="000000" w:themeColor="text1"/>
          <w:spacing w:val="-1"/>
          <w:sz w:val="24"/>
          <w:szCs w:val="24"/>
          <w:highlight w:val="none"/>
          <w14:textFill>
            <w14:solidFill>
              <w14:schemeClr w14:val="tx1"/>
            </w14:solidFill>
          </w14:textFill>
        </w:rPr>
        <w:t>标</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由于投标人原因导致未按投标截至时限上传完整投标文</w:t>
      </w:r>
      <w:r>
        <w:rPr>
          <w:rFonts w:hint="eastAsia" w:ascii="宋体" w:hAnsi="宋体" w:eastAsia="宋体" w:cs="宋体"/>
          <w:color w:val="000000" w:themeColor="text1"/>
          <w:spacing w:val="-2"/>
          <w:sz w:val="24"/>
          <w:szCs w:val="24"/>
          <w:highlight w:val="none"/>
          <w14:textFill>
            <w14:solidFill>
              <w14:schemeClr w14:val="tx1"/>
            </w14:solidFill>
          </w14:textFill>
        </w:rPr>
        <w:t>件、在交易平台中上传的</w:t>
      </w:r>
      <w:r>
        <w:rPr>
          <w:rFonts w:hint="eastAsia" w:ascii="宋体" w:hAnsi="宋体" w:eastAsia="宋体" w:cs="宋体"/>
          <w:color w:val="000000" w:themeColor="text1"/>
          <w:spacing w:val="-1"/>
          <w:sz w:val="24"/>
          <w:szCs w:val="24"/>
          <w:highlight w:val="none"/>
          <w14:textFill>
            <w14:solidFill>
              <w14:schemeClr w14:val="tx1"/>
            </w14:solidFill>
          </w14:textFill>
        </w:rPr>
        <w:t>投标文件无法解密、投标文件损坏或格式不正确、投标文件</w:t>
      </w:r>
      <w:r>
        <w:rPr>
          <w:rFonts w:hint="eastAsia" w:ascii="宋体" w:hAnsi="宋体" w:eastAsia="宋体" w:cs="宋体"/>
          <w:color w:val="000000" w:themeColor="text1"/>
          <w:spacing w:val="-2"/>
          <w:sz w:val="24"/>
          <w:szCs w:val="24"/>
          <w:highlight w:val="none"/>
          <w14:textFill>
            <w14:solidFill>
              <w14:schemeClr w14:val="tx1"/>
            </w14:solidFill>
          </w14:textFill>
        </w:rPr>
        <w:t>未按招标文件要求加盖电</w:t>
      </w:r>
      <w:r>
        <w:rPr>
          <w:rFonts w:hint="eastAsia" w:ascii="宋体" w:hAnsi="宋体" w:eastAsia="宋体" w:cs="宋体"/>
          <w:color w:val="000000" w:themeColor="text1"/>
          <w:spacing w:val="-1"/>
          <w:sz w:val="24"/>
          <w:szCs w:val="24"/>
          <w:highlight w:val="none"/>
          <w14:textFill>
            <w14:solidFill>
              <w14:schemeClr w14:val="tx1"/>
            </w14:solidFill>
          </w14:textFill>
        </w:rPr>
        <w:t>子印章或电子印章不完整、电子投标文件解密失败且未按要</w:t>
      </w:r>
      <w:r>
        <w:rPr>
          <w:rFonts w:hint="eastAsia" w:ascii="宋体" w:hAnsi="宋体" w:eastAsia="宋体" w:cs="宋体"/>
          <w:color w:val="000000" w:themeColor="text1"/>
          <w:spacing w:val="-2"/>
          <w:sz w:val="24"/>
          <w:szCs w:val="24"/>
          <w:highlight w:val="none"/>
          <w14:textFill>
            <w14:solidFill>
              <w14:schemeClr w14:val="tx1"/>
            </w14:solidFill>
          </w14:textFill>
        </w:rPr>
        <w:t>求上传备用投标文件等情</w:t>
      </w:r>
      <w:r>
        <w:rPr>
          <w:rFonts w:hint="eastAsia" w:ascii="宋体" w:hAnsi="宋体" w:eastAsia="宋体" w:cs="宋体"/>
          <w:color w:val="000000" w:themeColor="text1"/>
          <w:spacing w:val="-1"/>
          <w:sz w:val="24"/>
          <w:szCs w:val="24"/>
          <w:highlight w:val="none"/>
          <w14:textFill>
            <w14:solidFill>
              <w14:schemeClr w14:val="tx1"/>
            </w14:solidFill>
          </w14:textFill>
        </w:rPr>
        <w:t>形导致投标无效的，由投标人自行负责。</w:t>
      </w:r>
    </w:p>
    <w:p w14:paraId="549437D0">
      <w:pPr>
        <w:pageBreakBefore w:val="0"/>
        <w:kinsoku/>
        <w:wordWrap w:val="0"/>
        <w:overflowPunct/>
        <w:topLinePunct/>
        <w:bidi w:val="0"/>
        <w:spacing w:before="152" w:line="221"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14.2 </w:t>
      </w:r>
      <w:r>
        <w:rPr>
          <w:rFonts w:hint="eastAsia" w:ascii="宋体" w:hAnsi="宋体" w:eastAsia="宋体" w:cs="宋体"/>
          <w:color w:val="000000" w:themeColor="text1"/>
          <w:spacing w:val="-2"/>
          <w:sz w:val="24"/>
          <w:szCs w:val="24"/>
          <w:highlight w:val="none"/>
          <w14:textFill>
            <w14:solidFill>
              <w14:schemeClr w14:val="tx1"/>
            </w14:solidFill>
          </w14:textFill>
        </w:rPr>
        <w:t>开标程序</w:t>
      </w:r>
    </w:p>
    <w:p w14:paraId="38F0895F">
      <w:pPr>
        <w:pageBreakBefore w:val="0"/>
        <w:kinsoku/>
        <w:wordWrap w:val="0"/>
        <w:overflowPunct/>
        <w:topLinePunct/>
        <w:bidi w:val="0"/>
        <w:spacing w:before="42" w:line="219"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65" w:name="_Toc8314"/>
      <w:bookmarkStart w:id="66" w:name="_Toc15587"/>
      <w:bookmarkStart w:id="67" w:name="_Toc10685"/>
      <w:bookmarkStart w:id="68" w:name="_Toc10291"/>
      <w:r>
        <w:rPr>
          <w:rFonts w:hint="eastAsia" w:ascii="宋体" w:hAnsi="宋体" w:eastAsia="宋体" w:cs="宋体"/>
          <w:color w:val="000000" w:themeColor="text1"/>
          <w:spacing w:val="-1"/>
          <w:sz w:val="24"/>
          <w:szCs w:val="24"/>
          <w:highlight w:val="none"/>
          <w14:textFill>
            <w14:solidFill>
              <w14:schemeClr w14:val="tx1"/>
            </w14:solidFill>
          </w14:textFill>
        </w:rPr>
        <w:t>（1）主持人（招标人代表或招标人授权的招标代理机构人员）宣读开标纪律。</w:t>
      </w:r>
      <w:bookmarkEnd w:id="65"/>
      <w:bookmarkEnd w:id="66"/>
      <w:bookmarkEnd w:id="67"/>
      <w:bookmarkEnd w:id="68"/>
    </w:p>
    <w:p w14:paraId="5BA21582">
      <w:pPr>
        <w:pageBreakBefore w:val="0"/>
        <w:kinsoku/>
        <w:wordWrap w:val="0"/>
        <w:overflowPunct/>
        <w:topLinePunct/>
        <w:bidi w:val="0"/>
        <w:spacing w:before="181" w:line="219"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69" w:name="_Toc16292"/>
      <w:bookmarkStart w:id="70" w:name="_Toc20238"/>
      <w:bookmarkStart w:id="71" w:name="_Toc30853"/>
      <w:bookmarkStart w:id="72" w:name="_Toc2011"/>
      <w:r>
        <w:rPr>
          <w:rFonts w:hint="eastAsia" w:ascii="宋体" w:hAnsi="宋体" w:eastAsia="宋体" w:cs="宋体"/>
          <w:color w:val="000000" w:themeColor="text1"/>
          <w:spacing w:val="-1"/>
          <w:sz w:val="24"/>
          <w:szCs w:val="24"/>
          <w:highlight w:val="none"/>
          <w14:textFill>
            <w14:solidFill>
              <w14:schemeClr w14:val="tx1"/>
            </w14:solidFill>
          </w14:textFill>
        </w:rPr>
        <w:t>（2）主持人宣布唱标人、记录人、见证人、监督人等有关人员姓名。</w:t>
      </w:r>
      <w:bookmarkEnd w:id="69"/>
      <w:bookmarkEnd w:id="70"/>
      <w:bookmarkEnd w:id="71"/>
      <w:bookmarkEnd w:id="72"/>
    </w:p>
    <w:p w14:paraId="0AF2F54F">
      <w:pPr>
        <w:pageBreakBefore w:val="0"/>
        <w:kinsoku/>
        <w:wordWrap w:val="0"/>
        <w:overflowPunct/>
        <w:topLinePunct/>
        <w:bidi w:val="0"/>
        <w:spacing w:before="183" w:line="219"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73" w:name="_Toc1974"/>
      <w:bookmarkStart w:id="74" w:name="_Toc17462"/>
      <w:bookmarkStart w:id="75" w:name="_Toc26494"/>
      <w:bookmarkStart w:id="76" w:name="_Toc31716"/>
      <w:r>
        <w:rPr>
          <w:rFonts w:hint="eastAsia" w:ascii="宋体" w:hAnsi="宋体" w:eastAsia="宋体" w:cs="宋体"/>
          <w:color w:val="000000" w:themeColor="text1"/>
          <w:spacing w:val="-1"/>
          <w:sz w:val="24"/>
          <w:szCs w:val="24"/>
          <w:highlight w:val="none"/>
          <w14:textFill>
            <w14:solidFill>
              <w14:schemeClr w14:val="tx1"/>
            </w14:solidFill>
          </w14:textFill>
        </w:rPr>
        <w:t>（3）唱标人公布在投标截止时间前进行投标文件的投标人数量和名称</w:t>
      </w:r>
      <w:bookmarkEnd w:id="73"/>
      <w:bookmarkEnd w:id="74"/>
      <w:bookmarkEnd w:id="75"/>
      <w:bookmarkEnd w:id="76"/>
    </w:p>
    <w:p w14:paraId="1D24CA16">
      <w:pPr>
        <w:pageBreakBefore w:val="0"/>
        <w:kinsoku/>
        <w:wordWrap w:val="0"/>
        <w:overflowPunct/>
        <w:topLinePunct/>
        <w:bidi w:val="0"/>
        <w:spacing w:before="181" w:line="219"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77" w:name="_Toc8179"/>
      <w:bookmarkStart w:id="78" w:name="_Toc27967"/>
      <w:bookmarkStart w:id="79" w:name="_Toc20559"/>
      <w:bookmarkStart w:id="80" w:name="_Toc15860"/>
      <w:r>
        <w:rPr>
          <w:rFonts w:hint="eastAsia" w:ascii="宋体" w:hAnsi="宋体" w:eastAsia="宋体" w:cs="宋体"/>
          <w:color w:val="000000" w:themeColor="text1"/>
          <w:spacing w:val="2"/>
          <w:sz w:val="24"/>
          <w:szCs w:val="24"/>
          <w:highlight w:val="none"/>
          <w14:textFill>
            <w14:solidFill>
              <w14:schemeClr w14:val="tx1"/>
            </w14:solidFill>
          </w14:textFill>
        </w:rPr>
        <w:t>（4）招标代理机构会同交易场所工作人员对投标人的</w:t>
      </w:r>
      <w:r>
        <w:rPr>
          <w:rFonts w:hint="eastAsia" w:ascii="宋体" w:hAnsi="宋体" w:eastAsia="宋体" w:cs="宋体"/>
          <w:color w:val="000000" w:themeColor="text1"/>
          <w:spacing w:val="1"/>
          <w:sz w:val="24"/>
          <w:szCs w:val="24"/>
          <w:highlight w:val="none"/>
          <w14:textFill>
            <w14:solidFill>
              <w14:schemeClr w14:val="tx1"/>
            </w14:solidFill>
          </w14:textFill>
        </w:rPr>
        <w:t>电子投标信息进行解密，</w:t>
      </w:r>
      <w:bookmarkEnd w:id="77"/>
      <w:bookmarkEnd w:id="78"/>
      <w:bookmarkEnd w:id="79"/>
      <w:bookmarkEnd w:id="80"/>
    </w:p>
    <w:p w14:paraId="029C663B">
      <w:pPr>
        <w:pageBreakBefore w:val="0"/>
        <w:kinsoku/>
        <w:wordWrap w:val="0"/>
        <w:overflowPunct/>
        <w:topLinePunct/>
        <w:bidi w:val="0"/>
        <w:spacing w:before="183" w:line="220" w:lineRule="auto"/>
        <w:ind w:left="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建设工程交易系统自动生成《投标保证缴纳情况表》和《开标一览表》。</w:t>
      </w:r>
    </w:p>
    <w:p w14:paraId="1FB910E0">
      <w:pPr>
        <w:pageBreakBefore w:val="0"/>
        <w:kinsoku/>
        <w:wordWrap w:val="0"/>
        <w:overflowPunct/>
        <w:topLinePunct/>
        <w:bidi w:val="0"/>
        <w:spacing w:before="182" w:line="360" w:lineRule="auto"/>
        <w:ind w:firstLine="466"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bookmarkStart w:id="81" w:name="_Toc28812"/>
      <w:bookmarkStart w:id="82" w:name="_Toc28266"/>
      <w:bookmarkStart w:id="83" w:name="_Toc2199"/>
      <w:bookmarkStart w:id="84" w:name="_Toc26216"/>
      <w:r>
        <w:rPr>
          <w:rFonts w:hint="eastAsia" w:ascii="宋体" w:hAnsi="宋体" w:eastAsia="宋体" w:cs="宋体"/>
          <w:b/>
          <w:bCs/>
          <w:color w:val="000000" w:themeColor="text1"/>
          <w:spacing w:val="-4"/>
          <w:sz w:val="24"/>
          <w:szCs w:val="24"/>
          <w:highlight w:val="none"/>
          <w14:textFill>
            <w14:solidFill>
              <w14:schemeClr w14:val="tx1"/>
            </w14:solidFill>
          </w14:textFill>
        </w:rPr>
        <w:t>温馨提示：因本项目实行全流程电子化招标投标，投标人无须进行现场签到，可</w:t>
      </w:r>
      <w:bookmarkEnd w:id="81"/>
      <w:bookmarkEnd w:id="82"/>
      <w:bookmarkEnd w:id="83"/>
      <w:r>
        <w:rPr>
          <w:rFonts w:hint="eastAsia" w:ascii="宋体" w:hAnsi="宋体" w:eastAsia="宋体" w:cs="宋体"/>
          <w:b/>
          <w:bCs/>
          <w:color w:val="000000" w:themeColor="text1"/>
          <w:spacing w:val="-4"/>
          <w:sz w:val="24"/>
          <w:szCs w:val="24"/>
          <w:highlight w:val="none"/>
          <w14:textFill>
            <w14:solidFill>
              <w14:schemeClr w14:val="tx1"/>
            </w14:solidFill>
          </w14:textFill>
        </w:rPr>
        <w:t>登录交易平台观看开标实况、提出异议或进行澄清、确认等操作，对开标事项的异议</w:t>
      </w:r>
      <w:r>
        <w:rPr>
          <w:rFonts w:hint="eastAsia" w:ascii="宋体" w:hAnsi="宋体" w:eastAsia="宋体" w:cs="宋体"/>
          <w:b/>
          <w:bCs/>
          <w:color w:val="000000" w:themeColor="text1"/>
          <w:spacing w:val="-2"/>
          <w:sz w:val="24"/>
          <w:szCs w:val="24"/>
          <w:highlight w:val="none"/>
          <w14:textFill>
            <w14:solidFill>
              <w14:schemeClr w14:val="tx1"/>
            </w14:solidFill>
          </w14:textFill>
        </w:rPr>
        <w:t>未在开标期间提出的，招标</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人不</w:t>
      </w:r>
      <w:r>
        <w:rPr>
          <w:rFonts w:hint="eastAsia" w:ascii="宋体" w:hAnsi="宋体" w:eastAsia="宋体" w:cs="宋体"/>
          <w:b/>
          <w:bCs/>
          <w:color w:val="000000" w:themeColor="text1"/>
          <w:spacing w:val="-2"/>
          <w:sz w:val="24"/>
          <w:szCs w:val="24"/>
          <w:highlight w:val="none"/>
          <w14:textFill>
            <w14:solidFill>
              <w14:schemeClr w14:val="tx1"/>
            </w14:solidFill>
          </w14:textFill>
        </w:rPr>
        <w:t>予受理。具体按招标文件和系统操作手册为</w:t>
      </w:r>
      <w:r>
        <w:rPr>
          <w:rFonts w:hint="eastAsia" w:ascii="宋体" w:hAnsi="宋体" w:eastAsia="宋体" w:cs="宋体"/>
          <w:b/>
          <w:bCs/>
          <w:color w:val="000000" w:themeColor="text1"/>
          <w:spacing w:val="-3"/>
          <w:sz w:val="24"/>
          <w:szCs w:val="24"/>
          <w:highlight w:val="none"/>
          <w14:textFill>
            <w14:solidFill>
              <w14:schemeClr w14:val="tx1"/>
            </w14:solidFill>
          </w14:textFill>
        </w:rPr>
        <w:t>准。</w:t>
      </w:r>
      <w:bookmarkEnd w:id="84"/>
    </w:p>
    <w:p w14:paraId="43FCF2DF">
      <w:pPr>
        <w:pageBreakBefore w:val="0"/>
        <w:kinsoku/>
        <w:wordWrap w:val="0"/>
        <w:overflowPunct/>
        <w:topLinePunct/>
        <w:bidi w:val="0"/>
        <w:spacing w:before="143" w:line="299" w:lineRule="auto"/>
        <w:ind w:left="11" w:right="80" w:firstLine="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14.3 </w:t>
      </w:r>
      <w:r>
        <w:rPr>
          <w:rFonts w:hint="eastAsia" w:ascii="宋体" w:hAnsi="宋体" w:eastAsia="宋体" w:cs="宋体"/>
          <w:color w:val="000000" w:themeColor="text1"/>
          <w:spacing w:val="-3"/>
          <w:sz w:val="24"/>
          <w:szCs w:val="24"/>
          <w:highlight w:val="none"/>
          <w14:textFill>
            <w14:solidFill>
              <w14:schemeClr w14:val="tx1"/>
            </w14:solidFill>
          </w14:textFill>
        </w:rPr>
        <w:t>投标人对开标相关事项（如开标程序等）有异议的，必须在开标期间和开标</w:t>
      </w:r>
      <w:r>
        <w:rPr>
          <w:rFonts w:hint="eastAsia" w:ascii="宋体" w:hAnsi="宋体" w:eastAsia="宋体" w:cs="宋体"/>
          <w:color w:val="000000" w:themeColor="text1"/>
          <w:spacing w:val="-1"/>
          <w:sz w:val="24"/>
          <w:szCs w:val="24"/>
          <w:highlight w:val="none"/>
          <w14:textFill>
            <w14:solidFill>
              <w14:schemeClr w14:val="tx1"/>
            </w14:solidFill>
          </w14:textFill>
        </w:rPr>
        <w:t>现场提出，招标人或其授权的招标代理机构应当场作出答</w:t>
      </w:r>
      <w:r>
        <w:rPr>
          <w:rFonts w:hint="eastAsia" w:ascii="宋体" w:hAnsi="宋体" w:eastAsia="宋体" w:cs="宋体"/>
          <w:color w:val="000000" w:themeColor="text1"/>
          <w:spacing w:val="-2"/>
          <w:sz w:val="24"/>
          <w:szCs w:val="24"/>
          <w:highlight w:val="none"/>
          <w14:textFill>
            <w14:solidFill>
              <w14:schemeClr w14:val="tx1"/>
            </w14:solidFill>
          </w14:textFill>
        </w:rPr>
        <w:t>复，并记录在案。对开标事</w:t>
      </w:r>
      <w:r>
        <w:rPr>
          <w:rFonts w:hint="eastAsia" w:ascii="宋体" w:hAnsi="宋体" w:eastAsia="宋体" w:cs="宋体"/>
          <w:color w:val="000000" w:themeColor="text1"/>
          <w:spacing w:val="-1"/>
          <w:sz w:val="24"/>
          <w:szCs w:val="24"/>
          <w:highlight w:val="none"/>
          <w14:textFill>
            <w14:solidFill>
              <w14:schemeClr w14:val="tx1"/>
            </w14:solidFill>
          </w14:textFill>
        </w:rPr>
        <w:t>项的异议未在开标期间和开标现场提出的，招标人不予受理。</w:t>
      </w:r>
    </w:p>
    <w:p w14:paraId="0734E7CC">
      <w:pPr>
        <w:pageBreakBefore w:val="0"/>
        <w:kinsoku/>
        <w:wordWrap w:val="0"/>
        <w:overflowPunct/>
        <w:topLinePunct/>
        <w:bidi w:val="0"/>
        <w:spacing w:before="155" w:line="279" w:lineRule="auto"/>
        <w:ind w:left="8" w:right="82" w:firstLine="48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14.4 </w:t>
      </w:r>
      <w:r>
        <w:rPr>
          <w:rFonts w:hint="eastAsia" w:ascii="宋体" w:hAnsi="宋体" w:eastAsia="宋体" w:cs="宋体"/>
          <w:color w:val="000000" w:themeColor="text1"/>
          <w:spacing w:val="-1"/>
          <w:sz w:val="24"/>
          <w:szCs w:val="24"/>
          <w:highlight w:val="none"/>
          <w14:textFill>
            <w14:solidFill>
              <w14:schemeClr w14:val="tx1"/>
            </w14:solidFill>
          </w14:textFill>
        </w:rPr>
        <w:t>招标代理机构将资料原件（如有）</w:t>
      </w:r>
      <w:r>
        <w:rPr>
          <w:rFonts w:hint="eastAsia" w:ascii="宋体" w:hAnsi="宋体" w:eastAsia="宋体" w:cs="宋体"/>
          <w:color w:val="000000" w:themeColor="text1"/>
          <w:spacing w:val="-2"/>
          <w:sz w:val="24"/>
          <w:szCs w:val="24"/>
          <w:highlight w:val="none"/>
          <w14:textFill>
            <w14:solidFill>
              <w14:schemeClr w14:val="tx1"/>
            </w14:solidFill>
          </w14:textFill>
        </w:rPr>
        <w:t>、《开标一览表》以及其他有关资料移交评标委员会。</w:t>
      </w:r>
    </w:p>
    <w:p w14:paraId="266AEA26">
      <w:pPr>
        <w:pageBreakBefore w:val="0"/>
        <w:kinsoku/>
        <w:wordWrap w:val="0"/>
        <w:overflowPunct/>
        <w:topLinePunct/>
        <w:bidi w:val="0"/>
        <w:spacing w:before="78" w:line="221" w:lineRule="auto"/>
        <w:ind w:left="496"/>
        <w:outlineLvl w:val="2"/>
        <w:rPr>
          <w:rFonts w:hint="eastAsia" w:ascii="宋体" w:hAnsi="宋体" w:eastAsia="宋体" w:cs="宋体"/>
          <w:color w:val="000000" w:themeColor="text1"/>
          <w:highlight w:val="none"/>
          <w14:textFill>
            <w14:solidFill>
              <w14:schemeClr w14:val="tx1"/>
            </w14:solidFill>
          </w14:textFill>
        </w:rPr>
      </w:pPr>
      <w:bookmarkStart w:id="85" w:name="_Toc961"/>
      <w:bookmarkStart w:id="86" w:name="_Toc8779"/>
      <w:r>
        <w:rPr>
          <w:rFonts w:hint="eastAsia" w:ascii="宋体" w:hAnsi="宋体" w:eastAsia="宋体" w:cs="宋体"/>
          <w:b/>
          <w:bCs/>
          <w:color w:val="000000" w:themeColor="text1"/>
          <w:spacing w:val="-11"/>
          <w:sz w:val="24"/>
          <w:szCs w:val="24"/>
          <w:highlight w:val="none"/>
          <w14:textFill>
            <w14:solidFill>
              <w14:schemeClr w14:val="tx1"/>
            </w14:solidFill>
          </w14:textFill>
        </w:rPr>
        <w:t>15．评标</w:t>
      </w:r>
      <w:bookmarkEnd w:id="85"/>
      <w:bookmarkEnd w:id="86"/>
    </w:p>
    <w:p w14:paraId="54AE108A">
      <w:pPr>
        <w:keepNext w:val="0"/>
        <w:keepLines w:val="0"/>
        <w:pageBreakBefore w:val="0"/>
        <w:widowControl w:val="0"/>
        <w:kinsoku/>
        <w:wordWrap w:val="0"/>
        <w:overflowPunct/>
        <w:topLinePunct/>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000000" w:themeColor="text1"/>
          <w:kern w:val="0"/>
          <w:sz w:val="24"/>
          <w:szCs w:val="24"/>
          <w:highlight w:val="none"/>
          <w14:textFill>
            <w14:solidFill>
              <w14:schemeClr w14:val="tx1"/>
            </w14:solidFill>
          </w14:textFill>
        </w:rPr>
      </w:pPr>
      <w:bookmarkStart w:id="87" w:name="bookmark124"/>
      <w:bookmarkEnd w:id="87"/>
      <w:r>
        <w:rPr>
          <w:rFonts w:hint="eastAsia" w:ascii="宋体" w:hAnsi="宋体" w:eastAsia="宋体" w:cs="宋体"/>
          <w:snapToGrid w:val="0"/>
          <w:color w:val="000000" w:themeColor="text1"/>
          <w:kern w:val="0"/>
          <w:sz w:val="24"/>
          <w:szCs w:val="24"/>
          <w:highlight w:val="none"/>
          <w14:textFill>
            <w14:solidFill>
              <w14:schemeClr w14:val="tx1"/>
            </w14:solidFill>
          </w14:textFill>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评审综合总得分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由</w:t>
      </w:r>
      <w:r>
        <w:rPr>
          <w:rFonts w:hint="eastAsia" w:ascii="宋体" w:hAnsi="宋体" w:eastAsia="宋体" w:cs="宋体"/>
          <w:snapToGrid w:val="0"/>
          <w:color w:val="000000" w:themeColor="text1"/>
          <w:kern w:val="0"/>
          <w:sz w:val="24"/>
          <w:szCs w:val="24"/>
          <w:highlight w:val="none"/>
          <w14:textFill>
            <w14:solidFill>
              <w14:schemeClr w14:val="tx1"/>
            </w14:solidFill>
          </w14:textFill>
        </w:rPr>
        <w:t>高</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到</w:t>
      </w:r>
      <w:r>
        <w:rPr>
          <w:rFonts w:hint="eastAsia" w:ascii="宋体" w:hAnsi="宋体" w:eastAsia="宋体" w:cs="宋体"/>
          <w:snapToGrid w:val="0"/>
          <w:color w:val="000000" w:themeColor="text1"/>
          <w:kern w:val="0"/>
          <w:sz w:val="24"/>
          <w:szCs w:val="24"/>
          <w:highlight w:val="none"/>
          <w14:textFill>
            <w14:solidFill>
              <w14:schemeClr w14:val="tx1"/>
            </w14:solidFill>
          </w14:textFill>
        </w:rPr>
        <w:t>低的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原则</w:t>
      </w:r>
      <w:r>
        <w:rPr>
          <w:rFonts w:hint="eastAsia" w:ascii="宋体" w:hAnsi="宋体" w:eastAsia="宋体" w:cs="宋体"/>
          <w:snapToGrid w:val="0"/>
          <w:color w:val="000000" w:themeColor="text1"/>
          <w:kern w:val="0"/>
          <w:sz w:val="24"/>
          <w:szCs w:val="24"/>
          <w:highlight w:val="none"/>
          <w14:textFill>
            <w14:solidFill>
              <w14:schemeClr w14:val="tx1"/>
            </w14:solidFill>
          </w14:textFill>
        </w:rPr>
        <w:t>,向招标人推荐</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已明确的</w:t>
      </w:r>
      <w:r>
        <w:rPr>
          <w:rFonts w:hint="eastAsia" w:ascii="宋体" w:hAnsi="宋体" w:eastAsia="宋体" w:cs="宋体"/>
          <w:snapToGrid w:val="0"/>
          <w:color w:val="000000" w:themeColor="text1"/>
          <w:kern w:val="0"/>
          <w:sz w:val="24"/>
          <w:szCs w:val="24"/>
          <w:highlight w:val="none"/>
          <w14:textFill>
            <w14:solidFill>
              <w14:schemeClr w14:val="tx1"/>
            </w14:solidFill>
          </w14:textFill>
        </w:rPr>
        <w:t>定标候选人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数量</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标明</w:t>
      </w:r>
      <w:r>
        <w:rPr>
          <w:rFonts w:hint="eastAsia" w:ascii="宋体" w:hAnsi="宋体" w:eastAsia="宋体" w:cs="宋体"/>
          <w:snapToGrid w:val="0"/>
          <w:color w:val="000000" w:themeColor="text1"/>
          <w:kern w:val="0"/>
          <w:sz w:val="24"/>
          <w:szCs w:val="24"/>
          <w:highlight w:val="none"/>
          <w14:textFill>
            <w14:solidFill>
              <w14:schemeClr w14:val="tx1"/>
            </w14:solidFill>
          </w14:textFill>
        </w:rPr>
        <w:t>排序），并向招标人提交由全体评标委员会成员签字的评标报告。</w:t>
      </w:r>
    </w:p>
    <w:p w14:paraId="7E3BD737">
      <w:pPr>
        <w:pageBreakBefore w:val="0"/>
        <w:kinsoku/>
        <w:wordWrap w:val="0"/>
        <w:overflowPunct/>
        <w:topLinePunct/>
        <w:bidi w:val="0"/>
        <w:spacing w:before="38" w:line="219"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15.1 </w:t>
      </w:r>
      <w:r>
        <w:rPr>
          <w:rFonts w:hint="eastAsia" w:ascii="宋体" w:hAnsi="宋体" w:eastAsia="宋体" w:cs="宋体"/>
          <w:color w:val="000000" w:themeColor="text1"/>
          <w:spacing w:val="-2"/>
          <w:sz w:val="24"/>
          <w:szCs w:val="24"/>
          <w:highlight w:val="none"/>
          <w14:textFill>
            <w14:solidFill>
              <w14:schemeClr w14:val="tx1"/>
            </w14:solidFill>
          </w14:textFill>
        </w:rPr>
        <w:t>评标委员会</w:t>
      </w:r>
    </w:p>
    <w:p w14:paraId="437DFEF8">
      <w:pPr>
        <w:pageBreakBefore w:val="0"/>
        <w:kinsoku/>
        <w:wordWrap w:val="0"/>
        <w:overflowPunct/>
        <w:topLinePunct/>
        <w:bidi w:val="0"/>
        <w:adjustRightInd w:val="0"/>
        <w:snapToGrid w:val="0"/>
        <w:spacing w:line="360" w:lineRule="auto"/>
        <w:ind w:firstLine="478"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15.1.1 </w:t>
      </w:r>
      <w:r>
        <w:rPr>
          <w:rFonts w:hint="eastAsia" w:ascii="宋体" w:hAnsi="宋体" w:eastAsia="宋体" w:cs="宋体"/>
          <w:color w:val="000000" w:themeColor="text1"/>
          <w:sz w:val="24"/>
          <w:szCs w:val="24"/>
          <w:highlight w:val="none"/>
          <w14:textFill>
            <w14:solidFill>
              <w14:schemeClr w14:val="tx1"/>
            </w14:solidFill>
          </w14:textFill>
        </w:rPr>
        <w:t>评标委员会由</w:t>
      </w:r>
      <w:r>
        <w:rPr>
          <w:rFonts w:hint="eastAsia" w:ascii="宋体" w:hAnsi="宋体" w:eastAsia="宋体" w:cs="宋体"/>
          <w:color w:val="000000" w:themeColor="text1"/>
          <w:sz w:val="24"/>
          <w:szCs w:val="24"/>
          <w:highlight w:val="none"/>
          <w:u w:val="single"/>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人组成，其中招标人代表</w:t>
      </w:r>
      <w:r>
        <w:rPr>
          <w:rFonts w:hint="eastAsia" w:ascii="宋体" w:hAnsi="宋体" w:eastAsia="宋体" w:cs="宋体"/>
          <w:color w:val="000000" w:themeColor="text1"/>
          <w:sz w:val="24"/>
          <w:szCs w:val="24"/>
          <w:highlight w:val="none"/>
          <w:u w:val="single"/>
          <w14:textFill>
            <w14:solidFill>
              <w14:schemeClr w14:val="tx1"/>
            </w14:solidFill>
          </w14:textFill>
        </w:rPr>
        <w:t>0</w:t>
      </w:r>
      <w:r>
        <w:rPr>
          <w:rFonts w:hint="eastAsia" w:ascii="宋体" w:hAnsi="宋体" w:eastAsia="宋体" w:cs="宋体"/>
          <w:color w:val="000000" w:themeColor="text1"/>
          <w:sz w:val="24"/>
          <w:szCs w:val="24"/>
          <w:highlight w:val="none"/>
          <w14:textFill>
            <w14:solidFill>
              <w14:schemeClr w14:val="tx1"/>
            </w14:solidFill>
          </w14:textFill>
        </w:rPr>
        <w:t>人，专家</w:t>
      </w:r>
      <w:r>
        <w:rPr>
          <w:rFonts w:hint="eastAsia" w:ascii="宋体" w:hAnsi="宋体" w:eastAsia="宋体" w:cs="宋体"/>
          <w:color w:val="000000" w:themeColor="text1"/>
          <w:sz w:val="24"/>
          <w:szCs w:val="24"/>
          <w:highlight w:val="none"/>
          <w:u w:val="single"/>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人。专家从</w:t>
      </w:r>
      <w:r>
        <w:rPr>
          <w:rFonts w:hint="eastAsia" w:ascii="宋体" w:hAnsi="宋体" w:eastAsia="宋体" w:cs="宋体"/>
          <w:color w:val="000000" w:themeColor="text1"/>
          <w:sz w:val="24"/>
          <w:szCs w:val="24"/>
          <w:highlight w:val="none"/>
          <w:u w:val="single"/>
          <w14:textFill>
            <w14:solidFill>
              <w14:schemeClr w14:val="tx1"/>
            </w14:solidFill>
          </w14:textFill>
        </w:rPr>
        <w:t>广东省综合评标评审专家库</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韶关区域</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中随机抽取，其中技术类专家</w:t>
      </w:r>
      <w:r>
        <w:rPr>
          <w:rFonts w:hint="eastAsia" w:ascii="宋体" w:hAnsi="宋体" w:eastAsia="宋体" w:cs="宋体"/>
          <w:color w:val="000000" w:themeColor="text1"/>
          <w:sz w:val="24"/>
          <w:szCs w:val="24"/>
          <w:highlight w:val="none"/>
          <w:u w:val="single"/>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人，经济类专家</w:t>
      </w:r>
      <w:r>
        <w:rPr>
          <w:rFonts w:hint="eastAsia" w:ascii="宋体" w:hAnsi="宋体" w:eastAsia="宋体" w:cs="宋体"/>
          <w:color w:val="000000" w:themeColor="text1"/>
          <w:sz w:val="24"/>
          <w:szCs w:val="24"/>
          <w:highlight w:val="none"/>
          <w:u w:val="single"/>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人。</w:t>
      </w:r>
      <w:r>
        <w:rPr>
          <w:rFonts w:hint="eastAsia" w:ascii="宋体" w:hAnsi="宋体" w:eastAsia="宋体" w:cs="宋体"/>
          <w:color w:val="000000" w:themeColor="text1"/>
          <w:spacing w:val="-1"/>
          <w:sz w:val="24"/>
          <w:szCs w:val="24"/>
          <w:highlight w:val="none"/>
          <w14:textFill>
            <w14:solidFill>
              <w14:schemeClr w14:val="tx1"/>
            </w14:solidFill>
          </w14:textFill>
        </w:rPr>
        <w:t>评标委员会设负责人，由评标委员会成员推举产生</w:t>
      </w:r>
      <w:r>
        <w:rPr>
          <w:rFonts w:hint="eastAsia" w:ascii="宋体" w:hAnsi="宋体" w:eastAsia="宋体" w:cs="宋体"/>
          <w:color w:val="000000" w:themeColor="text1"/>
          <w:spacing w:val="-2"/>
          <w:sz w:val="24"/>
          <w:szCs w:val="24"/>
          <w:highlight w:val="none"/>
          <w14:textFill>
            <w14:solidFill>
              <w14:schemeClr w14:val="tx1"/>
            </w14:solidFill>
          </w14:textFill>
        </w:rPr>
        <w:t>。评标委员会负责人与评</w:t>
      </w:r>
      <w:r>
        <w:rPr>
          <w:rFonts w:hint="eastAsia" w:ascii="宋体" w:hAnsi="宋体" w:eastAsia="宋体" w:cs="宋体"/>
          <w:color w:val="000000" w:themeColor="text1"/>
          <w:spacing w:val="-1"/>
          <w:sz w:val="24"/>
          <w:szCs w:val="24"/>
          <w:highlight w:val="none"/>
          <w14:textFill>
            <w14:solidFill>
              <w14:schemeClr w14:val="tx1"/>
            </w14:solidFill>
          </w14:textFill>
        </w:rPr>
        <w:t>标委员会的其他成员有同等的表决权。</w:t>
      </w:r>
    </w:p>
    <w:p w14:paraId="25C50064">
      <w:pPr>
        <w:pageBreakBefore w:val="0"/>
        <w:kinsoku/>
        <w:wordWrap w:val="0"/>
        <w:overflowPunct/>
        <w:topLinePunct/>
        <w:bidi w:val="0"/>
        <w:adjustRightInd w:val="0"/>
        <w:snapToGrid w:val="0"/>
        <w:spacing w:line="360" w:lineRule="auto"/>
        <w:ind w:firstLine="474"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15.1.2</w:t>
      </w:r>
      <w:r>
        <w:rPr>
          <w:rFonts w:hint="eastAsia" w:ascii="宋体" w:hAnsi="宋体" w:eastAsia="宋体" w:cs="宋体"/>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评标专家</w:t>
      </w:r>
      <w:r>
        <w:rPr>
          <w:rFonts w:hint="eastAsia" w:ascii="宋体" w:hAnsi="宋体" w:eastAsia="宋体" w:cs="宋体"/>
          <w:snapToGrid w:val="0"/>
          <w:color w:val="000000" w:themeColor="text1"/>
          <w:kern w:val="0"/>
          <w:sz w:val="24"/>
          <w:highlight w:val="none"/>
          <w14:textFill>
            <w14:solidFill>
              <w14:schemeClr w14:val="tx1"/>
            </w14:solidFill>
          </w14:textFill>
        </w:rPr>
        <w:t>应按时参加评标活动，自觉遵守工作纪律和服从现场管理</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highlight w:val="none"/>
          <w14:textFill>
            <w14:solidFill>
              <w14:schemeClr w14:val="tx1"/>
            </w14:solidFill>
          </w14:textFill>
        </w:rPr>
        <w:t>采用远程异地评标方式评标的</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highlight w:val="none"/>
          <w14:textFill>
            <w14:solidFill>
              <w14:schemeClr w14:val="tx1"/>
            </w14:solidFill>
          </w14:textFill>
        </w:rPr>
        <w:t>主场、副场各自负责本场所</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评标委员会</w:t>
      </w:r>
      <w:r>
        <w:rPr>
          <w:rFonts w:hint="eastAsia" w:ascii="宋体" w:hAnsi="宋体" w:eastAsia="宋体" w:cs="宋体"/>
          <w:snapToGrid w:val="0"/>
          <w:color w:val="000000" w:themeColor="text1"/>
          <w:kern w:val="0"/>
          <w:sz w:val="24"/>
          <w:highlight w:val="none"/>
          <w14:textFill>
            <w14:solidFill>
              <w14:schemeClr w14:val="tx1"/>
            </w14:solidFill>
          </w14:textFill>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评标委员会</w:t>
      </w:r>
      <w:r>
        <w:rPr>
          <w:rFonts w:hint="eastAsia" w:ascii="宋体" w:hAnsi="宋体" w:eastAsia="宋体" w:cs="宋体"/>
          <w:snapToGrid w:val="0"/>
          <w:color w:val="000000" w:themeColor="text1"/>
          <w:kern w:val="0"/>
          <w:sz w:val="24"/>
          <w:highlight w:val="none"/>
          <w14:textFill>
            <w14:solidFill>
              <w14:schemeClr w14:val="tx1"/>
            </w14:solidFill>
          </w14:textFill>
        </w:rPr>
        <w:t>成员推举产生</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的评标委员会组长</w:t>
      </w:r>
      <w:r>
        <w:rPr>
          <w:rFonts w:hint="eastAsia" w:ascii="宋体" w:hAnsi="宋体" w:eastAsia="宋体" w:cs="宋体"/>
          <w:snapToGrid w:val="0"/>
          <w:color w:val="000000" w:themeColor="text1"/>
          <w:kern w:val="0"/>
          <w:sz w:val="24"/>
          <w:highlight w:val="none"/>
          <w14:textFill>
            <w14:solidFill>
              <w14:schemeClr w14:val="tx1"/>
            </w14:solidFill>
          </w14:textFill>
        </w:rPr>
        <w:t>组织</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各</w:t>
      </w:r>
      <w:r>
        <w:rPr>
          <w:rFonts w:hint="eastAsia" w:ascii="宋体" w:hAnsi="宋体" w:eastAsia="宋体" w:cs="宋体"/>
          <w:snapToGrid w:val="0"/>
          <w:color w:val="000000" w:themeColor="text1"/>
          <w:kern w:val="0"/>
          <w:sz w:val="24"/>
          <w:highlight w:val="none"/>
          <w14:textFill>
            <w14:solidFill>
              <w14:schemeClr w14:val="tx1"/>
            </w14:solidFill>
          </w14:textFill>
        </w:rPr>
        <w:t>成员协商讨论。在评标过程中需要进行讨论或者通过实名投票方式表决意见的，应当通过视频会议系统进行，并做好相关记录。</w:t>
      </w:r>
    </w:p>
    <w:p w14:paraId="01932098">
      <w:pPr>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lang w:val="en-US" w:eastAsia="zh-CN"/>
          <w14:textFill>
            <w14:solidFill>
              <w14:schemeClr w14:val="tx1"/>
            </w14:solidFill>
          </w14:textFill>
        </w:rPr>
        <w:t xml:space="preserve">15.1.3 </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评标委员会应</w:t>
      </w:r>
      <w:r>
        <w:rPr>
          <w:rFonts w:hint="eastAsia" w:ascii="宋体" w:hAnsi="宋体" w:eastAsia="宋体" w:cs="宋体"/>
          <w:snapToGrid w:val="0"/>
          <w:color w:val="000000" w:themeColor="text1"/>
          <w:kern w:val="0"/>
          <w:sz w:val="24"/>
          <w:highlight w:val="none"/>
          <w14:textFill>
            <w14:solidFill>
              <w14:schemeClr w14:val="tx1"/>
            </w14:solidFill>
          </w14:textFill>
        </w:rPr>
        <w:t>严格按照招标文件的评标办法规定的评标程序、评标标准和方法进行评标，招标文件没有规定的评标标准和方法不得作为评标的依据。</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并且</w:t>
      </w:r>
      <w:r>
        <w:rPr>
          <w:rFonts w:hint="eastAsia" w:ascii="宋体" w:hAnsi="宋体" w:eastAsia="宋体" w:cs="宋体"/>
          <w:snapToGrid w:val="0"/>
          <w:color w:val="000000" w:themeColor="text1"/>
          <w:kern w:val="0"/>
          <w:sz w:val="24"/>
          <w:highlight w:val="none"/>
          <w14:textFill>
            <w14:solidFill>
              <w14:schemeClr w14:val="tx1"/>
            </w14:solidFill>
          </w14:textFill>
        </w:rPr>
        <w:t>自觉接受有关行政部门监督，协助配合有关异议和投诉处理。采用远程异地评标方式评标的</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highlight w:val="none"/>
          <w14:textFill>
            <w14:solidFill>
              <w14:schemeClr w14:val="tx1"/>
            </w14:solidFill>
          </w14:textFill>
        </w:rPr>
        <w:t>主场、副场评标专家在评标过程中具有同等权利和义务</w:t>
      </w:r>
    </w:p>
    <w:p w14:paraId="749324B3">
      <w:pPr>
        <w:pageBreakBefore w:val="0"/>
        <w:kinsoku/>
        <w:wordWrap w:val="0"/>
        <w:overflowPunct/>
        <w:topLinePunct/>
        <w:bidi w:val="0"/>
        <w:adjustRightInd w:val="0"/>
        <w:snapToGrid w:val="0"/>
        <w:spacing w:line="360" w:lineRule="auto"/>
        <w:ind w:firstLine="482" w:firstLineChars="200"/>
        <w:rPr>
          <w:rFonts w:hint="eastAsia" w:ascii="宋体" w:hAnsi="宋体" w:eastAsia="宋体" w:cs="宋体"/>
          <w:snapToGrid w:val="0"/>
          <w:color w:val="000000" w:themeColor="text1"/>
          <w:kern w:val="0"/>
          <w:sz w:val="24"/>
          <w:highlight w:val="none"/>
          <w14:textFill>
            <w14:solidFill>
              <w14:schemeClr w14:val="tx1"/>
            </w14:solidFill>
          </w14:textFill>
        </w:rPr>
      </w:pPr>
      <w:r>
        <w:rPr>
          <w:rFonts w:hint="eastAsia" w:ascii="宋体" w:hAnsi="宋体" w:eastAsia="宋体" w:cs="宋体"/>
          <w:b/>
          <w:bCs/>
          <w:snapToGrid w:val="0"/>
          <w:color w:val="000000" w:themeColor="text1"/>
          <w:kern w:val="0"/>
          <w:sz w:val="24"/>
          <w:highlight w:val="none"/>
          <w:lang w:val="en-US" w:eastAsia="zh-CN"/>
          <w14:textFill>
            <w14:solidFill>
              <w14:schemeClr w14:val="tx1"/>
            </w14:solidFill>
          </w14:textFill>
        </w:rPr>
        <w:t>15.1.4</w:t>
      </w:r>
      <w:r>
        <w:rPr>
          <w:rFonts w:hint="eastAsia" w:ascii="宋体" w:hAnsi="宋体" w:eastAsia="宋体" w:cs="宋体"/>
          <w:b/>
          <w:bCs/>
          <w:snapToGrid w:val="0"/>
          <w:color w:val="000000" w:themeColor="text1"/>
          <w:kern w:val="0"/>
          <w:sz w:val="24"/>
          <w:highlight w:val="none"/>
          <w14:textFill>
            <w14:solidFill>
              <w14:schemeClr w14:val="tx1"/>
            </w14:solidFill>
          </w14:textFill>
        </w:rPr>
        <w:t xml:space="preserve"> </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评标委员会</w:t>
      </w:r>
      <w:r>
        <w:rPr>
          <w:rFonts w:hint="eastAsia" w:ascii="宋体" w:hAnsi="宋体" w:eastAsia="宋体" w:cs="宋体"/>
          <w:snapToGrid w:val="0"/>
          <w:color w:val="000000" w:themeColor="text1"/>
          <w:kern w:val="0"/>
          <w:sz w:val="24"/>
          <w:highlight w:val="none"/>
          <w14:textFill>
            <w14:solidFill>
              <w14:schemeClr w14:val="tx1"/>
            </w14:solidFill>
          </w14:textFill>
        </w:rPr>
        <w:t>应切实履行评标职责，对同一个问题不一致的，按程序要求记录。</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评标委员会</w:t>
      </w:r>
      <w:r>
        <w:rPr>
          <w:rFonts w:hint="eastAsia" w:ascii="宋体" w:hAnsi="宋体" w:eastAsia="宋体" w:cs="宋体"/>
          <w:snapToGrid w:val="0"/>
          <w:color w:val="000000" w:themeColor="text1"/>
          <w:kern w:val="0"/>
          <w:sz w:val="24"/>
          <w:highlight w:val="none"/>
          <w14:textFill>
            <w14:solidFill>
              <w14:schemeClr w14:val="tx1"/>
            </w14:solidFill>
          </w14:textFill>
        </w:rPr>
        <w:t>实行少数服从多数的原则，以记名投票方式表决，评</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审</w:t>
      </w:r>
      <w:r>
        <w:rPr>
          <w:rFonts w:hint="eastAsia" w:ascii="宋体" w:hAnsi="宋体" w:eastAsia="宋体" w:cs="宋体"/>
          <w:snapToGrid w:val="0"/>
          <w:color w:val="000000" w:themeColor="text1"/>
          <w:kern w:val="0"/>
          <w:sz w:val="24"/>
          <w:highlight w:val="none"/>
          <w14:textFill>
            <w14:solidFill>
              <w14:schemeClr w14:val="tx1"/>
            </w14:solidFill>
          </w14:textFill>
        </w:rPr>
        <w:t>结果经</w:t>
      </w:r>
      <w:r>
        <w:rPr>
          <w:rFonts w:hint="eastAsia" w:ascii="宋体" w:hAnsi="宋体" w:eastAsia="宋体" w:cs="宋体"/>
          <w:snapToGrid w:val="0"/>
          <w:color w:val="000000" w:themeColor="text1"/>
          <w:kern w:val="0"/>
          <w:sz w:val="24"/>
          <w:highlight w:val="none"/>
          <w:lang w:eastAsia="zh-CN"/>
          <w14:textFill>
            <w14:solidFill>
              <w14:schemeClr w14:val="tx1"/>
            </w14:solidFill>
          </w14:textFill>
        </w:rPr>
        <w:t>评标委员会</w:t>
      </w:r>
      <w:r>
        <w:rPr>
          <w:rFonts w:hint="eastAsia" w:ascii="宋体" w:hAnsi="宋体" w:eastAsia="宋体" w:cs="宋体"/>
          <w:snapToGrid w:val="0"/>
          <w:color w:val="000000" w:themeColor="text1"/>
          <w:kern w:val="0"/>
          <w:sz w:val="24"/>
          <w:highlight w:val="none"/>
          <w14:textFill>
            <w14:solidFill>
              <w14:schemeClr w14:val="tx1"/>
            </w14:solidFill>
          </w14:textFill>
        </w:rPr>
        <w:t>全体成员过半数通过有效。</w:t>
      </w:r>
    </w:p>
    <w:p w14:paraId="3094C17B">
      <w:pPr>
        <w:pageBreakBefore w:val="0"/>
        <w:kinsoku/>
        <w:wordWrap w:val="0"/>
        <w:overflowPunct/>
        <w:topLinePunct/>
        <w:bidi w:val="0"/>
        <w:adjustRightInd w:val="0"/>
        <w:snapToGrid w:val="0"/>
        <w:spacing w:line="360" w:lineRule="auto"/>
        <w:ind w:firstLine="56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15.1.5 </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成员应当独立、客观、公正地对投标文件提出评审意见，对评审结果签字确认，并对所提出的评审意见承担个人责任。禁止</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成员将个人意见强加给他人，影响正常评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秩序和妨碍评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结论的公正性。对评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结果有不同意见的</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成员应当以书面形式说明其不同意见和理由，</w:t>
      </w:r>
      <w:r>
        <w:rPr>
          <w:rFonts w:hint="eastAsia" w:ascii="宋体" w:hAnsi="宋体" w:eastAsia="宋体" w:cs="宋体"/>
          <w:color w:val="000000" w:themeColor="text1"/>
          <w:sz w:val="24"/>
          <w:highlight w:val="none"/>
          <w:lang w:eastAsia="zh-CN"/>
          <w14:textFill>
            <w14:solidFill>
              <w14:schemeClr w14:val="tx1"/>
            </w14:solidFill>
          </w14:textFill>
        </w:rPr>
        <w:t>资格后审报告（</w:t>
      </w:r>
      <w:r>
        <w:rPr>
          <w:rFonts w:hint="eastAsia" w:ascii="宋体" w:hAnsi="宋体" w:eastAsia="宋体" w:cs="宋体"/>
          <w:color w:val="000000" w:themeColor="text1"/>
          <w:sz w:val="24"/>
          <w:highlight w:val="none"/>
          <w14:textFill>
            <w14:solidFill>
              <w14:schemeClr w14:val="tx1"/>
            </w14:solidFill>
          </w14:textFill>
        </w:rPr>
        <w:t>评标报告</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应当注明该不同意见。</w:t>
      </w:r>
      <w:r>
        <w:rPr>
          <w:rFonts w:hint="eastAsia" w:ascii="宋体" w:hAnsi="宋体" w:eastAsia="宋体" w:cs="宋体"/>
          <w:color w:val="000000" w:themeColor="text1"/>
          <w:sz w:val="24"/>
          <w:highlight w:val="none"/>
          <w:lang w:eastAsia="zh-CN"/>
          <w14:textFill>
            <w14:solidFill>
              <w14:schemeClr w14:val="tx1"/>
            </w14:solidFill>
          </w14:textFill>
        </w:rPr>
        <w:t>评标委员会</w:t>
      </w:r>
      <w:r>
        <w:rPr>
          <w:rFonts w:hint="eastAsia" w:ascii="宋体" w:hAnsi="宋体" w:eastAsia="宋体" w:cs="宋体"/>
          <w:color w:val="000000" w:themeColor="text1"/>
          <w:sz w:val="24"/>
          <w:highlight w:val="none"/>
          <w14:textFill>
            <w14:solidFill>
              <w14:schemeClr w14:val="tx1"/>
            </w14:solidFill>
          </w14:textFill>
        </w:rPr>
        <w:t>成员拒绝在</w:t>
      </w:r>
      <w:r>
        <w:rPr>
          <w:rFonts w:hint="eastAsia" w:ascii="宋体" w:hAnsi="宋体" w:eastAsia="宋体" w:cs="宋体"/>
          <w:color w:val="000000" w:themeColor="text1"/>
          <w:sz w:val="24"/>
          <w:highlight w:val="none"/>
          <w:lang w:eastAsia="zh-CN"/>
          <w14:textFill>
            <w14:solidFill>
              <w14:schemeClr w14:val="tx1"/>
            </w14:solidFill>
          </w14:textFill>
        </w:rPr>
        <w:t>资格后审报告（</w:t>
      </w:r>
      <w:r>
        <w:rPr>
          <w:rFonts w:hint="eastAsia" w:ascii="宋体" w:hAnsi="宋体" w:eastAsia="宋体" w:cs="宋体"/>
          <w:color w:val="000000" w:themeColor="text1"/>
          <w:sz w:val="24"/>
          <w:highlight w:val="none"/>
          <w14:textFill>
            <w14:solidFill>
              <w14:schemeClr w14:val="tx1"/>
            </w14:solidFill>
          </w14:textFill>
        </w:rPr>
        <w:t>评标报告</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上签字又不书面说明其不同意见和理由的，视为同意评</w:t>
      </w:r>
      <w:r>
        <w:rPr>
          <w:rFonts w:hint="eastAsia" w:ascii="宋体" w:hAnsi="宋体" w:eastAsia="宋体" w:cs="宋体"/>
          <w:color w:val="000000" w:themeColor="text1"/>
          <w:sz w:val="24"/>
          <w:highlight w:val="none"/>
          <w:lang w:eastAsia="zh-CN"/>
          <w14:textFill>
            <w14:solidFill>
              <w14:schemeClr w14:val="tx1"/>
            </w14:solidFill>
          </w14:textFill>
        </w:rPr>
        <w:t>审</w:t>
      </w:r>
      <w:r>
        <w:rPr>
          <w:rFonts w:hint="eastAsia" w:ascii="宋体" w:hAnsi="宋体" w:eastAsia="宋体" w:cs="宋体"/>
          <w:color w:val="000000" w:themeColor="text1"/>
          <w:sz w:val="24"/>
          <w:highlight w:val="none"/>
          <w14:textFill>
            <w14:solidFill>
              <w14:schemeClr w14:val="tx1"/>
            </w14:solidFill>
          </w14:textFill>
        </w:rPr>
        <w:t>结果。</w:t>
      </w:r>
    </w:p>
    <w:p w14:paraId="5B856183">
      <w:pPr>
        <w:pageBreakBefore w:val="0"/>
        <w:kinsoku/>
        <w:wordWrap w:val="0"/>
        <w:overflowPunct/>
        <w:topLinePunct/>
        <w:bidi w:val="0"/>
        <w:adjustRightInd w:val="0"/>
        <w:snapToGrid w:val="0"/>
        <w:spacing w:line="360" w:lineRule="auto"/>
        <w:ind w:firstLine="56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15.2</w:t>
      </w:r>
      <w:r>
        <w:rPr>
          <w:rFonts w:hint="eastAsia" w:ascii="宋体" w:hAnsi="宋体" w:eastAsia="宋体" w:cs="宋体"/>
          <w:b/>
          <w:color w:val="000000" w:themeColor="text1"/>
          <w:sz w:val="24"/>
          <w:highlight w:val="none"/>
          <w14:textFill>
            <w14:solidFill>
              <w14:schemeClr w14:val="tx1"/>
            </w14:solidFill>
          </w14:textFill>
        </w:rPr>
        <w:t>评标过程的回避</w:t>
      </w:r>
    </w:p>
    <w:p w14:paraId="0B71AA2D">
      <w:pPr>
        <w:pageBreakBefore w:val="0"/>
        <w:kinsoku/>
        <w:wordWrap w:val="0"/>
        <w:overflowPunct/>
        <w:topLinePunct/>
        <w:bidi w:val="0"/>
        <w:spacing w:before="32" w:line="280" w:lineRule="auto"/>
        <w:ind w:left="13" w:right="7" w:firstLine="56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15.2.1</w:t>
      </w:r>
      <w:r>
        <w:rPr>
          <w:rFonts w:hint="eastAsia" w:ascii="宋体" w:hAnsi="宋体" w:eastAsia="宋体" w:cs="宋体"/>
          <w:color w:val="000000" w:themeColor="text1"/>
          <w:spacing w:val="-2"/>
          <w:sz w:val="24"/>
          <w:szCs w:val="24"/>
          <w:highlight w:val="none"/>
          <w14:textFill>
            <w14:solidFill>
              <w14:schemeClr w14:val="tx1"/>
            </w14:solidFill>
          </w14:textFill>
        </w:rPr>
        <w:t>评标委员会应认真、公正、诚实、廉洁地履行职责。有下列情形之一的，不得担任评标委员会成员：</w:t>
      </w:r>
    </w:p>
    <w:p w14:paraId="0CF9619F">
      <w:pPr>
        <w:pageBreakBefore w:val="0"/>
        <w:kinsoku/>
        <w:wordWrap w:val="0"/>
        <w:overflowPunct/>
        <w:topLinePunct/>
        <w:bidi w:val="0"/>
        <w:spacing w:before="154" w:line="220"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（1）投标人或投标人主要负责人的近亲属；</w:t>
      </w:r>
    </w:p>
    <w:p w14:paraId="6DF87ED0">
      <w:pPr>
        <w:pageBreakBefore w:val="0"/>
        <w:kinsoku/>
        <w:wordWrap w:val="0"/>
        <w:overflowPunct/>
        <w:topLinePunct/>
        <w:bidi w:val="0"/>
        <w:spacing w:before="153" w:line="220"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（2）项目主管部门或者行政监督部门的人员；</w:t>
      </w:r>
    </w:p>
    <w:p w14:paraId="12724AB6">
      <w:pPr>
        <w:pageBreakBefore w:val="0"/>
        <w:kinsoku/>
        <w:wordWrap w:val="0"/>
        <w:overflowPunct/>
        <w:topLinePunct/>
        <w:bidi w:val="0"/>
        <w:spacing w:before="155" w:line="221"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（3）与投标人有经济利益关系，可能影响对投标公正评审的；</w:t>
      </w:r>
    </w:p>
    <w:p w14:paraId="28630300">
      <w:pPr>
        <w:pageBreakBefore w:val="0"/>
        <w:kinsoku/>
        <w:wordWrap w:val="0"/>
        <w:overflowPunct/>
        <w:topLinePunct/>
        <w:bidi w:val="0"/>
        <w:spacing w:before="153" w:line="279" w:lineRule="auto"/>
        <w:ind w:left="8" w:right="65" w:firstLine="57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（4）曾因在招标、评标以及其他与招标投标有关活动中从事违法行为而受过行政处罚或刑事处罚的。</w:t>
      </w:r>
    </w:p>
    <w:p w14:paraId="6797F1BD">
      <w:pPr>
        <w:pageBreakBefore w:val="0"/>
        <w:kinsoku/>
        <w:wordWrap w:val="0"/>
        <w:overflowPunct/>
        <w:topLinePunct/>
        <w:bidi w:val="0"/>
        <w:spacing w:before="155" w:line="221" w:lineRule="auto"/>
        <w:ind w:left="0" w:leftChars="0" w:firstLine="421" w:firstLineChars="176"/>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 xml:space="preserve">15.2.2 </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评标委员会</w:t>
      </w:r>
      <w:r>
        <w:rPr>
          <w:rFonts w:hint="eastAsia" w:ascii="宋体" w:hAnsi="宋体" w:eastAsia="宋体" w:cs="宋体"/>
          <w:color w:val="000000" w:themeColor="text1"/>
          <w:spacing w:val="-1"/>
          <w:sz w:val="24"/>
          <w:szCs w:val="24"/>
          <w:highlight w:val="none"/>
          <w14:textFill>
            <w14:solidFill>
              <w14:schemeClr w14:val="tx1"/>
            </w14:solidFill>
          </w14:textFill>
        </w:rPr>
        <w:t>专家不主动提出回避的，一经发现，应立即终止其评标活动，已完成评标活动的，其评标结果无效。</w:t>
      </w:r>
    </w:p>
    <w:p w14:paraId="32F1D8A5">
      <w:pPr>
        <w:pageBreakBefore w:val="0"/>
        <w:kinsoku/>
        <w:wordWrap w:val="0"/>
        <w:overflowPunct/>
        <w:topLinePunct/>
        <w:bidi w:val="0"/>
        <w:spacing w:before="155" w:line="221" w:lineRule="auto"/>
        <w:ind w:left="0" w:leftChars="0" w:firstLine="421" w:firstLineChars="176"/>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15.3</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评标过程的保密</w:t>
      </w:r>
    </w:p>
    <w:p w14:paraId="0375B946">
      <w:pPr>
        <w:pageBreakBefore w:val="0"/>
        <w:kinsoku/>
        <w:wordWrap w:val="0"/>
        <w:overflowPunct/>
        <w:topLinePunct/>
        <w:bidi w:val="0"/>
        <w:spacing w:before="155" w:line="221" w:lineRule="auto"/>
        <w:ind w:left="0" w:leftChars="0" w:firstLine="421" w:firstLineChars="176"/>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15.3.1</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开标后，直至授予中标人合同为止，凡属于对投标人文件的审查、澄清、评价和比较有关的资料及与中标候选人的推荐情况，与评标有关的其他任何情况均应严格保密。</w:t>
      </w:r>
    </w:p>
    <w:p w14:paraId="69E58FDC">
      <w:pPr>
        <w:pageBreakBefore w:val="0"/>
        <w:kinsoku/>
        <w:wordWrap w:val="0"/>
        <w:overflowPunct/>
        <w:topLinePunct/>
        <w:bidi w:val="0"/>
        <w:spacing w:before="155" w:line="221" w:lineRule="auto"/>
        <w:ind w:left="0" w:leftChars="0" w:firstLine="421" w:firstLineChars="176"/>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15.3.2</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在投标文件的评审和比较、中标候选人推荐以及授予合同的过程中，投标人向招标人和评标委员会施加影响的任何行为，都将会导致其投标被拒绝。</w:t>
      </w:r>
    </w:p>
    <w:p w14:paraId="0B84303A">
      <w:pPr>
        <w:pageBreakBefore w:val="0"/>
        <w:kinsoku/>
        <w:wordWrap w:val="0"/>
        <w:overflowPunct/>
        <w:topLinePunct/>
        <w:bidi w:val="0"/>
        <w:spacing w:before="155" w:line="221" w:lineRule="auto"/>
        <w:ind w:left="0" w:leftChars="0" w:firstLine="421" w:firstLineChars="176"/>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 xml:space="preserve">15.3.3 </w:t>
      </w:r>
      <w:r>
        <w:rPr>
          <w:rFonts w:hint="eastAsia" w:ascii="宋体" w:hAnsi="宋体" w:eastAsia="宋体" w:cs="宋体"/>
          <w:color w:val="000000" w:themeColor="text1"/>
          <w:spacing w:val="-1"/>
          <w:sz w:val="24"/>
          <w:szCs w:val="24"/>
          <w:highlight w:val="none"/>
          <w14:textFill>
            <w14:solidFill>
              <w14:schemeClr w14:val="tx1"/>
            </w14:solidFill>
          </w14:textFill>
        </w:rPr>
        <w:t>中标人确定后，招标人不对未中标人就评标过程以及未能中标原因作出任何解释。未中标人不得向评标委员会组成人员或其他有关人员索问评标过程的情况和材料。</w:t>
      </w:r>
    </w:p>
    <w:p w14:paraId="3BAE8A0E">
      <w:pPr>
        <w:pageBreakBefore w:val="0"/>
        <w:kinsoku/>
        <w:wordWrap w:val="0"/>
        <w:overflowPunct/>
        <w:topLinePunct/>
        <w:bidi w:val="0"/>
        <w:spacing w:before="154" w:line="279" w:lineRule="auto"/>
        <w:ind w:left="8" w:right="65" w:firstLine="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15.3.4</w:t>
      </w:r>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评标全过程实行封闭式管理，在中标结果公</w:t>
      </w:r>
      <w:r>
        <w:rPr>
          <w:rFonts w:hint="eastAsia" w:ascii="宋体" w:hAnsi="宋体" w:eastAsia="宋体" w:cs="宋体"/>
          <w:color w:val="000000" w:themeColor="text1"/>
          <w:spacing w:val="-2"/>
          <w:sz w:val="24"/>
          <w:szCs w:val="24"/>
          <w:highlight w:val="none"/>
          <w14:textFill>
            <w14:solidFill>
              <w14:schemeClr w14:val="tx1"/>
            </w14:solidFill>
          </w14:textFill>
        </w:rPr>
        <w:t>布前，禁止评标委员会成员以</w:t>
      </w:r>
      <w:r>
        <w:rPr>
          <w:rFonts w:hint="eastAsia" w:ascii="宋体" w:hAnsi="宋体" w:eastAsia="宋体" w:cs="宋体"/>
          <w:color w:val="000000" w:themeColor="text1"/>
          <w:spacing w:val="-1"/>
          <w:sz w:val="24"/>
          <w:szCs w:val="24"/>
          <w:highlight w:val="none"/>
          <w14:textFill>
            <w14:solidFill>
              <w14:schemeClr w14:val="tx1"/>
            </w14:solidFill>
          </w14:textFill>
        </w:rPr>
        <w:t>任何方式私下接触投标人。</w:t>
      </w:r>
    </w:p>
    <w:p w14:paraId="77587A2E">
      <w:pPr>
        <w:pageBreakBefore w:val="0"/>
        <w:kinsoku/>
        <w:wordWrap w:val="0"/>
        <w:overflowPunct/>
        <w:topLinePunct/>
        <w:bidi w:val="0"/>
        <w:spacing w:before="157" w:line="298" w:lineRule="auto"/>
        <w:ind w:left="11" w:right="65" w:firstLine="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15.</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 xml:space="preserve">3.5 </w:t>
      </w:r>
      <w:r>
        <w:rPr>
          <w:rFonts w:hint="eastAsia" w:ascii="宋体" w:hAnsi="宋体" w:eastAsia="宋体" w:cs="宋体"/>
          <w:color w:val="000000" w:themeColor="text1"/>
          <w:spacing w:val="-1"/>
          <w:sz w:val="24"/>
          <w:szCs w:val="24"/>
          <w:highlight w:val="none"/>
          <w14:textFill>
            <w14:solidFill>
              <w14:schemeClr w14:val="tx1"/>
            </w14:solidFill>
          </w14:textFill>
        </w:rPr>
        <w:t>在评标过程中，评标委员会可以书面形式要</w:t>
      </w:r>
      <w:r>
        <w:rPr>
          <w:rFonts w:hint="eastAsia" w:ascii="宋体" w:hAnsi="宋体" w:eastAsia="宋体" w:cs="宋体"/>
          <w:color w:val="000000" w:themeColor="text1"/>
          <w:spacing w:val="-2"/>
          <w:sz w:val="24"/>
          <w:szCs w:val="24"/>
          <w:highlight w:val="none"/>
          <w14:textFill>
            <w14:solidFill>
              <w14:schemeClr w14:val="tx1"/>
            </w14:solidFill>
          </w14:textFill>
        </w:rPr>
        <w:t>求投标人对所提交的投标文件</w:t>
      </w:r>
      <w:r>
        <w:rPr>
          <w:rFonts w:hint="eastAsia" w:ascii="宋体" w:hAnsi="宋体" w:eastAsia="宋体" w:cs="宋体"/>
          <w:color w:val="000000" w:themeColor="text1"/>
          <w:spacing w:val="-1"/>
          <w:sz w:val="24"/>
          <w:szCs w:val="24"/>
          <w:highlight w:val="none"/>
          <w14:textFill>
            <w14:solidFill>
              <w14:schemeClr w14:val="tx1"/>
            </w14:solidFill>
          </w14:textFill>
        </w:rPr>
        <w:t>中不明确的内容进行书面澄清或说明，但不接受投标人主</w:t>
      </w:r>
      <w:r>
        <w:rPr>
          <w:rFonts w:hint="eastAsia" w:ascii="宋体" w:hAnsi="宋体" w:eastAsia="宋体" w:cs="宋体"/>
          <w:color w:val="000000" w:themeColor="text1"/>
          <w:spacing w:val="-2"/>
          <w:sz w:val="24"/>
          <w:szCs w:val="24"/>
          <w:highlight w:val="none"/>
          <w14:textFill>
            <w14:solidFill>
              <w14:schemeClr w14:val="tx1"/>
            </w14:solidFill>
          </w14:textFill>
        </w:rPr>
        <w:t>动提出的澄清或说明。投标</w:t>
      </w:r>
      <w:r>
        <w:rPr>
          <w:rFonts w:hint="eastAsia" w:ascii="宋体" w:hAnsi="宋体" w:eastAsia="宋体" w:cs="宋体"/>
          <w:color w:val="000000" w:themeColor="text1"/>
          <w:spacing w:val="-1"/>
          <w:sz w:val="24"/>
          <w:szCs w:val="24"/>
          <w:highlight w:val="none"/>
          <w14:textFill>
            <w14:solidFill>
              <w14:schemeClr w14:val="tx1"/>
            </w14:solidFill>
          </w14:textFill>
        </w:rPr>
        <w:t>人的书面澄清或说明不得改变投标文件的实质性内容，并</w:t>
      </w:r>
      <w:r>
        <w:rPr>
          <w:rFonts w:hint="eastAsia" w:ascii="宋体" w:hAnsi="宋体" w:eastAsia="宋体" w:cs="宋体"/>
          <w:color w:val="000000" w:themeColor="text1"/>
          <w:spacing w:val="-2"/>
          <w:sz w:val="24"/>
          <w:szCs w:val="24"/>
          <w:highlight w:val="none"/>
          <w14:textFill>
            <w14:solidFill>
              <w14:schemeClr w14:val="tx1"/>
            </w14:solidFill>
          </w14:textFill>
        </w:rPr>
        <w:t>作为投标文件的组成部分。</w:t>
      </w:r>
    </w:p>
    <w:p w14:paraId="4265C698">
      <w:pPr>
        <w:pageBreakBefore w:val="0"/>
        <w:kinsoku/>
        <w:wordWrap w:val="0"/>
        <w:overflowPunct/>
        <w:topLinePunct/>
        <w:bidi w:val="0"/>
        <w:spacing w:before="156" w:line="309" w:lineRule="auto"/>
        <w:ind w:left="8" w:right="65" w:firstLine="56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3.6</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在任何评标环节中，当评标委员会就某</w:t>
      </w:r>
      <w:r>
        <w:rPr>
          <w:rFonts w:hint="eastAsia" w:ascii="宋体" w:hAnsi="宋体" w:eastAsia="宋体" w:cs="宋体"/>
          <w:color w:val="000000" w:themeColor="text1"/>
          <w:spacing w:val="-4"/>
          <w:sz w:val="24"/>
          <w:szCs w:val="24"/>
          <w:highlight w:val="none"/>
          <w14:textFill>
            <w14:solidFill>
              <w14:schemeClr w14:val="tx1"/>
            </w14:solidFill>
          </w14:textFill>
        </w:rPr>
        <w:t>项定性的评审结论不统一、需要做</w:t>
      </w:r>
      <w:r>
        <w:rPr>
          <w:rFonts w:hint="eastAsia" w:ascii="宋体" w:hAnsi="宋体" w:eastAsia="宋体" w:cs="宋体"/>
          <w:color w:val="000000" w:themeColor="text1"/>
          <w:spacing w:val="-1"/>
          <w:sz w:val="24"/>
          <w:szCs w:val="24"/>
          <w:highlight w:val="none"/>
          <w14:textFill>
            <w14:solidFill>
              <w14:schemeClr w14:val="tx1"/>
            </w14:solidFill>
          </w14:textFill>
        </w:rPr>
        <w:t>出表决时，由评标委员会全体成员按照少数服从多数的原则，以</w:t>
      </w:r>
      <w:r>
        <w:rPr>
          <w:rFonts w:hint="eastAsia" w:ascii="宋体" w:hAnsi="宋体" w:eastAsia="宋体" w:cs="宋体"/>
          <w:color w:val="000000" w:themeColor="text1"/>
          <w:spacing w:val="-2"/>
          <w:sz w:val="24"/>
          <w:szCs w:val="24"/>
          <w:highlight w:val="none"/>
          <w14:textFill>
            <w14:solidFill>
              <w14:schemeClr w14:val="tx1"/>
            </w14:solidFill>
          </w14:textFill>
        </w:rPr>
        <w:t>记名投票方式表决。</w:t>
      </w:r>
      <w:r>
        <w:rPr>
          <w:rFonts w:hint="eastAsia" w:ascii="宋体" w:hAnsi="宋体" w:eastAsia="宋体" w:cs="宋体"/>
          <w:color w:val="000000" w:themeColor="text1"/>
          <w:spacing w:val="-1"/>
          <w:sz w:val="24"/>
          <w:szCs w:val="24"/>
          <w:highlight w:val="none"/>
          <w14:textFill>
            <w14:solidFill>
              <w14:schemeClr w14:val="tx1"/>
            </w14:solidFill>
          </w14:textFill>
        </w:rPr>
        <w:t>评标委员会全体成员应共同遵守和执行表决结果，严禁评标委员</w:t>
      </w:r>
      <w:r>
        <w:rPr>
          <w:rFonts w:hint="eastAsia" w:ascii="宋体" w:hAnsi="宋体" w:eastAsia="宋体" w:cs="宋体"/>
          <w:color w:val="000000" w:themeColor="text1"/>
          <w:spacing w:val="-2"/>
          <w:sz w:val="24"/>
          <w:szCs w:val="24"/>
          <w:highlight w:val="none"/>
          <w14:textFill>
            <w14:solidFill>
              <w14:schemeClr w14:val="tx1"/>
            </w14:solidFill>
          </w14:textFill>
        </w:rPr>
        <w:t>会任何成员将个人意</w:t>
      </w:r>
      <w:r>
        <w:rPr>
          <w:rFonts w:hint="eastAsia" w:ascii="宋体" w:hAnsi="宋体" w:eastAsia="宋体" w:cs="宋体"/>
          <w:color w:val="000000" w:themeColor="text1"/>
          <w:spacing w:val="-1"/>
          <w:sz w:val="24"/>
          <w:szCs w:val="24"/>
          <w:highlight w:val="none"/>
          <w14:textFill>
            <w14:solidFill>
              <w14:schemeClr w14:val="tx1"/>
            </w14:solidFill>
          </w14:textFill>
        </w:rPr>
        <w:t>见强加给他人、影响评标正常秩序和妨碍评审结论的公正性。</w:t>
      </w:r>
    </w:p>
    <w:p w14:paraId="72AAE433">
      <w:pPr>
        <w:pageBreakBefore w:val="0"/>
        <w:kinsoku/>
        <w:wordWrap w:val="0"/>
        <w:overflowPunct/>
        <w:topLinePunct/>
        <w:bidi w:val="0"/>
        <w:spacing w:before="79" w:line="221" w:lineRule="auto"/>
        <w:ind w:left="57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3</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评标方法</w:t>
      </w:r>
    </w:p>
    <w:p w14:paraId="2D95C085">
      <w:pPr>
        <w:pageBreakBefore w:val="0"/>
        <w:kinsoku/>
        <w:wordWrap w:val="0"/>
        <w:overflowPunct/>
        <w:topLinePunct/>
        <w:bidi w:val="0"/>
        <w:spacing w:before="78" w:line="326" w:lineRule="auto"/>
        <w:ind w:left="231" w:right="181" w:firstLine="560"/>
        <w:rPr>
          <w:rFonts w:hint="eastAsia" w:ascii="宋体" w:hAnsi="宋体" w:eastAsia="宋体" w:cs="宋体"/>
          <w:color w:val="000000" w:themeColor="text1"/>
          <w:highlight w:val="none"/>
          <w14:textFill>
            <w14:solidFill>
              <w14:schemeClr w14:val="tx1"/>
            </w14:solidFill>
          </w14:textFill>
        </w:rPr>
      </w:pPr>
      <w:bookmarkStart w:id="88" w:name="bookmark125"/>
      <w:bookmarkEnd w:id="88"/>
      <w:r>
        <w:rPr>
          <w:rFonts w:hint="eastAsia" w:ascii="宋体" w:hAnsi="宋体" w:eastAsia="宋体" w:cs="宋体"/>
          <w:color w:val="000000" w:themeColor="text1"/>
          <w:spacing w:val="-4"/>
          <w:sz w:val="24"/>
          <w:szCs w:val="24"/>
          <w:highlight w:val="none"/>
          <w14:textFill>
            <w14:solidFill>
              <w14:schemeClr w14:val="tx1"/>
            </w14:solidFill>
          </w14:textFill>
        </w:rPr>
        <w:t>根据有关法律、法规的相关规定，结合本招标项目资金来源和规模特点，本次招</w:t>
      </w:r>
      <w:r>
        <w:rPr>
          <w:rFonts w:hint="eastAsia" w:ascii="宋体" w:hAnsi="宋体" w:eastAsia="宋体" w:cs="宋体"/>
          <w:color w:val="000000" w:themeColor="text1"/>
          <w:spacing w:val="-1"/>
          <w:sz w:val="24"/>
          <w:szCs w:val="24"/>
          <w:highlight w:val="none"/>
          <w14:textFill>
            <w14:solidFill>
              <w14:schemeClr w14:val="tx1"/>
            </w14:solidFill>
          </w14:textFill>
        </w:rPr>
        <w:t>标采用</w:t>
      </w:r>
      <w:r>
        <w:rPr>
          <w:rFonts w:hint="eastAsia" w:ascii="宋体" w:hAnsi="宋体" w:eastAsia="宋体" w:cs="宋体"/>
          <w:b/>
          <w:bCs/>
          <w:color w:val="000000" w:themeColor="text1"/>
          <w:spacing w:val="-4"/>
          <w:sz w:val="24"/>
          <w:szCs w:val="24"/>
          <w:highlight w:val="none"/>
          <w:u w:val="single"/>
          <w:lang w:eastAsia="zh-CN"/>
          <w14:textFill>
            <w14:solidFill>
              <w14:schemeClr w14:val="tx1"/>
            </w14:solidFill>
          </w14:textFill>
        </w:rPr>
        <w:t>综合评分法</w:t>
      </w:r>
      <w:r>
        <w:rPr>
          <w:rFonts w:hint="eastAsia" w:ascii="宋体" w:hAnsi="宋体" w:eastAsia="宋体" w:cs="宋体"/>
          <w:color w:val="000000" w:themeColor="text1"/>
          <w:spacing w:val="-1"/>
          <w:sz w:val="24"/>
          <w:szCs w:val="24"/>
          <w:highlight w:val="none"/>
          <w14:textFill>
            <w14:solidFill>
              <w14:schemeClr w14:val="tx1"/>
            </w14:solidFill>
          </w14:textFill>
        </w:rPr>
        <w:t>进行评标。</w:t>
      </w:r>
    </w:p>
    <w:p w14:paraId="06E646FF">
      <w:pPr>
        <w:pageBreakBefore w:val="0"/>
        <w:kinsoku/>
        <w:wordWrap w:val="0"/>
        <w:overflowPunct/>
        <w:topLinePunct/>
        <w:bidi w:val="0"/>
        <w:spacing w:before="154" w:line="269" w:lineRule="auto"/>
        <w:ind w:left="220" w:right="33" w:firstLine="496"/>
        <w:rPr>
          <w:rFonts w:hint="eastAsia" w:ascii="宋体" w:hAnsi="宋体" w:eastAsia="宋体" w:cs="宋体"/>
          <w:color w:val="000000" w:themeColor="text1"/>
          <w:sz w:val="25"/>
          <w:szCs w:val="25"/>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4</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评审范围：评标委员会应对所有投标人的投标文件进行评审。</w:t>
      </w:r>
    </w:p>
    <w:p w14:paraId="4EC23E2F">
      <w:pPr>
        <w:pageBreakBefore w:val="0"/>
        <w:kinsoku/>
        <w:wordWrap w:val="0"/>
        <w:overflowPunct/>
        <w:topLinePunct/>
        <w:bidi w:val="0"/>
        <w:spacing w:before="153" w:line="220" w:lineRule="auto"/>
        <w:ind w:left="71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初步评审阶段</w:t>
      </w:r>
    </w:p>
    <w:p w14:paraId="4A045FD1">
      <w:pPr>
        <w:pageBreakBefore w:val="0"/>
        <w:kinsoku/>
        <w:wordWrap w:val="0"/>
        <w:overflowPunct/>
        <w:topLinePunct/>
        <w:bidi w:val="0"/>
        <w:spacing w:before="153" w:line="220" w:lineRule="auto"/>
        <w:ind w:left="70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初步评审阶段分为资格评审、形式评审和响应性评审三个环节。</w:t>
      </w:r>
    </w:p>
    <w:p w14:paraId="1F16E422">
      <w:pPr>
        <w:pageBreakBefore w:val="0"/>
        <w:kinsoku/>
        <w:wordWrap w:val="0"/>
        <w:overflowPunct/>
        <w:topLinePunct/>
        <w:bidi w:val="0"/>
        <w:spacing w:before="155" w:line="279" w:lineRule="auto"/>
        <w:ind w:left="719" w:right="6303" w:hanging="3"/>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3"/>
          <w:sz w:val="24"/>
          <w:szCs w:val="24"/>
          <w:highlight w:val="none"/>
          <w14:textFill>
            <w14:solidFill>
              <w14:schemeClr w14:val="tx1"/>
            </w14:solidFill>
          </w14:textFill>
        </w:rPr>
        <w:t>.1</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资格评审环</w:t>
      </w:r>
      <w:r>
        <w:rPr>
          <w:rFonts w:hint="eastAsia" w:ascii="宋体" w:hAnsi="宋体" w:eastAsia="宋体" w:cs="宋体"/>
          <w:color w:val="000000" w:themeColor="text1"/>
          <w:spacing w:val="-3"/>
          <w:sz w:val="24"/>
          <w:szCs w:val="24"/>
          <w:highlight w:val="none"/>
          <w14:textFill>
            <w14:solidFill>
              <w14:schemeClr w14:val="tx1"/>
            </w14:solidFill>
          </w14:textFill>
        </w:rPr>
        <w:t>节</w:t>
      </w:r>
    </w:p>
    <w:p w14:paraId="3936E469">
      <w:pPr>
        <w:pageBreakBefore w:val="0"/>
        <w:kinsoku/>
        <w:wordWrap w:val="0"/>
        <w:overflowPunct/>
        <w:topLinePunct/>
        <w:bidi w:val="0"/>
        <w:spacing w:before="155" w:line="279" w:lineRule="auto"/>
        <w:ind w:left="719" w:right="6303" w:hanging="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资格评审事项包括：</w:t>
      </w:r>
    </w:p>
    <w:p w14:paraId="1BFBEFA8">
      <w:pPr>
        <w:keepNext w:val="0"/>
        <w:keepLines w:val="0"/>
        <w:pageBreakBefore w:val="0"/>
        <w:widowControl/>
        <w:kinsoku/>
        <w:wordWrap w:val="0"/>
        <w:overflowPunct/>
        <w:topLinePunct/>
        <w:autoSpaceDE w:val="0"/>
        <w:autoSpaceDN w:val="0"/>
        <w:bidi w:val="0"/>
        <w:adjustRightInd w:val="0"/>
        <w:snapToGrid w:val="0"/>
        <w:spacing w:line="360" w:lineRule="auto"/>
        <w:ind w:left="232" w:firstLine="488"/>
        <w:textAlignment w:val="baseline"/>
        <w:rPr>
          <w:rFonts w:hint="eastAsia" w:ascii="宋体" w:hAnsi="宋体" w:eastAsia="宋体" w:cs="宋体"/>
          <w:color w:val="000000" w:themeColor="text1"/>
          <w:spacing w:val="-4"/>
          <w:sz w:val="24"/>
          <w:szCs w:val="24"/>
          <w:highlight w:val="none"/>
          <w14:textFill>
            <w14:solidFill>
              <w14:schemeClr w14:val="tx1"/>
            </w14:solidFill>
          </w14:textFill>
        </w:rPr>
      </w:pPr>
      <w:bookmarkStart w:id="89" w:name="_Toc22778"/>
      <w:r>
        <w:rPr>
          <w:rFonts w:hint="eastAsia" w:ascii="宋体" w:hAnsi="宋体" w:eastAsia="宋体" w:cs="宋体"/>
          <w:color w:val="000000" w:themeColor="text1"/>
          <w:spacing w:val="-4"/>
          <w:sz w:val="24"/>
          <w:szCs w:val="24"/>
          <w:highlight w:val="none"/>
          <w14:textFill>
            <w14:solidFill>
              <w14:schemeClr w14:val="tx1"/>
            </w14:solidFill>
          </w14:textFill>
        </w:rPr>
        <w:t>（1）投标人是否符合本章第三节第2.4条“禁止投标条款”规定。</w:t>
      </w:r>
    </w:p>
    <w:p w14:paraId="5CB5BC9B">
      <w:pPr>
        <w:keepNext w:val="0"/>
        <w:keepLines w:val="0"/>
        <w:pageBreakBefore w:val="0"/>
        <w:widowControl/>
        <w:kinsoku/>
        <w:wordWrap w:val="0"/>
        <w:overflowPunct/>
        <w:topLinePunct/>
        <w:autoSpaceDE w:val="0"/>
        <w:autoSpaceDN w:val="0"/>
        <w:bidi w:val="0"/>
        <w:adjustRightInd w:val="0"/>
        <w:snapToGrid w:val="0"/>
        <w:spacing w:line="360" w:lineRule="auto"/>
        <w:ind w:left="721"/>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（2）投标人名称是否与营业执照、资质证书、安全生产许可证一致。</w:t>
      </w:r>
    </w:p>
    <w:p w14:paraId="3B5823A6">
      <w:pPr>
        <w:keepNext w:val="0"/>
        <w:keepLines w:val="0"/>
        <w:pageBreakBefore w:val="0"/>
        <w:widowControl/>
        <w:kinsoku/>
        <w:wordWrap w:val="0"/>
        <w:overflowPunct/>
        <w:topLinePunct/>
        <w:autoSpaceDE w:val="0"/>
        <w:autoSpaceDN w:val="0"/>
        <w:bidi w:val="0"/>
        <w:adjustRightInd w:val="0"/>
        <w:snapToGrid w:val="0"/>
        <w:spacing w:line="360" w:lineRule="auto"/>
        <w:ind w:left="232" w:right="96" w:firstLine="48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（3）投标人的资质是否符合招标文件规定；其营业执照、资质证书、安全生产许可证是否合法、有效、准确</w:t>
      </w:r>
      <w:r>
        <w:rPr>
          <w:rFonts w:hint="eastAsia" w:ascii="宋体" w:hAnsi="宋体" w:eastAsia="宋体" w:cs="宋体"/>
          <w:color w:val="000000" w:themeColor="text1"/>
          <w:spacing w:val="-1"/>
          <w:position w:val="3"/>
          <w:sz w:val="24"/>
          <w:szCs w:val="24"/>
          <w:highlight w:val="none"/>
          <w14:textFill>
            <w14:solidFill>
              <w14:schemeClr w14:val="tx1"/>
            </w14:solidFill>
          </w14:textFill>
        </w:rPr>
        <w:t>。</w:t>
      </w:r>
    </w:p>
    <w:p w14:paraId="6302ADAC">
      <w:pPr>
        <w:keepNext w:val="0"/>
        <w:keepLines w:val="0"/>
        <w:pageBreakBefore w:val="0"/>
        <w:widowControl/>
        <w:kinsoku/>
        <w:wordWrap w:val="0"/>
        <w:overflowPunct/>
        <w:topLinePunct/>
        <w:autoSpaceDE w:val="0"/>
        <w:autoSpaceDN w:val="0"/>
        <w:bidi w:val="0"/>
        <w:adjustRightInd w:val="0"/>
        <w:snapToGrid w:val="0"/>
        <w:spacing w:line="360" w:lineRule="auto"/>
        <w:ind w:left="501"/>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（4）《项目经理简历表》中拟派项目经理是否与《开标一览表》一致。</w:t>
      </w:r>
    </w:p>
    <w:p w14:paraId="075CCA42">
      <w:pPr>
        <w:keepNext w:val="0"/>
        <w:keepLines w:val="0"/>
        <w:pageBreakBefore w:val="0"/>
        <w:widowControl/>
        <w:kinsoku/>
        <w:wordWrap w:val="0"/>
        <w:overflowPunct/>
        <w:topLinePunct/>
        <w:autoSpaceDE w:val="0"/>
        <w:autoSpaceDN w:val="0"/>
        <w:bidi w:val="0"/>
        <w:adjustRightInd w:val="0"/>
        <w:snapToGrid w:val="0"/>
        <w:spacing w:line="360" w:lineRule="auto"/>
        <w:ind w:left="11" w:firstLine="489"/>
        <w:textAlignment w:val="baseline"/>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（5）拟派项目经理、项目技术负责人、专职安全员的条件</w:t>
      </w:r>
      <w:r>
        <w:rPr>
          <w:rFonts w:hint="eastAsia" w:ascii="宋体" w:hAnsi="宋体" w:eastAsia="宋体" w:cs="宋体"/>
          <w:color w:val="000000" w:themeColor="text1"/>
          <w:spacing w:val="1"/>
          <w:sz w:val="24"/>
          <w:szCs w:val="24"/>
          <w:highlight w:val="none"/>
          <w14:textFill>
            <w14:solidFill>
              <w14:schemeClr w14:val="tx1"/>
            </w14:solidFill>
          </w14:textFill>
        </w:rPr>
        <w:t>是否符合招标文件规</w:t>
      </w:r>
      <w:r>
        <w:rPr>
          <w:rFonts w:hint="eastAsia" w:ascii="宋体" w:hAnsi="宋体" w:eastAsia="宋体" w:cs="宋体"/>
          <w:color w:val="000000" w:themeColor="text1"/>
          <w:spacing w:val="-1"/>
          <w:sz w:val="24"/>
          <w:szCs w:val="24"/>
          <w:highlight w:val="none"/>
          <w14:textFill>
            <w14:solidFill>
              <w14:schemeClr w14:val="tx1"/>
            </w14:solidFill>
          </w14:textFill>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72E64">
      <w:pPr>
        <w:keepNext w:val="0"/>
        <w:keepLines w:val="0"/>
        <w:pageBreakBefore w:val="0"/>
        <w:widowControl/>
        <w:kinsoku/>
        <w:wordWrap w:val="0"/>
        <w:overflowPunct/>
        <w:topLinePunct/>
        <w:autoSpaceDE w:val="0"/>
        <w:autoSpaceDN w:val="0"/>
        <w:bidi w:val="0"/>
        <w:adjustRightInd w:val="0"/>
        <w:snapToGrid w:val="0"/>
        <w:spacing w:line="360" w:lineRule="auto"/>
        <w:ind w:left="8" w:right="2"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pacing w:val="2"/>
          <w:sz w:val="24"/>
          <w:szCs w:val="24"/>
          <w:highlight w:val="none"/>
          <w14:textFill>
            <w14:solidFill>
              <w14:schemeClr w14:val="tx1"/>
            </w14:solidFill>
          </w14:textFill>
        </w:rPr>
        <w:t>）投标人为外省建筑企业的，是否按规定在“进粤</w:t>
      </w:r>
      <w:r>
        <w:rPr>
          <w:rFonts w:hint="eastAsia" w:ascii="宋体" w:hAnsi="宋体" w:eastAsia="宋体" w:cs="宋体"/>
          <w:color w:val="000000" w:themeColor="text1"/>
          <w:spacing w:val="1"/>
          <w:sz w:val="24"/>
          <w:szCs w:val="24"/>
          <w:highlight w:val="none"/>
          <w14:textFill>
            <w14:solidFill>
              <w14:schemeClr w14:val="tx1"/>
            </w14:solidFill>
          </w14:textFill>
        </w:rPr>
        <w:t>企业和人员诚信信息登记</w:t>
      </w:r>
      <w:r>
        <w:rPr>
          <w:rFonts w:hint="eastAsia" w:ascii="宋体" w:hAnsi="宋体" w:eastAsia="宋体" w:cs="宋体"/>
          <w:color w:val="000000" w:themeColor="text1"/>
          <w:spacing w:val="-2"/>
          <w:sz w:val="24"/>
          <w:szCs w:val="24"/>
          <w:highlight w:val="none"/>
          <w14:textFill>
            <w14:solidFill>
              <w14:schemeClr w14:val="tx1"/>
            </w14:solidFill>
          </w14:textFill>
        </w:rPr>
        <w:t>平台”录入企业及其拟派人员有关信息并通过数据规范检查。</w:t>
      </w:r>
    </w:p>
    <w:p w14:paraId="302B9DA7">
      <w:pPr>
        <w:pageBreakBefore w:val="0"/>
        <w:kinsoku/>
        <w:wordWrap w:val="0"/>
        <w:overflowPunct/>
        <w:topLinePunct/>
        <w:bidi w:val="0"/>
        <w:spacing w:before="15" w:line="360" w:lineRule="auto"/>
        <w:ind w:right="2" w:firstLine="474" w:firstLineChars="200"/>
        <w:jc w:val="both"/>
        <w:outlineLvl w:val="9"/>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.2</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形式评审环节</w:t>
      </w:r>
    </w:p>
    <w:p w14:paraId="08CCB3C0">
      <w:pPr>
        <w:pageBreakBefore w:val="0"/>
        <w:kinsoku/>
        <w:wordWrap w:val="0"/>
        <w:overflowPunct/>
        <w:topLinePunct/>
        <w:bidi w:val="0"/>
        <w:spacing w:before="15" w:line="360" w:lineRule="auto"/>
        <w:ind w:right="2" w:firstLine="484" w:firstLineChars="200"/>
        <w:jc w:val="both"/>
        <w:outlineLvl w:val="9"/>
        <w:rPr>
          <w:rFonts w:hint="eastAsia" w:ascii="宋体" w:hAnsi="宋体" w:eastAsia="宋体" w:cs="宋体"/>
          <w:color w:val="000000" w:themeColor="text1"/>
          <w:spacing w:val="1"/>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形式评审事</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项包括</w:t>
      </w:r>
      <w:bookmarkEnd w:id="89"/>
    </w:p>
    <w:p w14:paraId="50AC0D9E">
      <w:pPr>
        <w:pageBreakBefore w:val="0"/>
        <w:kinsoku/>
        <w:wordWrap w:val="0"/>
        <w:overflowPunct/>
        <w:topLinePunct/>
        <w:bidi w:val="0"/>
        <w:spacing w:before="40" w:line="360" w:lineRule="auto"/>
        <w:ind w:left="501"/>
        <w:outlineLvl w:val="9"/>
        <w:rPr>
          <w:rFonts w:hint="eastAsia" w:ascii="宋体" w:hAnsi="宋体" w:eastAsia="宋体" w:cs="宋体"/>
          <w:color w:val="000000" w:themeColor="text1"/>
          <w:sz w:val="24"/>
          <w:szCs w:val="24"/>
          <w:highlight w:val="none"/>
          <w14:textFill>
            <w14:solidFill>
              <w14:schemeClr w14:val="tx1"/>
            </w14:solidFill>
          </w14:textFill>
        </w:rPr>
      </w:pPr>
      <w:bookmarkStart w:id="90" w:name="_Toc4914"/>
      <w:bookmarkStart w:id="91" w:name="_Toc20481"/>
      <w:bookmarkStart w:id="92" w:name="_Toc23632"/>
      <w:bookmarkStart w:id="93" w:name="_Toc13304"/>
      <w:r>
        <w:rPr>
          <w:rFonts w:hint="eastAsia" w:ascii="宋体" w:hAnsi="宋体" w:eastAsia="宋体" w:cs="宋体"/>
          <w:color w:val="000000" w:themeColor="text1"/>
          <w:spacing w:val="-1"/>
          <w:sz w:val="24"/>
          <w:szCs w:val="24"/>
          <w:highlight w:val="none"/>
          <w14:textFill>
            <w14:solidFill>
              <w14:schemeClr w14:val="tx1"/>
            </w14:solidFill>
          </w14:textFill>
        </w:rPr>
        <w:t>（1）各分册是否按招标文件规定加盖电子印章。</w:t>
      </w:r>
      <w:bookmarkEnd w:id="90"/>
      <w:bookmarkEnd w:id="91"/>
      <w:bookmarkEnd w:id="92"/>
      <w:bookmarkEnd w:id="93"/>
    </w:p>
    <w:p w14:paraId="07A32B12">
      <w:pPr>
        <w:pageBreakBefore w:val="0"/>
        <w:kinsoku/>
        <w:wordWrap w:val="0"/>
        <w:overflowPunct/>
        <w:topLinePunct/>
        <w:bidi w:val="0"/>
        <w:spacing w:before="15" w:line="360" w:lineRule="auto"/>
        <w:ind w:firstLine="464" w:firstLineChars="200"/>
        <w:outlineLvl w:val="9"/>
        <w:rPr>
          <w:rFonts w:hint="eastAsia" w:ascii="宋体" w:hAnsi="宋体" w:eastAsia="宋体" w:cs="宋体"/>
          <w:color w:val="000000" w:themeColor="text1"/>
          <w:spacing w:val="-1"/>
          <w:sz w:val="24"/>
          <w:szCs w:val="24"/>
          <w:highlight w:val="none"/>
          <w14:textFill>
            <w14:solidFill>
              <w14:schemeClr w14:val="tx1"/>
            </w14:solidFill>
          </w14:textFill>
        </w:rPr>
      </w:pPr>
      <w:bookmarkStart w:id="94" w:name="_Toc28409"/>
      <w:bookmarkStart w:id="95" w:name="_Toc10806"/>
      <w:bookmarkStart w:id="96" w:name="_Toc27432"/>
      <w:bookmarkStart w:id="97" w:name="_Toc12756"/>
      <w:r>
        <w:rPr>
          <w:rFonts w:hint="eastAsia" w:ascii="宋体" w:hAnsi="宋体" w:eastAsia="宋体" w:cs="宋体"/>
          <w:color w:val="000000" w:themeColor="text1"/>
          <w:spacing w:val="-4"/>
          <w:sz w:val="24"/>
          <w:szCs w:val="24"/>
          <w:highlight w:val="none"/>
          <w14:textFill>
            <w14:solidFill>
              <w14:schemeClr w14:val="tx1"/>
            </w14:solidFill>
          </w14:textFill>
        </w:rPr>
        <w:t>（2）本节第10.2.2目、第10.3.2目、第10.4.</w:t>
      </w:r>
      <w:r>
        <w:rPr>
          <w:rFonts w:hint="eastAsia" w:ascii="宋体" w:hAnsi="宋体" w:eastAsia="宋体" w:cs="宋体"/>
          <w:color w:val="000000" w:themeColor="text1"/>
          <w:spacing w:val="-4"/>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pacing w:val="-4"/>
          <w:sz w:val="24"/>
          <w:szCs w:val="24"/>
          <w:highlight w:val="none"/>
          <w14:textFill>
            <w14:solidFill>
              <w14:schemeClr w14:val="tx1"/>
            </w14:solidFill>
          </w14:textFill>
        </w:rPr>
        <w:t>目中规定</w:t>
      </w:r>
      <w:r>
        <w:rPr>
          <w:rFonts w:hint="eastAsia" w:ascii="宋体" w:hAnsi="宋体" w:eastAsia="宋体" w:cs="宋体"/>
          <w:color w:val="000000" w:themeColor="text1"/>
          <w:spacing w:val="-5"/>
          <w:sz w:val="24"/>
          <w:szCs w:val="24"/>
          <w:highlight w:val="none"/>
          <w14:textFill>
            <w14:solidFill>
              <w14:schemeClr w14:val="tx1"/>
            </w14:solidFill>
          </w14:textFill>
        </w:rPr>
        <w:t>的“所有投标人均应提</w:t>
      </w:r>
      <w:bookmarkEnd w:id="94"/>
      <w:bookmarkEnd w:id="95"/>
      <w:bookmarkEnd w:id="96"/>
      <w:r>
        <w:rPr>
          <w:rFonts w:hint="eastAsia" w:ascii="宋体" w:hAnsi="宋体" w:eastAsia="宋体" w:cs="宋体"/>
          <w:color w:val="000000" w:themeColor="text1"/>
          <w:spacing w:val="-1"/>
          <w:sz w:val="24"/>
          <w:szCs w:val="24"/>
          <w:highlight w:val="none"/>
          <w14:textFill>
            <w14:solidFill>
              <w14:schemeClr w14:val="tx1"/>
            </w14:solidFill>
          </w14:textFill>
        </w:rPr>
        <w:t>供”的组成内容（包括该组成内容的所附资料）是否完整、齐全.</w:t>
      </w:r>
      <w:bookmarkEnd w:id="97"/>
    </w:p>
    <w:p w14:paraId="4025154B">
      <w:pPr>
        <w:pageBreakBefore w:val="0"/>
        <w:kinsoku/>
        <w:wordWrap w:val="0"/>
        <w:overflowPunct/>
        <w:topLinePunct/>
        <w:bidi w:val="0"/>
        <w:spacing w:before="15" w:line="360" w:lineRule="auto"/>
        <w:ind w:right="2" w:firstLine="474" w:firstLineChars="200"/>
        <w:jc w:val="both"/>
        <w:outlineLvl w:val="9"/>
        <w:rPr>
          <w:rFonts w:hint="eastAsia" w:ascii="宋体" w:hAnsi="宋体" w:eastAsia="宋体" w:cs="宋体"/>
          <w:color w:val="000000" w:themeColor="text1"/>
          <w:spacing w:val="2"/>
          <w:sz w:val="24"/>
          <w:szCs w:val="24"/>
          <w:highlight w:val="none"/>
          <w:lang w:eastAsia="zh-CN"/>
          <w14:textFill>
            <w14:solidFill>
              <w14:schemeClr w14:val="tx1"/>
            </w14:solidFill>
          </w14:textFill>
        </w:rPr>
      </w:pPr>
      <w:bookmarkStart w:id="98" w:name="_Toc22642"/>
      <w:bookmarkStart w:id="99" w:name="_Toc14202"/>
      <w:bookmarkStart w:id="100" w:name="_Toc16645"/>
      <w:bookmarkStart w:id="101" w:name="_Toc22562"/>
      <w:r>
        <w:rPr>
          <w:rFonts w:hint="eastAsia" w:ascii="宋体" w:hAnsi="宋体" w:eastAsia="宋体" w:cs="宋体"/>
          <w:b/>
          <w:bCs/>
          <w:color w:val="000000" w:themeColor="text1"/>
          <w:spacing w:val="-2"/>
          <w:sz w:val="24"/>
          <w:szCs w:val="24"/>
          <w:highlight w:val="none"/>
          <w14:textFill>
            <w14:solidFill>
              <w14:schemeClr w14:val="tx1"/>
            </w14:solidFill>
          </w14:textFill>
        </w:rPr>
        <w:t>15.</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.3 </w:t>
      </w:r>
      <w:r>
        <w:rPr>
          <w:rFonts w:hint="eastAsia" w:ascii="宋体" w:hAnsi="宋体" w:eastAsia="宋体" w:cs="宋体"/>
          <w:color w:val="000000" w:themeColor="text1"/>
          <w:spacing w:val="2"/>
          <w:sz w:val="24"/>
          <w:szCs w:val="24"/>
          <w:highlight w:val="none"/>
          <w14:textFill>
            <w14:solidFill>
              <w14:schemeClr w14:val="tx1"/>
            </w14:solidFill>
          </w14:textFill>
        </w:rPr>
        <w:t>响应性评审环节</w:t>
      </w:r>
    </w:p>
    <w:p w14:paraId="4F900736">
      <w:pPr>
        <w:pageBreakBefore w:val="0"/>
        <w:kinsoku/>
        <w:wordWrap w:val="0"/>
        <w:overflowPunct/>
        <w:topLinePunct/>
        <w:bidi w:val="0"/>
        <w:spacing w:before="15" w:line="360" w:lineRule="auto"/>
        <w:ind w:right="2" w:firstLine="488" w:firstLineChars="200"/>
        <w:jc w:val="both"/>
        <w:outlineLvl w:val="9"/>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响应性评项包括：</w:t>
      </w:r>
      <w:bookmarkEnd w:id="98"/>
      <w:bookmarkEnd w:id="99"/>
      <w:bookmarkEnd w:id="100"/>
      <w:bookmarkEnd w:id="101"/>
    </w:p>
    <w:p w14:paraId="0859DB14">
      <w:pPr>
        <w:keepNext w:val="0"/>
        <w:keepLines w:val="0"/>
        <w:pageBreakBefore w:val="0"/>
        <w:widowControl/>
        <w:kinsoku/>
        <w:wordWrap w:val="0"/>
        <w:overflowPunct/>
        <w:topLinePunct/>
        <w:autoSpaceDE w:val="0"/>
        <w:autoSpaceDN w:val="0"/>
        <w:bidi w:val="0"/>
        <w:adjustRightInd w:val="0"/>
        <w:snapToGrid w:val="0"/>
        <w:spacing w:line="360" w:lineRule="auto"/>
        <w:ind w:left="11" w:firstLine="49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（1）投标有效期、质量标准、工期等是否响应招标文件实</w:t>
      </w:r>
      <w:r>
        <w:rPr>
          <w:rFonts w:hint="eastAsia" w:ascii="宋体" w:hAnsi="宋体" w:eastAsia="宋体" w:cs="宋体"/>
          <w:color w:val="000000" w:themeColor="text1"/>
          <w:spacing w:val="1"/>
          <w:sz w:val="24"/>
          <w:szCs w:val="24"/>
          <w:highlight w:val="none"/>
          <w14:textFill>
            <w14:solidFill>
              <w14:schemeClr w14:val="tx1"/>
            </w14:solidFill>
          </w14:textFill>
        </w:rPr>
        <w:t>质性要求；是否擅自</w:t>
      </w:r>
      <w:r>
        <w:rPr>
          <w:rFonts w:hint="eastAsia" w:ascii="宋体" w:hAnsi="宋体" w:eastAsia="宋体" w:cs="宋体"/>
          <w:color w:val="000000" w:themeColor="text1"/>
          <w:spacing w:val="-1"/>
          <w:sz w:val="24"/>
          <w:szCs w:val="24"/>
          <w:highlight w:val="none"/>
          <w14:textFill>
            <w14:solidFill>
              <w14:schemeClr w14:val="tx1"/>
            </w14:solidFill>
          </w14:textFill>
        </w:rPr>
        <w:t>修改、遗漏《投标函》《各项承诺一览表》的实质性内容。</w:t>
      </w:r>
    </w:p>
    <w:p w14:paraId="45CBF759">
      <w:pPr>
        <w:keepNext w:val="0"/>
        <w:keepLines w:val="0"/>
        <w:pageBreakBefore w:val="0"/>
        <w:widowControl/>
        <w:kinsoku/>
        <w:wordWrap w:val="0"/>
        <w:overflowPunct/>
        <w:topLinePunct/>
        <w:autoSpaceDE w:val="0"/>
        <w:autoSpaceDN w:val="0"/>
        <w:bidi w:val="0"/>
        <w:adjustRightInd w:val="0"/>
        <w:snapToGrid w:val="0"/>
        <w:spacing w:line="360" w:lineRule="auto"/>
        <w:ind w:left="49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（2）编制《投标总价》的造价工程师，其注册证书是否合法、有效。</w:t>
      </w:r>
    </w:p>
    <w:p w14:paraId="7A962214">
      <w:pPr>
        <w:keepNext w:val="0"/>
        <w:keepLines w:val="0"/>
        <w:pageBreakBefore w:val="0"/>
        <w:widowControl/>
        <w:kinsoku/>
        <w:wordWrap w:val="0"/>
        <w:overflowPunct/>
        <w:topLinePunct/>
        <w:autoSpaceDE w:val="0"/>
        <w:autoSpaceDN w:val="0"/>
        <w:bidi w:val="0"/>
        <w:adjustRightInd w:val="0"/>
        <w:snapToGrid w:val="0"/>
        <w:spacing w:line="360" w:lineRule="auto"/>
        <w:ind w:left="23" w:right="0" w:firstLine="48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（3）投标人委托造价咨询单位编制《投标总价》的，是否在《投标总价扉页》“投标人”栏目加盖造价咨询人公章；是否提供</w:t>
      </w:r>
      <w:r>
        <w:rPr>
          <w:rFonts w:hint="eastAsia" w:ascii="宋体" w:hAnsi="宋体" w:eastAsia="宋体" w:cs="宋体"/>
          <w:color w:val="000000" w:themeColor="text1"/>
          <w:sz w:val="24"/>
          <w:szCs w:val="24"/>
          <w:highlight w:val="none"/>
          <w14:textFill>
            <w14:solidFill>
              <w14:schemeClr w14:val="tx1"/>
            </w14:solidFill>
          </w14:textFill>
        </w:rPr>
        <w:t>造价咨询人的营业执照</w:t>
      </w:r>
      <w:r>
        <w:rPr>
          <w:rFonts w:hint="eastAsia" w:ascii="宋体" w:hAnsi="宋体" w:eastAsia="宋体" w:cs="宋体"/>
          <w:color w:val="000000" w:themeColor="text1"/>
          <w:spacing w:val="-2"/>
          <w:sz w:val="24"/>
          <w:szCs w:val="24"/>
          <w:highlight w:val="none"/>
          <w14:textFill>
            <w14:solidFill>
              <w14:schemeClr w14:val="tx1"/>
            </w14:solidFill>
          </w14:textFill>
        </w:rPr>
        <w:t>副本彩色扫描件；</w:t>
      </w:r>
    </w:p>
    <w:p w14:paraId="4B827C65">
      <w:pPr>
        <w:keepNext w:val="0"/>
        <w:keepLines w:val="0"/>
        <w:pageBreakBefore w:val="0"/>
        <w:widowControl/>
        <w:kinsoku/>
        <w:wordWrap w:val="0"/>
        <w:overflowPunct/>
        <w:topLinePunct/>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（4）投标总价是否唯一；投标总价是否超出</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最高投标限价</w:t>
      </w:r>
      <w:r>
        <w:rPr>
          <w:rFonts w:hint="eastAsia" w:ascii="宋体" w:hAnsi="宋体" w:eastAsia="宋体" w:cs="宋体"/>
          <w:color w:val="000000" w:themeColor="text1"/>
          <w:spacing w:val="1"/>
          <w:sz w:val="24"/>
          <w:szCs w:val="24"/>
          <w:highlight w:val="none"/>
          <w14:textFill>
            <w14:solidFill>
              <w14:schemeClr w14:val="tx1"/>
            </w14:solidFill>
          </w14:textFill>
        </w:rPr>
        <w:t>；</w:t>
      </w:r>
      <w:r>
        <w:rPr>
          <w:rFonts w:hint="eastAsia" w:ascii="宋体" w:hAnsi="宋体" w:eastAsia="宋体" w:cs="宋体"/>
          <w:b/>
          <w:bCs/>
          <w:color w:val="000000" w:themeColor="text1"/>
          <w:spacing w:val="1"/>
          <w:sz w:val="24"/>
          <w:szCs w:val="24"/>
          <w:highlight w:val="none"/>
          <w14:textFill>
            <w14:solidFill>
              <w14:schemeClr w14:val="tx1"/>
            </w14:solidFill>
          </w14:textFill>
        </w:rPr>
        <w:t>安全生产措施费</w:t>
      </w:r>
      <w:r>
        <w:rPr>
          <w:rFonts w:hint="eastAsia" w:ascii="宋体" w:hAnsi="宋体" w:eastAsia="宋体" w:cs="宋体"/>
          <w:color w:val="000000" w:themeColor="text1"/>
          <w:spacing w:val="-1"/>
          <w:sz w:val="24"/>
          <w:szCs w:val="24"/>
          <w:highlight w:val="none"/>
          <w14:textFill>
            <w14:solidFill>
              <w14:schemeClr w14:val="tx1"/>
            </w14:solidFill>
          </w14:textFill>
        </w:rPr>
        <w:t>是否达到最低要求；暂列金额、暂估价是否按照招标工</w:t>
      </w:r>
      <w:r>
        <w:rPr>
          <w:rFonts w:hint="eastAsia" w:ascii="宋体" w:hAnsi="宋体" w:eastAsia="宋体" w:cs="宋体"/>
          <w:color w:val="000000" w:themeColor="text1"/>
          <w:spacing w:val="-2"/>
          <w:sz w:val="24"/>
          <w:szCs w:val="24"/>
          <w:highlight w:val="none"/>
          <w14:textFill>
            <w14:solidFill>
              <w14:schemeClr w14:val="tx1"/>
            </w14:solidFill>
          </w14:textFill>
        </w:rPr>
        <w:t>程量清单统一报价；投</w:t>
      </w:r>
      <w:r>
        <w:rPr>
          <w:rFonts w:hint="eastAsia" w:ascii="宋体" w:hAnsi="宋体" w:eastAsia="宋体" w:cs="宋体"/>
          <w:color w:val="000000" w:themeColor="text1"/>
          <w:spacing w:val="-1"/>
          <w:sz w:val="24"/>
          <w:szCs w:val="24"/>
          <w:highlight w:val="none"/>
          <w14:textFill>
            <w14:solidFill>
              <w14:schemeClr w14:val="tx1"/>
            </w14:solidFill>
          </w14:textFill>
        </w:rPr>
        <w:t>标人是否以低于成本的价格竞标。</w:t>
      </w:r>
    </w:p>
    <w:p w14:paraId="65C347D8">
      <w:pPr>
        <w:pageBreakBefore w:val="0"/>
        <w:kinsoku/>
        <w:wordWrap w:val="0"/>
        <w:overflowPunct/>
        <w:topLinePunct/>
        <w:bidi w:val="0"/>
        <w:spacing w:before="38" w:line="360" w:lineRule="auto"/>
        <w:ind w:right="2" w:firstLine="474" w:firstLineChars="200"/>
        <w:jc w:val="both"/>
        <w:rPr>
          <w:rFonts w:hint="eastAsia" w:ascii="宋体" w:hAnsi="宋体" w:eastAsia="宋体" w:cs="宋体"/>
          <w:color w:val="000000" w:themeColor="text1"/>
          <w:position w:val="-8"/>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注：如果某投标人的投标总价下浮率超过15%，又未提供</w:t>
      </w:r>
      <w:r>
        <w:rPr>
          <w:rFonts w:hint="eastAsia" w:ascii="宋体" w:hAnsi="宋体" w:eastAsia="宋体" w:cs="宋体"/>
          <w:b/>
          <w:bCs/>
          <w:color w:val="000000" w:themeColor="text1"/>
          <w:spacing w:val="-3"/>
          <w:sz w:val="24"/>
          <w:szCs w:val="24"/>
          <w:highlight w:val="none"/>
          <w14:textFill>
            <w14:solidFill>
              <w14:schemeClr w14:val="tx1"/>
            </w14:solidFill>
          </w14:textFill>
        </w:rPr>
        <w:t>相应书面说明和佐证</w:t>
      </w:r>
      <w:bookmarkStart w:id="102" w:name="bookmark127"/>
      <w:bookmarkEnd w:id="102"/>
      <w:r>
        <w:rPr>
          <w:rFonts w:hint="eastAsia" w:ascii="宋体" w:hAnsi="宋体" w:eastAsia="宋体" w:cs="宋体"/>
          <w:b/>
          <w:bCs/>
          <w:color w:val="000000" w:themeColor="text1"/>
          <w:spacing w:val="-4"/>
          <w:sz w:val="24"/>
          <w:szCs w:val="24"/>
          <w:highlight w:val="none"/>
          <w14:textFill>
            <w14:solidFill>
              <w14:schemeClr w14:val="tx1"/>
            </w14:solidFill>
          </w14:textFill>
        </w:rPr>
        <w:t>材料或提供的书面说明和佐证材料不能令人信服的，评标委员会应认定其以低于成本</w:t>
      </w:r>
      <w:r>
        <w:rPr>
          <w:rFonts w:hint="eastAsia" w:ascii="宋体" w:hAnsi="宋体" w:eastAsia="宋体" w:cs="宋体"/>
          <w:b/>
          <w:bCs/>
          <w:color w:val="000000" w:themeColor="text1"/>
          <w:spacing w:val="-9"/>
          <w:sz w:val="24"/>
          <w:szCs w:val="24"/>
          <w:highlight w:val="none"/>
          <w14:textFill>
            <w14:solidFill>
              <w14:schemeClr w14:val="tx1"/>
            </w14:solidFill>
          </w14:textFill>
        </w:rPr>
        <w:t>的价格竞标，并否决其投标。评</w:t>
      </w:r>
      <w:r>
        <w:rPr>
          <w:rFonts w:hint="eastAsia" w:ascii="宋体" w:hAnsi="宋体" w:eastAsia="宋体" w:cs="宋体"/>
          <w:b/>
          <w:bCs/>
          <w:color w:val="000000" w:themeColor="text1"/>
          <w:spacing w:val="-4"/>
          <w:sz w:val="24"/>
          <w:szCs w:val="24"/>
          <w:highlight w:val="none"/>
          <w14:textFill>
            <w14:solidFill>
              <w14:schemeClr w14:val="tx1"/>
            </w14:solidFill>
          </w14:textFill>
        </w:rPr>
        <w:t>标委员会接受该投标人的投标总价而未否决其投标的，应在评标报告中说明判断理由。投标总价下浮率＝（1－投标总价÷</w:t>
      </w: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4"/>
          <w:sz w:val="24"/>
          <w:szCs w:val="24"/>
          <w:highlight w:val="none"/>
          <w14:textFill>
            <w14:solidFill>
              <w14:schemeClr w14:val="tx1"/>
            </w14:solidFill>
          </w14:textFill>
        </w:rPr>
        <w:t>）×100%。</w:t>
      </w:r>
    </w:p>
    <w:p w14:paraId="29F45B7A">
      <w:pPr>
        <w:pageBreakBefore w:val="0"/>
        <w:kinsoku/>
        <w:wordWrap w:val="0"/>
        <w:overflowPunct/>
        <w:topLinePunct/>
        <w:bidi w:val="0"/>
        <w:spacing w:before="157" w:line="360" w:lineRule="auto"/>
        <w:ind w:left="11" w:right="114" w:firstLine="505" w:firstLineChars="209"/>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（5）施工组织设计的质量、进度保障措施是否符合国</w:t>
      </w:r>
      <w:r>
        <w:rPr>
          <w:rFonts w:hint="eastAsia" w:ascii="宋体" w:hAnsi="宋体" w:eastAsia="宋体" w:cs="宋体"/>
          <w:color w:val="000000" w:themeColor="text1"/>
          <w:sz w:val="24"/>
          <w:szCs w:val="24"/>
          <w:highlight w:val="none"/>
          <w14:textFill>
            <w14:solidFill>
              <w14:schemeClr w14:val="tx1"/>
            </w14:solidFill>
          </w14:textFill>
        </w:rPr>
        <w:t>家和省市现行有关规</w:t>
      </w:r>
      <w:r>
        <w:rPr>
          <w:rFonts w:hint="eastAsia" w:ascii="宋体" w:hAnsi="宋体" w:eastAsia="宋体" w:cs="宋体"/>
          <w:color w:val="000000" w:themeColor="text1"/>
          <w:spacing w:val="-1"/>
          <w:sz w:val="24"/>
          <w:szCs w:val="24"/>
          <w:highlight w:val="none"/>
          <w14:textFill>
            <w14:solidFill>
              <w14:schemeClr w14:val="tx1"/>
            </w14:solidFill>
          </w14:textFill>
        </w:rPr>
        <w:t>范、规定、标准，是否能实现工程质量、进度管理目标。</w:t>
      </w:r>
    </w:p>
    <w:p w14:paraId="7BFBE185">
      <w:pPr>
        <w:pageBreakBefore w:val="0"/>
        <w:kinsoku/>
        <w:wordWrap w:val="0"/>
        <w:overflowPunct/>
        <w:topLinePunct/>
        <w:bidi w:val="0"/>
        <w:spacing w:before="82" w:line="211" w:lineRule="auto"/>
        <w:ind w:left="580"/>
        <w:outlineLvl w:val="9"/>
        <w:rPr>
          <w:rFonts w:hint="eastAsia" w:ascii="宋体" w:hAnsi="宋体" w:eastAsia="宋体" w:cs="宋体"/>
          <w:color w:val="000000" w:themeColor="text1"/>
          <w:sz w:val="25"/>
          <w:szCs w:val="25"/>
          <w:highlight w:val="none"/>
          <w14:textFill>
            <w14:solidFill>
              <w14:schemeClr w14:val="tx1"/>
            </w14:solidFill>
          </w14:textFill>
        </w:rPr>
      </w:pPr>
      <w:bookmarkStart w:id="103" w:name="_Toc15367"/>
      <w:bookmarkStart w:id="104" w:name="_Toc19814"/>
      <w:bookmarkStart w:id="105" w:name="_Toc32114"/>
      <w:bookmarkStart w:id="106" w:name="_Toc18204"/>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.4 </w:t>
      </w:r>
      <w:r>
        <w:rPr>
          <w:rFonts w:hint="eastAsia" w:ascii="宋体" w:hAnsi="宋体" w:eastAsia="宋体" w:cs="宋体"/>
          <w:color w:val="000000" w:themeColor="text1"/>
          <w:spacing w:val="-3"/>
          <w:sz w:val="24"/>
          <w:szCs w:val="24"/>
          <w:highlight w:val="none"/>
          <w14:textFill>
            <w14:solidFill>
              <w14:schemeClr w14:val="tx1"/>
            </w14:solidFill>
          </w14:textFill>
        </w:rPr>
        <w:t>否决投标说明</w:t>
      </w:r>
      <w:bookmarkEnd w:id="103"/>
      <w:bookmarkEnd w:id="104"/>
      <w:bookmarkEnd w:id="105"/>
      <w:bookmarkEnd w:id="106"/>
    </w:p>
    <w:p w14:paraId="25F1EBEB">
      <w:pPr>
        <w:pageBreakBefore w:val="0"/>
        <w:kinsoku/>
        <w:wordWrap w:val="0"/>
        <w:overflowPunct/>
        <w:topLinePunct/>
        <w:bidi w:val="0"/>
        <w:spacing w:before="152" w:line="333" w:lineRule="auto"/>
        <w:ind w:left="11" w:right="175" w:firstLine="561"/>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初步评审阶段各个环节否决投标的全部条件，在本章第四节“否决投标条件”第</w:t>
      </w:r>
      <w:r>
        <w:rPr>
          <w:rFonts w:hint="eastAsia" w:ascii="宋体" w:hAnsi="宋体" w:eastAsia="宋体" w:cs="宋体"/>
          <w:b/>
          <w:bCs/>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条至第</w:t>
      </w:r>
      <w:r>
        <w:rPr>
          <w:rFonts w:hint="eastAsia" w:ascii="宋体" w:hAnsi="宋体" w:eastAsia="宋体" w:cs="宋体"/>
          <w:b/>
          <w:bCs/>
          <w:color w:val="000000" w:themeColor="text1"/>
          <w:sz w:val="24"/>
          <w:szCs w:val="24"/>
          <w:highlight w:val="none"/>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条中集中列示。投标人有其中所列任何一种情形的，由评标委员会否决其</w:t>
      </w:r>
      <w:r>
        <w:rPr>
          <w:rFonts w:hint="eastAsia" w:ascii="宋体" w:hAnsi="宋体" w:eastAsia="宋体" w:cs="宋体"/>
          <w:color w:val="000000" w:themeColor="text1"/>
          <w:spacing w:val="-1"/>
          <w:sz w:val="24"/>
          <w:szCs w:val="24"/>
          <w:highlight w:val="none"/>
          <w14:textFill>
            <w14:solidFill>
              <w14:schemeClr w14:val="tx1"/>
            </w14:solidFill>
          </w14:textFill>
        </w:rPr>
        <w:t>投标。在初步评审阶段任何环节被否决的投标人，不进入下一环</w:t>
      </w:r>
      <w:r>
        <w:rPr>
          <w:rFonts w:hint="eastAsia" w:ascii="宋体" w:hAnsi="宋体" w:eastAsia="宋体" w:cs="宋体"/>
          <w:color w:val="000000" w:themeColor="text1"/>
          <w:spacing w:val="-2"/>
          <w:sz w:val="24"/>
          <w:szCs w:val="24"/>
          <w:highlight w:val="none"/>
          <w14:textFill>
            <w14:solidFill>
              <w14:schemeClr w14:val="tx1"/>
            </w14:solidFill>
          </w14:textFill>
        </w:rPr>
        <w:t>节（或阶段）评审。</w:t>
      </w:r>
      <w:r>
        <w:rPr>
          <w:rFonts w:hint="eastAsia" w:ascii="宋体" w:hAnsi="宋体" w:eastAsia="宋体" w:cs="宋体"/>
          <w:color w:val="000000" w:themeColor="text1"/>
          <w:spacing w:val="-1"/>
          <w:sz w:val="24"/>
          <w:szCs w:val="24"/>
          <w:highlight w:val="none"/>
          <w14:textFill>
            <w14:solidFill>
              <w14:schemeClr w14:val="tx1"/>
            </w14:solidFill>
          </w14:textFill>
        </w:rPr>
        <w:t>在初步评审阶段任何环节。</w:t>
      </w:r>
      <w:r>
        <w:rPr>
          <w:rFonts w:hint="eastAsia" w:ascii="宋体" w:hAnsi="宋体" w:eastAsia="宋体" w:cs="宋体"/>
          <w:color w:val="000000" w:themeColor="text1"/>
          <w:sz w:val="24"/>
          <w:szCs w:val="24"/>
          <w:highlight w:val="none"/>
          <w14:textFill>
            <w14:solidFill>
              <w14:schemeClr w14:val="tx1"/>
            </w14:solidFill>
          </w14:textFill>
        </w:rPr>
        <w:t>评标委员会经评审，认为所有投标都不符合招标文件要求的，可否决所有投标，项目的所有投标被否决的，招标人应依法重新组织招标。</w:t>
      </w:r>
    </w:p>
    <w:p w14:paraId="11375905">
      <w:pPr>
        <w:pageBreakBefore w:val="0"/>
        <w:kinsoku/>
        <w:wordWrap w:val="0"/>
        <w:overflowPunct/>
        <w:topLinePunct/>
        <w:bidi w:val="0"/>
        <w:spacing w:before="78" w:line="221" w:lineRule="auto"/>
        <w:ind w:left="5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6"/>
                    <a:stretch>
                      <a:fillRect/>
                    </a:stretch>
                  </pic:blipFill>
                  <pic:spPr>
                    <a:xfrm>
                      <a:off x="0" y="0"/>
                      <a:ext cx="6350" cy="279400"/>
                    </a:xfrm>
                    <a:prstGeom prst="rect">
                      <a:avLst/>
                    </a:prstGeom>
                    <a:noFill/>
                    <a:ln>
                      <a:noFill/>
                    </a:ln>
                  </pic:spPr>
                </pic:pic>
              </a:graphicData>
            </a:graphic>
          </wp:anchor>
        </w:drawing>
      </w:r>
      <w:bookmarkStart w:id="107" w:name="bookmark128"/>
      <w:bookmarkEnd w:id="107"/>
      <w:r>
        <w:rPr>
          <w:rFonts w:hint="eastAsia" w:ascii="宋体" w:hAnsi="宋体" w:eastAsia="宋体" w:cs="宋体"/>
          <w:b/>
          <w:bCs/>
          <w:color w:val="000000" w:themeColor="text1"/>
          <w:spacing w:val="-2"/>
          <w:sz w:val="24"/>
          <w:szCs w:val="24"/>
          <w:highlight w:val="none"/>
          <w14:textFill>
            <w14:solidFill>
              <w14:schemeClr w14:val="tx1"/>
            </w14:solidFill>
          </w14:textFill>
        </w:rPr>
        <w:t>1</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5</w:t>
      </w:r>
      <w:r>
        <w:rPr>
          <w:rFonts w:hint="eastAsia" w:ascii="宋体" w:hAnsi="宋体" w:eastAsia="宋体" w:cs="宋体"/>
          <w:b/>
          <w:bCs/>
          <w:color w:val="000000" w:themeColor="text1"/>
          <w:spacing w:val="-2"/>
          <w:sz w:val="24"/>
          <w:szCs w:val="24"/>
          <w:highlight w:val="none"/>
          <w14:textFill>
            <w14:solidFill>
              <w14:schemeClr w14:val="tx1"/>
            </w14:solidFill>
          </w14:textFill>
        </w:rPr>
        <w:t>.</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详细评审阶段</w:t>
      </w:r>
    </w:p>
    <w:p w14:paraId="6DEE3632">
      <w:pPr>
        <w:pageBreakBefore w:val="0"/>
        <w:kinsoku/>
        <w:wordWrap w:val="0"/>
        <w:overflowPunct/>
        <w:topLinePunct/>
        <w:bidi w:val="0"/>
        <w:spacing w:before="81" w:line="211" w:lineRule="auto"/>
        <w:ind w:left="498"/>
        <w:outlineLvl w:val="9"/>
        <w:rPr>
          <w:rFonts w:hint="eastAsia" w:ascii="宋体" w:hAnsi="宋体" w:eastAsia="宋体" w:cs="宋体"/>
          <w:color w:val="000000" w:themeColor="text1"/>
          <w:sz w:val="25"/>
          <w:szCs w:val="25"/>
          <w:highlight w:val="none"/>
          <w14:textFill>
            <w14:solidFill>
              <w14:schemeClr w14:val="tx1"/>
            </w14:solidFill>
          </w14:textFill>
        </w:rPr>
      </w:pPr>
      <w:bookmarkStart w:id="108" w:name="_Toc10503"/>
      <w:bookmarkStart w:id="109" w:name="_Toc4119"/>
      <w:bookmarkStart w:id="110" w:name="_Toc28572"/>
      <w:bookmarkStart w:id="111" w:name="_Toc14991"/>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15</w:t>
      </w:r>
      <w:r>
        <w:rPr>
          <w:rFonts w:hint="eastAsia" w:ascii="宋体" w:hAnsi="宋体" w:eastAsia="宋体" w:cs="宋体"/>
          <w:b/>
          <w:bCs/>
          <w:color w:val="000000" w:themeColor="text1"/>
          <w:spacing w:val="-3"/>
          <w:sz w:val="24"/>
          <w:szCs w:val="24"/>
          <w:highlight w:val="none"/>
          <w14:textFill>
            <w14:solidFill>
              <w14:schemeClr w14:val="tx1"/>
            </w14:solidFill>
          </w14:textFill>
        </w:rPr>
        <w:t>.</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.1 </w:t>
      </w:r>
      <w:r>
        <w:rPr>
          <w:rFonts w:hint="eastAsia" w:ascii="宋体" w:hAnsi="宋体" w:eastAsia="宋体" w:cs="宋体"/>
          <w:color w:val="000000" w:themeColor="text1"/>
          <w:spacing w:val="-3"/>
          <w:sz w:val="24"/>
          <w:szCs w:val="24"/>
          <w:highlight w:val="none"/>
          <w14:textFill>
            <w14:solidFill>
              <w14:schemeClr w14:val="tx1"/>
            </w14:solidFill>
          </w14:textFill>
        </w:rPr>
        <w:t>“综合评估法”评审程序</w:t>
      </w:r>
      <w:bookmarkEnd w:id="108"/>
      <w:bookmarkEnd w:id="109"/>
      <w:bookmarkEnd w:id="110"/>
      <w:bookmarkEnd w:id="111"/>
    </w:p>
    <w:p w14:paraId="06B9C34C">
      <w:pPr>
        <w:pageBreakBefore w:val="0"/>
        <w:kinsoku/>
        <w:wordWrap w:val="0"/>
        <w:overflowPunct/>
        <w:topLinePunct/>
        <w:bidi w:val="0"/>
        <w:spacing w:before="152" w:line="329" w:lineRule="auto"/>
        <w:ind w:left="14" w:right="81"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评审内容分为商务技术和投标报价两大部分。其中，商</w:t>
      </w:r>
      <w:r>
        <w:rPr>
          <w:rFonts w:hint="eastAsia" w:ascii="宋体" w:hAnsi="宋体" w:eastAsia="宋体" w:cs="宋体"/>
          <w:color w:val="000000" w:themeColor="text1"/>
          <w:spacing w:val="-2"/>
          <w:sz w:val="24"/>
          <w:szCs w:val="24"/>
          <w:highlight w:val="none"/>
          <w14:textFill>
            <w14:solidFill>
              <w14:schemeClr w14:val="tx1"/>
            </w14:solidFill>
          </w14:textFill>
        </w:rPr>
        <w:t>务技术合计满分</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100</w:t>
      </w:r>
      <w:r>
        <w:rPr>
          <w:rFonts w:hint="eastAsia" w:ascii="宋体" w:hAnsi="宋体" w:eastAsia="宋体" w:cs="宋体"/>
          <w:color w:val="000000" w:themeColor="text1"/>
          <w:spacing w:val="-2"/>
          <w:sz w:val="24"/>
          <w:szCs w:val="24"/>
          <w:highlight w:val="none"/>
          <w14:textFill>
            <w14:solidFill>
              <w14:schemeClr w14:val="tx1"/>
            </w14:solidFill>
          </w14:textFill>
        </w:rPr>
        <w:t>分，权重</w:t>
      </w:r>
      <w:r>
        <w:rPr>
          <w:rFonts w:hint="eastAsia" w:ascii="宋体" w:hAnsi="宋体" w:eastAsia="宋体" w:cs="宋体"/>
          <w:color w:val="000000" w:themeColor="text1"/>
          <w:spacing w:val="-3"/>
          <w:sz w:val="24"/>
          <w:szCs w:val="24"/>
          <w:highlight w:val="none"/>
          <w14:textFill>
            <w14:solidFill>
              <w14:schemeClr w14:val="tx1"/>
            </w14:solidFill>
          </w14:textFill>
        </w:rPr>
        <w:t>为</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40</w:t>
      </w:r>
      <w:r>
        <w:rPr>
          <w:rFonts w:hint="eastAsia" w:ascii="宋体" w:hAnsi="宋体" w:eastAsia="宋体" w:cs="宋体"/>
          <w:color w:val="000000" w:themeColor="text1"/>
          <w:spacing w:val="-3"/>
          <w:sz w:val="24"/>
          <w:szCs w:val="24"/>
          <w:highlight w:val="none"/>
          <w14:textFill>
            <w14:solidFill>
              <w14:schemeClr w14:val="tx1"/>
            </w14:solidFill>
          </w14:textFill>
        </w:rPr>
        <w:t>%；投标报价满分100分，权重为</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60</w:t>
      </w:r>
      <w:r>
        <w:rPr>
          <w:rFonts w:hint="eastAsia" w:ascii="宋体" w:hAnsi="宋体" w:eastAsia="宋体" w:cs="宋体"/>
          <w:color w:val="000000" w:themeColor="text1"/>
          <w:spacing w:val="-3"/>
          <w:sz w:val="24"/>
          <w:szCs w:val="24"/>
          <w:highlight w:val="none"/>
          <w14:textFill>
            <w14:solidFill>
              <w14:schemeClr w14:val="tx1"/>
            </w14:solidFill>
          </w14:textFill>
        </w:rPr>
        <w:t>%。两大部分权重之和应为100%。</w:t>
      </w:r>
    </w:p>
    <w:p w14:paraId="54C5BD7B">
      <w:pPr>
        <w:pageBreakBefore w:val="0"/>
        <w:kinsoku/>
        <w:wordWrap w:val="0"/>
        <w:overflowPunct/>
        <w:topLinePunct/>
        <w:bidi w:val="0"/>
        <w:spacing w:before="153" w:line="324" w:lineRule="auto"/>
        <w:ind w:left="14" w:right="81"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除特别注明外，综合得分以及商务技术得分、投标报价得分的中间过程计算值和</w:t>
      </w:r>
      <w:r>
        <w:rPr>
          <w:rFonts w:hint="eastAsia" w:ascii="宋体" w:hAnsi="宋体" w:eastAsia="宋体" w:cs="宋体"/>
          <w:color w:val="000000" w:themeColor="text1"/>
          <w:spacing w:val="-4"/>
          <w:sz w:val="24"/>
          <w:szCs w:val="24"/>
          <w:highlight w:val="none"/>
          <w14:textFill>
            <w14:solidFill>
              <w14:schemeClr w14:val="tx1"/>
            </w14:solidFill>
          </w14:textFill>
        </w:rPr>
        <w:t>最终值，均按“四舍五入”原则精确到两位小数。</w:t>
      </w:r>
    </w:p>
    <w:p w14:paraId="371C87F4">
      <w:pPr>
        <w:pageBreakBefore w:val="0"/>
        <w:kinsoku/>
        <w:wordWrap w:val="0"/>
        <w:overflowPunct/>
        <w:topLinePunct/>
        <w:bidi w:val="0"/>
        <w:spacing w:before="38" w:line="220" w:lineRule="auto"/>
        <w:ind w:left="503"/>
        <w:outlineLvl w:val="9"/>
        <w:rPr>
          <w:rFonts w:hint="eastAsia" w:ascii="宋体" w:hAnsi="宋体" w:eastAsia="宋体" w:cs="宋体"/>
          <w:color w:val="000000" w:themeColor="text1"/>
          <w:sz w:val="24"/>
          <w:szCs w:val="24"/>
          <w:highlight w:val="none"/>
          <w14:textFill>
            <w14:solidFill>
              <w14:schemeClr w14:val="tx1"/>
            </w14:solidFill>
          </w14:textFill>
        </w:rPr>
      </w:pPr>
      <w:bookmarkStart w:id="112" w:name="_Toc18029"/>
      <w:bookmarkStart w:id="113" w:name="_Toc22949"/>
      <w:bookmarkStart w:id="114" w:name="_Toc10398"/>
      <w:bookmarkStart w:id="115" w:name="_Toc17510"/>
      <w:r>
        <w:rPr>
          <w:rFonts w:hint="eastAsia" w:ascii="宋体" w:hAnsi="宋体" w:eastAsia="宋体" w:cs="宋体"/>
          <w:color w:val="000000" w:themeColor="text1"/>
          <w:spacing w:val="-3"/>
          <w:sz w:val="24"/>
          <w:szCs w:val="24"/>
          <w:highlight w:val="none"/>
          <w14:textFill>
            <w14:solidFill>
              <w14:schemeClr w14:val="tx1"/>
            </w14:solidFill>
          </w14:textFill>
        </w:rPr>
        <w:t>（1）商务技术得分M</w:t>
      </w:r>
      <w:bookmarkEnd w:id="112"/>
      <w:bookmarkEnd w:id="113"/>
      <w:bookmarkEnd w:id="114"/>
      <w:bookmarkEnd w:id="115"/>
    </w:p>
    <w:p w14:paraId="123E07B2">
      <w:pPr>
        <w:pageBreakBefore w:val="0"/>
        <w:kinsoku/>
        <w:wordWrap w:val="0"/>
        <w:overflowPunct/>
        <w:topLinePunct/>
        <w:bidi w:val="0"/>
        <w:spacing w:before="153" w:line="279" w:lineRule="auto"/>
        <w:ind w:left="15" w:right="81"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a</w:t>
      </w:r>
      <w:r>
        <w:rPr>
          <w:rFonts w:hint="eastAsia" w:ascii="宋体" w:hAnsi="宋体" w:eastAsia="宋体" w:cs="宋体"/>
          <w:color w:val="000000" w:themeColor="text1"/>
          <w:spacing w:val="1"/>
          <w:sz w:val="24"/>
          <w:szCs w:val="24"/>
          <w:highlight w:val="none"/>
          <w14:textFill>
            <w14:solidFill>
              <w14:schemeClr w14:val="tx1"/>
            </w14:solidFill>
          </w14:textFill>
        </w:rPr>
        <w:t>．评标委员会按照《综合评分表》商务部分指定的评分标准对各评分因素进行</w:t>
      </w:r>
      <w:r>
        <w:rPr>
          <w:rFonts w:hint="eastAsia" w:ascii="宋体" w:hAnsi="宋体" w:eastAsia="宋体" w:cs="宋体"/>
          <w:color w:val="000000" w:themeColor="text1"/>
          <w:spacing w:val="-1"/>
          <w:sz w:val="24"/>
          <w:szCs w:val="24"/>
          <w:highlight w:val="none"/>
          <w14:textFill>
            <w14:solidFill>
              <w14:schemeClr w14:val="tx1"/>
            </w14:solidFill>
          </w14:textFill>
        </w:rPr>
        <w:t>打分。各评分因素得分之和即为某投标人的商务得分M</w:t>
      </w:r>
      <w:r>
        <w:rPr>
          <w:rFonts w:hint="eastAsia" w:ascii="宋体" w:hAnsi="宋体" w:eastAsia="宋体" w:cs="宋体"/>
          <w:color w:val="000000" w:themeColor="text1"/>
          <w:spacing w:val="-1"/>
          <w:position w:val="-1"/>
          <w:sz w:val="15"/>
          <w:szCs w:val="15"/>
          <w:highlight w:val="none"/>
          <w14:textFill>
            <w14:solidFill>
              <w14:schemeClr w14:val="tx1"/>
            </w14:solidFill>
          </w14:textFill>
        </w:rPr>
        <w:t>1</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5B50B72E">
      <w:pPr>
        <w:pageBreakBefore w:val="0"/>
        <w:kinsoku/>
        <w:wordWrap w:val="0"/>
        <w:overflowPunct/>
        <w:topLinePunct/>
        <w:bidi w:val="0"/>
        <w:spacing w:before="154" w:line="299" w:lineRule="auto"/>
        <w:ind w:left="12" w:right="81"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b</w:t>
      </w:r>
      <w:r>
        <w:rPr>
          <w:rFonts w:hint="eastAsia" w:ascii="宋体" w:hAnsi="宋体" w:eastAsia="宋体" w:cs="宋体"/>
          <w:color w:val="000000" w:themeColor="text1"/>
          <w:spacing w:val="1"/>
          <w:sz w:val="24"/>
          <w:szCs w:val="24"/>
          <w:highlight w:val="none"/>
          <w14:textFill>
            <w14:solidFill>
              <w14:schemeClr w14:val="tx1"/>
            </w14:solidFill>
          </w14:textFill>
        </w:rPr>
        <w:t>．评标委员会各成员独立按照《综合评分表》技术部分（施工组织设</w:t>
      </w:r>
      <w:r>
        <w:rPr>
          <w:rFonts w:hint="eastAsia" w:ascii="宋体" w:hAnsi="宋体" w:eastAsia="宋体" w:cs="宋体"/>
          <w:color w:val="000000" w:themeColor="text1"/>
          <w:sz w:val="24"/>
          <w:szCs w:val="24"/>
          <w:highlight w:val="none"/>
          <w14:textFill>
            <w14:solidFill>
              <w14:schemeClr w14:val="tx1"/>
            </w14:solidFill>
          </w14:textFill>
        </w:rPr>
        <w:t>计）指定</w:t>
      </w:r>
      <w:r>
        <w:rPr>
          <w:rFonts w:hint="eastAsia" w:ascii="宋体" w:hAnsi="宋体" w:eastAsia="宋体" w:cs="宋体"/>
          <w:color w:val="000000" w:themeColor="text1"/>
          <w:spacing w:val="-1"/>
          <w:sz w:val="24"/>
          <w:szCs w:val="24"/>
          <w:highlight w:val="none"/>
          <w14:textFill>
            <w14:solidFill>
              <w14:schemeClr w14:val="tx1"/>
            </w14:solidFill>
          </w14:textFill>
        </w:rPr>
        <w:t>的评分标准对各评分因素进行打分，累加后得出技术评分。</w:t>
      </w:r>
      <w:r>
        <w:rPr>
          <w:rFonts w:hint="eastAsia" w:ascii="宋体" w:hAnsi="宋体" w:eastAsia="宋体" w:cs="宋体"/>
          <w:color w:val="000000" w:themeColor="text1"/>
          <w:spacing w:val="-2"/>
          <w:sz w:val="24"/>
          <w:szCs w:val="24"/>
          <w:highlight w:val="none"/>
          <w14:textFill>
            <w14:solidFill>
              <w14:schemeClr w14:val="tx1"/>
            </w14:solidFill>
          </w14:textFill>
        </w:rPr>
        <w:t>将评标委员会所有成员的</w:t>
      </w:r>
      <w:r>
        <w:rPr>
          <w:rFonts w:hint="eastAsia" w:ascii="宋体" w:hAnsi="宋体" w:eastAsia="宋体" w:cs="宋体"/>
          <w:color w:val="000000" w:themeColor="text1"/>
          <w:sz w:val="24"/>
          <w:szCs w:val="24"/>
          <w:highlight w:val="none"/>
          <w14:textFill>
            <w14:solidFill>
              <w14:schemeClr w14:val="tx1"/>
            </w14:solidFill>
          </w14:textFill>
        </w:rPr>
        <w:t>技术评分去掉最高分和最低分后，取算术平均值，即</w:t>
      </w:r>
      <w:r>
        <w:rPr>
          <w:rFonts w:hint="eastAsia" w:ascii="宋体" w:hAnsi="宋体" w:eastAsia="宋体" w:cs="宋体"/>
          <w:color w:val="000000" w:themeColor="text1"/>
          <w:spacing w:val="-1"/>
          <w:sz w:val="24"/>
          <w:szCs w:val="24"/>
          <w:highlight w:val="none"/>
          <w14:textFill>
            <w14:solidFill>
              <w14:schemeClr w14:val="tx1"/>
            </w14:solidFill>
          </w14:textFill>
        </w:rPr>
        <w:t>为某投标人的技术得分M</w:t>
      </w:r>
      <w:r>
        <w:rPr>
          <w:rFonts w:hint="eastAsia" w:ascii="宋体" w:hAnsi="宋体" w:eastAsia="宋体" w:cs="宋体"/>
          <w:color w:val="000000" w:themeColor="text1"/>
          <w:spacing w:val="-1"/>
          <w:position w:val="-1"/>
          <w:sz w:val="15"/>
          <w:szCs w:val="15"/>
          <w:highlight w:val="none"/>
          <w14:textFill>
            <w14:solidFill>
              <w14:schemeClr w14:val="tx1"/>
            </w14:solidFill>
          </w14:textFill>
        </w:rPr>
        <w:t>2</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79132BA0">
      <w:pPr>
        <w:pageBreakBefore w:val="0"/>
        <w:kinsoku/>
        <w:wordWrap w:val="0"/>
        <w:overflowPunct/>
        <w:topLinePunct/>
        <w:bidi w:val="0"/>
        <w:spacing w:before="155" w:line="231" w:lineRule="auto"/>
        <w:ind w:left="491"/>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b/>
          <w:bCs/>
          <w:color w:val="000000" w:themeColor="text1"/>
          <w:spacing w:val="-12"/>
          <w:sz w:val="24"/>
          <w:szCs w:val="24"/>
          <w:highlight w:val="none"/>
          <w14:textFill>
            <w14:solidFill>
              <w14:schemeClr w14:val="tx1"/>
            </w14:solidFill>
          </w14:textFill>
        </w:rPr>
        <w:t>c</w:t>
      </w:r>
      <w:r>
        <w:rPr>
          <w:rFonts w:hint="eastAsia" w:ascii="宋体" w:hAnsi="宋体" w:eastAsia="宋体" w:cs="宋体"/>
          <w:color w:val="000000" w:themeColor="text1"/>
          <w:spacing w:val="-12"/>
          <w:sz w:val="24"/>
          <w:szCs w:val="24"/>
          <w:highlight w:val="none"/>
          <w14:textFill>
            <w14:solidFill>
              <w14:schemeClr w14:val="tx1"/>
            </w14:solidFill>
          </w14:textFill>
        </w:rPr>
        <w:t>．M＝M</w:t>
      </w:r>
      <w:r>
        <w:rPr>
          <w:rFonts w:hint="eastAsia" w:ascii="宋体" w:hAnsi="宋体" w:eastAsia="宋体" w:cs="宋体"/>
          <w:color w:val="000000" w:themeColor="text1"/>
          <w:spacing w:val="-12"/>
          <w:position w:val="-1"/>
          <w:sz w:val="15"/>
          <w:szCs w:val="15"/>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＋M</w:t>
      </w:r>
      <w:r>
        <w:rPr>
          <w:rFonts w:hint="eastAsia" w:ascii="宋体" w:hAnsi="宋体" w:eastAsia="宋体" w:cs="宋体"/>
          <w:color w:val="000000" w:themeColor="text1"/>
          <w:position w:val="-1"/>
          <w:sz w:val="15"/>
          <w:szCs w:val="15"/>
          <w:highlight w:val="none"/>
          <w14:textFill>
            <w14:solidFill>
              <w14:schemeClr w14:val="tx1"/>
            </w14:solidFill>
          </w14:textFill>
        </w:rPr>
        <w:t>2</w:t>
      </w:r>
    </w:p>
    <w:p w14:paraId="303DB002">
      <w:pPr>
        <w:pageBreakBefore w:val="0"/>
        <w:kinsoku/>
        <w:wordWrap w:val="0"/>
        <w:overflowPunct/>
        <w:topLinePunct/>
        <w:bidi w:val="0"/>
        <w:spacing w:before="139" w:line="220" w:lineRule="auto"/>
        <w:ind w:left="49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式中：M</w:t>
      </w:r>
      <w:r>
        <w:rPr>
          <w:rFonts w:hint="eastAsia" w:ascii="宋体" w:hAnsi="宋体" w:eastAsia="宋体" w:cs="宋体"/>
          <w:color w:val="000000" w:themeColor="text1"/>
          <w:spacing w:val="-1"/>
          <w:position w:val="-1"/>
          <w:sz w:val="15"/>
          <w:szCs w:val="15"/>
          <w:highlight w:val="none"/>
          <w14:textFill>
            <w14:solidFill>
              <w14:schemeClr w14:val="tx1"/>
            </w14:solidFill>
          </w14:textFill>
        </w:rPr>
        <w:t>1</w:t>
      </w:r>
      <w:r>
        <w:rPr>
          <w:rFonts w:hint="eastAsia" w:ascii="宋体" w:hAnsi="宋体" w:eastAsia="宋体" w:cs="宋体"/>
          <w:color w:val="000000" w:themeColor="text1"/>
          <w:spacing w:val="-1"/>
          <w:sz w:val="24"/>
          <w:szCs w:val="24"/>
          <w:highlight w:val="none"/>
          <w14:textFill>
            <w14:solidFill>
              <w14:schemeClr w14:val="tx1"/>
            </w14:solidFill>
          </w14:textFill>
        </w:rPr>
        <w:t>为某投标人的商务得分，M</w:t>
      </w:r>
      <w:r>
        <w:rPr>
          <w:rFonts w:hint="eastAsia" w:ascii="宋体" w:hAnsi="宋体" w:eastAsia="宋体" w:cs="宋体"/>
          <w:color w:val="000000" w:themeColor="text1"/>
          <w:spacing w:val="-1"/>
          <w:position w:val="-1"/>
          <w:sz w:val="15"/>
          <w:szCs w:val="15"/>
          <w:highlight w:val="none"/>
          <w14:textFill>
            <w14:solidFill>
              <w14:schemeClr w14:val="tx1"/>
            </w14:solidFill>
          </w14:textFill>
        </w:rPr>
        <w:t>2</w:t>
      </w:r>
      <w:r>
        <w:rPr>
          <w:rFonts w:hint="eastAsia" w:ascii="宋体" w:hAnsi="宋体" w:eastAsia="宋体" w:cs="宋体"/>
          <w:color w:val="000000" w:themeColor="text1"/>
          <w:spacing w:val="-1"/>
          <w:sz w:val="24"/>
          <w:szCs w:val="24"/>
          <w:highlight w:val="none"/>
          <w14:textFill>
            <w14:solidFill>
              <w14:schemeClr w14:val="tx1"/>
            </w14:solidFill>
          </w14:textFill>
        </w:rPr>
        <w:t>为某投标人的</w:t>
      </w:r>
      <w:r>
        <w:rPr>
          <w:rFonts w:hint="eastAsia" w:ascii="宋体" w:hAnsi="宋体" w:eastAsia="宋体" w:cs="宋体"/>
          <w:color w:val="000000" w:themeColor="text1"/>
          <w:spacing w:val="-2"/>
          <w:sz w:val="24"/>
          <w:szCs w:val="24"/>
          <w:highlight w:val="none"/>
          <w14:textFill>
            <w14:solidFill>
              <w14:schemeClr w14:val="tx1"/>
            </w14:solidFill>
          </w14:textFill>
        </w:rPr>
        <w:t>技术得分。</w:t>
      </w:r>
    </w:p>
    <w:p w14:paraId="2212B1DF">
      <w:pPr>
        <w:pageBreakBefore w:val="0"/>
        <w:kinsoku/>
        <w:wordWrap w:val="0"/>
        <w:overflowPunct/>
        <w:topLinePunct/>
        <w:bidi w:val="0"/>
        <w:spacing w:before="153" w:line="219" w:lineRule="auto"/>
        <w:ind w:left="503"/>
        <w:outlineLvl w:val="9"/>
        <w:rPr>
          <w:rFonts w:hint="eastAsia" w:ascii="宋体" w:hAnsi="宋体" w:eastAsia="宋体" w:cs="宋体"/>
          <w:color w:val="000000" w:themeColor="text1"/>
          <w:sz w:val="24"/>
          <w:szCs w:val="24"/>
          <w:highlight w:val="none"/>
          <w14:textFill>
            <w14:solidFill>
              <w14:schemeClr w14:val="tx1"/>
            </w14:solidFill>
          </w14:textFill>
        </w:rPr>
      </w:pPr>
      <w:bookmarkStart w:id="116" w:name="_Toc27609"/>
      <w:bookmarkStart w:id="117" w:name="_Toc14059"/>
      <w:bookmarkStart w:id="118" w:name="_Toc3958"/>
      <w:bookmarkStart w:id="119" w:name="_Toc16136"/>
      <w:r>
        <w:rPr>
          <w:rFonts w:hint="eastAsia" w:ascii="宋体" w:hAnsi="宋体" w:eastAsia="宋体" w:cs="宋体"/>
          <w:color w:val="000000" w:themeColor="text1"/>
          <w:spacing w:val="-2"/>
          <w:sz w:val="24"/>
          <w:szCs w:val="24"/>
          <w:highlight w:val="none"/>
          <w14:textFill>
            <w14:solidFill>
              <w14:schemeClr w14:val="tx1"/>
            </w14:solidFill>
          </w14:textFill>
        </w:rPr>
        <w:t>（2）投标报价得分N</w:t>
      </w:r>
      <w:bookmarkEnd w:id="116"/>
      <w:bookmarkEnd w:id="117"/>
      <w:bookmarkEnd w:id="118"/>
      <w:bookmarkEnd w:id="119"/>
    </w:p>
    <w:p w14:paraId="7ACDAAD7">
      <w:pPr>
        <w:pageBreakBefore w:val="0"/>
        <w:kinsoku/>
        <w:wordWrap w:val="0"/>
        <w:overflowPunct/>
        <w:topLinePunct/>
        <w:bidi w:val="0"/>
        <w:spacing w:before="157" w:line="219" w:lineRule="auto"/>
        <w:ind w:firstLine="470" w:firstLineChars="2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a</w:t>
      </w:r>
      <w:r>
        <w:rPr>
          <w:rFonts w:hint="eastAsia" w:ascii="宋体" w:hAnsi="宋体" w:eastAsia="宋体" w:cs="宋体"/>
          <w:color w:val="000000" w:themeColor="text1"/>
          <w:spacing w:val="-3"/>
          <w:sz w:val="24"/>
          <w:szCs w:val="24"/>
          <w:highlight w:val="none"/>
          <w14:textFill>
            <w14:solidFill>
              <w14:schemeClr w14:val="tx1"/>
            </w14:solidFill>
          </w14:textFill>
        </w:rPr>
        <w:t>．评标委员会按照《综合评分表》投标报价部分指定的方法计</w:t>
      </w:r>
      <w:r>
        <w:rPr>
          <w:rFonts w:hint="eastAsia" w:ascii="宋体" w:hAnsi="宋体" w:eastAsia="宋体" w:cs="宋体"/>
          <w:color w:val="000000" w:themeColor="text1"/>
          <w:spacing w:val="-4"/>
          <w:sz w:val="24"/>
          <w:szCs w:val="24"/>
          <w:highlight w:val="none"/>
          <w14:textFill>
            <w14:solidFill>
              <w14:schemeClr w14:val="tx1"/>
            </w14:solidFill>
          </w14:textFill>
        </w:rPr>
        <w:t>算评标基准价D。</w:t>
      </w:r>
    </w:p>
    <w:p w14:paraId="2516D00B">
      <w:pPr>
        <w:pageBreakBefore w:val="0"/>
        <w:kinsoku/>
        <w:wordWrap w:val="0"/>
        <w:overflowPunct/>
        <w:topLinePunct/>
        <w:bidi w:val="0"/>
        <w:spacing w:before="155" w:line="299" w:lineRule="auto"/>
        <w:ind w:left="12" w:right="83"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b</w:t>
      </w:r>
      <w:r>
        <w:rPr>
          <w:rFonts w:hint="eastAsia" w:ascii="宋体" w:hAnsi="宋体" w:eastAsia="宋体" w:cs="宋体"/>
          <w:color w:val="000000" w:themeColor="text1"/>
          <w:sz w:val="24"/>
          <w:szCs w:val="24"/>
          <w:highlight w:val="none"/>
          <w14:textFill>
            <w14:solidFill>
              <w14:schemeClr w14:val="tx1"/>
            </w14:solidFill>
          </w14:textFill>
        </w:rPr>
        <w:t>．采用内插法计算某投标人的投标报价得分N，即当投标人的投标总价等于评</w:t>
      </w:r>
      <w:r>
        <w:rPr>
          <w:rFonts w:hint="eastAsia" w:ascii="宋体" w:hAnsi="宋体" w:eastAsia="宋体" w:cs="宋体"/>
          <w:color w:val="000000" w:themeColor="text1"/>
          <w:spacing w:val="-1"/>
          <w:sz w:val="24"/>
          <w:szCs w:val="24"/>
          <w:highlight w:val="none"/>
          <w14:textFill>
            <w14:solidFill>
              <w14:schemeClr w14:val="tx1"/>
            </w14:solidFill>
          </w14:textFill>
        </w:rPr>
        <w:t>标基准价时得100分，每高于评标基准价一个百分点扣</w:t>
      </w:r>
      <w:r>
        <w:rPr>
          <w:rFonts w:hint="eastAsia" w:ascii="宋体" w:hAnsi="宋体" w:eastAsia="宋体" w:cs="宋体"/>
          <w:b/>
          <w:bCs/>
          <w:color w:val="000000" w:themeColor="text1"/>
          <w:spacing w:val="-1"/>
          <w:sz w:val="24"/>
          <w:szCs w:val="24"/>
          <w:highlight w:val="none"/>
          <w14:textFill>
            <w14:solidFill>
              <w14:schemeClr w14:val="tx1"/>
            </w14:solidFill>
          </w14:textFill>
        </w:rPr>
        <w:t>1分,</w:t>
      </w:r>
      <w:r>
        <w:rPr>
          <w:rFonts w:hint="eastAsia" w:ascii="宋体" w:hAnsi="宋体" w:eastAsia="宋体" w:cs="宋体"/>
          <w:color w:val="000000" w:themeColor="text1"/>
          <w:spacing w:val="-2"/>
          <w:sz w:val="24"/>
          <w:szCs w:val="24"/>
          <w:highlight w:val="none"/>
          <w14:textFill>
            <w14:solidFill>
              <w14:schemeClr w14:val="tx1"/>
            </w14:solidFill>
          </w14:textFill>
        </w:rPr>
        <w:t>每低于评标基准价一个百分点扣</w:t>
      </w:r>
      <w:r>
        <w:rPr>
          <w:rFonts w:hint="eastAsia" w:ascii="宋体" w:hAnsi="宋体" w:eastAsia="宋体" w:cs="宋体"/>
          <w:b/>
          <w:bCs/>
          <w:color w:val="000000" w:themeColor="text1"/>
          <w:spacing w:val="-2"/>
          <w:sz w:val="24"/>
          <w:szCs w:val="24"/>
          <w:highlight w:val="none"/>
          <w14:textFill>
            <w14:solidFill>
              <w14:schemeClr w14:val="tx1"/>
            </w14:solidFill>
          </w14:textFill>
        </w:rPr>
        <w:t>0.5分</w:t>
      </w:r>
      <w:r>
        <w:rPr>
          <w:rFonts w:hint="eastAsia" w:ascii="宋体" w:hAnsi="宋体" w:eastAsia="宋体" w:cs="宋体"/>
          <w:color w:val="000000" w:themeColor="text1"/>
          <w:spacing w:val="-2"/>
          <w:sz w:val="24"/>
          <w:szCs w:val="24"/>
          <w:highlight w:val="none"/>
          <w14:textFill>
            <w14:solidFill>
              <w14:schemeClr w14:val="tx1"/>
            </w14:solidFill>
          </w14:textFill>
        </w:rPr>
        <w:t>，扣完为止。公式如下：</w:t>
      </w:r>
    </w:p>
    <w:p w14:paraId="470CCE22">
      <w:pPr>
        <w:pageBreakBefore w:val="0"/>
        <w:kinsoku/>
        <w:wordWrap w:val="0"/>
        <w:overflowPunct/>
        <w:topLinePunct/>
        <w:bidi w:val="0"/>
        <w:spacing w:before="118" w:line="333" w:lineRule="exact"/>
        <w:ind w:left="241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position w:val="3"/>
          <w:sz w:val="24"/>
          <w:szCs w:val="24"/>
          <w:highlight w:val="none"/>
          <w14:textFill>
            <w14:solidFill>
              <w14:schemeClr w14:val="tx1"/>
            </w14:solidFill>
          </w14:textFill>
        </w:rPr>
        <w:t>N＝100</w:t>
      </w:r>
      <w:r>
        <w:rPr>
          <w:rFonts w:hint="eastAsia" w:ascii="宋体" w:hAnsi="宋体" w:eastAsia="宋体" w:cs="宋体"/>
          <w:color w:val="000000" w:themeColor="text1"/>
          <w:spacing w:val="-12"/>
          <w:position w:val="3"/>
          <w:sz w:val="24"/>
          <w:szCs w:val="24"/>
          <w:highlight w:val="none"/>
          <w14:textFill>
            <w14:solidFill>
              <w14:schemeClr w14:val="tx1"/>
            </w14:solidFill>
          </w14:textFill>
        </w:rPr>
        <w:t>－（</w:t>
      </w:r>
      <w:r>
        <w:rPr>
          <w:rFonts w:hint="eastAsia" w:ascii="宋体" w:hAnsi="宋体" w:eastAsia="宋体" w:cs="宋体"/>
          <w:color w:val="000000" w:themeColor="text1"/>
          <w:spacing w:val="-6"/>
          <w:position w:val="3"/>
          <w:sz w:val="24"/>
          <w:szCs w:val="24"/>
          <w:highlight w:val="none"/>
          <w14:textFill>
            <w14:solidFill>
              <w14:schemeClr w14:val="tx1"/>
            </w14:solidFill>
          </w14:textFill>
        </w:rPr>
        <w:t>|Di－D|÷D）×100×E</w:t>
      </w:r>
    </w:p>
    <w:p w14:paraId="73391D1D">
      <w:pPr>
        <w:pageBreakBefore w:val="0"/>
        <w:kinsoku/>
        <w:wordWrap w:val="0"/>
        <w:overflowPunct/>
        <w:topLinePunct/>
        <w:bidi w:val="0"/>
        <w:spacing w:before="106" w:line="316" w:lineRule="auto"/>
        <w:ind w:left="7" w:right="17"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式中：D为评标基准价；Di为某投标人的投标总价；E为扣分因子，当Di＞D</w:t>
      </w:r>
      <w:r>
        <w:rPr>
          <w:rFonts w:hint="eastAsia" w:ascii="宋体" w:hAnsi="宋体" w:eastAsia="宋体" w:cs="宋体"/>
          <w:color w:val="000000" w:themeColor="text1"/>
          <w:spacing w:val="-10"/>
          <w:sz w:val="24"/>
          <w:szCs w:val="24"/>
          <w:highlight w:val="none"/>
          <w14:textFill>
            <w14:solidFill>
              <w14:schemeClr w14:val="tx1"/>
            </w14:solidFill>
          </w14:textFill>
        </w:rPr>
        <w:t>时，</w:t>
      </w:r>
      <w:r>
        <w:rPr>
          <w:rFonts w:hint="eastAsia" w:ascii="宋体" w:hAnsi="宋体" w:eastAsia="宋体" w:cs="宋体"/>
          <w:color w:val="000000" w:themeColor="text1"/>
          <w:spacing w:val="-8"/>
          <w:sz w:val="24"/>
          <w:szCs w:val="24"/>
          <w:highlight w:val="none"/>
          <w14:textFill>
            <w14:solidFill>
              <w14:schemeClr w14:val="tx1"/>
            </w14:solidFill>
          </w14:textFill>
        </w:rPr>
        <w:t>E＝</w:t>
      </w:r>
      <w:r>
        <w:rPr>
          <w:rFonts w:hint="eastAsia" w:ascii="宋体" w:hAnsi="宋体" w:eastAsia="宋体" w:cs="宋体"/>
          <w:b/>
          <w:bCs/>
          <w:color w:val="000000" w:themeColor="text1"/>
          <w:spacing w:val="-8"/>
          <w:sz w:val="24"/>
          <w:szCs w:val="24"/>
          <w:highlight w:val="none"/>
          <w14:textFill>
            <w14:solidFill>
              <w14:schemeClr w14:val="tx1"/>
            </w14:solidFill>
          </w14:textFill>
        </w:rPr>
        <w:t>1；</w:t>
      </w:r>
      <w:r>
        <w:rPr>
          <w:rFonts w:hint="eastAsia" w:ascii="宋体" w:hAnsi="宋体" w:eastAsia="宋体" w:cs="宋体"/>
          <w:color w:val="000000" w:themeColor="text1"/>
          <w:spacing w:val="-8"/>
          <w:sz w:val="24"/>
          <w:szCs w:val="24"/>
          <w:highlight w:val="none"/>
          <w14:textFill>
            <w14:solidFill>
              <w14:schemeClr w14:val="tx1"/>
            </w14:solidFill>
          </w14:textFill>
        </w:rPr>
        <w:t>当Di＜D时，E</w:t>
      </w:r>
      <w:r>
        <w:rPr>
          <w:rFonts w:hint="eastAsia" w:ascii="宋体" w:hAnsi="宋体" w:eastAsia="宋体" w:cs="宋体"/>
          <w:b/>
          <w:bCs/>
          <w:color w:val="000000" w:themeColor="text1"/>
          <w:spacing w:val="-8"/>
          <w:sz w:val="24"/>
          <w:szCs w:val="24"/>
          <w:highlight w:val="none"/>
          <w14:textFill>
            <w14:solidFill>
              <w14:schemeClr w14:val="tx1"/>
            </w14:solidFill>
          </w14:textFill>
        </w:rPr>
        <w:t>＝0.5。</w:t>
      </w:r>
    </w:p>
    <w:p w14:paraId="46317D9D">
      <w:pPr>
        <w:pageBreakBefore w:val="0"/>
        <w:kinsoku/>
        <w:wordWrap w:val="0"/>
        <w:overflowPunct/>
        <w:topLinePunct/>
        <w:bidi w:val="0"/>
        <w:spacing w:before="95" w:line="220" w:lineRule="auto"/>
        <w:ind w:left="503"/>
        <w:outlineLvl w:val="9"/>
        <w:rPr>
          <w:rFonts w:hint="eastAsia" w:ascii="宋体" w:hAnsi="宋体" w:eastAsia="宋体" w:cs="宋体"/>
          <w:color w:val="000000" w:themeColor="text1"/>
          <w:sz w:val="24"/>
          <w:szCs w:val="24"/>
          <w:highlight w:val="none"/>
          <w14:textFill>
            <w14:solidFill>
              <w14:schemeClr w14:val="tx1"/>
            </w14:solidFill>
          </w14:textFill>
        </w:rPr>
      </w:pPr>
      <w:bookmarkStart w:id="120" w:name="_Toc7915"/>
      <w:bookmarkStart w:id="121" w:name="_Toc4990"/>
      <w:bookmarkStart w:id="122" w:name="_Toc3861"/>
      <w:bookmarkStart w:id="123" w:name="_Toc576"/>
      <w:r>
        <w:rPr>
          <w:rFonts w:hint="eastAsia" w:ascii="宋体" w:hAnsi="宋体" w:eastAsia="宋体" w:cs="宋体"/>
          <w:color w:val="000000" w:themeColor="text1"/>
          <w:spacing w:val="-3"/>
          <w:sz w:val="24"/>
          <w:szCs w:val="24"/>
          <w:highlight w:val="none"/>
          <w14:textFill>
            <w14:solidFill>
              <w14:schemeClr w14:val="tx1"/>
            </w14:solidFill>
          </w14:textFill>
        </w:rPr>
        <w:t>（3）综合得分</w:t>
      </w:r>
      <w:bookmarkEnd w:id="120"/>
      <w:bookmarkEnd w:id="121"/>
      <w:bookmarkEnd w:id="122"/>
      <w:bookmarkEnd w:id="123"/>
    </w:p>
    <w:p w14:paraId="47A68688">
      <w:pPr>
        <w:pageBreakBefore w:val="0"/>
        <w:kinsoku/>
        <w:wordWrap w:val="0"/>
        <w:overflowPunct/>
        <w:topLinePunct/>
        <w:bidi w:val="0"/>
        <w:spacing w:before="153" w:line="220" w:lineRule="auto"/>
        <w:ind w:left="49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综合得分换算为百分制，满分100分，公式如下：</w:t>
      </w:r>
    </w:p>
    <w:p w14:paraId="6BC53E99">
      <w:pPr>
        <w:pageBreakBefore w:val="0"/>
        <w:kinsoku/>
        <w:wordWrap w:val="0"/>
        <w:overflowPunct/>
        <w:topLinePunct/>
        <w:bidi w:val="0"/>
        <w:spacing w:before="155" w:line="324" w:lineRule="auto"/>
        <w:ind w:left="496" w:right="532" w:hanging="33"/>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综合得分＝M÷商务技术合计满分×100</w:t>
      </w:r>
      <w:r>
        <w:rPr>
          <w:rFonts w:hint="eastAsia" w:ascii="宋体" w:hAnsi="宋体" w:eastAsia="宋体" w:cs="宋体"/>
          <w:color w:val="000000" w:themeColor="text1"/>
          <w:spacing w:val="-1"/>
          <w:sz w:val="24"/>
          <w:szCs w:val="24"/>
          <w:highlight w:val="none"/>
          <w14:textFill>
            <w14:solidFill>
              <w14:schemeClr w14:val="tx1"/>
            </w14:solidFill>
          </w14:textFill>
        </w:rPr>
        <w:t>×商务技术权重＋N×投标报价权重</w:t>
      </w:r>
    </w:p>
    <w:p w14:paraId="322ED025">
      <w:pPr>
        <w:pageBreakBefore w:val="0"/>
        <w:kinsoku/>
        <w:wordWrap w:val="0"/>
        <w:overflowPunct/>
        <w:topLinePunct/>
        <w:bidi w:val="0"/>
        <w:spacing w:before="155" w:line="324" w:lineRule="auto"/>
        <w:ind w:left="496" w:right="532" w:hanging="3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式中：M为商务技术得分，N为投标报价得分。</w:t>
      </w:r>
    </w:p>
    <w:p w14:paraId="2FED5480">
      <w:pPr>
        <w:pageBreakBefore w:val="0"/>
        <w:kinsoku/>
        <w:wordWrap w:val="0"/>
        <w:overflowPunct/>
        <w:topLinePunct/>
        <w:bidi w:val="0"/>
        <w:spacing w:before="154" w:line="299" w:lineRule="auto"/>
        <w:ind w:left="12" w:right="81" w:firstLine="474"/>
        <w:rPr>
          <w:rFonts w:hint="eastAsia" w:ascii="宋体" w:hAnsi="宋体" w:eastAsia="宋体" w:cs="宋体"/>
          <w:b/>
          <w:bCs/>
          <w:color w:val="000000" w:themeColor="text1"/>
          <w:spacing w:val="-1"/>
          <w:sz w:val="24"/>
          <w:szCs w:val="24"/>
          <w:highlight w:val="none"/>
          <w14:textFill>
            <w14:solidFill>
              <w14:schemeClr w14:val="tx1"/>
            </w14:solidFill>
          </w14:textFill>
        </w:rPr>
      </w:pPr>
      <w:bookmarkStart w:id="124" w:name="_Toc25214"/>
      <w:bookmarkStart w:id="125" w:name="_Toc30671"/>
      <w:bookmarkStart w:id="126" w:name="_Toc2885"/>
      <w:bookmarkStart w:id="127" w:name="_Toc32384"/>
      <w:r>
        <w:rPr>
          <w:rFonts w:hint="eastAsia" w:ascii="宋体" w:hAnsi="宋体" w:eastAsia="宋体" w:cs="宋体"/>
          <w:b/>
          <w:bCs/>
          <w:color w:val="000000" w:themeColor="text1"/>
          <w:spacing w:val="-1"/>
          <w:sz w:val="24"/>
          <w:szCs w:val="24"/>
          <w:highlight w:val="none"/>
          <w14:textFill>
            <w14:solidFill>
              <w14:schemeClr w14:val="tx1"/>
            </w14:solidFill>
          </w14:textFill>
        </w:rPr>
        <w:t>（4）</w:t>
      </w:r>
      <w:bookmarkEnd w:id="124"/>
      <w:bookmarkEnd w:id="125"/>
      <w:bookmarkEnd w:id="126"/>
      <w:bookmarkEnd w:id="127"/>
      <w:r>
        <w:rPr>
          <w:rFonts w:hint="eastAsia" w:ascii="宋体" w:hAnsi="宋体" w:eastAsia="宋体" w:cs="宋体"/>
          <w:b/>
          <w:bCs/>
          <w:color w:val="000000" w:themeColor="text1"/>
          <w:spacing w:val="-1"/>
          <w:sz w:val="24"/>
          <w:szCs w:val="24"/>
          <w:highlight w:val="none"/>
          <w14:textFill>
            <w14:solidFill>
              <w14:schemeClr w14:val="tx1"/>
            </w14:solidFill>
          </w14:textFill>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由</w:t>
      </w:r>
      <w:r>
        <w:rPr>
          <w:rFonts w:hint="eastAsia" w:ascii="宋体" w:hAnsi="宋体" w:eastAsia="宋体" w:cs="宋体"/>
          <w:b/>
          <w:bCs/>
          <w:color w:val="000000" w:themeColor="text1"/>
          <w:spacing w:val="-1"/>
          <w:sz w:val="24"/>
          <w:szCs w:val="24"/>
          <w:highlight w:val="none"/>
          <w14:textFill>
            <w14:solidFill>
              <w14:schemeClr w14:val="tx1"/>
            </w14:solidFill>
          </w14:textFill>
        </w:rPr>
        <w:t>大</w:t>
      </w:r>
      <w:r>
        <w:rPr>
          <w:rFonts w:hint="eastAsia" w:ascii="宋体" w:hAnsi="宋体" w:eastAsia="宋体" w:cs="宋体"/>
          <w:b/>
          <w:bCs/>
          <w:color w:val="000000" w:themeColor="text1"/>
          <w:spacing w:val="-1"/>
          <w:sz w:val="24"/>
          <w:szCs w:val="24"/>
          <w:highlight w:val="none"/>
          <w:lang w:val="en-US" w:eastAsia="zh-CN"/>
          <w14:textFill>
            <w14:solidFill>
              <w14:schemeClr w14:val="tx1"/>
            </w14:solidFill>
          </w14:textFill>
        </w:rPr>
        <w:t>到</w:t>
      </w:r>
      <w:r>
        <w:rPr>
          <w:rFonts w:hint="eastAsia" w:ascii="宋体" w:hAnsi="宋体" w:eastAsia="宋体" w:cs="宋体"/>
          <w:b/>
          <w:bCs/>
          <w:color w:val="000000" w:themeColor="text1"/>
          <w:spacing w:val="-1"/>
          <w:sz w:val="24"/>
          <w:szCs w:val="24"/>
          <w:highlight w:val="none"/>
          <w14:textFill>
            <w14:solidFill>
              <w14:schemeClr w14:val="tx1"/>
            </w14:solidFill>
          </w14:textFill>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95A3B9B">
      <w:pPr>
        <w:pageBreakBefore w:val="0"/>
        <w:kinsoku/>
        <w:wordWrap w:val="0"/>
        <w:overflowPunct/>
        <w:topLinePunct/>
        <w:bidi w:val="0"/>
        <w:spacing w:before="78" w:line="329" w:lineRule="auto"/>
        <w:ind w:right="263" w:firstLine="490" w:firstLineChars="200"/>
        <w:jc w:val="both"/>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定标候选人得分只作为评标委员会的推荐依据，不作为定标委员会对中标候选人排序的依据。当有效投标人数量不足5名但满足法定要求时，所有通过评审的有效投标人均应作为定标候选人。</w:t>
      </w:r>
    </w:p>
    <w:p w14:paraId="73245C47">
      <w:pPr>
        <w:pStyle w:val="5"/>
        <w:pageBreakBefore w:val="0"/>
        <w:kinsoku/>
        <w:wordWrap w:val="0"/>
        <w:overflowPunct/>
        <w:topLinePunct/>
        <w:bidi w:val="0"/>
        <w:spacing w:line="304" w:lineRule="auto"/>
        <w:rPr>
          <w:rFonts w:hint="eastAsia" w:ascii="宋体" w:hAnsi="宋体" w:eastAsia="宋体" w:cs="宋体"/>
          <w:color w:val="000000" w:themeColor="text1"/>
          <w:highlight w:val="none"/>
          <w14:textFill>
            <w14:solidFill>
              <w14:schemeClr w14:val="tx1"/>
            </w14:solidFill>
          </w14:textFill>
        </w:rPr>
      </w:pPr>
    </w:p>
    <w:p w14:paraId="18A6E035">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197B1B19">
      <w:pPr>
        <w:rPr>
          <w:rFonts w:hint="eastAsia" w:ascii="宋体" w:hAnsi="宋体" w:eastAsia="宋体" w:cs="宋体"/>
          <w:b/>
          <w:bCs/>
          <w:color w:val="000000" w:themeColor="text1"/>
          <w:spacing w:val="-6"/>
          <w:sz w:val="30"/>
          <w:szCs w:val="30"/>
          <w:highlight w:val="none"/>
          <w14:textFill>
            <w14:solidFill>
              <w14:schemeClr w14:val="tx1"/>
            </w14:solidFill>
          </w14:textFill>
        </w:rPr>
      </w:pPr>
      <w:bookmarkStart w:id="128" w:name="_Toc17375"/>
      <w:bookmarkStart w:id="129" w:name="_Toc3020"/>
      <w:bookmarkStart w:id="130" w:name="_Toc16801"/>
      <w:r>
        <w:rPr>
          <w:rFonts w:hint="eastAsia" w:ascii="宋体" w:hAnsi="宋体" w:eastAsia="宋体" w:cs="宋体"/>
          <w:b/>
          <w:bCs/>
          <w:color w:val="000000" w:themeColor="text1"/>
          <w:spacing w:val="-6"/>
          <w:sz w:val="30"/>
          <w:szCs w:val="30"/>
          <w:highlight w:val="none"/>
          <w14:textFill>
            <w14:solidFill>
              <w14:schemeClr w14:val="tx1"/>
            </w14:solidFill>
          </w14:textFill>
        </w:rPr>
        <w:br w:type="page"/>
      </w:r>
    </w:p>
    <w:p w14:paraId="00873757">
      <w:pPr>
        <w:pageBreakBefore w:val="0"/>
        <w:kinsoku/>
        <w:wordWrap w:val="0"/>
        <w:overflowPunct/>
        <w:topLinePunct/>
        <w:bidi w:val="0"/>
        <w:spacing w:before="98" w:line="221" w:lineRule="auto"/>
        <w:ind w:left="4248"/>
        <w:outlineLvl w:val="9"/>
        <w:rPr>
          <w:rFonts w:hint="eastAsia" w:ascii="宋体" w:hAnsi="宋体" w:eastAsia="宋体" w:cs="宋体"/>
          <w:b/>
          <w:bCs/>
          <w:color w:val="000000" w:themeColor="text1"/>
          <w:spacing w:val="-6"/>
          <w:sz w:val="30"/>
          <w:szCs w:val="30"/>
          <w:highlight w:val="none"/>
          <w14:textFill>
            <w14:solidFill>
              <w14:schemeClr w14:val="tx1"/>
            </w14:solidFill>
          </w14:textFill>
        </w:rPr>
      </w:pPr>
      <w:r>
        <w:rPr>
          <w:rFonts w:hint="eastAsia" w:ascii="宋体" w:hAnsi="宋体" w:eastAsia="宋体" w:cs="宋体"/>
          <w:b/>
          <w:bCs/>
          <w:color w:val="000000" w:themeColor="text1"/>
          <w:spacing w:val="-6"/>
          <w:sz w:val="30"/>
          <w:szCs w:val="30"/>
          <w:highlight w:val="none"/>
          <w14:textFill>
            <w14:solidFill>
              <w14:schemeClr w14:val="tx1"/>
            </w14:solidFill>
          </w14:textFill>
        </w:rPr>
        <w:t>综合评分表</w:t>
      </w:r>
      <w:bookmarkEnd w:id="128"/>
      <w:bookmarkEnd w:id="129"/>
      <w:bookmarkEnd w:id="130"/>
    </w:p>
    <w:tbl>
      <w:tblPr>
        <w:tblStyle w:val="14"/>
        <w:tblW w:w="9905" w:type="dxa"/>
        <w:jc w:val="center"/>
        <w:tblLayout w:type="fixed"/>
        <w:tblCellMar>
          <w:top w:w="0" w:type="dxa"/>
          <w:left w:w="108" w:type="dxa"/>
          <w:bottom w:w="0" w:type="dxa"/>
          <w:right w:w="108" w:type="dxa"/>
        </w:tblCellMar>
      </w:tblPr>
      <w:tblGrid>
        <w:gridCol w:w="1192"/>
        <w:gridCol w:w="2571"/>
        <w:gridCol w:w="1609"/>
        <w:gridCol w:w="4533"/>
      </w:tblGrid>
      <w:tr w14:paraId="0AB38BDB">
        <w:tblPrEx>
          <w:tblCellMar>
            <w:top w:w="0" w:type="dxa"/>
            <w:left w:w="108" w:type="dxa"/>
            <w:bottom w:w="0" w:type="dxa"/>
            <w:right w:w="108" w:type="dxa"/>
          </w:tblCellMar>
        </w:tblPrEx>
        <w:trPr>
          <w:trHeight w:val="487" w:hRule="exact"/>
          <w:jc w:val="center"/>
        </w:trPr>
        <w:tc>
          <w:tcPr>
            <w:tcW w:w="9905"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73E11BE9">
            <w:pPr>
              <w:keepNext w:val="0"/>
              <w:keepLines w:val="0"/>
              <w:widowControl w:val="0"/>
              <w:suppressLineNumbers w:val="0"/>
              <w:tabs>
                <w:tab w:val="left" w:pos="1354"/>
                <w:tab w:val="left" w:pos="1459"/>
                <w:tab w:val="center" w:pos="3902"/>
                <w:tab w:val="right" w:pos="7805"/>
              </w:tabs>
              <w:wordWrap w:val="0"/>
              <w:adjustRightInd w:val="0"/>
              <w:snapToGrid w:val="0"/>
              <w:spacing w:before="0" w:beforeAutospacing="0" w:after="0" w:afterAutospacing="0" w:line="360" w:lineRule="auto"/>
              <w:ind w:left="0" w:right="0"/>
              <w:jc w:val="both"/>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bookmarkStart w:id="131" w:name="_Toc5769"/>
            <w:bookmarkStart w:id="132" w:name="_Toc9725"/>
            <w:bookmarkStart w:id="133" w:name="_Toc31744"/>
            <w:bookmarkStart w:id="134" w:name="_Toc17436"/>
            <w:r>
              <w:rPr>
                <w:rFonts w:hint="eastAsia" w:ascii="宋体" w:hAnsi="宋体" w:eastAsia="宋体" w:cs="宋体"/>
                <w:b/>
                <w:bCs/>
                <w:snapToGrid w:val="0"/>
                <w:color w:val="000000" w:themeColor="text1"/>
                <w:kern w:val="0"/>
                <w:sz w:val="24"/>
                <w:szCs w:val="24"/>
                <w:highlight w:val="none"/>
                <w:lang w:val="en-US" w:eastAsia="zh-CN" w:bidi="ar-SA"/>
                <w14:textFill>
                  <w14:solidFill>
                    <w14:schemeClr w14:val="tx1"/>
                  </w14:solidFill>
                </w14:textFill>
              </w:rPr>
              <w:t>商务部分，满分：</w:t>
            </w:r>
            <w:r>
              <w:rPr>
                <w:rFonts w:hint="eastAsia" w:ascii="宋体" w:hAnsi="宋体" w:eastAsia="宋体" w:cs="宋体"/>
                <w:b/>
                <w:bCs/>
                <w:snapToGrid w:val="0"/>
                <w:color w:val="000000" w:themeColor="text1"/>
                <w:kern w:val="0"/>
                <w:sz w:val="24"/>
                <w:szCs w:val="24"/>
                <w:highlight w:val="none"/>
                <w:u w:val="single"/>
                <w:lang w:val="en-US" w:eastAsia="zh-CN" w:bidi="ar-SA"/>
                <w14:textFill>
                  <w14:solidFill>
                    <w14:schemeClr w14:val="tx1"/>
                  </w14:solidFill>
                </w14:textFill>
              </w:rPr>
              <w:t>80</w:t>
            </w:r>
            <w:r>
              <w:rPr>
                <w:rFonts w:hint="eastAsia" w:ascii="宋体" w:hAnsi="宋体" w:eastAsia="宋体" w:cs="宋体"/>
                <w:b/>
                <w:bCs/>
                <w:snapToGrid w:val="0"/>
                <w:color w:val="000000" w:themeColor="text1"/>
                <w:kern w:val="0"/>
                <w:sz w:val="24"/>
                <w:szCs w:val="24"/>
                <w:highlight w:val="none"/>
                <w:lang w:val="en-US" w:eastAsia="zh-CN" w:bidi="ar-SA"/>
                <w14:textFill>
                  <w14:solidFill>
                    <w14:schemeClr w14:val="tx1"/>
                  </w14:solidFill>
                </w14:textFill>
              </w:rPr>
              <w:t>分。</w:t>
            </w:r>
          </w:p>
        </w:tc>
      </w:tr>
      <w:tr w14:paraId="37541537">
        <w:tblPrEx>
          <w:tblCellMar>
            <w:top w:w="0" w:type="dxa"/>
            <w:left w:w="108" w:type="dxa"/>
            <w:bottom w:w="0" w:type="dxa"/>
            <w:right w:w="108" w:type="dxa"/>
          </w:tblCellMar>
        </w:tblPrEx>
        <w:trPr>
          <w:trHeight w:val="451" w:hRule="exac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1C9B33C9">
            <w:pPr>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评分因素</w:t>
            </w:r>
          </w:p>
        </w:tc>
        <w:tc>
          <w:tcPr>
            <w:tcW w:w="4180" w:type="dxa"/>
            <w:gridSpan w:val="2"/>
            <w:tcBorders>
              <w:top w:val="single" w:color="auto" w:sz="4" w:space="0"/>
              <w:left w:val="single" w:color="auto" w:sz="4" w:space="0"/>
              <w:bottom w:val="single" w:color="auto" w:sz="4" w:space="0"/>
              <w:right w:val="single" w:color="auto" w:sz="4" w:space="0"/>
            </w:tcBorders>
            <w:noWrap w:val="0"/>
            <w:vAlign w:val="center"/>
          </w:tcPr>
          <w:p w14:paraId="508B031C">
            <w:pPr>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评分标准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1040DF7B">
            <w:pPr>
              <w:keepNext w:val="0"/>
              <w:keepLines w:val="0"/>
              <w:pageBreakBefore w:val="0"/>
              <w:widowControl w:val="0"/>
              <w:suppressLineNumbers w:val="0"/>
              <w:tabs>
                <w:tab w:val="left" w:pos="1354"/>
                <w:tab w:val="left" w:pos="1459"/>
                <w:tab w:val="center" w:pos="3902"/>
                <w:tab w:val="right" w:pos="7805"/>
              </w:tabs>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备注</w:t>
            </w:r>
          </w:p>
        </w:tc>
      </w:tr>
      <w:tr w14:paraId="13015518">
        <w:tblPrEx>
          <w:tblCellMar>
            <w:top w:w="0" w:type="dxa"/>
            <w:left w:w="108" w:type="dxa"/>
            <w:bottom w:w="0" w:type="dxa"/>
            <w:right w:w="108" w:type="dxa"/>
          </w:tblCellMar>
        </w:tblPrEx>
        <w:trPr>
          <w:trHeight w:val="4526"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10C8D56E">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企业奖项</w:t>
            </w:r>
          </w:p>
          <w:p w14:paraId="60C66BA5">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180" w:type="dxa"/>
            <w:gridSpan w:val="2"/>
            <w:tcBorders>
              <w:top w:val="single" w:color="auto" w:sz="4" w:space="0"/>
              <w:left w:val="single" w:color="auto" w:sz="4" w:space="0"/>
              <w:bottom w:val="single" w:color="auto" w:sz="4" w:space="0"/>
              <w:right w:val="single" w:color="auto" w:sz="4" w:space="0"/>
            </w:tcBorders>
            <w:noWrap w:val="0"/>
            <w:vAlign w:val="center"/>
          </w:tcPr>
          <w:p w14:paraId="194E006A">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企业近</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年来（20</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年1月1日至</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今</w:t>
            </w:r>
            <w:r>
              <w:rPr>
                <w:rFonts w:hint="eastAsia" w:ascii="宋体" w:hAnsi="宋体" w:eastAsia="宋体" w:cs="宋体"/>
                <w:snapToGrid w:val="0"/>
                <w:color w:val="000000" w:themeColor="text1"/>
                <w:kern w:val="0"/>
                <w:sz w:val="24"/>
                <w:szCs w:val="24"/>
                <w:highlight w:val="none"/>
                <w14:textFill>
                  <w14:solidFill>
                    <w14:schemeClr w14:val="tx1"/>
                  </w14:solidFill>
                </w14:textFill>
              </w:rPr>
              <w:t>）获得</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工程类</w:t>
            </w:r>
            <w:r>
              <w:rPr>
                <w:rFonts w:hint="eastAsia" w:ascii="宋体" w:hAnsi="宋体" w:eastAsia="宋体" w:cs="宋体"/>
                <w:snapToGrid w:val="0"/>
                <w:color w:val="000000" w:themeColor="text1"/>
                <w:kern w:val="0"/>
                <w:sz w:val="24"/>
                <w:szCs w:val="24"/>
                <w:highlight w:val="none"/>
                <w14:textFill>
                  <w14:solidFill>
                    <w14:schemeClr w14:val="tx1"/>
                  </w14:solidFill>
                </w14:textFill>
              </w:rPr>
              <w:t>奖项情况：</w:t>
            </w:r>
          </w:p>
          <w:p w14:paraId="2725A9A7">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1．获得国家级奖项的，每个得</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00300BD1">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2．获得省级奖项的，每个得</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46328A97">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3．获得地市级奖项的，每个得</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7AFC9CCE">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4．以上奖项均未获得的，不予计分。</w:t>
            </w:r>
          </w:p>
          <w:p w14:paraId="5349DEE8">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5．本项最高得10分。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6CC94356">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trike/>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1．允许投标人提交多个业绩，但同一业绩只按最高级别奖项计分一次。</w:t>
            </w:r>
          </w:p>
          <w:p w14:paraId="6C379B8F">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2．需附有关奖项证明</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彩色</w:t>
            </w:r>
            <w:r>
              <w:rPr>
                <w:rFonts w:hint="eastAsia" w:ascii="宋体" w:hAnsi="宋体" w:eastAsia="宋体" w:cs="宋体"/>
                <w:snapToGrid w:val="0"/>
                <w:color w:val="000000" w:themeColor="text1"/>
                <w:kern w:val="0"/>
                <w:sz w:val="24"/>
                <w:szCs w:val="24"/>
                <w:highlight w:val="none"/>
                <w14:textFill>
                  <w14:solidFill>
                    <w14:schemeClr w14:val="tx1"/>
                  </w14:solidFill>
                </w14:textFill>
              </w:rPr>
              <w:t>扫描件。</w:t>
            </w:r>
          </w:p>
          <w:p w14:paraId="4CED4A48">
            <w:pPr>
              <w:keepNext w:val="0"/>
              <w:keepLines w:val="0"/>
              <w:pageBreakBefore w:val="0"/>
              <w:tabs>
                <w:tab w:val="left" w:pos="3654"/>
              </w:tabs>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3．颁发机构限定以下范围：</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ab/>
            </w:r>
          </w:p>
          <w:p w14:paraId="10FD4B65">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①国家级奖项：</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国务院、住建部、中国建筑业协会</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中国市政工程协会、中国土木工程学会、中国施工企业管理协会</w:t>
            </w:r>
            <w:r>
              <w:rPr>
                <w:rFonts w:hint="eastAsia" w:ascii="宋体" w:hAnsi="宋体" w:eastAsia="宋体" w:cs="宋体"/>
                <w:snapToGrid w:val="0"/>
                <w:color w:val="000000" w:themeColor="text1"/>
                <w:kern w:val="0"/>
                <w:sz w:val="24"/>
                <w:szCs w:val="24"/>
                <w:highlight w:val="none"/>
                <w14:textFill>
                  <w14:solidFill>
                    <w14:schemeClr w14:val="tx1"/>
                  </w14:solidFill>
                </w14:textFill>
              </w:rPr>
              <w:t>；（相关协会需经民政部门备案）</w:t>
            </w:r>
          </w:p>
          <w:p w14:paraId="2CB47814">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②省级奖项：</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省级人民政府、省级住建部门、省级建筑业协会</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省级人民政府、省级市政行业协会</w:t>
            </w:r>
            <w:r>
              <w:rPr>
                <w:rFonts w:hint="eastAsia" w:ascii="宋体" w:hAnsi="宋体" w:eastAsia="宋体" w:cs="宋体"/>
                <w:snapToGrid w:val="0"/>
                <w:color w:val="000000" w:themeColor="text1"/>
                <w:kern w:val="0"/>
                <w:sz w:val="24"/>
                <w:szCs w:val="24"/>
                <w:highlight w:val="none"/>
                <w14:textFill>
                  <w14:solidFill>
                    <w14:schemeClr w14:val="tx1"/>
                  </w14:solidFill>
                </w14:textFill>
              </w:rPr>
              <w:t>；（相关协会需经民政部门备案）</w:t>
            </w:r>
          </w:p>
          <w:p w14:paraId="5B622808">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③地市级奖项：</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地市级人民政府、地市级住建部门、地市级建筑协会</w:t>
            </w:r>
            <w:r>
              <w:rPr>
                <w:rFonts w:hint="eastAsia" w:ascii="宋体" w:hAnsi="宋体" w:eastAsia="宋体" w:cs="宋体"/>
                <w:snapToGrid w:val="0"/>
                <w:color w:val="000000" w:themeColor="text1"/>
                <w:kern w:val="0"/>
                <w:sz w:val="24"/>
                <w:szCs w:val="24"/>
                <w:highlight w:val="none"/>
                <w:u w:val="singl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地市级市政行业协会、地市级建筑业联合会</w:t>
            </w:r>
            <w:r>
              <w:rPr>
                <w:rFonts w:hint="eastAsia" w:ascii="宋体" w:hAnsi="宋体" w:eastAsia="宋体" w:cs="宋体"/>
                <w:snapToGrid w:val="0"/>
                <w:color w:val="000000" w:themeColor="text1"/>
                <w:kern w:val="0"/>
                <w:sz w:val="24"/>
                <w:szCs w:val="24"/>
                <w:highlight w:val="none"/>
                <w14:textFill>
                  <w14:solidFill>
                    <w14:schemeClr w14:val="tx1"/>
                  </w14:solidFill>
                </w14:textFill>
              </w:rPr>
              <w:t>。（相关协会需经民政部门备案）</w:t>
            </w:r>
          </w:p>
          <w:p w14:paraId="5FD8F4DE">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4．获奖时间以奖项证明的落款日期为准。</w:t>
            </w:r>
          </w:p>
          <w:p w14:paraId="74F69F40">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5．任一奖项有以下情形之一的，该奖项视为无效，不予计分：</w:t>
            </w:r>
          </w:p>
          <w:p w14:paraId="5F5DCF40">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①奖项不属于指定类别的；</w:t>
            </w:r>
          </w:p>
          <w:p w14:paraId="2AB29B3D">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②颁发机构不符合要求的；</w:t>
            </w:r>
          </w:p>
          <w:p w14:paraId="0E6C942E">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③获奖时间不符合要求的。</w:t>
            </w:r>
          </w:p>
          <w:p w14:paraId="22472B4D">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b w:val="0"/>
                <w:bCs w:val="0"/>
                <w:i w:val="0"/>
                <w:i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说明：以上所称“要求”均指本表评分标准及备注的要求，下同。</w:t>
            </w:r>
          </w:p>
        </w:tc>
      </w:tr>
      <w:tr w14:paraId="0D77F511">
        <w:tblPrEx>
          <w:tblCellMar>
            <w:top w:w="0" w:type="dxa"/>
            <w:left w:w="108" w:type="dxa"/>
            <w:bottom w:w="0" w:type="dxa"/>
            <w:right w:w="108" w:type="dxa"/>
          </w:tblCellMar>
        </w:tblPrEx>
        <w:trPr>
          <w:trHeight w:val="1304"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77143B23">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项目经理</w:t>
            </w:r>
          </w:p>
          <w:p w14:paraId="01812435">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综合素质</w:t>
            </w:r>
          </w:p>
          <w:p w14:paraId="1A78931D">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180" w:type="dxa"/>
            <w:gridSpan w:val="2"/>
            <w:tcBorders>
              <w:top w:val="single" w:color="auto" w:sz="4" w:space="0"/>
              <w:left w:val="single" w:color="auto" w:sz="4" w:space="0"/>
              <w:bottom w:val="single" w:color="auto" w:sz="4" w:space="0"/>
              <w:right w:val="single" w:color="auto" w:sz="4" w:space="0"/>
            </w:tcBorders>
            <w:noWrap w:val="0"/>
            <w:vAlign w:val="center"/>
          </w:tcPr>
          <w:p w14:paraId="5B48751A">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项目经理工程类技术职称情况：</w:t>
            </w:r>
          </w:p>
          <w:p w14:paraId="608E45DB">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1.具备工程师</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或以上</w:t>
            </w:r>
            <w:r>
              <w:rPr>
                <w:rFonts w:hint="eastAsia" w:ascii="宋体" w:hAnsi="宋体" w:eastAsia="宋体" w:cs="宋体"/>
                <w:snapToGrid w:val="0"/>
                <w:color w:val="000000" w:themeColor="text1"/>
                <w:kern w:val="0"/>
                <w:sz w:val="24"/>
                <w:szCs w:val="24"/>
                <w:highlight w:val="none"/>
                <w14:textFill>
                  <w14:solidFill>
                    <w14:schemeClr w14:val="tx1"/>
                  </w14:solidFill>
                </w14:textFill>
              </w:rPr>
              <w:t>职称的，得</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71B72B40">
            <w:pPr>
              <w:keepNext w:val="0"/>
              <w:keepLines w:val="0"/>
              <w:pageBreakBefore w:val="0"/>
              <w:tabs>
                <w:tab w:val="left" w:pos="312"/>
              </w:tabs>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2.具备助理工程师职称的，得</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0C8A8D27">
            <w:pPr>
              <w:keepNext w:val="0"/>
              <w:keepLines w:val="0"/>
              <w:pageBreakBefore w:val="0"/>
              <w:tabs>
                <w:tab w:val="left" w:pos="312"/>
              </w:tabs>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3.不具备以上职称的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或未提供职称证书扫描件的，</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不予计分。</w:t>
            </w:r>
          </w:p>
          <w:p w14:paraId="0D6406D4">
            <w:pPr>
              <w:keepNext w:val="0"/>
              <w:keepLines w:val="0"/>
              <w:pageBreakBefore w:val="0"/>
              <w:tabs>
                <w:tab w:val="left" w:pos="312"/>
              </w:tabs>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本项最高得10分。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0A7C0232">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需附职称证</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彩色</w:t>
            </w:r>
            <w:r>
              <w:rPr>
                <w:rFonts w:hint="eastAsia" w:ascii="宋体" w:hAnsi="宋体" w:eastAsia="宋体" w:cs="宋体"/>
                <w:snapToGrid w:val="0"/>
                <w:color w:val="000000" w:themeColor="text1"/>
                <w:kern w:val="0"/>
                <w:sz w:val="24"/>
                <w:szCs w:val="24"/>
                <w:highlight w:val="none"/>
                <w14:textFill>
                  <w14:solidFill>
                    <w14:schemeClr w14:val="tx1"/>
                  </w14:solidFill>
                </w14:textFill>
              </w:rPr>
              <w:t>扫描件。</w:t>
            </w:r>
          </w:p>
        </w:tc>
      </w:tr>
      <w:tr w14:paraId="2ADD9D7A">
        <w:tblPrEx>
          <w:tblCellMar>
            <w:top w:w="0" w:type="dxa"/>
            <w:left w:w="108" w:type="dxa"/>
            <w:bottom w:w="0" w:type="dxa"/>
            <w:right w:w="108" w:type="dxa"/>
          </w:tblCellMar>
        </w:tblPrEx>
        <w:trPr>
          <w:trHeight w:val="115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12B112F3">
            <w:pPr>
              <w:pStyle w:val="5"/>
              <w:keepNext w:val="0"/>
              <w:keepLines w:val="0"/>
              <w:pageBreakBefore w:val="0"/>
              <w:widowControl/>
              <w:kinsoku/>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企业业绩（10分）</w:t>
            </w:r>
          </w:p>
        </w:tc>
        <w:tc>
          <w:tcPr>
            <w:tcW w:w="4180" w:type="dxa"/>
            <w:gridSpan w:val="2"/>
            <w:tcBorders>
              <w:top w:val="single" w:color="auto" w:sz="4" w:space="0"/>
              <w:left w:val="single" w:color="auto" w:sz="4" w:space="0"/>
              <w:bottom w:val="single" w:color="auto" w:sz="4" w:space="0"/>
              <w:right w:val="single" w:color="auto" w:sz="4" w:space="0"/>
            </w:tcBorders>
            <w:noWrap w:val="0"/>
            <w:vAlign w:val="center"/>
          </w:tcPr>
          <w:p w14:paraId="4167C7A7">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企业近</w:t>
            </w:r>
            <w:r>
              <w:rPr>
                <w:rFonts w:hint="eastAsia" w:ascii="宋体" w:hAnsi="宋体" w:eastAsia="宋体" w:cs="宋体"/>
                <w:b w:val="0"/>
                <w:bCs w:val="0"/>
                <w:snapToGrid w:val="0"/>
                <w:color w:val="000000" w:themeColor="text1"/>
                <w:kern w:val="0"/>
                <w:sz w:val="24"/>
                <w:szCs w:val="24"/>
                <w:highlight w:val="none"/>
                <w:u w:val="single"/>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年来（20</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年1月1日至</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今</w:t>
            </w:r>
            <w:r>
              <w:rPr>
                <w:rFonts w:hint="eastAsia" w:ascii="宋体" w:hAnsi="宋体" w:eastAsia="宋体" w:cs="宋体"/>
                <w:snapToGrid w:val="0"/>
                <w:color w:val="000000" w:themeColor="text1"/>
                <w:kern w:val="0"/>
                <w:sz w:val="24"/>
                <w:szCs w:val="24"/>
                <w:highlight w:val="none"/>
                <w14:textFill>
                  <w14:solidFill>
                    <w14:schemeClr w14:val="tx1"/>
                  </w14:solidFill>
                </w14:textFill>
              </w:rPr>
              <w:t>）业绩情况：</w:t>
            </w:r>
          </w:p>
          <w:p w14:paraId="5CA502D3">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承接</w:t>
            </w:r>
            <w:r>
              <w:rPr>
                <w:rFonts w:hint="eastAsia" w:ascii="宋体" w:hAnsi="宋体" w:eastAsia="宋体" w:cs="宋体"/>
                <w:snapToGrid w:val="0"/>
                <w:color w:val="000000" w:themeColor="text1"/>
                <w:kern w:val="0"/>
                <w:sz w:val="24"/>
                <w:szCs w:val="24"/>
                <w:highlight w:val="none"/>
                <w14:textFill>
                  <w14:solidFill>
                    <w14:schemeClr w14:val="tx1"/>
                  </w14:solidFill>
                </w14:textFill>
              </w:rPr>
              <w:t>过类似工程的，每个得</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6AE1858E">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2．未</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承接</w:t>
            </w:r>
            <w:r>
              <w:rPr>
                <w:rFonts w:hint="eastAsia" w:ascii="宋体" w:hAnsi="宋体" w:eastAsia="宋体" w:cs="宋体"/>
                <w:snapToGrid w:val="0"/>
                <w:color w:val="000000" w:themeColor="text1"/>
                <w:kern w:val="0"/>
                <w:sz w:val="24"/>
                <w:szCs w:val="24"/>
                <w:highlight w:val="none"/>
                <w14:textFill>
                  <w14:solidFill>
                    <w14:schemeClr w14:val="tx1"/>
                  </w14:solidFill>
                </w14:textFill>
              </w:rPr>
              <w:t>过类似工程的，不予计分。</w:t>
            </w:r>
          </w:p>
          <w:p w14:paraId="2A69C352">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3．本项最高得10分。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31A6BB77">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1．类似工程指：</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市政类</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工程</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66BEE6DF">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trike/>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2．需附有关业绩合同协议书关键页</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彩色</w:t>
            </w:r>
            <w:r>
              <w:rPr>
                <w:rFonts w:hint="eastAsia" w:ascii="宋体" w:hAnsi="宋体" w:eastAsia="宋体" w:cs="宋体"/>
                <w:snapToGrid w:val="0"/>
                <w:color w:val="000000" w:themeColor="text1"/>
                <w:kern w:val="0"/>
                <w:sz w:val="24"/>
                <w:szCs w:val="24"/>
                <w:highlight w:val="none"/>
                <w14:textFill>
                  <w14:solidFill>
                    <w14:schemeClr w14:val="tx1"/>
                  </w14:solidFill>
                </w14:textFill>
              </w:rPr>
              <w:t>扫描件。</w:t>
            </w:r>
          </w:p>
          <w:p w14:paraId="171271FF">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3．业绩时间以合同协议书日期为准。</w:t>
            </w:r>
          </w:p>
          <w:p w14:paraId="01487826">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4．任一业绩有以下情形之一的，该业绩视为无效，不予计分：</w:t>
            </w:r>
          </w:p>
          <w:p w14:paraId="782C30A7">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①业绩不属于类似工程的；</w:t>
            </w:r>
          </w:p>
          <w:p w14:paraId="57699317">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②业绩时间不符合要求的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tc>
      </w:tr>
      <w:tr w14:paraId="280A6941">
        <w:tblPrEx>
          <w:tblCellMar>
            <w:top w:w="0" w:type="dxa"/>
            <w:left w:w="108" w:type="dxa"/>
            <w:bottom w:w="0" w:type="dxa"/>
            <w:right w:w="108" w:type="dxa"/>
          </w:tblCellMar>
        </w:tblPrEx>
        <w:trPr>
          <w:trHeight w:val="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1CA5C654">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企业银行</w:t>
            </w:r>
          </w:p>
          <w:p w14:paraId="2E15800C">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资信评级</w:t>
            </w:r>
          </w:p>
          <w:p w14:paraId="2E8B6B1D">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10</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180" w:type="dxa"/>
            <w:gridSpan w:val="2"/>
            <w:tcBorders>
              <w:top w:val="single" w:color="auto" w:sz="4" w:space="0"/>
              <w:left w:val="single" w:color="auto" w:sz="4" w:space="0"/>
              <w:bottom w:val="single" w:color="auto" w:sz="4" w:space="0"/>
              <w:right w:val="single" w:color="auto" w:sz="4" w:space="0"/>
            </w:tcBorders>
            <w:noWrap w:val="0"/>
            <w:vAlign w:val="center"/>
          </w:tcPr>
          <w:p w14:paraId="6381ACF1">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textAlignment w:val="auto"/>
              <w:rPr>
                <w:rFonts w:hint="eastAsia" w:ascii="宋体" w:hAnsi="宋体" w:eastAsia="宋体" w:cs="宋体"/>
                <w:snapToGrid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
                <w14:textFill>
                  <w14:solidFill>
                    <w14:schemeClr w14:val="tx1"/>
                  </w14:solidFill>
                </w14:textFill>
              </w:rPr>
              <w:t>1.银行资信评级AAA的，得10分；</w:t>
            </w:r>
          </w:p>
          <w:p w14:paraId="49570E81">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textAlignment w:val="auto"/>
              <w:rPr>
                <w:rFonts w:hint="eastAsia" w:ascii="宋体" w:hAnsi="宋体" w:eastAsia="宋体" w:cs="宋体"/>
                <w:snapToGrid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
                <w14:textFill>
                  <w14:solidFill>
                    <w14:schemeClr w14:val="tx1"/>
                  </w14:solidFill>
                </w14:textFill>
              </w:rPr>
              <w:t>2.银行资信评级AA(含AA+、AA-)的，得5分。</w:t>
            </w:r>
          </w:p>
          <w:p w14:paraId="1E710F4B">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textAlignment w:val="auto"/>
              <w:rPr>
                <w:rFonts w:hint="eastAsia" w:ascii="宋体" w:hAnsi="宋体" w:eastAsia="宋体" w:cs="宋体"/>
                <w:snapToGrid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
                <w14:textFill>
                  <w14:solidFill>
                    <w14:schemeClr w14:val="tx1"/>
                  </w14:solidFill>
                </w14:textFill>
              </w:rPr>
              <w:t>3．银行资信评级A(含A+、A-)得3分。</w:t>
            </w:r>
          </w:p>
          <w:p w14:paraId="4D8F93E3">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textAlignment w:val="auto"/>
              <w:rPr>
                <w:rFonts w:hint="eastAsia" w:ascii="宋体" w:hAnsi="宋体" w:eastAsia="宋体" w:cs="宋体"/>
                <w:snapToGrid w:val="0"/>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
                <w14:textFill>
                  <w14:solidFill>
                    <w14:schemeClr w14:val="tx1"/>
                  </w14:solidFill>
                </w14:textFill>
              </w:rPr>
              <w:t>3．未获得过以上评级的，或评级证书（证明）无效的，不予计分。</w:t>
            </w:r>
          </w:p>
          <w:p w14:paraId="5E2610E7">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textAlignment w:val="auto"/>
              <w:rPr>
                <w:rFonts w:hint="eastAsia" w:ascii="宋体" w:hAnsi="宋体" w:eastAsia="宋体" w:cs="宋体"/>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
                <w14:textFill>
                  <w14:solidFill>
                    <w14:schemeClr w14:val="tx1"/>
                  </w14:solidFill>
                </w14:textFill>
              </w:rPr>
              <w:t>4.本项最高得10分。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4B995AD9">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1．需附在有效期内的资信评级证书（证明）</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彩色</w:t>
            </w:r>
            <w:r>
              <w:rPr>
                <w:rFonts w:hint="eastAsia" w:ascii="宋体" w:hAnsi="宋体" w:eastAsia="宋体" w:cs="宋体"/>
                <w:snapToGrid w:val="0"/>
                <w:color w:val="000000" w:themeColor="text1"/>
                <w:kern w:val="0"/>
                <w:sz w:val="24"/>
                <w:szCs w:val="24"/>
                <w:highlight w:val="none"/>
                <w14:textFill>
                  <w14:solidFill>
                    <w14:schemeClr w14:val="tx1"/>
                  </w14:solidFill>
                </w14:textFill>
              </w:rPr>
              <w:t>扫描件。</w:t>
            </w:r>
          </w:p>
          <w:p w14:paraId="0770E919">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2．评级证书（证明）须由</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企业基本账户开户银行/</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市级或以</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上</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金融机构</w:t>
            </w:r>
            <w:r>
              <w:rPr>
                <w:rFonts w:hint="eastAsia" w:ascii="宋体" w:hAnsi="宋体" w:eastAsia="宋体" w:cs="宋体"/>
                <w:snapToGrid w:val="0"/>
                <w:color w:val="000000" w:themeColor="text1"/>
                <w:kern w:val="0"/>
                <w:sz w:val="24"/>
                <w:szCs w:val="24"/>
                <w:highlight w:val="none"/>
                <w14:textFill>
                  <w14:solidFill>
                    <w14:schemeClr w14:val="tx1"/>
                  </w14:solidFill>
                </w14:textFill>
              </w:rPr>
              <w:t>出具。</w:t>
            </w:r>
          </w:p>
          <w:p w14:paraId="63840EFB">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3．评级证书（证明）有以下情形之一的，视为无效：</w:t>
            </w:r>
          </w:p>
          <w:p w14:paraId="3AC32C45">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①评级证书（证明）不在有效期内的；</w:t>
            </w:r>
          </w:p>
          <w:p w14:paraId="65B36318">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b w:val="0"/>
                <w:bCs w:val="0"/>
                <w:color w:val="000000" w:themeColor="text1"/>
                <w:kern w:val="0"/>
                <w:sz w:val="24"/>
                <w:szCs w:val="24"/>
                <w:highlight w:val="none"/>
                <w:u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②出具机构不符合要求的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tc>
      </w:tr>
      <w:tr w14:paraId="04475B10">
        <w:tblPrEx>
          <w:tblCellMar>
            <w:top w:w="0" w:type="dxa"/>
            <w:left w:w="108" w:type="dxa"/>
            <w:bottom w:w="0" w:type="dxa"/>
            <w:right w:w="108" w:type="dxa"/>
          </w:tblCellMar>
        </w:tblPrEx>
        <w:trPr>
          <w:trHeight w:val="162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0B1E09AD">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eastAsia="zh-CN" w:bidi="ar"/>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eastAsia="zh-CN" w:bidi="ar"/>
                <w14:textFill>
                  <w14:solidFill>
                    <w14:schemeClr w14:val="tx1"/>
                  </w14:solidFill>
                </w14:textFill>
              </w:rPr>
              <w:t>企业管理</w:t>
            </w:r>
          </w:p>
          <w:p w14:paraId="0D3A1517">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aps w:val="0"/>
                <w:smallCaps w:val="0"/>
                <w:snapToGrid w:val="0"/>
                <w:color w:val="000000" w:themeColor="text1"/>
                <w:spacing w:val="0"/>
                <w:kern w:val="0"/>
                <w:sz w:val="24"/>
                <w:szCs w:val="24"/>
                <w:highlight w:val="none"/>
                <w:lang w:eastAsia="zh-CN" w:bidi="ar"/>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eastAsia="zh-CN" w:bidi="ar"/>
                <w14:textFill>
                  <w14:solidFill>
                    <w14:schemeClr w14:val="tx1"/>
                  </w14:solidFill>
                </w14:textFill>
              </w:rPr>
              <w:t>体系认证</w:t>
            </w:r>
          </w:p>
          <w:p w14:paraId="4472C624">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aps w:val="0"/>
                <w:smallCaps w:val="0"/>
                <w:snapToGrid w:val="0"/>
                <w:color w:val="000000" w:themeColor="text1"/>
                <w:spacing w:val="0"/>
                <w:kern w:val="0"/>
                <w:sz w:val="24"/>
                <w:szCs w:val="24"/>
                <w:highlight w:val="none"/>
                <w:lang w:eastAsia="zh-CN" w:bidi="ar"/>
                <w14:textFill>
                  <w14:solidFill>
                    <w14:schemeClr w14:val="tx1"/>
                  </w14:solidFill>
                </w14:textFill>
              </w:rPr>
              <w:t>（</w:t>
            </w:r>
            <w:r>
              <w:rPr>
                <w:rFonts w:hint="eastAsia" w:ascii="宋体" w:hAnsi="宋体" w:eastAsia="宋体" w:cs="宋体"/>
                <w:b w:val="0"/>
                <w:bCs w:val="0"/>
                <w:caps w:val="0"/>
                <w:smallCaps w:val="0"/>
                <w:snapToGrid w:val="0"/>
                <w:color w:val="000000" w:themeColor="text1"/>
                <w:spacing w:val="0"/>
                <w:kern w:val="0"/>
                <w:sz w:val="24"/>
                <w:szCs w:val="24"/>
                <w:highlight w:val="none"/>
                <w:lang w:val="en-US" w:eastAsia="zh-CN" w:bidi="ar"/>
                <w14:textFill>
                  <w14:solidFill>
                    <w14:schemeClr w14:val="tx1"/>
                  </w14:solidFill>
                </w14:textFill>
              </w:rPr>
              <w:t>6</w:t>
            </w:r>
            <w:r>
              <w:rPr>
                <w:rFonts w:hint="eastAsia" w:ascii="宋体" w:hAnsi="宋体" w:eastAsia="宋体" w:cs="宋体"/>
                <w:b w:val="0"/>
                <w:bCs w:val="0"/>
                <w:caps w:val="0"/>
                <w:smallCaps w:val="0"/>
                <w:snapToGrid w:val="0"/>
                <w:color w:val="000000" w:themeColor="text1"/>
                <w:spacing w:val="0"/>
                <w:kern w:val="0"/>
                <w:sz w:val="24"/>
                <w:szCs w:val="24"/>
                <w:highlight w:val="none"/>
                <w:lang w:bidi="ar"/>
                <w14:textFill>
                  <w14:solidFill>
                    <w14:schemeClr w14:val="tx1"/>
                  </w14:solidFill>
                </w14:textFill>
              </w:rPr>
              <w:t>分</w:t>
            </w:r>
            <w:r>
              <w:rPr>
                <w:rFonts w:hint="eastAsia" w:ascii="宋体" w:hAnsi="宋体" w:eastAsia="宋体" w:cs="宋体"/>
                <w:caps w:val="0"/>
                <w:smallCaps w:val="0"/>
                <w:snapToGrid w:val="0"/>
                <w:color w:val="000000" w:themeColor="text1"/>
                <w:spacing w:val="0"/>
                <w:kern w:val="0"/>
                <w:sz w:val="24"/>
                <w:szCs w:val="24"/>
                <w:highlight w:val="none"/>
                <w:lang w:eastAsia="zh-CN" w:bidi="ar"/>
                <w14:textFill>
                  <w14:solidFill>
                    <w14:schemeClr w14:val="tx1"/>
                  </w14:solidFill>
                </w14:textFill>
              </w:rPr>
              <w:t>）</w:t>
            </w:r>
          </w:p>
        </w:tc>
        <w:tc>
          <w:tcPr>
            <w:tcW w:w="4180" w:type="dxa"/>
            <w:gridSpan w:val="2"/>
            <w:tcBorders>
              <w:top w:val="single" w:color="auto" w:sz="4" w:space="0"/>
              <w:left w:val="single" w:color="auto" w:sz="4" w:space="0"/>
              <w:bottom w:val="single" w:color="auto" w:sz="4" w:space="0"/>
              <w:right w:val="single" w:color="auto" w:sz="4" w:space="0"/>
            </w:tcBorders>
            <w:noWrap w:val="0"/>
            <w:vAlign w:val="center"/>
          </w:tcPr>
          <w:p w14:paraId="432A7AAE">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lang w:bidi="ar"/>
                <w14:textFill>
                  <w14:solidFill>
                    <w14:schemeClr w14:val="tx1"/>
                  </w14:solidFill>
                </w14:textFill>
              </w:rPr>
              <w:t>质量管理体系认证证书、职业健康安全管理体系认证证书、环境管理体系认证证书中，每获得1项认证</w:t>
            </w:r>
            <w:r>
              <w:rPr>
                <w:rFonts w:hint="eastAsia" w:ascii="宋体" w:hAnsi="宋体" w:eastAsia="宋体" w:cs="宋体"/>
                <w:snapToGrid w:val="0"/>
                <w:color w:val="000000" w:themeColor="text1"/>
                <w:kern w:val="0"/>
                <w:sz w:val="24"/>
                <w:szCs w:val="24"/>
                <w:highlight w:val="none"/>
                <w14:textFill>
                  <w14:solidFill>
                    <w14:schemeClr w14:val="tx1"/>
                  </w14:solidFill>
                </w14:textFill>
              </w:rPr>
              <w:t>得</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分，最高得</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p w14:paraId="74E669FD">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2．未获得以上认证的，不予计分。</w:t>
            </w:r>
          </w:p>
          <w:p w14:paraId="2DB30785">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14:textFill>
                  <w14:solidFill>
                    <w14:schemeClr w14:val="tx1"/>
                  </w14:solidFill>
                </w14:textFill>
              </w:rPr>
              <w:t>本项最高得</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67BDACB8">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1．需附在有效期内的认证证书</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彩色</w:t>
            </w:r>
            <w:r>
              <w:rPr>
                <w:rFonts w:hint="eastAsia" w:ascii="宋体" w:hAnsi="宋体" w:eastAsia="宋体" w:cs="宋体"/>
                <w:snapToGrid w:val="0"/>
                <w:color w:val="000000" w:themeColor="text1"/>
                <w:kern w:val="0"/>
                <w:sz w:val="24"/>
                <w:szCs w:val="24"/>
                <w:highlight w:val="none"/>
                <w14:textFill>
                  <w14:solidFill>
                    <w14:schemeClr w14:val="tx1"/>
                  </w14:solidFill>
                </w14:textFill>
              </w:rPr>
              <w:t>扫描件。</w:t>
            </w:r>
          </w:p>
          <w:p w14:paraId="7C0B8AE0">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2．任一认证证书有以下情形之一的，该认证证书视为无效，不予计分：</w:t>
            </w:r>
          </w:p>
          <w:p w14:paraId="717F9408">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b w:val="0"/>
                <w:bCs w:val="0"/>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①认证证书不在有效期内的。</w:t>
            </w:r>
          </w:p>
        </w:tc>
      </w:tr>
      <w:tr w14:paraId="7C7F1F94">
        <w:tblPrEx>
          <w:tblCellMar>
            <w:top w:w="0" w:type="dxa"/>
            <w:left w:w="108" w:type="dxa"/>
            <w:bottom w:w="0" w:type="dxa"/>
            <w:right w:w="108" w:type="dxa"/>
          </w:tblCellMar>
        </w:tblPrEx>
        <w:trPr>
          <w:trHeight w:val="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63A84A4C">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napToGrid w:val="0"/>
                <w:color w:val="000000" w:themeColor="text1"/>
                <w:kern w:val="0"/>
                <w:sz w:val="24"/>
                <w:szCs w:val="24"/>
                <w:highlight w:val="none"/>
                <w:lang w:bidi="ar"/>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bidi="ar"/>
                <w14:textFill>
                  <w14:solidFill>
                    <w14:schemeClr w14:val="tx1"/>
                  </w14:solidFill>
                </w14:textFill>
              </w:rPr>
              <w:t>企业</w:t>
            </w:r>
          </w:p>
          <w:p w14:paraId="75E75960">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ind w:firstLine="0" w:firstLineChars="0"/>
              <w:jc w:val="center"/>
              <w:textAlignment w:val="auto"/>
              <w:rPr>
                <w:rFonts w:hint="eastAsia" w:ascii="宋体" w:hAnsi="宋体" w:eastAsia="宋体" w:cs="宋体"/>
                <w:strike/>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bidi="ar"/>
                <w14:textFill>
                  <w14:solidFill>
                    <w14:schemeClr w14:val="tx1"/>
                  </w14:solidFill>
                </w14:textFill>
              </w:rPr>
              <w:t>财务状况</w:t>
            </w:r>
          </w:p>
          <w:p w14:paraId="2887530D">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bidi="ar"/>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bidi="ar"/>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lang w:bidi="ar"/>
                <w14:textFill>
                  <w14:solidFill>
                    <w14:schemeClr w14:val="tx1"/>
                  </w14:solidFill>
                </w14:textFill>
              </w:rPr>
              <w:t>分）</w:t>
            </w:r>
          </w:p>
        </w:tc>
        <w:tc>
          <w:tcPr>
            <w:tcW w:w="4180" w:type="dxa"/>
            <w:gridSpan w:val="2"/>
            <w:tcBorders>
              <w:top w:val="single" w:color="auto" w:sz="4" w:space="0"/>
              <w:left w:val="single" w:color="auto" w:sz="4" w:space="0"/>
              <w:bottom w:val="single" w:color="auto" w:sz="4" w:space="0"/>
              <w:right w:val="single" w:color="auto" w:sz="4" w:space="0"/>
            </w:tcBorders>
            <w:noWrap w:val="0"/>
            <w:vAlign w:val="center"/>
          </w:tcPr>
          <w:p w14:paraId="4B549681">
            <w:pPr>
              <w:keepNext w:val="0"/>
              <w:keepLines w:val="0"/>
              <w:pageBreakBefore w:val="0"/>
              <w:numPr>
                <w:ilvl w:val="0"/>
                <w:numId w:val="0"/>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提供不少于</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200</w:t>
            </w:r>
            <w:r>
              <w:rPr>
                <w:rFonts w:hint="eastAsia" w:ascii="宋体" w:hAnsi="宋体" w:eastAsia="宋体" w:cs="宋体"/>
                <w:snapToGrid w:val="0"/>
                <w:color w:val="000000" w:themeColor="text1"/>
                <w:kern w:val="0"/>
                <w:sz w:val="24"/>
                <w:szCs w:val="24"/>
                <w:highlight w:val="none"/>
                <w14:textFill>
                  <w14:solidFill>
                    <w14:schemeClr w14:val="tx1"/>
                  </w14:solidFill>
                </w14:textFill>
              </w:rPr>
              <w:t>万元银行授信</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或贷款余额</w:t>
            </w:r>
            <w:r>
              <w:rPr>
                <w:rFonts w:hint="eastAsia" w:ascii="宋体" w:hAnsi="宋体" w:eastAsia="宋体" w:cs="宋体"/>
                <w:snapToGrid w:val="0"/>
                <w:color w:val="000000" w:themeColor="text1"/>
                <w:kern w:val="0"/>
                <w:sz w:val="24"/>
                <w:szCs w:val="24"/>
                <w:highlight w:val="none"/>
                <w14:textFill>
                  <w14:solidFill>
                    <w14:schemeClr w14:val="tx1"/>
                  </w14:solidFill>
                </w14:textFill>
              </w:rPr>
              <w:t>证明的，得4分。</w:t>
            </w:r>
          </w:p>
          <w:p w14:paraId="69F50AE0">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2．提供投标人基本账户在本项目招标公告发布之日起至投标截止时间期间出现过至少连续3日不少于</w:t>
            </w:r>
            <w:r>
              <w:rPr>
                <w:rFonts w:hint="eastAsia" w:ascii="宋体" w:hAnsi="宋体" w:eastAsia="宋体" w:cs="宋体"/>
                <w:snapToGrid w:val="0"/>
                <w:color w:val="000000" w:themeColor="text1"/>
                <w:kern w:val="0"/>
                <w:sz w:val="24"/>
                <w:szCs w:val="24"/>
                <w:highlight w:val="none"/>
                <w:u w:val="single"/>
                <w:lang w:val="en-US" w:eastAsia="zh-CN"/>
                <w14:textFill>
                  <w14:solidFill>
                    <w14:schemeClr w14:val="tx1"/>
                  </w14:solidFill>
                </w14:textFill>
              </w:rPr>
              <w:t>200</w:t>
            </w:r>
            <w:r>
              <w:rPr>
                <w:rFonts w:hint="eastAsia" w:ascii="宋体" w:hAnsi="宋体" w:eastAsia="宋体" w:cs="宋体"/>
                <w:snapToGrid w:val="0"/>
                <w:color w:val="000000" w:themeColor="text1"/>
                <w:kern w:val="0"/>
                <w:sz w:val="24"/>
                <w:szCs w:val="24"/>
                <w:highlight w:val="none"/>
                <w14:textFill>
                  <w14:solidFill>
                    <w14:schemeClr w14:val="tx1"/>
                  </w14:solidFill>
                </w14:textFill>
              </w:rPr>
              <w:t>万元存款余额资金流水证明的，得5分。</w:t>
            </w:r>
          </w:p>
          <w:p w14:paraId="0C51659B">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3．未提供以上两项证明的，不予计分。</w:t>
            </w:r>
          </w:p>
          <w:p w14:paraId="495FB6F6">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4.</w:t>
            </w:r>
            <w:r>
              <w:rPr>
                <w:rFonts w:hint="eastAsia" w:ascii="宋体" w:hAnsi="宋体" w:eastAsia="宋体" w:cs="宋体"/>
                <w:snapToGrid w:val="0"/>
                <w:color w:val="000000" w:themeColor="text1"/>
                <w:kern w:val="0"/>
                <w:sz w:val="24"/>
                <w:szCs w:val="24"/>
                <w:highlight w:val="none"/>
                <w14:textFill>
                  <w14:solidFill>
                    <w14:schemeClr w14:val="tx1"/>
                  </w14:solidFill>
                </w14:textFill>
              </w:rPr>
              <w:t>本项最高得</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7DB233BA">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1．需附在有效期内的有关证明</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彩色</w:t>
            </w:r>
            <w:r>
              <w:rPr>
                <w:rFonts w:hint="eastAsia" w:ascii="宋体" w:hAnsi="宋体" w:eastAsia="宋体" w:cs="宋体"/>
                <w:snapToGrid w:val="0"/>
                <w:color w:val="000000" w:themeColor="text1"/>
                <w:kern w:val="0"/>
                <w:sz w:val="24"/>
                <w:szCs w:val="24"/>
                <w:highlight w:val="none"/>
                <w14:textFill>
                  <w14:solidFill>
                    <w14:schemeClr w14:val="tx1"/>
                  </w14:solidFill>
                </w14:textFill>
              </w:rPr>
              <w:t>扫描件。</w:t>
            </w:r>
          </w:p>
          <w:p w14:paraId="1CA64C11">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2．银行授信证明有以下情形之一的，视为无效，不予计分：</w:t>
            </w:r>
          </w:p>
          <w:p w14:paraId="403B7510">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①授信证明不在有效期内的；</w:t>
            </w:r>
          </w:p>
          <w:p w14:paraId="7A959754">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②授信额度不符合要求的；</w:t>
            </w:r>
          </w:p>
          <w:p w14:paraId="114586FA">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3．存款余额资金流水证明有以下情形之一的，视为无效，不予计分：</w:t>
            </w:r>
          </w:p>
          <w:p w14:paraId="1198E4FB">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①存款账户不是基本账户的；</w:t>
            </w:r>
          </w:p>
          <w:p w14:paraId="2FB557BF">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②存款时间不符合要求的；</w:t>
            </w:r>
          </w:p>
          <w:p w14:paraId="03F7BD24">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b w:val="0"/>
                <w:bCs w:val="0"/>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③存款额度不符合要求的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p>
        </w:tc>
      </w:tr>
      <w:tr w14:paraId="250A8AFE">
        <w:tblPrEx>
          <w:tblCellMar>
            <w:top w:w="0" w:type="dxa"/>
            <w:left w:w="108" w:type="dxa"/>
            <w:bottom w:w="0" w:type="dxa"/>
            <w:right w:w="108" w:type="dxa"/>
          </w:tblCellMar>
        </w:tblPrEx>
        <w:trPr>
          <w:trHeight w:val="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119A0453">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企业财务状况</w:t>
            </w:r>
          </w:p>
          <w:p w14:paraId="360E6046">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0" w:firstLineChars="0"/>
              <w:jc w:val="center"/>
              <w:textAlignment w:val="auto"/>
              <w:outlineLvl w:val="9"/>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5分</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tc>
        <w:tc>
          <w:tcPr>
            <w:tcW w:w="4180" w:type="dxa"/>
            <w:gridSpan w:val="2"/>
            <w:tcBorders>
              <w:top w:val="single" w:color="auto" w:sz="4" w:space="0"/>
              <w:left w:val="single" w:color="auto" w:sz="4" w:space="0"/>
              <w:bottom w:val="single" w:color="auto" w:sz="4" w:space="0"/>
              <w:right w:val="single" w:color="auto" w:sz="4" w:space="0"/>
            </w:tcBorders>
            <w:noWrap w:val="0"/>
            <w:vAlign w:val="center"/>
          </w:tcPr>
          <w:p w14:paraId="52911C8A">
            <w:pPr>
              <w:keepNext w:val="0"/>
              <w:keepLines w:val="0"/>
              <w:pageBreakBefore w:val="0"/>
              <w:numPr>
                <w:ilvl w:val="0"/>
                <w:numId w:val="1"/>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企业2021年度至今连续5年获得纳税信用A级纳税人的，得5分。</w:t>
            </w:r>
          </w:p>
          <w:p w14:paraId="766F4E25">
            <w:pPr>
              <w:keepNext w:val="0"/>
              <w:keepLines w:val="0"/>
              <w:pageBreakBefore w:val="0"/>
              <w:numPr>
                <w:ilvl w:val="0"/>
                <w:numId w:val="1"/>
              </w:numPr>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本项最高得5分。</w:t>
            </w:r>
          </w:p>
        </w:tc>
        <w:tc>
          <w:tcPr>
            <w:tcW w:w="4533" w:type="dxa"/>
            <w:tcBorders>
              <w:top w:val="single" w:color="auto" w:sz="4" w:space="0"/>
              <w:left w:val="single" w:color="auto" w:sz="4" w:space="0"/>
              <w:bottom w:val="single" w:color="auto" w:sz="4" w:space="0"/>
              <w:right w:val="single" w:color="auto" w:sz="4" w:space="0"/>
            </w:tcBorders>
            <w:noWrap w:val="0"/>
            <w:vAlign w:val="center"/>
          </w:tcPr>
          <w:p w14:paraId="46D8F41B">
            <w:pPr>
              <w:pStyle w:val="5"/>
              <w:wordWrap w:val="0"/>
              <w:spacing w:after="0" w:line="360" w:lineRule="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1.必须提供企业纳税信用A级纳税人证明材料（或证书）彩色扫描件，否则不得分。</w:t>
            </w:r>
          </w:p>
          <w:p w14:paraId="7C7B3F23">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2.只计算投标人自身（不计算投标人的分公司、子公司及分支机构）</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tc>
      </w:tr>
      <w:tr w14:paraId="7BFE0F4E">
        <w:tblPrEx>
          <w:tblCellMar>
            <w:top w:w="0" w:type="dxa"/>
            <w:left w:w="108" w:type="dxa"/>
            <w:bottom w:w="0" w:type="dxa"/>
            <w:right w:w="108" w:type="dxa"/>
          </w:tblCellMar>
        </w:tblPrEx>
        <w:trPr>
          <w:trHeight w:val="0" w:hRule="atLeast"/>
          <w:jc w:val="center"/>
        </w:trPr>
        <w:tc>
          <w:tcPr>
            <w:tcW w:w="1192" w:type="dxa"/>
            <w:vMerge w:val="restart"/>
            <w:tcBorders>
              <w:top w:val="single" w:color="auto" w:sz="4" w:space="0"/>
              <w:left w:val="single" w:color="auto" w:sz="4" w:space="0"/>
              <w:right w:val="single" w:color="auto" w:sz="4" w:space="0"/>
            </w:tcBorders>
            <w:noWrap w:val="0"/>
            <w:vAlign w:val="center"/>
          </w:tcPr>
          <w:p w14:paraId="2D6F1457">
            <w:pPr>
              <w:pStyle w:val="38"/>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招标人自拟项（20分）</w:t>
            </w:r>
          </w:p>
        </w:tc>
        <w:tc>
          <w:tcPr>
            <w:tcW w:w="418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AF9ADA1">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color w:val="000000" w:themeColor="text1"/>
                <w:kern w:val="0"/>
                <w:sz w:val="24"/>
                <w:szCs w:val="24"/>
                <w:highlight w:val="none"/>
                <w14:textFill>
                  <w14:solidFill>
                    <w14:schemeClr w14:val="tx1"/>
                  </w14:solidFill>
                </w14:textFill>
              </w:rPr>
              <w:t>企业近</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年度（</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2021</w:t>
            </w:r>
            <w:r>
              <w:rPr>
                <w:rFonts w:hint="eastAsia" w:ascii="宋体" w:hAnsi="宋体" w:eastAsia="宋体" w:cs="宋体"/>
                <w:color w:val="000000" w:themeColor="text1"/>
                <w:kern w:val="0"/>
                <w:sz w:val="24"/>
                <w:szCs w:val="24"/>
                <w:highlight w:val="none"/>
                <w14:textFill>
                  <w14:solidFill>
                    <w14:schemeClr w14:val="tx1"/>
                  </w14:solidFill>
                </w14:textFill>
              </w:rPr>
              <w:t>年度</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至今</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连续3年</w:t>
            </w:r>
            <w:r>
              <w:rPr>
                <w:rFonts w:hint="eastAsia" w:ascii="宋体" w:hAnsi="宋体" w:eastAsia="宋体" w:cs="宋体"/>
                <w:color w:val="000000" w:themeColor="text1"/>
                <w:kern w:val="0"/>
                <w:sz w:val="24"/>
                <w:szCs w:val="24"/>
                <w:highlight w:val="none"/>
                <w14:textFill>
                  <w14:solidFill>
                    <w14:schemeClr w14:val="tx1"/>
                  </w14:solidFill>
                </w14:textFill>
              </w:rPr>
              <w:t>获得地级市或以上建筑协会颁发的“优秀典型施工企业”证书的得</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分</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p w14:paraId="30CE0DC3">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2.其他情形的，不予计分。</w:t>
            </w:r>
          </w:p>
          <w:p w14:paraId="6A06E6D8">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textAlignment w:val="auto"/>
              <w:rPr>
                <w:rFonts w:hint="eastAsia" w:ascii="宋体" w:hAnsi="宋体" w:eastAsia="宋体" w:cs="宋体"/>
                <w:snapToGrid w:val="0"/>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本项最高得</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5分</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p>
        </w:tc>
        <w:tc>
          <w:tcPr>
            <w:tcW w:w="45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E2E32E">
            <w:pPr>
              <w:pStyle w:val="5"/>
              <w:spacing w:before="0" w:beforeAutospacing="0" w:after="0" w:line="360" w:lineRule="auto"/>
              <w:jc w:val="left"/>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1.需提供证书彩色扫描件（证书为电子证书的除外）,否则不得分。</w:t>
            </w:r>
          </w:p>
          <w:p w14:paraId="7006B541">
            <w:pPr>
              <w:pStyle w:val="5"/>
              <w:spacing w:before="0" w:beforeAutospacing="0" w:after="0" w:line="360" w:lineRule="auto"/>
              <w:jc w:val="left"/>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2.需提供地级市及以上建设行政主管部门或地级市及以上建筑协会网站截图打印页,否则不得分。（相关协会需经民政部门备案）</w:t>
            </w:r>
          </w:p>
        </w:tc>
      </w:tr>
      <w:tr w14:paraId="6DEEB77C">
        <w:tblPrEx>
          <w:tblCellMar>
            <w:top w:w="0" w:type="dxa"/>
            <w:left w:w="108" w:type="dxa"/>
            <w:bottom w:w="0" w:type="dxa"/>
            <w:right w:w="108" w:type="dxa"/>
          </w:tblCellMar>
        </w:tblPrEx>
        <w:trPr>
          <w:trHeight w:val="2606" w:hRule="atLeast"/>
          <w:jc w:val="center"/>
        </w:trPr>
        <w:tc>
          <w:tcPr>
            <w:tcW w:w="1192" w:type="dxa"/>
            <w:vMerge w:val="continue"/>
            <w:tcBorders>
              <w:left w:val="single" w:color="auto" w:sz="4" w:space="0"/>
              <w:right w:val="single" w:color="auto" w:sz="4" w:space="0"/>
            </w:tcBorders>
            <w:noWrap w:val="0"/>
            <w:vAlign w:val="center"/>
          </w:tcPr>
          <w:p w14:paraId="0BA9D558">
            <w:pPr>
              <w:pStyle w:val="38"/>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418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63DFFA93">
            <w:pPr>
              <w:pStyle w:val="6"/>
              <w:keepNext w:val="0"/>
              <w:keepLines w:val="0"/>
              <w:pageBreakBefore w:val="0"/>
              <w:numPr>
                <w:ilvl w:val="0"/>
                <w:numId w:val="0"/>
              </w:numPr>
              <w:kinsoku/>
              <w:overflowPunct/>
              <w:topLinePunct w:val="0"/>
              <w:autoSpaceDE/>
              <w:autoSpaceDN/>
              <w:bidi w:val="0"/>
              <w:spacing w:line="360" w:lineRule="auto"/>
              <w:ind w:left="0" w:leftChars="0"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1.企业近5年度（2021年度至今）</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获得国级或省级“AAA级信用企业”称号的，得3分，超过1年的，每增加1年加2分。</w:t>
            </w:r>
          </w:p>
          <w:p w14:paraId="4F077D7A">
            <w:pPr>
              <w:pStyle w:val="5"/>
              <w:spacing w:line="360" w:lineRule="auto"/>
              <w:rPr>
                <w:rFonts w:hint="eastAsia" w:ascii="宋体" w:hAnsi="宋体" w:eastAsia="宋体" w:cs="宋体"/>
                <w:snapToGrid w:val="0"/>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本项最高得</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5分。</w:t>
            </w:r>
          </w:p>
        </w:tc>
        <w:tc>
          <w:tcPr>
            <w:tcW w:w="45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EC02B7">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1、需附相关证书彩色扫描件。</w:t>
            </w:r>
          </w:p>
          <w:p w14:paraId="61EB71CB">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2.证书须由国级或省级企业联合会和企业家协会（需经民政局备案)同时颁发。</w:t>
            </w:r>
          </w:p>
          <w:p w14:paraId="0E7F9398">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3.颁发机构、获奖时间不符合评分标准和备注规定的，不子得分。</w:t>
            </w:r>
          </w:p>
        </w:tc>
      </w:tr>
      <w:tr w14:paraId="51D05FAE">
        <w:tblPrEx>
          <w:tblCellMar>
            <w:top w:w="0" w:type="dxa"/>
            <w:left w:w="108" w:type="dxa"/>
            <w:bottom w:w="0" w:type="dxa"/>
            <w:right w:w="108" w:type="dxa"/>
          </w:tblCellMar>
        </w:tblPrEx>
        <w:trPr>
          <w:trHeight w:val="2550" w:hRule="atLeast"/>
          <w:jc w:val="center"/>
        </w:trPr>
        <w:tc>
          <w:tcPr>
            <w:tcW w:w="1192" w:type="dxa"/>
            <w:vMerge w:val="continue"/>
            <w:tcBorders>
              <w:left w:val="single" w:color="auto" w:sz="4" w:space="0"/>
              <w:right w:val="single" w:color="auto" w:sz="4" w:space="0"/>
            </w:tcBorders>
            <w:noWrap w:val="0"/>
            <w:vAlign w:val="center"/>
          </w:tcPr>
          <w:p w14:paraId="17142B25">
            <w:pPr>
              <w:pStyle w:val="38"/>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418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30DCB4F">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企业近5年度（2021年度至今）</w:t>
            </w:r>
            <w:r>
              <w:rPr>
                <w:rFonts w:hint="eastAsia" w:ascii="宋体" w:hAnsi="宋体" w:eastAsia="宋体" w:cs="宋体"/>
                <w:snapToGrid w:val="0"/>
                <w:color w:val="000000" w:themeColor="text1"/>
                <w:kern w:val="0"/>
                <w:sz w:val="24"/>
                <w:szCs w:val="24"/>
                <w:highlight w:val="none"/>
                <w14:textFill>
                  <w14:solidFill>
                    <w14:schemeClr w14:val="tx1"/>
                  </w14:solidFill>
                </w14:textFill>
              </w:rPr>
              <w:t>获得</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过</w:t>
            </w:r>
            <w:r>
              <w:rPr>
                <w:rFonts w:hint="eastAsia" w:ascii="宋体" w:hAnsi="宋体" w:eastAsia="宋体" w:cs="宋体"/>
                <w:snapToGrid w:val="0"/>
                <w:color w:val="000000" w:themeColor="text1"/>
                <w:kern w:val="0"/>
                <w:sz w:val="24"/>
                <w:szCs w:val="24"/>
                <w:highlight w:val="none"/>
                <w14:textFill>
                  <w14:solidFill>
                    <w14:schemeClr w14:val="tx1"/>
                  </w14:solidFill>
                </w14:textFill>
              </w:rPr>
              <w:t>省级或以上商业联合会颁发的诚信兴商证书的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得</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分</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w:t>
            </w:r>
          </w:p>
          <w:p w14:paraId="5F8BD077">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2.其他情形的，不予计分。</w:t>
            </w:r>
          </w:p>
          <w:p w14:paraId="2C1C0D2A">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本项最高得</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5分。</w:t>
            </w:r>
          </w:p>
        </w:tc>
        <w:tc>
          <w:tcPr>
            <w:tcW w:w="45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39E850">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1.证书由省级或以上商业联合会颁发，须提供有关证书彩色扫描件。</w:t>
            </w:r>
            <w:r>
              <w:rPr>
                <w:rFonts w:hint="eastAsia" w:ascii="宋体" w:hAnsi="宋体" w:eastAsia="宋体" w:cs="宋体"/>
                <w:color w:val="000000" w:themeColor="text1"/>
                <w:sz w:val="24"/>
                <w:szCs w:val="24"/>
                <w:highlight w:val="none"/>
                <w:lang w:val="en-US" w:eastAsia="zh-CN"/>
                <w14:textFill>
                  <w14:solidFill>
                    <w14:schemeClr w14:val="tx1"/>
                  </w14:solidFill>
                </w14:textFill>
              </w:rPr>
              <w:t>获取时间以证书日期为准。</w:t>
            </w:r>
          </w:p>
          <w:p w14:paraId="5EFC5C5F">
            <w:pPr>
              <w:pStyle w:val="5"/>
              <w:keepNext w:val="0"/>
              <w:keepLines w:val="0"/>
              <w:pageBreakBefore w:val="0"/>
              <w:widowControl w:val="0"/>
              <w:numPr>
                <w:ilvl w:val="0"/>
                <w:numId w:val="0"/>
              </w:numPr>
              <w:kinsoku/>
              <w:wordWrap w:val="0"/>
              <w:overflowPunct/>
              <w:topLinePunct w:val="0"/>
              <w:autoSpaceDE/>
              <w:autoSpaceDN/>
              <w:bidi w:val="0"/>
              <w:adjustRightInd w:val="0"/>
              <w:snapToGrid w:val="0"/>
              <w:spacing w:after="0" w:afterLines="0" w:line="360" w:lineRule="auto"/>
              <w:ind w:left="0" w:leftChars="0" w:firstLine="0" w:firstLineChars="0"/>
              <w:jc w:val="both"/>
              <w:textAlignment w:val="auto"/>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获取时间，</w:t>
            </w: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颁发机构不符合要求的，按第2项标准处理。</w:t>
            </w:r>
          </w:p>
        </w:tc>
      </w:tr>
      <w:tr w14:paraId="0E711AA3">
        <w:tblPrEx>
          <w:tblCellMar>
            <w:top w:w="0" w:type="dxa"/>
            <w:left w:w="108" w:type="dxa"/>
            <w:bottom w:w="0" w:type="dxa"/>
            <w:right w:w="108" w:type="dxa"/>
          </w:tblCellMar>
        </w:tblPrEx>
        <w:trPr>
          <w:trHeight w:val="0" w:hRule="atLeast"/>
          <w:jc w:val="center"/>
        </w:trPr>
        <w:tc>
          <w:tcPr>
            <w:tcW w:w="1192" w:type="dxa"/>
            <w:vMerge w:val="continue"/>
            <w:tcBorders>
              <w:left w:val="single" w:color="auto" w:sz="4" w:space="0"/>
              <w:bottom w:val="single" w:color="auto" w:sz="4" w:space="0"/>
              <w:right w:val="single" w:color="auto" w:sz="4" w:space="0"/>
            </w:tcBorders>
            <w:noWrap w:val="0"/>
            <w:vAlign w:val="center"/>
          </w:tcPr>
          <w:p w14:paraId="0A5DF00C">
            <w:pPr>
              <w:pStyle w:val="38"/>
              <w:keepNext w:val="0"/>
              <w:keepLines w:val="0"/>
              <w:pageBreakBefore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p>
        </w:tc>
        <w:tc>
          <w:tcPr>
            <w:tcW w:w="418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0418CA6">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1.近5年来（</w:t>
            </w:r>
            <w:r>
              <w:rPr>
                <w:rFonts w:hint="eastAsia" w:ascii="宋体" w:hAnsi="宋体" w:eastAsia="宋体" w:cs="宋体"/>
                <w:snapToGrid w:val="0"/>
                <w:color w:val="000000" w:themeColor="text1"/>
                <w:kern w:val="0"/>
                <w:sz w:val="24"/>
                <w:szCs w:val="24"/>
                <w:highlight w:val="none"/>
                <w14:textFill>
                  <w14:solidFill>
                    <w14:schemeClr w14:val="tx1"/>
                  </w14:solidFill>
                </w14:textFill>
              </w:rPr>
              <w:t>20</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21</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年1月1日至</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今）投标人未发生事故等级为一般事故及以上的生产安全事故、一般质量事故及以上的工程质量事故的，得5分；</w:t>
            </w:r>
          </w:p>
          <w:p w14:paraId="68E123D6">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2.其他情形的，不予计分。</w:t>
            </w:r>
          </w:p>
        </w:tc>
        <w:tc>
          <w:tcPr>
            <w:tcW w:w="45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A75BB5">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1.需提供本单位承诺书（格式自定）并加盖本单位公章。</w:t>
            </w:r>
          </w:p>
          <w:p w14:paraId="2B57BA3A">
            <w:pPr>
              <w:pStyle w:val="5"/>
              <w:keepNext w:val="0"/>
              <w:keepLines w:val="0"/>
              <w:pageBreakBefore w:val="0"/>
              <w:numPr>
                <w:ilvl w:val="0"/>
                <w:numId w:val="0"/>
              </w:numPr>
              <w:kinsoku/>
              <w:wordWrap w:val="0"/>
              <w:overflowPunct/>
              <w:topLinePunct w:val="0"/>
              <w:autoSpaceDE/>
              <w:autoSpaceDN/>
              <w:bidi w:val="0"/>
              <w:adjustRightInd w:val="0"/>
              <w:snapToGrid w:val="0"/>
              <w:spacing w:after="0" w:afterLines="0" w:line="360" w:lineRule="auto"/>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2.未提供本单位承诺书并加盖本单位公章的，按第2项标准处理。</w:t>
            </w:r>
            <w:bookmarkStart w:id="264" w:name="_GoBack"/>
            <w:bookmarkEnd w:id="264"/>
          </w:p>
        </w:tc>
      </w:tr>
      <w:tr w14:paraId="5F4844AE">
        <w:tblPrEx>
          <w:tblCellMar>
            <w:top w:w="0" w:type="dxa"/>
            <w:left w:w="108" w:type="dxa"/>
            <w:bottom w:w="0" w:type="dxa"/>
            <w:right w:w="108" w:type="dxa"/>
          </w:tblCellMar>
        </w:tblPrEx>
        <w:trPr>
          <w:trHeight w:val="440" w:hRule="exact"/>
          <w:jc w:val="center"/>
        </w:trPr>
        <w:tc>
          <w:tcPr>
            <w:tcW w:w="9905"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361153EF">
            <w:pPr>
              <w:keepNext w:val="0"/>
              <w:keepLines w:val="0"/>
              <w:pageBreakBefore w:val="0"/>
              <w:widowControl w:val="0"/>
              <w:suppressLineNumbers w:val="0"/>
              <w:kinsoku/>
              <w:overflowPunct/>
              <w:topLinePunct w:val="0"/>
              <w:autoSpaceDE/>
              <w:autoSpaceDN/>
              <w:bidi w:val="0"/>
              <w:adjustRightInd w:val="0"/>
              <w:spacing w:before="0" w:beforeAutospacing="0" w:afterAutospacing="0" w:line="360" w:lineRule="auto"/>
              <w:ind w:left="0" w:right="0"/>
              <w:jc w:val="left"/>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技术部分（施工组织设计），满分：20分。</w:t>
            </w:r>
          </w:p>
        </w:tc>
      </w:tr>
      <w:tr w14:paraId="1555785F">
        <w:tblPrEx>
          <w:tblCellMar>
            <w:top w:w="0" w:type="dxa"/>
            <w:left w:w="108" w:type="dxa"/>
            <w:bottom w:w="0" w:type="dxa"/>
            <w:right w:w="108" w:type="dxa"/>
          </w:tblCellMar>
        </w:tblPrEx>
        <w:trPr>
          <w:trHeight w:val="518" w:hRule="exac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2198E4F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Autospacing="0" w:line="360" w:lineRule="auto"/>
              <w:ind w:left="0" w:right="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评分因素</w:t>
            </w:r>
          </w:p>
        </w:tc>
        <w:tc>
          <w:tcPr>
            <w:tcW w:w="2571" w:type="dxa"/>
            <w:tcBorders>
              <w:top w:val="single" w:color="auto" w:sz="4" w:space="0"/>
              <w:left w:val="single" w:color="auto" w:sz="4" w:space="0"/>
              <w:bottom w:val="single" w:color="auto" w:sz="4" w:space="0"/>
              <w:right w:val="single" w:color="auto" w:sz="4" w:space="0"/>
            </w:tcBorders>
            <w:noWrap w:val="0"/>
            <w:vAlign w:val="center"/>
          </w:tcPr>
          <w:p w14:paraId="2FB0841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Autospacing="0" w:line="360" w:lineRule="auto"/>
              <w:ind w:left="0" w:right="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评分标准</w:t>
            </w:r>
          </w:p>
        </w:tc>
        <w:tc>
          <w:tcPr>
            <w:tcW w:w="6142" w:type="dxa"/>
            <w:gridSpan w:val="2"/>
            <w:tcBorders>
              <w:top w:val="single" w:color="auto" w:sz="4" w:space="0"/>
              <w:left w:val="single" w:color="auto" w:sz="4" w:space="0"/>
              <w:bottom w:val="single" w:color="auto" w:sz="4" w:space="0"/>
              <w:right w:val="single" w:color="auto" w:sz="4" w:space="0"/>
            </w:tcBorders>
            <w:noWrap w:val="0"/>
            <w:vAlign w:val="center"/>
          </w:tcPr>
          <w:p w14:paraId="1B953C6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Autospacing="0" w:line="360" w:lineRule="auto"/>
              <w:ind w:left="0" w:right="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bidi="ar-SA"/>
                <w14:textFill>
                  <w14:solidFill>
                    <w14:schemeClr w14:val="tx1"/>
                  </w14:solidFill>
                </w14:textFill>
              </w:rPr>
              <w:t>备注</w:t>
            </w:r>
          </w:p>
        </w:tc>
      </w:tr>
      <w:tr w14:paraId="3151B81C">
        <w:tblPrEx>
          <w:tblCellMar>
            <w:top w:w="0" w:type="dxa"/>
            <w:left w:w="108" w:type="dxa"/>
            <w:bottom w:w="0" w:type="dxa"/>
            <w:right w:w="108" w:type="dxa"/>
          </w:tblCellMar>
        </w:tblPrEx>
        <w:trPr>
          <w:trHeight w:val="4541"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4A52A27E">
            <w:pPr>
              <w:pStyle w:val="25"/>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总体概述</w:t>
            </w:r>
          </w:p>
          <w:p w14:paraId="380303BC">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（3分）</w:t>
            </w:r>
          </w:p>
        </w:tc>
        <w:tc>
          <w:tcPr>
            <w:tcW w:w="2571" w:type="dxa"/>
            <w:tcBorders>
              <w:top w:val="single" w:color="auto" w:sz="4" w:space="0"/>
              <w:left w:val="single" w:color="auto" w:sz="4" w:space="0"/>
              <w:bottom w:val="single" w:color="auto" w:sz="4" w:space="0"/>
              <w:right w:val="single" w:color="auto" w:sz="4" w:space="0"/>
            </w:tcBorders>
            <w:noWrap w:val="0"/>
            <w:vAlign w:val="center"/>
          </w:tcPr>
          <w:p w14:paraId="0BF232F6">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%～100%（含9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4E5F9787">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w:t>
            </w:r>
          </w:p>
          <w:p w14:paraId="59751CAC">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6DDCD517">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p>
        </w:tc>
        <w:tc>
          <w:tcPr>
            <w:tcW w:w="6142" w:type="dxa"/>
            <w:gridSpan w:val="2"/>
            <w:tcBorders>
              <w:top w:val="single" w:color="auto" w:sz="4" w:space="0"/>
              <w:left w:val="single" w:color="auto" w:sz="4" w:space="0"/>
              <w:bottom w:val="single" w:color="auto" w:sz="4" w:space="0"/>
              <w:right w:val="single" w:color="auto" w:sz="4" w:space="0"/>
            </w:tcBorders>
            <w:noWrap w:val="0"/>
            <w:vAlign w:val="center"/>
          </w:tcPr>
          <w:p w14:paraId="64739824">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【优】对项目总体有深刻认识，表述清晰、完整、严谨、合理，措施先进、具体、有效、成熟，采用了新技术、新工艺、新材料、新设备；施工段划分呼应总体表述，划分清晰、合理，符合规范要求。</w:t>
            </w:r>
          </w:p>
          <w:p w14:paraId="4AE01CB6">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【良】对项目总体有一定认识，表述清晰、完整，措施具体有效；施工段划分呼应总体表述，划分清晰，符合规范要求。</w:t>
            </w:r>
          </w:p>
          <w:p w14:paraId="44203D08">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【中】对项目总体有认识，有一定的措施但部分不具体；施工段划分较合理，符合规范要求。</w:t>
            </w:r>
          </w:p>
          <w:p w14:paraId="68955ACF">
            <w:pPr>
              <w:pStyle w:val="5"/>
              <w:keepNext w:val="0"/>
              <w:keepLines w:val="0"/>
              <w:pageBreakBefore w:val="0"/>
              <w:widowControl w:val="0"/>
              <w:kinsoku/>
              <w:wordWrap w:val="0"/>
              <w:overflowPunct/>
              <w:topLinePunct w:val="0"/>
              <w:autoSpaceDE/>
              <w:autoSpaceDN/>
              <w:bidi w:val="0"/>
              <w:adjustRightInd w:val="0"/>
              <w:snapToGrid w:val="0"/>
              <w:spacing w:after="0" w:afterLines="0" w:line="360" w:lineRule="auto"/>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【差】对项目认识不足，表述不清晰，措施不具体；施工段划分不合理。</w:t>
            </w:r>
          </w:p>
        </w:tc>
      </w:tr>
      <w:tr w14:paraId="128B7956">
        <w:tblPrEx>
          <w:tblCellMar>
            <w:top w:w="0" w:type="dxa"/>
            <w:left w:w="108" w:type="dxa"/>
            <w:bottom w:w="0" w:type="dxa"/>
            <w:right w:w="108" w:type="dxa"/>
          </w:tblCellMar>
        </w:tblPrEx>
        <w:trPr>
          <w:trHeight w:val="2076"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60006620">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施工总进</w:t>
            </w:r>
          </w:p>
          <w:p w14:paraId="54FDBC87">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度计划及</w:t>
            </w:r>
          </w:p>
          <w:p w14:paraId="247814DE">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保证措施</w:t>
            </w:r>
          </w:p>
          <w:p w14:paraId="64A32DE6">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（3分）</w:t>
            </w:r>
          </w:p>
        </w:tc>
        <w:tc>
          <w:tcPr>
            <w:tcW w:w="2571" w:type="dxa"/>
            <w:tcBorders>
              <w:top w:val="single" w:color="auto" w:sz="4" w:space="0"/>
              <w:left w:val="single" w:color="auto" w:sz="4" w:space="0"/>
              <w:bottom w:val="single" w:color="auto" w:sz="4" w:space="0"/>
              <w:right w:val="single" w:color="auto" w:sz="4" w:space="0"/>
            </w:tcBorders>
            <w:noWrap w:val="0"/>
            <w:vAlign w:val="center"/>
          </w:tcPr>
          <w:p w14:paraId="72A8A81D">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%～100%（含9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3456434E">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w:t>
            </w:r>
          </w:p>
          <w:p w14:paraId="7BF1E048">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76820BAD">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p>
        </w:tc>
        <w:tc>
          <w:tcPr>
            <w:tcW w:w="6142" w:type="dxa"/>
            <w:gridSpan w:val="2"/>
            <w:tcBorders>
              <w:top w:val="single" w:color="auto" w:sz="4" w:space="0"/>
              <w:left w:val="single" w:color="auto" w:sz="4" w:space="0"/>
              <w:bottom w:val="single" w:color="auto" w:sz="4" w:space="0"/>
              <w:right w:val="single" w:color="auto" w:sz="4" w:space="0"/>
            </w:tcBorders>
            <w:noWrap w:val="0"/>
            <w:vAlign w:val="center"/>
          </w:tcPr>
          <w:p w14:paraId="2EEAA86F">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关键线路清晰、准确、完整，计划编制合理、可行。关键节点的控制措施有力、合理、可行。人、材、机需求和进场计划与进度计划相呼应，较好满足施工需要，调配投入计划合理、准确。进度违约责任承诺具体，经济赔偿合理。</w:t>
            </w:r>
          </w:p>
          <w:p w14:paraId="6F832D72">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6A4738CD">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【中】关键线路基本准确，计划编制基本合理。关键节点的控制措施基本可行。人、材、机需求和进场计划与进度计划相呼应，基本满足施工需要，调配投入计划基本合理。进度违约责任承诺具体。</w:t>
            </w:r>
          </w:p>
          <w:p w14:paraId="72615DEF">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【差】关键线路不准确，计划编制不合理。关键节点的控制不可行。人、材、机需求和进场计划与进度计划不相呼应，不能满足施工需要</w:t>
            </w:r>
            <w:r>
              <w:rPr>
                <w:rFonts w:hint="eastAsia" w:ascii="宋体" w:hAnsi="宋体" w:eastAsia="宋体" w:cs="宋体"/>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color w:val="000000" w:themeColor="text1"/>
                <w:kern w:val="0"/>
                <w:sz w:val="24"/>
                <w:szCs w:val="24"/>
                <w:highlight w:val="none"/>
                <w14:textFill>
                  <w14:solidFill>
                    <w14:schemeClr w14:val="tx1"/>
                  </w14:solidFill>
                </w14:textFill>
              </w:rPr>
              <w:t>没有违约责任承诺。</w:t>
            </w:r>
          </w:p>
        </w:tc>
      </w:tr>
      <w:tr w14:paraId="29AF7B4E">
        <w:tblPrEx>
          <w:tblCellMar>
            <w:top w:w="0" w:type="dxa"/>
            <w:left w:w="108" w:type="dxa"/>
            <w:bottom w:w="0" w:type="dxa"/>
            <w:right w:w="108" w:type="dxa"/>
          </w:tblCellMar>
        </w:tblPrEx>
        <w:trPr>
          <w:trHeight w:val="3608"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1DDD94F1">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质量</w:t>
            </w:r>
          </w:p>
          <w:p w14:paraId="3F7CC8E5">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保证措施</w:t>
            </w:r>
          </w:p>
          <w:p w14:paraId="247DF868">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（3分）</w:t>
            </w:r>
          </w:p>
        </w:tc>
        <w:tc>
          <w:tcPr>
            <w:tcW w:w="2571" w:type="dxa"/>
            <w:tcBorders>
              <w:top w:val="single" w:color="auto" w:sz="4" w:space="0"/>
              <w:left w:val="single" w:color="auto" w:sz="4" w:space="0"/>
              <w:bottom w:val="single" w:color="auto" w:sz="4" w:space="0"/>
              <w:right w:val="single" w:color="auto" w:sz="4" w:space="0"/>
            </w:tcBorders>
            <w:noWrap w:val="0"/>
            <w:vAlign w:val="center"/>
          </w:tcPr>
          <w:p w14:paraId="1C320C76">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%～100%（含9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05B13084">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w:t>
            </w:r>
          </w:p>
          <w:p w14:paraId="27FBF24B">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5AA29F0D">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p>
        </w:tc>
        <w:tc>
          <w:tcPr>
            <w:tcW w:w="6142" w:type="dxa"/>
            <w:gridSpan w:val="2"/>
            <w:tcBorders>
              <w:top w:val="single" w:color="auto" w:sz="4" w:space="0"/>
              <w:left w:val="single" w:color="auto" w:sz="4" w:space="0"/>
              <w:bottom w:val="single" w:color="auto" w:sz="4" w:space="0"/>
              <w:right w:val="single" w:color="auto" w:sz="4" w:space="0"/>
            </w:tcBorders>
            <w:noWrap w:val="0"/>
            <w:vAlign w:val="center"/>
          </w:tcPr>
          <w:p w14:paraId="22B7837B">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【优】应用新技术、新工艺、新材料、新设备，针对项目实际提出先进、可行、具体的保证措施。超过招标文件的质量要求。</w:t>
            </w:r>
          </w:p>
          <w:p w14:paraId="09F42223">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【良】针对项目实际提出先进、可行、具体的保证措施。满足招标文件的质量要求。</w:t>
            </w:r>
          </w:p>
          <w:p w14:paraId="3210B0EF">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【中】具体措施可行。满足招标文件的质量要求。</w:t>
            </w:r>
          </w:p>
          <w:p w14:paraId="5C791D4E">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【差】措施不可行，没有质量违约责任承诺。</w:t>
            </w:r>
          </w:p>
        </w:tc>
      </w:tr>
      <w:tr w14:paraId="43A89ACC">
        <w:tblPrEx>
          <w:tblCellMar>
            <w:top w:w="0" w:type="dxa"/>
            <w:left w:w="108" w:type="dxa"/>
            <w:bottom w:w="0" w:type="dxa"/>
            <w:right w:w="108" w:type="dxa"/>
          </w:tblCellMar>
        </w:tblPrEx>
        <w:trPr>
          <w:trHeight w:val="109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70E030FE">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施工</w:t>
            </w:r>
          </w:p>
          <w:p w14:paraId="7F096E58">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技术措施</w:t>
            </w:r>
          </w:p>
          <w:p w14:paraId="20D78911">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（3分）</w:t>
            </w:r>
          </w:p>
        </w:tc>
        <w:tc>
          <w:tcPr>
            <w:tcW w:w="2571" w:type="dxa"/>
            <w:tcBorders>
              <w:top w:val="single" w:color="auto" w:sz="4" w:space="0"/>
              <w:left w:val="single" w:color="auto" w:sz="4" w:space="0"/>
              <w:bottom w:val="single" w:color="auto" w:sz="4" w:space="0"/>
              <w:right w:val="single" w:color="auto" w:sz="4" w:space="0"/>
            </w:tcBorders>
            <w:noWrap w:val="0"/>
            <w:vAlign w:val="center"/>
          </w:tcPr>
          <w:p w14:paraId="1EAFA033">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%～100%（含9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04FD6501">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w:t>
            </w:r>
          </w:p>
          <w:p w14:paraId="0420C8CA">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266E697B">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p>
        </w:tc>
        <w:tc>
          <w:tcPr>
            <w:tcW w:w="6142" w:type="dxa"/>
            <w:gridSpan w:val="2"/>
            <w:tcBorders>
              <w:top w:val="single" w:color="auto" w:sz="4" w:space="0"/>
              <w:left w:val="single" w:color="auto" w:sz="4" w:space="0"/>
              <w:bottom w:val="single" w:color="auto" w:sz="4" w:space="0"/>
              <w:right w:val="single" w:color="auto" w:sz="4" w:space="0"/>
            </w:tcBorders>
            <w:noWrap w:val="0"/>
            <w:vAlign w:val="center"/>
          </w:tcPr>
          <w:p w14:paraId="5ACB4945">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5208B0D0">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1CB2FDD8">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300E2B53">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【差】对项目关键技术有表述，对重点、难点有建议，解决方案不可行。采用的新技术针对性不强或验证材料不可靠，对节约投资、工期没有具体收益。无违约责任承诺。</w:t>
            </w:r>
          </w:p>
        </w:tc>
      </w:tr>
      <w:tr w14:paraId="3BBF32CC">
        <w:tblPrEx>
          <w:tblCellMar>
            <w:top w:w="0" w:type="dxa"/>
            <w:left w:w="108" w:type="dxa"/>
            <w:bottom w:w="0" w:type="dxa"/>
            <w:right w:w="108" w:type="dxa"/>
          </w:tblCellMar>
        </w:tblPrEx>
        <w:trPr>
          <w:trHeight w:val="160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3FEEB7F1">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绿色施工、安全防护、文明施工措施计划</w:t>
            </w:r>
          </w:p>
          <w:p w14:paraId="139AE677">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（3分）</w:t>
            </w:r>
          </w:p>
        </w:tc>
        <w:tc>
          <w:tcPr>
            <w:tcW w:w="2571" w:type="dxa"/>
            <w:tcBorders>
              <w:top w:val="single" w:color="auto" w:sz="4" w:space="0"/>
              <w:left w:val="single" w:color="auto" w:sz="4" w:space="0"/>
              <w:bottom w:val="single" w:color="auto" w:sz="4" w:space="0"/>
              <w:right w:val="single" w:color="auto" w:sz="4" w:space="0"/>
            </w:tcBorders>
            <w:noWrap w:val="0"/>
            <w:vAlign w:val="center"/>
          </w:tcPr>
          <w:p w14:paraId="0CA641FD">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%～100%（含9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41C44523">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w:t>
            </w:r>
          </w:p>
          <w:p w14:paraId="12B7E025">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12D928A8">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p>
        </w:tc>
        <w:tc>
          <w:tcPr>
            <w:tcW w:w="6142" w:type="dxa"/>
            <w:gridSpan w:val="2"/>
            <w:tcBorders>
              <w:top w:val="single" w:color="auto" w:sz="4" w:space="0"/>
              <w:left w:val="single" w:color="auto" w:sz="4" w:space="0"/>
              <w:bottom w:val="single" w:color="auto" w:sz="4" w:space="0"/>
              <w:right w:val="single" w:color="auto" w:sz="4" w:space="0"/>
            </w:tcBorders>
            <w:noWrap w:val="0"/>
            <w:vAlign w:val="center"/>
          </w:tcPr>
          <w:p w14:paraId="5E905144">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【优】针对项目实际情况，有先进、具体、完整、可行的措施，采用规范准确、清晰。</w:t>
            </w:r>
          </w:p>
          <w:p w14:paraId="4FFFF8BE">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【良】针对项目实际情况，有合理的措施且具体、完整，采用规范准确。</w:t>
            </w:r>
          </w:p>
          <w:p w14:paraId="00D2F0F9">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【中】有基本合理的措施，采用规范准确。</w:t>
            </w:r>
          </w:p>
          <w:p w14:paraId="6C40D922">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【差】措施不力，采用规范不正确。</w:t>
            </w:r>
          </w:p>
        </w:tc>
      </w:tr>
      <w:tr w14:paraId="2C5E0FB5">
        <w:tblPrEx>
          <w:tblCellMar>
            <w:top w:w="0" w:type="dxa"/>
            <w:left w:w="108" w:type="dxa"/>
            <w:bottom w:w="0" w:type="dxa"/>
            <w:right w:w="108" w:type="dxa"/>
          </w:tblCellMar>
        </w:tblPrEx>
        <w:trPr>
          <w:trHeight w:val="431"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66858521">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施工平面</w:t>
            </w:r>
          </w:p>
          <w:p w14:paraId="7792D6D9">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布置和临时设施布置</w:t>
            </w:r>
          </w:p>
          <w:p w14:paraId="2D7EE71E">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（2分）</w:t>
            </w:r>
          </w:p>
        </w:tc>
        <w:tc>
          <w:tcPr>
            <w:tcW w:w="2571" w:type="dxa"/>
            <w:tcBorders>
              <w:top w:val="single" w:color="auto" w:sz="4" w:space="0"/>
              <w:left w:val="single" w:color="auto" w:sz="4" w:space="0"/>
              <w:bottom w:val="single" w:color="auto" w:sz="4" w:space="0"/>
              <w:right w:val="single" w:color="auto" w:sz="4" w:space="0"/>
            </w:tcBorders>
            <w:noWrap w:val="0"/>
            <w:vAlign w:val="center"/>
          </w:tcPr>
          <w:p w14:paraId="183C52DA">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%～100%（含9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6107AE9B">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w:t>
            </w:r>
          </w:p>
          <w:p w14:paraId="02B3B48C">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41660E71">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p>
        </w:tc>
        <w:tc>
          <w:tcPr>
            <w:tcW w:w="6142" w:type="dxa"/>
            <w:gridSpan w:val="2"/>
            <w:tcBorders>
              <w:top w:val="single" w:color="auto" w:sz="4" w:space="0"/>
              <w:left w:val="single" w:color="auto" w:sz="4" w:space="0"/>
              <w:bottom w:val="single" w:color="auto" w:sz="4" w:space="0"/>
              <w:right w:val="single" w:color="auto" w:sz="4" w:space="0"/>
            </w:tcBorders>
            <w:noWrap w:val="0"/>
            <w:vAlign w:val="center"/>
          </w:tcPr>
          <w:p w14:paraId="68A5BBF3">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【优】总体布置有针对性、合理，较好满足施工需要，符合绿色施工、安全防护、文明施工要求。</w:t>
            </w:r>
          </w:p>
          <w:p w14:paraId="2714A68B">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【良】总体布置合理，能满足施工需要，基本符合绿色施工、安全防护、文明施工要求。</w:t>
            </w:r>
          </w:p>
          <w:p w14:paraId="51109684">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【中】总体布置基本合理，基本满足施工需要。</w:t>
            </w:r>
          </w:p>
          <w:p w14:paraId="550D3F5E">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【差】总体布置不合理，不符合绿色施工、安全防护、文明施工要求。</w:t>
            </w:r>
          </w:p>
        </w:tc>
      </w:tr>
      <w:tr w14:paraId="7078D366">
        <w:tblPrEx>
          <w:tblCellMar>
            <w:top w:w="0" w:type="dxa"/>
            <w:left w:w="108" w:type="dxa"/>
            <w:bottom w:w="0" w:type="dxa"/>
            <w:right w:w="108" w:type="dxa"/>
          </w:tblCellMar>
        </w:tblPrEx>
        <w:trPr>
          <w:trHeight w:val="2329"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129F3B0F">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项目</w:t>
            </w:r>
          </w:p>
          <w:p w14:paraId="7429AF22">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管理机构</w:t>
            </w:r>
          </w:p>
          <w:p w14:paraId="1C5FF0D4">
            <w:pPr>
              <w:pStyle w:val="27"/>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（3分）</w:t>
            </w:r>
          </w:p>
        </w:tc>
        <w:tc>
          <w:tcPr>
            <w:tcW w:w="2571" w:type="dxa"/>
            <w:tcBorders>
              <w:top w:val="single" w:color="auto" w:sz="4" w:space="0"/>
              <w:left w:val="single" w:color="auto" w:sz="4" w:space="0"/>
              <w:bottom w:val="single" w:color="auto" w:sz="4" w:space="0"/>
              <w:right w:val="single" w:color="auto" w:sz="4" w:space="0"/>
            </w:tcBorders>
            <w:noWrap w:val="0"/>
            <w:vAlign w:val="center"/>
          </w:tcPr>
          <w:p w14:paraId="4976A522">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【优】得该项因素分的9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%～100%（含9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488DD3F9">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0%～9</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color w:val="000000" w:themeColor="text1"/>
                <w:kern w:val="0"/>
                <w:sz w:val="24"/>
                <w:szCs w:val="24"/>
                <w:highlight w:val="none"/>
                <w14:textFill>
                  <w14:solidFill>
                    <w14:schemeClr w14:val="tx1"/>
                  </w14:solidFill>
                </w14:textFill>
              </w:rPr>
              <w:t>0%）；</w:t>
            </w:r>
          </w:p>
          <w:p w14:paraId="6399563B">
            <w:pPr>
              <w:pStyle w:val="26"/>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90</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w:t>
            </w:r>
          </w:p>
          <w:p w14:paraId="00E93201">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【差】得该项因素分的</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85</w:t>
            </w:r>
            <w:r>
              <w:rPr>
                <w:rFonts w:hint="eastAsia" w:ascii="宋体" w:hAnsi="宋体" w:eastAsia="宋体" w:cs="宋体"/>
                <w:color w:val="000000" w:themeColor="text1"/>
                <w:kern w:val="0"/>
                <w:sz w:val="24"/>
                <w:szCs w:val="24"/>
                <w:highlight w:val="none"/>
                <w14:textFill>
                  <w14:solidFill>
                    <w14:schemeClr w14:val="tx1"/>
                  </w14:solidFill>
                </w14:textFill>
              </w:rPr>
              <w:t>%（含</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color w:val="000000" w:themeColor="text1"/>
                <w:kern w:val="0"/>
                <w:sz w:val="24"/>
                <w:szCs w:val="24"/>
                <w:highlight w:val="none"/>
                <w14:textFill>
                  <w14:solidFill>
                    <w14:schemeClr w14:val="tx1"/>
                  </w14:solidFill>
                </w14:textFill>
              </w:rPr>
              <w:t>0%）。</w:t>
            </w:r>
          </w:p>
        </w:tc>
        <w:tc>
          <w:tcPr>
            <w:tcW w:w="6142" w:type="dxa"/>
            <w:gridSpan w:val="2"/>
            <w:tcBorders>
              <w:top w:val="single" w:color="auto" w:sz="4" w:space="0"/>
              <w:left w:val="single" w:color="auto" w:sz="4" w:space="0"/>
              <w:bottom w:val="single" w:color="auto" w:sz="4" w:space="0"/>
              <w:right w:val="single" w:color="auto" w:sz="4" w:space="0"/>
            </w:tcBorders>
            <w:noWrap w:val="0"/>
            <w:vAlign w:val="center"/>
          </w:tcPr>
          <w:p w14:paraId="14D54DBD">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优】组织机构形式合理，有完善的指挥系统，生产及质量、绿色施工、安全、文明施工、创优达标监控系统、联络协调系统，项目管理人员内高级职称人员20%（含20%）以上、中级职称人员及以上职称60%（含60%）以上。</w:t>
            </w:r>
          </w:p>
          <w:p w14:paraId="4A12C8F4">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良】组织机构形式合理，指挥系统，生产及质量、绿色施工、安全、文明施工、创优达标监控系统、联络协调系统齐全，项目管理人员内高级职称人员15%～20%（含15%）、中级职称人员及以上职称50%～60%（含50%）。</w:t>
            </w:r>
          </w:p>
          <w:p w14:paraId="3A79BB10">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中】组织机构形式基本合理，有指挥系统，生产及质量、绿色施工、安全、文明施工、创优达标监控系统、联络协调系统，项目管理人员内高级职称人员10%～15%（含10%）、中级职称人员及以上职称40%～50%（含40%）。</w:t>
            </w:r>
          </w:p>
          <w:p w14:paraId="58EB7CE1">
            <w:pPr>
              <w:pStyle w:val="28"/>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【差】组织机构形式合理，指挥系统，生产及质量、绿色施工、安全、文明施工、创优达标监控系统、联络协调系统不齐全，项目管理人员内高级职称人员10%以下、中级职称人员及以上职称40%以下。</w:t>
            </w:r>
          </w:p>
        </w:tc>
      </w:tr>
      <w:tr w14:paraId="5152148C">
        <w:tblPrEx>
          <w:tblCellMar>
            <w:top w:w="0" w:type="dxa"/>
            <w:left w:w="108" w:type="dxa"/>
            <w:bottom w:w="0" w:type="dxa"/>
            <w:right w:w="108" w:type="dxa"/>
          </w:tblCellMar>
        </w:tblPrEx>
        <w:trPr>
          <w:trHeight w:val="554" w:hRule="exact"/>
          <w:jc w:val="center"/>
        </w:trPr>
        <w:tc>
          <w:tcPr>
            <w:tcW w:w="9905"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0A04FE91">
            <w:pPr>
              <w:keepNext w:val="0"/>
              <w:keepLines w:val="0"/>
              <w:widowControl w:val="0"/>
              <w:suppressLineNumbers w:val="0"/>
              <w:adjustRightInd w:val="0"/>
              <w:spacing w:before="0" w:beforeAutospacing="0" w:after="0" w:afterAutospacing="0" w:line="360" w:lineRule="auto"/>
              <w:ind w:left="0" w:right="0"/>
              <w:jc w:val="left"/>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投标报价部分，满分：100分。</w:t>
            </w:r>
          </w:p>
        </w:tc>
      </w:tr>
      <w:tr w14:paraId="67BB85ED">
        <w:tblPrEx>
          <w:tblCellMar>
            <w:top w:w="0" w:type="dxa"/>
            <w:left w:w="108" w:type="dxa"/>
            <w:bottom w:w="0" w:type="dxa"/>
            <w:right w:w="108" w:type="dxa"/>
          </w:tblCellMar>
        </w:tblPrEx>
        <w:trPr>
          <w:trHeight w:val="494" w:hRule="exac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089EF4B1">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评分事项</w:t>
            </w:r>
          </w:p>
        </w:tc>
        <w:tc>
          <w:tcPr>
            <w:tcW w:w="8713" w:type="dxa"/>
            <w:gridSpan w:val="3"/>
            <w:tcBorders>
              <w:top w:val="single" w:color="auto" w:sz="4" w:space="0"/>
              <w:left w:val="single" w:color="auto" w:sz="4" w:space="0"/>
              <w:bottom w:val="single" w:color="auto" w:sz="4" w:space="0"/>
              <w:right w:val="single" w:color="auto" w:sz="4" w:space="0"/>
            </w:tcBorders>
            <w:noWrap w:val="0"/>
            <w:vAlign w:val="center"/>
          </w:tcPr>
          <w:p w14:paraId="1563D316">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评分方法</w:t>
            </w:r>
          </w:p>
        </w:tc>
      </w:tr>
      <w:tr w14:paraId="149E2DF2">
        <w:tblPrEx>
          <w:tblCellMar>
            <w:top w:w="0" w:type="dxa"/>
            <w:left w:w="108" w:type="dxa"/>
            <w:bottom w:w="0" w:type="dxa"/>
            <w:right w:w="108" w:type="dxa"/>
          </w:tblCellMar>
        </w:tblPrEx>
        <w:trPr>
          <w:trHeight w:val="0"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2455F381">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评标基准价D</w:t>
            </w:r>
          </w:p>
        </w:tc>
        <w:tc>
          <w:tcPr>
            <w:tcW w:w="8713" w:type="dxa"/>
            <w:gridSpan w:val="3"/>
            <w:tcBorders>
              <w:top w:val="single" w:color="auto" w:sz="4" w:space="0"/>
              <w:left w:val="single" w:color="auto" w:sz="4" w:space="0"/>
              <w:bottom w:val="single" w:color="auto" w:sz="4" w:space="0"/>
              <w:right w:val="single" w:color="auto" w:sz="4" w:space="0"/>
            </w:tcBorders>
            <w:noWrap w:val="0"/>
            <w:vAlign w:val="center"/>
          </w:tcPr>
          <w:p w14:paraId="00B204D2">
            <w:pPr>
              <w:keepNext w:val="0"/>
              <w:keepLines w:val="0"/>
              <w:widowControl/>
              <w:numPr>
                <w:ilvl w:val="0"/>
                <w:numId w:val="2"/>
              </w:numPr>
              <w:suppressLineNumbers w:val="0"/>
              <w:spacing w:line="360" w:lineRule="auto"/>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确定</w:t>
            </w: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最高投标限价</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下浮系数n：用1～21号球分别代表一个下浮系数，由评委代表从这21个号码中随机抽取</w:t>
            </w:r>
            <w:r>
              <w:rPr>
                <w:rFonts w:hint="eastAsia" w:ascii="宋体" w:hAnsi="宋体" w:eastAsia="宋体" w:cs="宋体"/>
                <w:color w:val="000000" w:themeColor="text1"/>
                <w:kern w:val="0"/>
                <w:sz w:val="24"/>
                <w:szCs w:val="24"/>
                <w:highlight w:val="none"/>
                <w:u w:val="single"/>
                <w:lang w:val="en-US" w:eastAsia="zh-CN" w:bidi="ar-SA"/>
                <w14:textFill>
                  <w14:solidFill>
                    <w14:schemeClr w14:val="tx1"/>
                  </w14:solidFill>
                </w14:textFill>
              </w:rPr>
              <w:t>3</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次，每次抽取1个号码，抽出的号球不参与下次抽取。所抽取的3个号码对应下浮系数的算术平均值作为</w:t>
            </w: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最高投标限价</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下浮系数n。具体号码对应的下浮系数见下表。</w:t>
            </w:r>
          </w:p>
          <w:tbl>
            <w:tblPr>
              <w:tblStyle w:val="14"/>
              <w:tblW w:w="0" w:type="auto"/>
              <w:tblInd w:w="113" w:type="dxa"/>
              <w:tblLayout w:type="fixed"/>
              <w:tblCellMar>
                <w:top w:w="0" w:type="dxa"/>
                <w:left w:w="108" w:type="dxa"/>
                <w:bottom w:w="0" w:type="dxa"/>
                <w:right w:w="108" w:type="dxa"/>
              </w:tblCellMar>
            </w:tblPr>
            <w:tblGrid>
              <w:gridCol w:w="1725"/>
              <w:gridCol w:w="735"/>
              <w:gridCol w:w="902"/>
              <w:gridCol w:w="940"/>
              <w:gridCol w:w="922"/>
              <w:gridCol w:w="959"/>
              <w:gridCol w:w="901"/>
              <w:gridCol w:w="858"/>
            </w:tblGrid>
            <w:tr w14:paraId="5E30C41F">
              <w:trPr>
                <w:trHeight w:val="285" w:hRule="atLeast"/>
              </w:trPr>
              <w:tc>
                <w:tcPr>
                  <w:tcW w:w="172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E52C957">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号球</w:t>
                  </w:r>
                </w:p>
              </w:tc>
              <w:tc>
                <w:tcPr>
                  <w:tcW w:w="73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70D51D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w:t>
                  </w:r>
                </w:p>
              </w:tc>
              <w:tc>
                <w:tcPr>
                  <w:tcW w:w="90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F66AE5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w:t>
                  </w:r>
                </w:p>
              </w:tc>
              <w:tc>
                <w:tcPr>
                  <w:tcW w:w="94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42224C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3</w:t>
                  </w:r>
                </w:p>
              </w:tc>
              <w:tc>
                <w:tcPr>
                  <w:tcW w:w="92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A541A6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4</w:t>
                  </w:r>
                </w:p>
              </w:tc>
              <w:tc>
                <w:tcPr>
                  <w:tcW w:w="95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9C6709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5</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54E6DD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6</w:t>
                  </w:r>
                </w:p>
              </w:tc>
              <w:tc>
                <w:tcPr>
                  <w:tcW w:w="85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065806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7</w:t>
                  </w:r>
                </w:p>
              </w:tc>
            </w:tr>
            <w:tr w14:paraId="1DB4559C">
              <w:tblPrEx>
                <w:tblCellMar>
                  <w:top w:w="0" w:type="dxa"/>
                  <w:left w:w="108" w:type="dxa"/>
                  <w:bottom w:w="0" w:type="dxa"/>
                  <w:right w:w="108" w:type="dxa"/>
                </w:tblCellMar>
              </w:tblPrEx>
              <w:trPr>
                <w:trHeight w:val="347" w:hRule="atLeast"/>
              </w:trPr>
              <w:tc>
                <w:tcPr>
                  <w:tcW w:w="1725" w:type="dxa"/>
                  <w:tcBorders>
                    <w:top w:val="single" w:color="000000" w:sz="4" w:space="0"/>
                    <w:left w:val="single" w:color="000000" w:sz="4" w:space="0"/>
                    <w:bottom w:val="single" w:color="000000" w:sz="4" w:space="0"/>
                    <w:right w:val="single" w:color="000000" w:sz="4" w:space="0"/>
                  </w:tcBorders>
                  <w:noWrap w:val="0"/>
                  <w:vAlign w:val="center"/>
                </w:tcPr>
                <w:p w14:paraId="58A8A038">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下浮系数（%）</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340D907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1.0</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1789E4C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1.1</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1D74CD1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48537A3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1.3</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4FB3F77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1.4</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71EB2EB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1.5</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140708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1.6</w:t>
                  </w:r>
                </w:p>
              </w:tc>
            </w:tr>
            <w:tr w14:paraId="7E19823F">
              <w:tblPrEx>
                <w:tblCellMar>
                  <w:top w:w="0" w:type="dxa"/>
                  <w:left w:w="108" w:type="dxa"/>
                  <w:bottom w:w="0" w:type="dxa"/>
                  <w:right w:w="108" w:type="dxa"/>
                </w:tblCellMar>
              </w:tblPrEx>
              <w:trPr>
                <w:trHeight w:val="313" w:hRule="atLeast"/>
              </w:trPr>
              <w:tc>
                <w:tcPr>
                  <w:tcW w:w="172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4E9CFC9">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号球</w:t>
                  </w:r>
                </w:p>
              </w:tc>
              <w:tc>
                <w:tcPr>
                  <w:tcW w:w="73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B5E05A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8</w:t>
                  </w:r>
                </w:p>
              </w:tc>
              <w:tc>
                <w:tcPr>
                  <w:tcW w:w="90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2F09EE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9</w:t>
                  </w:r>
                </w:p>
              </w:tc>
              <w:tc>
                <w:tcPr>
                  <w:tcW w:w="94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DA7910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10</w:t>
                  </w:r>
                </w:p>
              </w:tc>
              <w:tc>
                <w:tcPr>
                  <w:tcW w:w="92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292AF9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11</w:t>
                  </w:r>
                </w:p>
              </w:tc>
              <w:tc>
                <w:tcPr>
                  <w:tcW w:w="95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4AB909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12</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C88A58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13</w:t>
                  </w:r>
                </w:p>
              </w:tc>
              <w:tc>
                <w:tcPr>
                  <w:tcW w:w="85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414E302B">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14</w:t>
                  </w:r>
                </w:p>
              </w:tc>
            </w:tr>
            <w:tr w14:paraId="759D6DD0">
              <w:tblPrEx>
                <w:tblCellMar>
                  <w:top w:w="0" w:type="dxa"/>
                  <w:left w:w="108" w:type="dxa"/>
                  <w:bottom w:w="0" w:type="dxa"/>
                  <w:right w:w="108" w:type="dxa"/>
                </w:tblCellMar>
              </w:tblPrEx>
              <w:trPr>
                <w:trHeight w:val="313" w:hRule="atLeast"/>
              </w:trPr>
              <w:tc>
                <w:tcPr>
                  <w:tcW w:w="1725" w:type="dxa"/>
                  <w:tcBorders>
                    <w:top w:val="single" w:color="000000" w:sz="4" w:space="0"/>
                    <w:left w:val="single" w:color="000000" w:sz="4" w:space="0"/>
                    <w:bottom w:val="single" w:color="000000" w:sz="4" w:space="0"/>
                    <w:right w:val="single" w:color="000000" w:sz="4" w:space="0"/>
                  </w:tcBorders>
                  <w:noWrap w:val="0"/>
                  <w:vAlign w:val="center"/>
                </w:tcPr>
                <w:p w14:paraId="755350A8">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下浮系数（%）</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2311F3B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1.7</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77D6AF7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1.8</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301CA9B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1.9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1A547E6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2.0</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9E682D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2.1</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35A8A22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2.2</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76B5C25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2.3</w:t>
                  </w:r>
                </w:p>
              </w:tc>
            </w:tr>
            <w:tr w14:paraId="5F21FF74">
              <w:tblPrEx>
                <w:tblCellMar>
                  <w:top w:w="0" w:type="dxa"/>
                  <w:left w:w="108" w:type="dxa"/>
                  <w:bottom w:w="0" w:type="dxa"/>
                  <w:right w:w="108" w:type="dxa"/>
                </w:tblCellMar>
              </w:tblPrEx>
              <w:trPr>
                <w:trHeight w:val="288" w:hRule="atLeast"/>
              </w:trPr>
              <w:tc>
                <w:tcPr>
                  <w:tcW w:w="172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1DE312F1">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号球</w:t>
                  </w:r>
                </w:p>
              </w:tc>
              <w:tc>
                <w:tcPr>
                  <w:tcW w:w="735"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25D59C8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15</w:t>
                  </w:r>
                </w:p>
              </w:tc>
              <w:tc>
                <w:tcPr>
                  <w:tcW w:w="90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65B2D5B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16</w:t>
                  </w:r>
                </w:p>
              </w:tc>
              <w:tc>
                <w:tcPr>
                  <w:tcW w:w="940"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50C295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17</w:t>
                  </w:r>
                </w:p>
              </w:tc>
              <w:tc>
                <w:tcPr>
                  <w:tcW w:w="922"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3E63DE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18</w:t>
                  </w:r>
                </w:p>
              </w:tc>
              <w:tc>
                <w:tcPr>
                  <w:tcW w:w="959"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0B19B014">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19</w:t>
                  </w:r>
                </w:p>
              </w:tc>
              <w:tc>
                <w:tcPr>
                  <w:tcW w:w="901"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390EA4D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20</w:t>
                  </w:r>
                </w:p>
              </w:tc>
              <w:tc>
                <w:tcPr>
                  <w:tcW w:w="858" w:type="dxa"/>
                  <w:tcBorders>
                    <w:top w:val="single" w:color="000000" w:sz="4" w:space="0"/>
                    <w:left w:val="single" w:color="000000" w:sz="4" w:space="0"/>
                    <w:bottom w:val="single" w:color="000000" w:sz="4" w:space="0"/>
                    <w:right w:val="single" w:color="000000" w:sz="4" w:space="0"/>
                  </w:tcBorders>
                  <w:shd w:val="clear" w:color="auto" w:fill="D7D7D7"/>
                  <w:noWrap w:val="0"/>
                  <w:vAlign w:val="center"/>
                </w:tcPr>
                <w:p w14:paraId="7B21213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21</w:t>
                  </w:r>
                </w:p>
              </w:tc>
            </w:tr>
            <w:tr w14:paraId="7C924D24">
              <w:tblPrEx>
                <w:tblCellMar>
                  <w:top w:w="0" w:type="dxa"/>
                  <w:left w:w="108" w:type="dxa"/>
                  <w:bottom w:w="0" w:type="dxa"/>
                  <w:right w:w="108" w:type="dxa"/>
                </w:tblCellMar>
              </w:tblPrEx>
              <w:trPr>
                <w:trHeight w:val="385" w:hRule="atLeast"/>
              </w:trPr>
              <w:tc>
                <w:tcPr>
                  <w:tcW w:w="1725" w:type="dxa"/>
                  <w:tcBorders>
                    <w:top w:val="single" w:color="000000" w:sz="4" w:space="0"/>
                    <w:left w:val="single" w:color="000000" w:sz="4" w:space="0"/>
                    <w:bottom w:val="single" w:color="000000" w:sz="4" w:space="0"/>
                    <w:right w:val="single" w:color="000000" w:sz="4" w:space="0"/>
                  </w:tcBorders>
                  <w:noWrap w:val="0"/>
                  <w:vAlign w:val="center"/>
                </w:tcPr>
                <w:p w14:paraId="1B60770D">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下浮系数（%）</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14:paraId="51458D7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2.4</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3370C77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2.5</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5F25AE6E">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2.6</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54FC14D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2.7</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46928668">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2.8</w:t>
                  </w:r>
                </w:p>
              </w:tc>
              <w:tc>
                <w:tcPr>
                  <w:tcW w:w="901" w:type="dxa"/>
                  <w:tcBorders>
                    <w:top w:val="single" w:color="000000" w:sz="4" w:space="0"/>
                    <w:left w:val="single" w:color="000000" w:sz="4" w:space="0"/>
                    <w:bottom w:val="single" w:color="000000" w:sz="4" w:space="0"/>
                    <w:right w:val="single" w:color="000000" w:sz="4" w:space="0"/>
                  </w:tcBorders>
                  <w:noWrap w:val="0"/>
                  <w:vAlign w:val="center"/>
                </w:tcPr>
                <w:p w14:paraId="1EB2B80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2.9</w:t>
                  </w:r>
                </w:p>
              </w:tc>
              <w:tc>
                <w:tcPr>
                  <w:tcW w:w="858" w:type="dxa"/>
                  <w:tcBorders>
                    <w:top w:val="single" w:color="000000" w:sz="4" w:space="0"/>
                    <w:left w:val="single" w:color="000000" w:sz="4" w:space="0"/>
                    <w:bottom w:val="single" w:color="000000" w:sz="4" w:space="0"/>
                    <w:right w:val="single" w:color="000000" w:sz="4" w:space="0"/>
                  </w:tcBorders>
                  <w:noWrap w:val="0"/>
                  <w:vAlign w:val="center"/>
                </w:tcPr>
                <w:p w14:paraId="5531D5B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3.0</w:t>
                  </w:r>
                </w:p>
              </w:tc>
            </w:tr>
          </w:tbl>
          <w:p w14:paraId="118A9048">
            <w:pPr>
              <w:keepNext w:val="0"/>
              <w:keepLines w:val="0"/>
              <w:widowControl w:val="0"/>
              <w:suppressLineNumbers w:val="0"/>
              <w:adjustRightInd w:val="0"/>
              <w:spacing w:before="0" w:beforeAutospacing="0" w:after="0" w:afterAutospacing="0" w:line="360" w:lineRule="auto"/>
              <w:ind w:left="0" w:right="0" w:firstLine="480" w:firstLineChars="200"/>
              <w:jc w:val="left"/>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（2）评标基准价D＝</w:t>
            </w:r>
            <w:r>
              <w:rPr>
                <w:rFonts w:hint="eastAsia" w:ascii="宋体" w:hAnsi="宋体" w:eastAsia="宋体" w:cs="宋体"/>
                <w:b/>
                <w:bCs/>
                <w:color w:val="000000" w:themeColor="text1"/>
                <w:kern w:val="0"/>
                <w:sz w:val="24"/>
                <w:szCs w:val="24"/>
                <w:highlight w:val="none"/>
                <w:lang w:val="en-US" w:eastAsia="zh-CN" w:bidi="ar-SA"/>
                <w14:textFill>
                  <w14:solidFill>
                    <w14:schemeClr w14:val="tx1"/>
                  </w14:solidFill>
                </w14:textFill>
              </w:rPr>
              <w:t>最高投标限价</w:t>
            </w: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×（1－n）</w:t>
            </w:r>
          </w:p>
        </w:tc>
      </w:tr>
      <w:tr w14:paraId="1F650416">
        <w:tblPrEx>
          <w:tblCellMar>
            <w:top w:w="0" w:type="dxa"/>
            <w:left w:w="108" w:type="dxa"/>
            <w:bottom w:w="0" w:type="dxa"/>
            <w:right w:w="108" w:type="dxa"/>
          </w:tblCellMar>
        </w:tblPrEx>
        <w:trPr>
          <w:trHeight w:val="1904" w:hRule="atLeast"/>
          <w:jc w:val="center"/>
        </w:trPr>
        <w:tc>
          <w:tcPr>
            <w:tcW w:w="1192" w:type="dxa"/>
            <w:tcBorders>
              <w:top w:val="single" w:color="auto" w:sz="4" w:space="0"/>
              <w:left w:val="single" w:color="auto" w:sz="4" w:space="0"/>
              <w:bottom w:val="single" w:color="auto" w:sz="4" w:space="0"/>
              <w:right w:val="single" w:color="auto" w:sz="4" w:space="0"/>
            </w:tcBorders>
            <w:noWrap w:val="0"/>
            <w:vAlign w:val="center"/>
          </w:tcPr>
          <w:p w14:paraId="444AF18E">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投标报价</w:t>
            </w:r>
          </w:p>
          <w:p w14:paraId="52124AF9">
            <w:pPr>
              <w:keepNext w:val="0"/>
              <w:keepLines w:val="0"/>
              <w:widowControl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得分N</w:t>
            </w:r>
          </w:p>
        </w:tc>
        <w:tc>
          <w:tcPr>
            <w:tcW w:w="8713" w:type="dxa"/>
            <w:gridSpan w:val="3"/>
            <w:tcBorders>
              <w:top w:val="single" w:color="auto" w:sz="4" w:space="0"/>
              <w:left w:val="single" w:color="auto" w:sz="4" w:space="0"/>
              <w:bottom w:val="single" w:color="auto" w:sz="4" w:space="0"/>
              <w:right w:val="single" w:color="auto" w:sz="4" w:space="0"/>
            </w:tcBorders>
            <w:noWrap w:val="0"/>
            <w:vAlign w:val="center"/>
          </w:tcPr>
          <w:p w14:paraId="4114D854">
            <w:pPr>
              <w:keepNext w:val="0"/>
              <w:keepLines w:val="0"/>
              <w:widowControl w:val="0"/>
              <w:suppressLineNumbers w:val="0"/>
              <w:adjustRightInd w:val="0"/>
              <w:spacing w:before="0" w:beforeAutospacing="0" w:after="0" w:afterAutospacing="0" w:line="360" w:lineRule="auto"/>
              <w:ind w:left="0" w:right="0" w:firstLine="480" w:firstLineChars="200"/>
              <w:jc w:val="left"/>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采用内插法计算某投标人的投标报价得分N，即当投标人的投标总价等于评标基准价时得100分，每高于评标基准价一个百分点扣1分,每低于评标基准价一个百分点扣0.5分，扣完为止。公式如下：</w:t>
            </w:r>
          </w:p>
          <w:p w14:paraId="7C716B3D">
            <w:pPr>
              <w:keepNext w:val="0"/>
              <w:keepLines w:val="0"/>
              <w:widowControl w:val="0"/>
              <w:suppressLineNumbers w:val="0"/>
              <w:adjustRightInd w:val="0"/>
              <w:spacing w:before="0" w:beforeAutospacing="0" w:after="0" w:afterAutospacing="0" w:line="360" w:lineRule="auto"/>
              <w:ind w:left="0" w:right="0" w:firstLine="480" w:firstLineChars="200"/>
              <w:jc w:val="left"/>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N＝100－（|Di－D|÷D）×100×E</w:t>
            </w:r>
          </w:p>
          <w:p w14:paraId="29AFB015">
            <w:pPr>
              <w:keepNext w:val="0"/>
              <w:keepLines w:val="0"/>
              <w:widowControl w:val="0"/>
              <w:suppressLineNumbers w:val="0"/>
              <w:adjustRightInd w:val="0"/>
              <w:spacing w:before="0" w:beforeAutospacing="0" w:after="0" w:afterAutospacing="0" w:line="360" w:lineRule="auto"/>
              <w:ind w:left="0" w:right="0" w:firstLine="480" w:firstLineChars="200"/>
              <w:jc w:val="left"/>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t>式中：D为评标基准价；Di为某投标人的投标总价；E为扣分因子，当Di＞D时，E＝1；当Di＜D时，E＝0.5。</w:t>
            </w:r>
          </w:p>
        </w:tc>
      </w:tr>
    </w:tbl>
    <w:p w14:paraId="2AF2AF2E">
      <w:pPr>
        <w:pageBreakBefore w:val="0"/>
        <w:kinsoku/>
        <w:wordWrap w:val="0"/>
        <w:overflowPunct/>
        <w:topLinePunct/>
        <w:bidi w:val="0"/>
        <w:spacing w:before="155" w:line="211" w:lineRule="auto"/>
        <w:ind w:firstLine="470" w:firstLineChars="200"/>
        <w:outlineLvl w:val="9"/>
        <w:rPr>
          <w:rFonts w:hint="eastAsia" w:ascii="宋体" w:hAnsi="宋体" w:eastAsia="宋体" w:cs="宋体"/>
          <w:color w:val="000000" w:themeColor="text1"/>
          <w:sz w:val="25"/>
          <w:szCs w:val="25"/>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15.</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6</w:t>
      </w: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.2 </w:t>
      </w:r>
      <w:r>
        <w:rPr>
          <w:rFonts w:hint="eastAsia" w:ascii="宋体" w:hAnsi="宋体" w:eastAsia="宋体" w:cs="宋体"/>
          <w:color w:val="000000" w:themeColor="text1"/>
          <w:spacing w:val="-3"/>
          <w:sz w:val="24"/>
          <w:szCs w:val="24"/>
          <w:highlight w:val="none"/>
          <w14:textFill>
            <w14:solidFill>
              <w14:schemeClr w14:val="tx1"/>
            </w14:solidFill>
          </w14:textFill>
        </w:rPr>
        <w:t>否决投标说明</w:t>
      </w:r>
      <w:bookmarkEnd w:id="131"/>
      <w:bookmarkEnd w:id="132"/>
      <w:bookmarkEnd w:id="133"/>
      <w:bookmarkEnd w:id="134"/>
    </w:p>
    <w:p w14:paraId="4C501E5E">
      <w:pPr>
        <w:pageBreakBefore w:val="0"/>
        <w:kinsoku/>
        <w:wordWrap w:val="0"/>
        <w:overflowPunct/>
        <w:topLinePunct/>
        <w:bidi w:val="0"/>
        <w:spacing w:before="150" w:line="332" w:lineRule="auto"/>
        <w:ind w:left="10" w:right="195" w:firstLine="564"/>
        <w:rPr>
          <w:rFonts w:hint="eastAsia" w:ascii="宋体" w:hAnsi="宋体" w:eastAsia="宋体" w:cs="宋体"/>
          <w:color w:val="000000" w:themeColor="text1"/>
          <w:spacing w:val="-5"/>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详细评审阶段否决投标的全部条件，在本章第四节“否决投标条件”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0F7508D0">
      <w:pPr>
        <w:pageBreakBefore w:val="0"/>
        <w:kinsoku/>
        <w:wordWrap w:val="0"/>
        <w:overflowPunct/>
        <w:topLinePunct/>
        <w:bidi w:val="0"/>
        <w:spacing w:before="59" w:line="330" w:lineRule="auto"/>
        <w:ind w:left="10" w:right="195" w:firstLine="48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000000" w:themeColor="text1"/>
          <w:spacing w:val="-3"/>
          <w:sz w:val="24"/>
          <w:szCs w:val="24"/>
          <w:highlight w:val="none"/>
          <w14:textFill>
            <w14:solidFill>
              <w14:schemeClr w14:val="tx1"/>
            </w14:solidFill>
          </w14:textFill>
        </w:rPr>
        <w:t>量化标准（或评分标准）处理，但不否决投标。</w:t>
      </w:r>
    </w:p>
    <w:p w14:paraId="38A5F23E">
      <w:pPr>
        <w:pageBreakBefore w:val="0"/>
        <w:kinsoku/>
        <w:wordWrap w:val="0"/>
        <w:overflowPunct/>
        <w:topLinePunct/>
        <w:bidi w:val="0"/>
        <w:spacing w:before="78" w:line="221" w:lineRule="auto"/>
        <w:ind w:left="496"/>
        <w:outlineLvl w:val="2"/>
        <w:rPr>
          <w:rFonts w:hint="eastAsia" w:ascii="宋体" w:hAnsi="宋体" w:eastAsia="宋体" w:cs="宋体"/>
          <w:b/>
          <w:bCs/>
          <w:color w:val="000000" w:themeColor="text1"/>
          <w:spacing w:val="-11"/>
          <w:sz w:val="24"/>
          <w:szCs w:val="24"/>
          <w:highlight w:val="none"/>
          <w14:textFill>
            <w14:solidFill>
              <w14:schemeClr w14:val="tx1"/>
            </w14:solidFill>
          </w14:textFill>
        </w:rPr>
      </w:pPr>
      <w:bookmarkStart w:id="135" w:name="bookmark137"/>
      <w:bookmarkEnd w:id="135"/>
      <w:bookmarkStart w:id="136" w:name="bookmark138"/>
      <w:bookmarkEnd w:id="136"/>
      <w:bookmarkStart w:id="137" w:name="_Toc13897"/>
      <w:bookmarkStart w:id="138" w:name="_Toc19232"/>
      <w:bookmarkStart w:id="139" w:name="_Toc18711"/>
      <w:bookmarkStart w:id="140" w:name="_Toc2769"/>
      <w:bookmarkStart w:id="141" w:name="_Toc7762"/>
      <w:bookmarkStart w:id="142" w:name="_Toc16698"/>
      <w:bookmarkStart w:id="143" w:name="_Toc10900"/>
      <w:r>
        <w:rPr>
          <w:rFonts w:hint="eastAsia" w:ascii="宋体" w:hAnsi="宋体" w:eastAsia="宋体" w:cs="宋体"/>
          <w:b/>
          <w:bCs/>
          <w:color w:val="000000" w:themeColor="text1"/>
          <w:spacing w:val="-11"/>
          <w:sz w:val="24"/>
          <w:szCs w:val="24"/>
          <w:highlight w:val="none"/>
          <w14:textFill>
            <w14:solidFill>
              <w14:schemeClr w14:val="tx1"/>
            </w14:solidFill>
          </w14:textFill>
        </w:rPr>
        <w:t>16．</w:t>
      </w:r>
      <w:bookmarkEnd w:id="137"/>
      <w:bookmarkEnd w:id="138"/>
      <w:bookmarkEnd w:id="139"/>
      <w:bookmarkEnd w:id="140"/>
      <w:bookmarkEnd w:id="141"/>
      <w:r>
        <w:rPr>
          <w:rFonts w:hint="eastAsia" w:ascii="宋体" w:hAnsi="宋体" w:eastAsia="宋体" w:cs="宋体"/>
          <w:b/>
          <w:bCs/>
          <w:color w:val="000000" w:themeColor="text1"/>
          <w:spacing w:val="-11"/>
          <w:sz w:val="24"/>
          <w:szCs w:val="24"/>
          <w:highlight w:val="none"/>
          <w:lang w:eastAsia="zh-CN"/>
          <w14:textFill>
            <w14:solidFill>
              <w14:schemeClr w14:val="tx1"/>
            </w14:solidFill>
          </w14:textFill>
        </w:rPr>
        <w:t>评标结果公示</w:t>
      </w:r>
      <w:bookmarkEnd w:id="142"/>
      <w:bookmarkEnd w:id="143"/>
    </w:p>
    <w:p w14:paraId="49617325">
      <w:pPr>
        <w:keepNext w:val="0"/>
        <w:keepLines w:val="0"/>
        <w:pageBreakBefore w:val="0"/>
        <w:widowControl w:val="0"/>
        <w:kinsoku/>
        <w:wordWrap w:val="0"/>
        <w:overflowPunct/>
        <w:topLinePunct/>
        <w:autoSpaceDE/>
        <w:autoSpaceDN/>
        <w:bidi w:val="0"/>
        <w:adjustRightInd/>
        <w:snapToGrid/>
        <w:spacing w:line="440" w:lineRule="exact"/>
        <w:ind w:firstLine="482" w:firstLineChars="20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16.1</w:t>
      </w: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评标委员会按照</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投标人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评审综合总得分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由</w:t>
      </w:r>
      <w:r>
        <w:rPr>
          <w:rFonts w:hint="eastAsia" w:ascii="宋体" w:hAnsi="宋体" w:eastAsia="宋体" w:cs="宋体"/>
          <w:snapToGrid w:val="0"/>
          <w:color w:val="000000" w:themeColor="text1"/>
          <w:kern w:val="0"/>
          <w:sz w:val="24"/>
          <w:szCs w:val="24"/>
          <w:highlight w:val="none"/>
          <w14:textFill>
            <w14:solidFill>
              <w14:schemeClr w14:val="tx1"/>
            </w14:solidFill>
          </w14:textFill>
        </w:rPr>
        <w:t>高</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到</w:t>
      </w:r>
      <w:r>
        <w:rPr>
          <w:rFonts w:hint="eastAsia" w:ascii="宋体" w:hAnsi="宋体" w:eastAsia="宋体" w:cs="宋体"/>
          <w:snapToGrid w:val="0"/>
          <w:color w:val="000000" w:themeColor="text1"/>
          <w:kern w:val="0"/>
          <w:sz w:val="24"/>
          <w:szCs w:val="24"/>
          <w:highlight w:val="none"/>
          <w14:textFill>
            <w14:solidFill>
              <w14:schemeClr w14:val="tx1"/>
            </w14:solidFill>
          </w14:textFill>
        </w:rPr>
        <w:t>低的</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原则</w:t>
      </w:r>
      <w:r>
        <w:rPr>
          <w:rFonts w:hint="eastAsia" w:ascii="宋体" w:hAnsi="宋体" w:eastAsia="宋体" w:cs="宋体"/>
          <w:snapToGrid w:val="0"/>
          <w:color w:val="000000" w:themeColor="text1"/>
          <w:kern w:val="0"/>
          <w:sz w:val="24"/>
          <w:szCs w:val="24"/>
          <w:highlight w:val="none"/>
          <w14:textFill>
            <w14:solidFill>
              <w14:schemeClr w14:val="tx1"/>
            </w14:solidFill>
          </w14:textFill>
        </w:rPr>
        <w:t>,向招标人推荐</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已明确的</w:t>
      </w:r>
      <w:r>
        <w:rPr>
          <w:rFonts w:hint="eastAsia" w:ascii="宋体" w:hAnsi="宋体" w:eastAsia="宋体" w:cs="宋体"/>
          <w:snapToGrid w:val="0"/>
          <w:color w:val="000000" w:themeColor="text1"/>
          <w:kern w:val="0"/>
          <w:sz w:val="24"/>
          <w:szCs w:val="24"/>
          <w:highlight w:val="none"/>
          <w14:textFill>
            <w14:solidFill>
              <w14:schemeClr w14:val="tx1"/>
            </w14:solidFill>
          </w14:textFill>
        </w:rPr>
        <w:t>定标候选人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数量</w:t>
      </w:r>
      <w:r>
        <w:rPr>
          <w:rFonts w:hint="eastAsia" w:ascii="宋体" w:hAnsi="宋体" w:eastAsia="宋体" w:cs="宋体"/>
          <w:snapToGrid w:val="0"/>
          <w:color w:val="000000" w:themeColor="text1"/>
          <w:kern w:val="0"/>
          <w:sz w:val="24"/>
          <w:szCs w:val="24"/>
          <w:highlight w:val="none"/>
          <w14:textFill>
            <w14:solidFill>
              <w14:schemeClr w14:val="tx1"/>
            </w14:solidFill>
          </w14:textFill>
        </w:rPr>
        <w:t>（不</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标明</w:t>
      </w:r>
      <w:r>
        <w:rPr>
          <w:rFonts w:hint="eastAsia" w:ascii="宋体" w:hAnsi="宋体" w:eastAsia="宋体" w:cs="宋体"/>
          <w:snapToGrid w:val="0"/>
          <w:color w:val="000000" w:themeColor="text1"/>
          <w:kern w:val="0"/>
          <w:sz w:val="24"/>
          <w:szCs w:val="24"/>
          <w:highlight w:val="none"/>
          <w14:textFill>
            <w14:solidFill>
              <w14:schemeClr w14:val="tx1"/>
            </w14:solidFill>
          </w14:textFill>
        </w:rPr>
        <w:t>排序）</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评标委员会推荐定标候选人后，</w:t>
      </w:r>
      <w:r>
        <w:rPr>
          <w:rFonts w:hint="eastAsia" w:ascii="宋体" w:hAnsi="宋体" w:eastAsia="宋体" w:cs="宋体"/>
          <w:snapToGrid w:val="0"/>
          <w:color w:val="000000" w:themeColor="text1"/>
          <w:kern w:val="0"/>
          <w:sz w:val="24"/>
          <w:szCs w:val="24"/>
          <w:highlight w:val="none"/>
          <w14:textFill>
            <w14:solidFill>
              <w14:schemeClr w14:val="tx1"/>
            </w14:solidFill>
          </w14:textFill>
        </w:rPr>
        <w:t>招标人应</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于评标会结束后</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3日内将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定</w:t>
      </w:r>
      <w:r>
        <w:rPr>
          <w:rFonts w:hint="eastAsia" w:ascii="宋体" w:hAnsi="宋体" w:eastAsia="宋体" w:cs="宋体"/>
          <w:snapToGrid w:val="0"/>
          <w:color w:val="000000" w:themeColor="text1"/>
          <w:kern w:val="0"/>
          <w:sz w:val="24"/>
          <w:szCs w:val="24"/>
          <w:highlight w:val="none"/>
          <w14:textFill>
            <w14:solidFill>
              <w14:schemeClr w14:val="tx1"/>
            </w14:solidFill>
          </w14:textFill>
        </w:rPr>
        <w:t>标候选</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人和评标情况</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在广东省招标投标监管网和</w:t>
      </w:r>
      <w:r>
        <w:rPr>
          <w:rFonts w:hint="eastAsia" w:ascii="宋体" w:hAnsi="宋体" w:eastAsia="宋体" w:cs="宋体"/>
          <w:snapToGrid w:val="0"/>
          <w:color w:val="000000" w:themeColor="text1"/>
          <w:kern w:val="0"/>
          <w:sz w:val="24"/>
          <w:szCs w:val="24"/>
          <w:highlight w:val="none"/>
          <w14:textFill>
            <w14:solidFill>
              <w14:schemeClr w14:val="tx1"/>
            </w14:solidFill>
          </w14:textFill>
        </w:rPr>
        <w:t>韶关市公共资源交易中心</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建设工程交易系统</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上</w:t>
      </w:r>
      <w:r>
        <w:rPr>
          <w:rFonts w:hint="eastAsia" w:ascii="宋体" w:hAnsi="宋体" w:eastAsia="宋体" w:cs="宋体"/>
          <w:snapToGrid w:val="0"/>
          <w:color w:val="000000" w:themeColor="text1"/>
          <w:kern w:val="0"/>
          <w:sz w:val="24"/>
          <w:szCs w:val="24"/>
          <w:highlight w:val="none"/>
          <w14:textFill>
            <w14:solidFill>
              <w14:schemeClr w14:val="tx1"/>
            </w14:solidFill>
          </w14:textFill>
        </w:rPr>
        <w:t>公示</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公示时间不少于3日。</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公示主要内容包括：（</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6D3A46AB">
      <w:pPr>
        <w:pageBreakBefore w:val="0"/>
        <w:kinsoku/>
        <w:wordWrap w:val="0"/>
        <w:overflowPunct/>
        <w:topLinePunct/>
        <w:bidi w:val="0"/>
        <w:rPr>
          <w:rFonts w:hint="eastAsia"/>
          <w:color w:val="000000" w:themeColor="text1"/>
          <w:highlight w:val="none"/>
          <w14:textFill>
            <w14:solidFill>
              <w14:schemeClr w14:val="tx1"/>
            </w14:solidFill>
          </w14:textFill>
        </w:rPr>
      </w:pPr>
    </w:p>
    <w:p w14:paraId="582A782A">
      <w:pPr>
        <w:pageBreakBefore w:val="0"/>
        <w:kinsoku/>
        <w:wordWrap w:val="0"/>
        <w:overflowPunct/>
        <w:topLinePunct/>
        <w:bidi w:val="0"/>
        <w:rPr>
          <w:rFonts w:hint="eastAsia"/>
          <w:color w:val="000000" w:themeColor="text1"/>
          <w:highlight w:val="none"/>
          <w14:textFill>
            <w14:solidFill>
              <w14:schemeClr w14:val="tx1"/>
            </w14:solidFill>
          </w14:textFill>
        </w:rPr>
      </w:pPr>
    </w:p>
    <w:p w14:paraId="675A09FE">
      <w:pPr>
        <w:pageBreakBefore w:val="0"/>
        <w:kinsoku/>
        <w:wordWrap w:val="0"/>
        <w:overflowPunct/>
        <w:topLinePunct/>
        <w:bidi w:val="0"/>
        <w:rPr>
          <w:rFonts w:hint="eastAsia" w:ascii="宋体" w:hAnsi="宋体" w:eastAsia="宋体" w:cs="宋体"/>
          <w:b/>
          <w:bCs/>
          <w:color w:val="000000" w:themeColor="text1"/>
          <w:spacing w:val="-3"/>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br w:type="page"/>
      </w:r>
    </w:p>
    <w:p w14:paraId="34096A9E">
      <w:pPr>
        <w:pageBreakBefore w:val="0"/>
        <w:kinsoku/>
        <w:wordWrap w:val="0"/>
        <w:overflowPunct/>
        <w:topLinePunct/>
        <w:bidi w:val="0"/>
        <w:spacing w:before="78" w:line="220" w:lineRule="auto"/>
        <w:ind w:left="9"/>
        <w:jc w:val="center"/>
        <w:outlineLvl w:val="1"/>
        <w:rPr>
          <w:rFonts w:hint="eastAsia" w:ascii="宋体" w:hAnsi="宋体" w:eastAsia="宋体" w:cs="宋体"/>
          <w:color w:val="000000" w:themeColor="text1"/>
          <w:sz w:val="24"/>
          <w:szCs w:val="24"/>
          <w:highlight w:val="none"/>
          <w14:textFill>
            <w14:solidFill>
              <w14:schemeClr w14:val="tx1"/>
            </w14:solidFill>
          </w14:textFill>
        </w:rPr>
      </w:pPr>
      <w:bookmarkStart w:id="144" w:name="_Toc6424"/>
      <w:r>
        <w:rPr>
          <w:rFonts w:hint="eastAsia" w:ascii="宋体" w:hAnsi="宋体" w:eastAsia="宋体" w:cs="宋体"/>
          <w:b/>
          <w:bCs/>
          <w:color w:val="000000" w:themeColor="text1"/>
          <w:spacing w:val="-3"/>
          <w:sz w:val="24"/>
          <w:szCs w:val="24"/>
          <w:highlight w:val="none"/>
          <w14:textFill>
            <w14:solidFill>
              <w14:schemeClr w14:val="tx1"/>
            </w14:solidFill>
          </w14:textFill>
        </w:rPr>
        <w:t>第四节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否决投标条件</w:t>
      </w:r>
      <w:bookmarkEnd w:id="144"/>
    </w:p>
    <w:p w14:paraId="3AAE3A04">
      <w:pPr>
        <w:pStyle w:val="5"/>
        <w:pageBreakBefore w:val="0"/>
        <w:kinsoku/>
        <w:wordWrap w:val="0"/>
        <w:overflowPunct/>
        <w:topLinePunct/>
        <w:bidi w:val="0"/>
        <w:spacing w:line="256" w:lineRule="auto"/>
        <w:rPr>
          <w:rFonts w:hint="eastAsia" w:ascii="宋体" w:hAnsi="宋体" w:eastAsia="宋体" w:cs="宋体"/>
          <w:color w:val="000000" w:themeColor="text1"/>
          <w:highlight w:val="none"/>
          <w14:textFill>
            <w14:solidFill>
              <w14:schemeClr w14:val="tx1"/>
            </w14:solidFill>
          </w14:textFill>
        </w:rPr>
      </w:pPr>
    </w:p>
    <w:p w14:paraId="7A14E447">
      <w:pPr>
        <w:pageBreakBefore w:val="0"/>
        <w:kinsoku/>
        <w:wordWrap w:val="0"/>
        <w:overflowPunct/>
        <w:topLinePunct/>
        <w:bidi w:val="0"/>
        <w:spacing w:before="78" w:line="330" w:lineRule="auto"/>
        <w:ind w:left="10" w:right="65"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本节所集中列示的否决投标条件，是本章第三节“投标人须知正文”的组成部分，</w:t>
      </w:r>
      <w:r>
        <w:rPr>
          <w:rFonts w:hint="eastAsia" w:ascii="宋体" w:hAnsi="宋体" w:eastAsia="宋体" w:cs="宋体"/>
          <w:color w:val="000000" w:themeColor="text1"/>
          <w:spacing w:val="-2"/>
          <w:sz w:val="24"/>
          <w:szCs w:val="24"/>
          <w:highlight w:val="none"/>
          <w14:textFill>
            <w14:solidFill>
              <w14:schemeClr w14:val="tx1"/>
            </w14:solidFill>
          </w14:textFill>
        </w:rPr>
        <w:t>是对本章第三节所规定的否决投标条件的总</w:t>
      </w:r>
      <w:r>
        <w:rPr>
          <w:rFonts w:hint="eastAsia" w:ascii="宋体" w:hAnsi="宋体" w:eastAsia="宋体" w:cs="宋体"/>
          <w:color w:val="000000" w:themeColor="text1"/>
          <w:spacing w:val="-3"/>
          <w:sz w:val="24"/>
          <w:szCs w:val="24"/>
          <w:highlight w:val="none"/>
          <w14:textFill>
            <w14:solidFill>
              <w14:schemeClr w14:val="tx1"/>
            </w14:solidFill>
          </w14:textFill>
        </w:rPr>
        <w:t>结和补充。</w:t>
      </w:r>
      <w:r>
        <w:rPr>
          <w:rFonts w:hint="eastAsia" w:ascii="宋体" w:hAnsi="宋体" w:eastAsia="宋体" w:cs="宋体"/>
          <w:b/>
          <w:bCs/>
          <w:color w:val="000000" w:themeColor="text1"/>
          <w:spacing w:val="-3"/>
          <w:sz w:val="24"/>
          <w:szCs w:val="24"/>
          <w:highlight w:val="none"/>
          <w14:textFill>
            <w14:solidFill>
              <w14:schemeClr w14:val="tx1"/>
            </w14:solidFill>
          </w14:textFill>
        </w:rPr>
        <w:t>投标人未有列入本节情形的，评</w:t>
      </w:r>
      <w:r>
        <w:rPr>
          <w:rFonts w:hint="eastAsia" w:ascii="宋体" w:hAnsi="宋体" w:eastAsia="宋体" w:cs="宋体"/>
          <w:b/>
          <w:bCs/>
          <w:color w:val="000000" w:themeColor="text1"/>
          <w:spacing w:val="-2"/>
          <w:sz w:val="24"/>
          <w:szCs w:val="24"/>
          <w:highlight w:val="none"/>
          <w14:textFill>
            <w14:solidFill>
              <w14:schemeClr w14:val="tx1"/>
            </w14:solidFill>
          </w14:textFill>
        </w:rPr>
        <w:t>标时一律不得否决其投标。</w:t>
      </w:r>
      <w:r>
        <w:rPr>
          <w:rFonts w:hint="eastAsia" w:ascii="宋体" w:hAnsi="宋体" w:eastAsia="宋体" w:cs="宋体"/>
          <w:color w:val="000000" w:themeColor="text1"/>
          <w:spacing w:val="-2"/>
          <w:sz w:val="24"/>
          <w:szCs w:val="24"/>
          <w:highlight w:val="none"/>
          <w14:textFill>
            <w14:solidFill>
              <w14:schemeClr w14:val="tx1"/>
            </w14:solidFill>
          </w14:textFill>
        </w:rPr>
        <w:t>本节所称“规定”均指招标文件的规</w:t>
      </w:r>
      <w:r>
        <w:rPr>
          <w:rFonts w:hint="eastAsia" w:ascii="宋体" w:hAnsi="宋体" w:eastAsia="宋体" w:cs="宋体"/>
          <w:color w:val="000000" w:themeColor="text1"/>
          <w:spacing w:val="-3"/>
          <w:sz w:val="24"/>
          <w:szCs w:val="24"/>
          <w:highlight w:val="none"/>
          <w14:textFill>
            <w14:solidFill>
              <w14:schemeClr w14:val="tx1"/>
            </w14:solidFill>
          </w14:textFill>
        </w:rPr>
        <w:t>定。</w:t>
      </w:r>
    </w:p>
    <w:p w14:paraId="588C96FC">
      <w:pPr>
        <w:pageBreakBefore w:val="0"/>
        <w:kinsoku/>
        <w:wordWrap w:val="0"/>
        <w:overflowPunct/>
        <w:topLinePunct/>
        <w:bidi w:val="0"/>
        <w:spacing w:before="34" w:line="220" w:lineRule="auto"/>
        <w:ind w:left="49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45" w:name="_Toc17772"/>
      <w:r>
        <w:rPr>
          <w:rFonts w:hint="eastAsia" w:ascii="宋体" w:hAnsi="宋体" w:eastAsia="宋体" w:cs="宋体"/>
          <w:b/>
          <w:bCs/>
          <w:color w:val="000000" w:themeColor="text1"/>
          <w:spacing w:val="-8"/>
          <w:sz w:val="24"/>
          <w:szCs w:val="24"/>
          <w:highlight w:val="none"/>
          <w14:textFill>
            <w14:solidFill>
              <w14:schemeClr w14:val="tx1"/>
            </w14:solidFill>
          </w14:textFill>
        </w:rPr>
        <w:t>1．资格评审环节</w:t>
      </w:r>
      <w:bookmarkEnd w:id="145"/>
    </w:p>
    <w:p w14:paraId="3B6E0F64">
      <w:pPr>
        <w:pageBreakBefore w:val="0"/>
        <w:kinsoku/>
        <w:wordWrap w:val="0"/>
        <w:overflowPunct/>
        <w:topLinePunct/>
        <w:bidi w:val="0"/>
        <w:spacing w:before="150" w:line="280" w:lineRule="auto"/>
        <w:ind w:right="200" w:firstLine="492"/>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投标人有下列情形之一的，评标委员会应否决其投标。被否决的投标人，不进入形</w:t>
      </w:r>
      <w:r>
        <w:rPr>
          <w:rFonts w:hint="eastAsia" w:ascii="宋体" w:hAnsi="宋体" w:eastAsia="宋体" w:cs="宋体"/>
          <w:color w:val="000000" w:themeColor="text1"/>
          <w:spacing w:val="-3"/>
          <w:sz w:val="24"/>
          <w:szCs w:val="24"/>
          <w:highlight w:val="none"/>
          <w14:textFill>
            <w14:solidFill>
              <w14:schemeClr w14:val="tx1"/>
            </w14:solidFill>
          </w14:textFill>
        </w:rPr>
        <w:t>式评审环节。</w:t>
      </w:r>
    </w:p>
    <w:p w14:paraId="1F99ED79">
      <w:pPr>
        <w:keepNext w:val="0"/>
        <w:keepLines w:val="0"/>
        <w:pageBreakBefore w:val="0"/>
        <w:widowControl/>
        <w:kinsoku/>
        <w:wordWrap w:val="0"/>
        <w:overflowPunct/>
        <w:topLinePunct/>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（1）有本章第三节第2.4条“禁止投标条款”规定的任何一种情形；</w:t>
      </w:r>
    </w:p>
    <w:p w14:paraId="58A14423">
      <w:pPr>
        <w:keepNext w:val="0"/>
        <w:keepLines w:val="0"/>
        <w:pageBreakBefore w:val="0"/>
        <w:widowControl/>
        <w:kinsoku/>
        <w:wordWrap w:val="0"/>
        <w:overflowPunct/>
        <w:topLinePunct/>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（2）投标人资质不符合规定的；</w:t>
      </w:r>
    </w:p>
    <w:p w14:paraId="0C83FE0B">
      <w:pPr>
        <w:keepNext w:val="0"/>
        <w:keepLines w:val="0"/>
        <w:pageBreakBefore w:val="0"/>
        <w:widowControl/>
        <w:kinsoku/>
        <w:wordWrap w:val="0"/>
        <w:overflowPunct/>
        <w:topLinePunct/>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人名称与营业执照、资质证书、安全生产许可证上的企业名称相互不一致的；其资质证书、安全生产许可证不是由住房城乡建设主管部门颁发的；营业执照、资质证书、安全生产许可证（含实时网页查询页，可参考网址https</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//zlaq.mohurd.gov.cn/fwmh/bjxcjgl/fwmh/pages/construction_safety/qyaqscxkz/qyaqscxkz）被吊销、暂扣或不在有效期内的；</w:t>
      </w:r>
    </w:p>
    <w:p w14:paraId="1FB7091A">
      <w:pPr>
        <w:keepNext w:val="0"/>
        <w:keepLines w:val="0"/>
        <w:pageBreakBefore w:val="0"/>
        <w:widowControl/>
        <w:kinsoku/>
        <w:wordWrap w:val="0"/>
        <w:overflowPunct/>
        <w:topLinePunct/>
        <w:autoSpaceDE w:val="0"/>
        <w:autoSpaceDN w:val="0"/>
        <w:bidi w:val="0"/>
        <w:adjustRightInd w:val="0"/>
        <w:snapToGrid w:val="0"/>
        <w:spacing w:line="360" w:lineRule="auto"/>
        <w:ind w:right="198" w:firstLine="492"/>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77D53082">
      <w:pPr>
        <w:keepNext w:val="0"/>
        <w:keepLines w:val="0"/>
        <w:pageBreakBefore w:val="0"/>
        <w:widowControl/>
        <w:kinsoku/>
        <w:wordWrap w:val="0"/>
        <w:overflowPunct/>
        <w:topLinePunct/>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（4）拟派项目经理、项目技术负责人、专职安全员的条件不符合规定的；拟派专职安全员数量不符合规定的；项目技术负责人未在投标文件《项目技术负责人简历表》中签字确认。</w:t>
      </w:r>
    </w:p>
    <w:p w14:paraId="2B1FCE0D">
      <w:pPr>
        <w:keepNext w:val="0"/>
        <w:keepLines w:val="0"/>
        <w:pageBreakBefore w:val="0"/>
        <w:widowControl/>
        <w:kinsoku/>
        <w:wordWrap w:val="0"/>
        <w:overflowPunct/>
        <w:topLinePunct/>
        <w:autoSpaceDE w:val="0"/>
        <w:autoSpaceDN w:val="0"/>
        <w:bidi w:val="0"/>
        <w:adjustRightInd w:val="0"/>
        <w:snapToGrid w:val="0"/>
        <w:spacing w:line="360" w:lineRule="auto"/>
        <w:ind w:right="198" w:firstLine="492"/>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温馨提示：建造师打印电子证书后，应在个人签名处手写本人签名，未手写签名或与签名图像笔迹不一致的，该电子证书无效。</w:t>
      </w:r>
    </w:p>
    <w:p w14:paraId="79F22559">
      <w:pPr>
        <w:keepNext w:val="0"/>
        <w:keepLines w:val="0"/>
        <w:pageBreakBefore w:val="0"/>
        <w:widowControl/>
        <w:kinsoku/>
        <w:wordWrap w:val="0"/>
        <w:overflowPunct/>
        <w:topLinePunct/>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71998E8">
      <w:pPr>
        <w:keepNext w:val="0"/>
        <w:keepLines w:val="0"/>
        <w:pageBreakBefore w:val="0"/>
        <w:widowControl/>
        <w:kinsoku/>
        <w:wordWrap w:val="0"/>
        <w:overflowPunct/>
        <w:topLinePunct/>
        <w:autoSpaceDE w:val="0"/>
        <w:autoSpaceDN w:val="0"/>
        <w:bidi w:val="0"/>
        <w:adjustRightInd w:val="0"/>
        <w:snapToGrid w:val="0"/>
        <w:spacing w:line="360" w:lineRule="auto"/>
        <w:ind w:right="198" w:firstLine="492"/>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注：投标人已经工商变更，但其员工执业资格注册证书的注册单位名称未完成变更的，不得否决其投标。</w:t>
      </w:r>
    </w:p>
    <w:p w14:paraId="5FE7619B">
      <w:pPr>
        <w:keepNext w:val="0"/>
        <w:keepLines w:val="0"/>
        <w:pageBreakBefore w:val="0"/>
        <w:widowControl/>
        <w:kinsoku/>
        <w:wordWrap w:val="0"/>
        <w:overflowPunct/>
        <w:topLinePunct/>
        <w:autoSpaceDE w:val="0"/>
        <w:autoSpaceDN w:val="0"/>
        <w:bidi w:val="0"/>
        <w:adjustRightInd w:val="0"/>
        <w:snapToGrid w:val="0"/>
        <w:spacing w:line="360" w:lineRule="auto"/>
        <w:ind w:right="198" w:firstLine="492"/>
        <w:textAlignment w:val="baseline"/>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鉴于目前继续教育开展的实际情况，建筑和市政工程施工现场专业人员（例如：施工员、质量员、材料员、资料员）的岗位证书或培训证书不审查其证书的有效期。</w:t>
      </w:r>
    </w:p>
    <w:p w14:paraId="16E9B4B7">
      <w:pPr>
        <w:keepNext w:val="0"/>
        <w:keepLines w:val="0"/>
        <w:pageBreakBefore w:val="0"/>
        <w:widowControl/>
        <w:kinsoku/>
        <w:wordWrap w:val="0"/>
        <w:overflowPunct/>
        <w:topLinePunct/>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（6）招标文件规定不接受联合体投标，但以联合体投标的；</w:t>
      </w:r>
    </w:p>
    <w:p w14:paraId="7F51D645">
      <w:pPr>
        <w:keepNext w:val="0"/>
        <w:keepLines w:val="0"/>
        <w:pageBreakBefore w:val="0"/>
        <w:widowControl/>
        <w:kinsoku/>
        <w:wordWrap w:val="0"/>
        <w:overflowPunct/>
        <w:topLinePunct/>
        <w:autoSpaceDE w:val="0"/>
        <w:autoSpaceDN w:val="0"/>
        <w:bidi w:val="0"/>
        <w:adjustRightInd w:val="0"/>
        <w:snapToGrid w:val="0"/>
        <w:spacing w:line="360" w:lineRule="auto"/>
        <w:ind w:right="198" w:firstLine="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）投标人为外省建筑企业，但未提供“进粤企业和人员诚信信息登记平台”企业和拟派人员信息情况打印页或网页截图的。</w:t>
      </w:r>
    </w:p>
    <w:p w14:paraId="7D55E01A">
      <w:pPr>
        <w:pageBreakBefore w:val="0"/>
        <w:kinsoku/>
        <w:wordWrap w:val="0"/>
        <w:overflowPunct/>
        <w:topLinePunct/>
        <w:bidi w:val="0"/>
        <w:spacing w:before="154" w:line="221" w:lineRule="auto"/>
        <w:ind w:left="477"/>
        <w:outlineLvl w:val="2"/>
        <w:rPr>
          <w:rFonts w:hint="eastAsia" w:ascii="宋体" w:hAnsi="宋体" w:eastAsia="宋体" w:cs="宋体"/>
          <w:color w:val="000000" w:themeColor="text1"/>
          <w:sz w:val="24"/>
          <w:szCs w:val="24"/>
          <w:highlight w:val="none"/>
          <w14:textFill>
            <w14:solidFill>
              <w14:schemeClr w14:val="tx1"/>
            </w14:solidFill>
          </w14:textFill>
        </w:rPr>
      </w:pPr>
      <w:bookmarkStart w:id="146" w:name="_Toc28378"/>
      <w:r>
        <w:rPr>
          <w:rFonts w:hint="eastAsia" w:ascii="宋体" w:hAnsi="宋体" w:eastAsia="宋体" w:cs="宋体"/>
          <w:b/>
          <w:bCs/>
          <w:color w:val="000000" w:themeColor="text1"/>
          <w:spacing w:val="-7"/>
          <w:sz w:val="24"/>
          <w:szCs w:val="24"/>
          <w:highlight w:val="none"/>
          <w14:textFill>
            <w14:solidFill>
              <w14:schemeClr w14:val="tx1"/>
            </w14:solidFill>
          </w14:textFill>
        </w:rPr>
        <w:t>2．形式评审环节</w:t>
      </w:r>
      <w:bookmarkEnd w:id="146"/>
    </w:p>
    <w:p w14:paraId="6B41F89E">
      <w:pPr>
        <w:keepNext w:val="0"/>
        <w:keepLines w:val="0"/>
        <w:pageBreakBefore w:val="0"/>
        <w:widowControl/>
        <w:kinsoku/>
        <w:wordWrap w:val="0"/>
        <w:overflowPunct/>
        <w:topLinePunct/>
        <w:autoSpaceDE w:val="0"/>
        <w:autoSpaceDN w:val="0"/>
        <w:bidi w:val="0"/>
        <w:adjustRightInd w:val="0"/>
        <w:snapToGrid w:val="0"/>
        <w:spacing w:line="360" w:lineRule="auto"/>
        <w:ind w:right="200" w:firstLine="48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投标人有下列情形之一的，评标委员会应否决其投标。被否决的投标人，不进入响应性评审环节。</w:t>
      </w:r>
    </w:p>
    <w:p w14:paraId="1B2939CF">
      <w:pPr>
        <w:keepNext w:val="0"/>
        <w:keepLines w:val="0"/>
        <w:pageBreakBefore w:val="0"/>
        <w:widowControl/>
        <w:kinsoku/>
        <w:wordWrap w:val="0"/>
        <w:overflowPunct/>
        <w:topLinePunct/>
        <w:autoSpaceDE w:val="0"/>
        <w:autoSpaceDN w:val="0"/>
        <w:bidi w:val="0"/>
        <w:adjustRightInd w:val="0"/>
        <w:snapToGrid w:val="0"/>
        <w:spacing w:line="360" w:lineRule="auto"/>
        <w:ind w:left="49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（1）各分册没按招标文件规定加盖电子印章；</w:t>
      </w:r>
    </w:p>
    <w:p w14:paraId="1D81C3AD">
      <w:pPr>
        <w:keepNext w:val="0"/>
        <w:keepLines w:val="0"/>
        <w:pageBreakBefore w:val="0"/>
        <w:widowControl/>
        <w:kinsoku/>
        <w:wordWrap w:val="0"/>
        <w:overflowPunct/>
        <w:topLinePunct/>
        <w:autoSpaceDE w:val="0"/>
        <w:autoSpaceDN w:val="0"/>
        <w:bidi w:val="0"/>
        <w:adjustRightInd w:val="0"/>
        <w:snapToGrid w:val="0"/>
        <w:spacing w:line="360" w:lineRule="auto"/>
        <w:ind w:left="1" w:right="200" w:firstLine="49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（2）本章第三节第</w:t>
      </w:r>
      <w:r>
        <w:rPr>
          <w:rFonts w:hint="eastAsia" w:ascii="宋体" w:hAnsi="宋体" w:eastAsia="宋体" w:cs="宋体"/>
          <w:b/>
          <w:bCs/>
          <w:color w:val="000000" w:themeColor="text1"/>
          <w:spacing w:val="-8"/>
          <w:sz w:val="24"/>
          <w:szCs w:val="24"/>
          <w:highlight w:val="none"/>
          <w14:textFill>
            <w14:solidFill>
              <w14:schemeClr w14:val="tx1"/>
            </w14:solidFill>
          </w14:textFill>
        </w:rPr>
        <w:t>10.2.2</w:t>
      </w:r>
      <w:r>
        <w:rPr>
          <w:rFonts w:hint="eastAsia" w:ascii="宋体" w:hAnsi="宋体" w:eastAsia="宋体" w:cs="宋体"/>
          <w:color w:val="000000" w:themeColor="text1"/>
          <w:spacing w:val="-8"/>
          <w:sz w:val="24"/>
          <w:szCs w:val="24"/>
          <w:highlight w:val="none"/>
          <w14:textFill>
            <w14:solidFill>
              <w14:schemeClr w14:val="tx1"/>
            </w14:solidFill>
          </w14:textFill>
        </w:rPr>
        <w:t>目、第</w:t>
      </w:r>
      <w:r>
        <w:rPr>
          <w:rFonts w:hint="eastAsia" w:ascii="宋体" w:hAnsi="宋体" w:eastAsia="宋体" w:cs="宋体"/>
          <w:b/>
          <w:bCs/>
          <w:color w:val="000000" w:themeColor="text1"/>
          <w:spacing w:val="-8"/>
          <w:sz w:val="24"/>
          <w:szCs w:val="24"/>
          <w:highlight w:val="none"/>
          <w14:textFill>
            <w14:solidFill>
              <w14:schemeClr w14:val="tx1"/>
            </w14:solidFill>
          </w14:textFill>
        </w:rPr>
        <w:t>10.3.2</w:t>
      </w:r>
      <w:r>
        <w:rPr>
          <w:rFonts w:hint="eastAsia" w:ascii="宋体" w:hAnsi="宋体" w:eastAsia="宋体" w:cs="宋体"/>
          <w:color w:val="000000" w:themeColor="text1"/>
          <w:spacing w:val="-8"/>
          <w:sz w:val="24"/>
          <w:szCs w:val="24"/>
          <w:highlight w:val="none"/>
          <w14:textFill>
            <w14:solidFill>
              <w14:schemeClr w14:val="tx1"/>
            </w14:solidFill>
          </w14:textFill>
        </w:rPr>
        <w:t>目、第</w:t>
      </w:r>
      <w:r>
        <w:rPr>
          <w:rFonts w:hint="eastAsia" w:ascii="宋体" w:hAnsi="宋体" w:eastAsia="宋体" w:cs="宋体"/>
          <w:b/>
          <w:bCs/>
          <w:color w:val="000000" w:themeColor="text1"/>
          <w:spacing w:val="-8"/>
          <w:sz w:val="24"/>
          <w:szCs w:val="24"/>
          <w:highlight w:val="none"/>
          <w14:textFill>
            <w14:solidFill>
              <w14:schemeClr w14:val="tx1"/>
            </w14:solidFill>
          </w14:textFill>
        </w:rPr>
        <w:t>10.4.3</w:t>
      </w:r>
      <w:r>
        <w:rPr>
          <w:rFonts w:hint="eastAsia" w:ascii="宋体" w:hAnsi="宋体" w:eastAsia="宋体" w:cs="宋体"/>
          <w:color w:val="000000" w:themeColor="text1"/>
          <w:spacing w:val="-8"/>
          <w:sz w:val="24"/>
          <w:szCs w:val="24"/>
          <w:highlight w:val="none"/>
          <w14:textFill>
            <w14:solidFill>
              <w14:schemeClr w14:val="tx1"/>
            </w14:solidFill>
          </w14:textFill>
        </w:rPr>
        <w:t>目中规定的“所有投标人</w:t>
      </w:r>
      <w:r>
        <w:rPr>
          <w:rFonts w:hint="eastAsia" w:ascii="宋体" w:hAnsi="宋体" w:eastAsia="宋体" w:cs="宋体"/>
          <w:color w:val="000000" w:themeColor="text1"/>
          <w:spacing w:val="-1"/>
          <w:sz w:val="24"/>
          <w:szCs w:val="24"/>
          <w:highlight w:val="none"/>
          <w14:textFill>
            <w14:solidFill>
              <w14:schemeClr w14:val="tx1"/>
            </w14:solidFill>
          </w14:textFill>
        </w:rPr>
        <w:t>均应提供”的组成内容（包括该组成内容的所附资料）中，</w:t>
      </w:r>
      <w:r>
        <w:rPr>
          <w:rFonts w:hint="eastAsia" w:ascii="宋体" w:hAnsi="宋体" w:eastAsia="宋体" w:cs="宋体"/>
          <w:color w:val="000000" w:themeColor="text1"/>
          <w:spacing w:val="-2"/>
          <w:sz w:val="24"/>
          <w:szCs w:val="24"/>
          <w:highlight w:val="none"/>
          <w14:textFill>
            <w14:solidFill>
              <w14:schemeClr w14:val="tx1"/>
            </w14:solidFill>
          </w14:textFill>
        </w:rPr>
        <w:t>任何一项有缺漏的；</w:t>
      </w:r>
    </w:p>
    <w:p w14:paraId="34A3E2F7">
      <w:pPr>
        <w:keepNext w:val="0"/>
        <w:keepLines w:val="0"/>
        <w:pageBreakBefore w:val="0"/>
        <w:widowControl/>
        <w:kinsoku/>
        <w:wordWrap w:val="0"/>
        <w:overflowPunct/>
        <w:topLinePunct/>
        <w:autoSpaceDE w:val="0"/>
        <w:autoSpaceDN w:val="0"/>
        <w:bidi w:val="0"/>
        <w:adjustRightInd w:val="0"/>
        <w:snapToGrid w:val="0"/>
        <w:spacing w:line="360" w:lineRule="auto"/>
        <w:ind w:left="8" w:right="200" w:firstLine="42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（3）关键字迹模糊、无法辨认，且该种过错将导致评标委员会无法判断投标文件是</w:t>
      </w:r>
      <w:r>
        <w:rPr>
          <w:rFonts w:hint="eastAsia" w:ascii="宋体" w:hAnsi="宋体" w:eastAsia="宋体" w:cs="宋体"/>
          <w:color w:val="000000" w:themeColor="text1"/>
          <w:spacing w:val="-2"/>
          <w:sz w:val="24"/>
          <w:szCs w:val="24"/>
          <w:highlight w:val="none"/>
          <w14:textFill>
            <w14:solidFill>
              <w14:schemeClr w14:val="tx1"/>
            </w14:solidFill>
          </w14:textFill>
        </w:rPr>
        <w:t>否响应招标文件实质性要求的；有涂改、行间插字或删除，但未加盖单位章或由投标人</w:t>
      </w:r>
      <w:r>
        <w:rPr>
          <w:rFonts w:hint="eastAsia" w:ascii="宋体" w:hAnsi="宋体" w:eastAsia="宋体" w:cs="宋体"/>
          <w:color w:val="000000" w:themeColor="text1"/>
          <w:spacing w:val="-1"/>
          <w:sz w:val="24"/>
          <w:szCs w:val="24"/>
          <w:highlight w:val="none"/>
          <w14:textFill>
            <w14:solidFill>
              <w14:schemeClr w14:val="tx1"/>
            </w14:solidFill>
          </w14:textFill>
        </w:rPr>
        <w:t>的法定代表人或其委托代理人签字确认的；</w:t>
      </w:r>
    </w:p>
    <w:p w14:paraId="3D290943">
      <w:pPr>
        <w:keepNext w:val="0"/>
        <w:keepLines w:val="0"/>
        <w:pageBreakBefore w:val="0"/>
        <w:widowControl/>
        <w:kinsoku/>
        <w:wordWrap w:val="0"/>
        <w:overflowPunct/>
        <w:topLinePunct/>
        <w:autoSpaceDE w:val="0"/>
        <w:autoSpaceDN w:val="0"/>
        <w:bidi w:val="0"/>
        <w:adjustRightInd w:val="0"/>
        <w:snapToGrid w:val="0"/>
        <w:spacing w:line="360" w:lineRule="auto"/>
        <w:ind w:left="43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（4）投标文件未按规定签字、盖章的。</w:t>
      </w:r>
    </w:p>
    <w:p w14:paraId="31C6C1F2">
      <w:pPr>
        <w:pageBreakBefore w:val="0"/>
        <w:kinsoku/>
        <w:wordWrap w:val="0"/>
        <w:overflowPunct/>
        <w:topLinePunct/>
        <w:bidi w:val="0"/>
        <w:spacing w:before="227" w:line="221" w:lineRule="auto"/>
        <w:ind w:left="47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47" w:name="_Toc18628"/>
      <w:r>
        <w:rPr>
          <w:rFonts w:hint="eastAsia" w:ascii="宋体" w:hAnsi="宋体" w:eastAsia="宋体" w:cs="宋体"/>
          <w:b/>
          <w:bCs/>
          <w:color w:val="000000" w:themeColor="text1"/>
          <w:spacing w:val="-6"/>
          <w:sz w:val="24"/>
          <w:szCs w:val="24"/>
          <w:highlight w:val="none"/>
          <w14:textFill>
            <w14:solidFill>
              <w14:schemeClr w14:val="tx1"/>
            </w14:solidFill>
          </w14:textFill>
        </w:rPr>
        <w:t>3．响应性评审环节</w:t>
      </w:r>
      <w:bookmarkEnd w:id="147"/>
    </w:p>
    <w:p w14:paraId="656566B0">
      <w:pPr>
        <w:pageBreakBefore w:val="0"/>
        <w:kinsoku/>
        <w:wordWrap w:val="0"/>
        <w:overflowPunct/>
        <w:topLinePunct/>
        <w:bidi w:val="0"/>
        <w:spacing w:before="151" w:line="327" w:lineRule="auto"/>
        <w:ind w:left="1" w:right="200" w:firstLine="4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投标人有下列情形之一的，评标委员会应否决其投标。被否决的投标人，不进入详细评审阶段。</w:t>
      </w:r>
    </w:p>
    <w:p w14:paraId="6EEA114C">
      <w:pPr>
        <w:pageBreakBefore w:val="0"/>
        <w:kinsoku/>
        <w:wordWrap w:val="0"/>
        <w:overflowPunct/>
        <w:topLinePunct/>
        <w:bidi w:val="0"/>
        <w:spacing w:before="31" w:line="279" w:lineRule="auto"/>
        <w:ind w:left="40" w:right="200" w:firstLine="45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（1）承诺的投标有效期短于规定的；质量标准低于规定的；工期超出规定的；擅</w:t>
      </w:r>
      <w:r>
        <w:rPr>
          <w:rFonts w:hint="eastAsia" w:ascii="宋体" w:hAnsi="宋体" w:eastAsia="宋体" w:cs="宋体"/>
          <w:color w:val="000000" w:themeColor="text1"/>
          <w:spacing w:val="-2"/>
          <w:sz w:val="24"/>
          <w:szCs w:val="24"/>
          <w:highlight w:val="none"/>
          <w14:textFill>
            <w14:solidFill>
              <w14:schemeClr w14:val="tx1"/>
            </w14:solidFill>
          </w14:textFill>
        </w:rPr>
        <w:t>自修改、遗漏《投标函》《各项承诺一览表》实质性内容的；</w:t>
      </w:r>
    </w:p>
    <w:p w14:paraId="599B263B">
      <w:pPr>
        <w:pageBreakBefore w:val="0"/>
        <w:kinsoku/>
        <w:wordWrap w:val="0"/>
        <w:overflowPunct/>
        <w:topLinePunct/>
        <w:bidi w:val="0"/>
        <w:spacing w:before="157" w:line="278" w:lineRule="auto"/>
        <w:ind w:left="2" w:right="200"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（2）编制《投标总价》的造价工程师，其注册证书不是</w:t>
      </w:r>
      <w:r>
        <w:rPr>
          <w:rFonts w:hint="eastAsia" w:ascii="宋体" w:hAnsi="宋体" w:eastAsia="宋体" w:cs="宋体"/>
          <w:b/>
          <w:bCs/>
          <w:color w:val="000000" w:themeColor="text1"/>
          <w:spacing w:val="1"/>
          <w:sz w:val="24"/>
          <w:szCs w:val="24"/>
          <w:highlight w:val="none"/>
          <w14:textFill>
            <w14:solidFill>
              <w14:schemeClr w14:val="tx1"/>
            </w14:solidFill>
          </w14:textFill>
        </w:rPr>
        <w:t>住建部门</w:t>
      </w:r>
      <w:r>
        <w:rPr>
          <w:rFonts w:hint="eastAsia" w:ascii="宋体" w:hAnsi="宋体" w:eastAsia="宋体" w:cs="宋体"/>
          <w:color w:val="000000" w:themeColor="text1"/>
          <w:spacing w:val="1"/>
          <w:sz w:val="24"/>
          <w:szCs w:val="24"/>
          <w:highlight w:val="none"/>
          <w14:textFill>
            <w14:solidFill>
              <w14:schemeClr w14:val="tx1"/>
            </w14:solidFill>
          </w14:textFill>
        </w:rPr>
        <w:t>颁发的；其注册</w:t>
      </w:r>
      <w:r>
        <w:rPr>
          <w:rFonts w:hint="eastAsia" w:ascii="宋体" w:hAnsi="宋体" w:eastAsia="宋体" w:cs="宋体"/>
          <w:color w:val="000000" w:themeColor="text1"/>
          <w:sz w:val="24"/>
          <w:szCs w:val="24"/>
          <w:highlight w:val="none"/>
          <w14:textFill>
            <w14:solidFill>
              <w14:schemeClr w14:val="tx1"/>
            </w14:solidFill>
          </w14:textFill>
        </w:rPr>
        <w:t>单位与投标人（或造价咨询人）不一致的；</w:t>
      </w:r>
      <w:r>
        <w:rPr>
          <w:rFonts w:hint="eastAsia" w:ascii="宋体" w:hAnsi="宋体" w:eastAsia="宋体" w:cs="宋体"/>
          <w:color w:val="000000" w:themeColor="text1"/>
          <w:spacing w:val="-1"/>
          <w:sz w:val="24"/>
          <w:szCs w:val="24"/>
          <w:highlight w:val="none"/>
          <w14:textFill>
            <w14:solidFill>
              <w14:schemeClr w14:val="tx1"/>
            </w14:solidFill>
          </w14:textFill>
        </w:rPr>
        <w:t>其注册证书不在有效期内的。</w:t>
      </w:r>
    </w:p>
    <w:p w14:paraId="06F965CB">
      <w:pPr>
        <w:pageBreakBefore w:val="0"/>
        <w:kinsoku/>
        <w:wordWrap w:val="0"/>
        <w:overflowPunct/>
        <w:topLinePunct/>
        <w:bidi w:val="0"/>
        <w:spacing w:before="156" w:line="329" w:lineRule="auto"/>
        <w:ind w:right="200" w:firstLine="48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注：投标人（或造价咨询人）已经工商变更，但其员工的执业资格注</w:t>
      </w:r>
      <w:r>
        <w:rPr>
          <w:rFonts w:hint="eastAsia" w:ascii="宋体" w:hAnsi="宋体" w:eastAsia="宋体" w:cs="宋体"/>
          <w:b/>
          <w:bCs/>
          <w:color w:val="000000" w:themeColor="text1"/>
          <w:spacing w:val="-5"/>
          <w:sz w:val="24"/>
          <w:szCs w:val="24"/>
          <w:highlight w:val="none"/>
          <w14:textFill>
            <w14:solidFill>
              <w14:schemeClr w14:val="tx1"/>
            </w14:solidFill>
          </w14:textFill>
        </w:rPr>
        <w:t>册证书的注册单位名称未完成变更的，不得否决其投标。此条与10.3.1中的造价工程师执业（含二级造价工程师）指引相一致。</w:t>
      </w:r>
    </w:p>
    <w:p w14:paraId="03042302">
      <w:pPr>
        <w:pageBreakBefore w:val="0"/>
        <w:kinsoku/>
        <w:wordWrap w:val="0"/>
        <w:overflowPunct/>
        <w:topLinePunct/>
        <w:bidi w:val="0"/>
        <w:spacing w:before="78" w:line="299" w:lineRule="auto"/>
        <w:ind w:left="2" w:right="81" w:firstLine="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（3）投标人委托造价咨询单位编制《投标总价》，但未在《投标总价扉页》“投标人”栏目加盖造价咨询人公章的；未提</w:t>
      </w:r>
      <w:r>
        <w:rPr>
          <w:rFonts w:hint="eastAsia" w:ascii="宋体" w:hAnsi="宋体" w:eastAsia="宋体" w:cs="宋体"/>
          <w:color w:val="000000" w:themeColor="text1"/>
          <w:sz w:val="24"/>
          <w:szCs w:val="24"/>
          <w:highlight w:val="none"/>
          <w14:textFill>
            <w14:solidFill>
              <w14:schemeClr w14:val="tx1"/>
            </w14:solidFill>
          </w14:textFill>
        </w:rPr>
        <w:t>供造价咨询人的营业执照副本彩</w:t>
      </w:r>
      <w:r>
        <w:rPr>
          <w:rFonts w:hint="eastAsia" w:ascii="宋体" w:hAnsi="宋体" w:eastAsia="宋体" w:cs="宋体"/>
          <w:color w:val="000000" w:themeColor="text1"/>
          <w:spacing w:val="-3"/>
          <w:sz w:val="24"/>
          <w:szCs w:val="24"/>
          <w:highlight w:val="none"/>
          <w14:textFill>
            <w14:solidFill>
              <w14:schemeClr w14:val="tx1"/>
            </w14:solidFill>
          </w14:textFill>
        </w:rPr>
        <w:t>色扫描件；</w:t>
      </w:r>
    </w:p>
    <w:p w14:paraId="1CE8DA9F">
      <w:pPr>
        <w:pageBreakBefore w:val="0"/>
        <w:kinsoku/>
        <w:wordWrap w:val="0"/>
        <w:overflowPunct/>
        <w:topLinePunct/>
        <w:bidi w:val="0"/>
        <w:spacing w:before="151" w:line="360" w:lineRule="auto"/>
        <w:ind w:right="21" w:firstLine="4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（4）出现两个或两个以上投标总价的（同一个投标总价大、小写不一致的除外</w:t>
      </w:r>
      <w:r>
        <w:rPr>
          <w:rFonts w:hint="eastAsia" w:ascii="宋体" w:hAnsi="宋体" w:eastAsia="宋体" w:cs="宋体"/>
          <w:color w:val="000000" w:themeColor="text1"/>
          <w:spacing w:val="-31"/>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投标总价超出</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2"/>
          <w:sz w:val="24"/>
          <w:szCs w:val="24"/>
          <w:highlight w:val="none"/>
          <w14:textFill>
            <w14:solidFill>
              <w14:schemeClr w14:val="tx1"/>
            </w14:solidFill>
          </w14:textFill>
        </w:rPr>
        <w:t>的；</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安全生产措施费</w:t>
      </w:r>
      <w:r>
        <w:rPr>
          <w:rFonts w:hint="eastAsia" w:ascii="宋体" w:hAnsi="宋体" w:eastAsia="宋体" w:cs="宋体"/>
          <w:color w:val="000000" w:themeColor="text1"/>
          <w:spacing w:val="-2"/>
          <w:sz w:val="24"/>
          <w:szCs w:val="24"/>
          <w:highlight w:val="none"/>
          <w14:textFill>
            <w14:solidFill>
              <w14:schemeClr w14:val="tx1"/>
            </w14:solidFill>
          </w14:textFill>
        </w:rPr>
        <w:t>少于规定的；暂列金额、暂估</w:t>
      </w:r>
      <w:r>
        <w:rPr>
          <w:rFonts w:hint="eastAsia" w:ascii="宋体" w:hAnsi="宋体" w:eastAsia="宋体" w:cs="宋体"/>
          <w:color w:val="000000" w:themeColor="text1"/>
          <w:spacing w:val="-3"/>
          <w:sz w:val="24"/>
          <w:szCs w:val="24"/>
          <w:highlight w:val="none"/>
          <w14:textFill>
            <w14:solidFill>
              <w14:schemeClr w14:val="tx1"/>
            </w14:solidFill>
          </w14:textFill>
        </w:rPr>
        <w:t>价未按照招标工程量清单统一报价的；投标总价下浮率超过15%，又未提供相应书面说</w:t>
      </w:r>
      <w:r>
        <w:rPr>
          <w:rFonts w:hint="eastAsia" w:ascii="宋体" w:hAnsi="宋体" w:eastAsia="宋体" w:cs="宋体"/>
          <w:color w:val="000000" w:themeColor="text1"/>
          <w:spacing w:val="-2"/>
          <w:sz w:val="24"/>
          <w:szCs w:val="24"/>
          <w:highlight w:val="none"/>
          <w14:textFill>
            <w14:solidFill>
              <w14:schemeClr w14:val="tx1"/>
            </w14:solidFill>
          </w14:textFill>
        </w:rPr>
        <w:t>明和佐证材料或提供的书面说明和佐证材料不能令人信服，被评标委员会认定以低于成</w:t>
      </w:r>
      <w:r>
        <w:rPr>
          <w:rFonts w:hint="eastAsia" w:ascii="宋体" w:hAnsi="宋体" w:eastAsia="宋体" w:cs="宋体"/>
          <w:color w:val="000000" w:themeColor="text1"/>
          <w:sz w:val="24"/>
          <w:szCs w:val="24"/>
          <w:highlight w:val="none"/>
          <w14:textFill>
            <w14:solidFill>
              <w14:schemeClr w14:val="tx1"/>
            </w14:solidFill>
          </w14:textFill>
        </w:rPr>
        <w:t>本报价竞标的；擅自修改、增减招标工程量清单</w:t>
      </w:r>
      <w:r>
        <w:rPr>
          <w:rFonts w:hint="eastAsia" w:ascii="宋体" w:hAnsi="宋体" w:eastAsia="宋体" w:cs="宋体"/>
          <w:color w:val="000000" w:themeColor="text1"/>
          <w:spacing w:val="-1"/>
          <w:sz w:val="24"/>
          <w:szCs w:val="24"/>
          <w:highlight w:val="none"/>
          <w14:textFill>
            <w14:solidFill>
              <w14:schemeClr w14:val="tx1"/>
            </w14:solidFill>
          </w14:textFill>
        </w:rPr>
        <w:t>项目（包括措施项目）的；</w:t>
      </w:r>
    </w:p>
    <w:p w14:paraId="1027BB08">
      <w:pPr>
        <w:pageBreakBefore w:val="0"/>
        <w:kinsoku/>
        <w:wordWrap w:val="0"/>
        <w:overflowPunct/>
        <w:topLinePunct/>
        <w:bidi w:val="0"/>
        <w:spacing w:before="156" w:line="299" w:lineRule="auto"/>
        <w:ind w:right="81" w:firstLine="4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（5）在施工组织设计评审中，评标委员会认定质量、进度保障措施与国家和省市</w:t>
      </w:r>
      <w:r>
        <w:rPr>
          <w:rFonts w:hint="eastAsia" w:ascii="宋体" w:hAnsi="宋体" w:eastAsia="宋体" w:cs="宋体"/>
          <w:color w:val="000000" w:themeColor="text1"/>
          <w:spacing w:val="-3"/>
          <w:sz w:val="24"/>
          <w:szCs w:val="24"/>
          <w:highlight w:val="none"/>
          <w14:textFill>
            <w14:solidFill>
              <w14:schemeClr w14:val="tx1"/>
            </w14:solidFill>
          </w14:textFill>
        </w:rPr>
        <w:t>现行有关规范、规定、标准有重大偏差，</w:t>
      </w:r>
      <w:r>
        <w:rPr>
          <w:rFonts w:hint="eastAsia" w:ascii="宋体" w:hAnsi="宋体" w:eastAsia="宋体" w:cs="宋体"/>
          <w:b/>
          <w:bCs/>
          <w:color w:val="000000" w:themeColor="text1"/>
          <w:spacing w:val="-3"/>
          <w:sz w:val="24"/>
          <w:szCs w:val="24"/>
          <w:highlight w:val="none"/>
          <w14:textFill>
            <w14:solidFill>
              <w14:schemeClr w14:val="tx1"/>
            </w14:solidFill>
          </w14:textFill>
        </w:rPr>
        <w:t>且该种过错将导致工程质量、进度管理目标无</w:t>
      </w:r>
      <w:r>
        <w:rPr>
          <w:rFonts w:hint="eastAsia" w:ascii="宋体" w:hAnsi="宋体" w:eastAsia="宋体" w:cs="宋体"/>
          <w:b/>
          <w:bCs/>
          <w:color w:val="000000" w:themeColor="text1"/>
          <w:spacing w:val="-4"/>
          <w:sz w:val="24"/>
          <w:szCs w:val="24"/>
          <w:highlight w:val="none"/>
          <w14:textFill>
            <w14:solidFill>
              <w14:schemeClr w14:val="tx1"/>
            </w14:solidFill>
          </w14:textFill>
        </w:rPr>
        <w:t>法实现的</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0017CAA8">
      <w:pPr>
        <w:pageBreakBefore w:val="0"/>
        <w:kinsoku/>
        <w:wordWrap w:val="0"/>
        <w:overflowPunct/>
        <w:topLinePunct/>
        <w:bidi w:val="0"/>
        <w:spacing w:before="151" w:line="221" w:lineRule="auto"/>
        <w:ind w:left="476"/>
        <w:outlineLvl w:val="2"/>
        <w:rPr>
          <w:rFonts w:hint="eastAsia" w:ascii="宋体" w:hAnsi="宋体" w:eastAsia="宋体" w:cs="宋体"/>
          <w:color w:val="000000" w:themeColor="text1"/>
          <w:sz w:val="24"/>
          <w:szCs w:val="24"/>
          <w:highlight w:val="none"/>
          <w14:textFill>
            <w14:solidFill>
              <w14:schemeClr w14:val="tx1"/>
            </w14:solidFill>
          </w14:textFill>
        </w:rPr>
      </w:pPr>
      <w:bookmarkStart w:id="148" w:name="_Toc21532"/>
      <w:r>
        <w:rPr>
          <w:rFonts w:hint="eastAsia" w:ascii="宋体" w:hAnsi="宋体" w:eastAsia="宋体" w:cs="宋体"/>
          <w:b/>
          <w:bCs/>
          <w:color w:val="000000" w:themeColor="text1"/>
          <w:spacing w:val="-11"/>
          <w:sz w:val="24"/>
          <w:szCs w:val="24"/>
          <w:highlight w:val="none"/>
          <w14:textFill>
            <w14:solidFill>
              <w14:schemeClr w14:val="tx1"/>
            </w14:solidFill>
          </w14:textFill>
        </w:rPr>
        <w:t>4．其他</w:t>
      </w:r>
      <w:bookmarkEnd w:id="148"/>
    </w:p>
    <w:p w14:paraId="23178FA5">
      <w:pPr>
        <w:pageBreakBefore w:val="0"/>
        <w:kinsoku/>
        <w:wordWrap w:val="0"/>
        <w:overflowPunct/>
        <w:topLinePunct/>
        <w:bidi w:val="0"/>
        <w:spacing w:before="153" w:line="326" w:lineRule="auto"/>
        <w:ind w:firstLine="4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在任何评标环节（或阶段</w:t>
      </w:r>
      <w:r>
        <w:rPr>
          <w:rFonts w:hint="eastAsia" w:ascii="宋体" w:hAnsi="宋体" w:eastAsia="宋体" w:cs="宋体"/>
          <w:color w:val="000000" w:themeColor="text1"/>
          <w:spacing w:val="-36"/>
          <w:sz w:val="24"/>
          <w:szCs w:val="24"/>
          <w:highlight w:val="none"/>
          <w14:textFill>
            <w14:solidFill>
              <w14:schemeClr w14:val="tx1"/>
            </w14:solidFill>
          </w14:textFill>
        </w:rPr>
        <w:t>），</w:t>
      </w:r>
      <w:r>
        <w:rPr>
          <w:rFonts w:hint="eastAsia" w:ascii="宋体" w:hAnsi="宋体" w:eastAsia="宋体" w:cs="宋体"/>
          <w:color w:val="000000" w:themeColor="text1"/>
          <w:spacing w:val="-4"/>
          <w:sz w:val="24"/>
          <w:szCs w:val="24"/>
          <w:highlight w:val="none"/>
          <w14:textFill>
            <w14:solidFill>
              <w14:schemeClr w14:val="tx1"/>
            </w14:solidFill>
          </w14:textFill>
        </w:rPr>
        <w:t>投标人有下列情形之一的，评标委员会应否</w:t>
      </w:r>
      <w:r>
        <w:rPr>
          <w:rFonts w:hint="eastAsia" w:ascii="宋体" w:hAnsi="宋体" w:eastAsia="宋体" w:cs="宋体"/>
          <w:color w:val="000000" w:themeColor="text1"/>
          <w:spacing w:val="-5"/>
          <w:sz w:val="24"/>
          <w:szCs w:val="24"/>
          <w:highlight w:val="none"/>
          <w14:textFill>
            <w14:solidFill>
              <w14:schemeClr w14:val="tx1"/>
            </w14:solidFill>
          </w14:textFill>
        </w:rPr>
        <w:t>决其投标。</w:t>
      </w:r>
      <w:r>
        <w:rPr>
          <w:rFonts w:hint="eastAsia" w:ascii="宋体" w:hAnsi="宋体" w:eastAsia="宋体" w:cs="宋体"/>
          <w:color w:val="000000" w:themeColor="text1"/>
          <w:spacing w:val="-1"/>
          <w:sz w:val="24"/>
          <w:szCs w:val="24"/>
          <w:highlight w:val="none"/>
          <w14:textFill>
            <w14:solidFill>
              <w14:schemeClr w14:val="tx1"/>
            </w14:solidFill>
          </w14:textFill>
        </w:rPr>
        <w:t>被否决的投标人，不进入下一环节（或阶段）。</w:t>
      </w:r>
    </w:p>
    <w:p w14:paraId="59363862">
      <w:pPr>
        <w:pageBreakBefore w:val="0"/>
        <w:kinsoku/>
        <w:wordWrap w:val="0"/>
        <w:overflowPunct/>
        <w:topLinePunct/>
        <w:bidi w:val="0"/>
        <w:spacing w:before="33" w:line="219" w:lineRule="auto"/>
        <w:ind w:left="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（1）不按评标委员会要求澄清、说明或补正的；</w:t>
      </w:r>
    </w:p>
    <w:p w14:paraId="680E5F2D">
      <w:pPr>
        <w:pageBreakBefore w:val="0"/>
        <w:kinsoku/>
        <w:wordWrap w:val="0"/>
        <w:overflowPunct/>
        <w:topLinePunct/>
        <w:bidi w:val="0"/>
        <w:spacing w:before="154" w:line="219" w:lineRule="auto"/>
        <w:ind w:left="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（2）有下列情形之一，被评标委员会认定属于串通投标的：</w:t>
      </w:r>
    </w:p>
    <w:p w14:paraId="12758096">
      <w:pPr>
        <w:keepNext w:val="0"/>
        <w:keepLines w:val="0"/>
        <w:pageBreakBefore w:val="0"/>
        <w:widowControl/>
        <w:kinsoku/>
        <w:wordWrap w:val="0"/>
        <w:overflowPunct/>
        <w:topLinePunct/>
        <w:autoSpaceDE w:val="0"/>
        <w:autoSpaceDN w:val="0"/>
        <w:bidi w:val="0"/>
        <w:adjustRightInd w:val="0"/>
        <w:snapToGrid w:val="0"/>
        <w:spacing w:before="157" w:line="218" w:lineRule="auto"/>
        <w:ind w:left="47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①不同投标人的投标文件两处以上（含两处）错、漏一致；</w:t>
      </w:r>
    </w:p>
    <w:p w14:paraId="2E243D66">
      <w:pPr>
        <w:keepNext w:val="0"/>
        <w:keepLines w:val="0"/>
        <w:pageBreakBefore w:val="0"/>
        <w:widowControl/>
        <w:kinsoku/>
        <w:wordWrap w:val="0"/>
        <w:overflowPunct/>
        <w:topLinePunct/>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②不同投标人的投标总价相近且各分项报价、综合单价分析表内容混乱不能相互对</w:t>
      </w:r>
      <w:r>
        <w:rPr>
          <w:rFonts w:hint="eastAsia" w:ascii="宋体" w:hAnsi="宋体" w:eastAsia="宋体" w:cs="宋体"/>
          <w:color w:val="000000" w:themeColor="text1"/>
          <w:spacing w:val="-6"/>
          <w:sz w:val="24"/>
          <w:szCs w:val="24"/>
          <w:highlight w:val="none"/>
          <w14:textFill>
            <w14:solidFill>
              <w14:schemeClr w14:val="tx1"/>
            </w14:solidFill>
          </w14:textFill>
        </w:rPr>
        <w:t>应、乱调乱压或乱抬的，而在询标时没有合理的解释或者不能提供计算依据和</w:t>
      </w:r>
      <w:r>
        <w:rPr>
          <w:rFonts w:hint="eastAsia" w:ascii="宋体" w:hAnsi="宋体" w:eastAsia="宋体" w:cs="宋体"/>
          <w:color w:val="000000" w:themeColor="text1"/>
          <w:spacing w:val="-7"/>
          <w:sz w:val="24"/>
          <w:szCs w:val="24"/>
          <w:highlight w:val="none"/>
          <w14:textFill>
            <w14:solidFill>
              <w14:schemeClr w14:val="tx1"/>
            </w14:solidFill>
          </w14:textFill>
        </w:rPr>
        <w:t>报价依据；</w:t>
      </w:r>
    </w:p>
    <w:p w14:paraId="71D73DBC">
      <w:pPr>
        <w:keepNext w:val="0"/>
        <w:keepLines w:val="0"/>
        <w:pageBreakBefore w:val="0"/>
        <w:widowControl/>
        <w:kinsoku/>
        <w:wordWrap w:val="0"/>
        <w:overflowPunct/>
        <w:topLinePunct/>
        <w:autoSpaceDE w:val="0"/>
        <w:autoSpaceDN w:val="0"/>
        <w:bidi w:val="0"/>
        <w:adjustRightInd w:val="0"/>
        <w:snapToGrid w:val="0"/>
        <w:spacing w:before="157" w:line="218" w:lineRule="auto"/>
        <w:ind w:left="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③不同投标人的投标各项报价存在异常一致</w:t>
      </w:r>
      <w:r>
        <w:rPr>
          <w:rFonts w:hint="eastAsia" w:ascii="宋体" w:hAnsi="宋体" w:eastAsia="宋体" w:cs="宋体"/>
          <w:color w:val="000000" w:themeColor="text1"/>
          <w:spacing w:val="-1"/>
          <w:sz w:val="24"/>
          <w:szCs w:val="24"/>
          <w:highlight w:val="none"/>
          <w14:textFill>
            <w14:solidFill>
              <w14:schemeClr w14:val="tx1"/>
            </w14:solidFill>
          </w14:textFill>
        </w:rPr>
        <w:t>或者呈规律性变化；</w:t>
      </w:r>
    </w:p>
    <w:p w14:paraId="6CD99F52">
      <w:pPr>
        <w:keepNext w:val="0"/>
        <w:keepLines w:val="0"/>
        <w:pageBreakBefore w:val="0"/>
        <w:widowControl/>
        <w:kinsoku/>
        <w:wordWrap w:val="0"/>
        <w:overflowPunct/>
        <w:topLinePunct/>
        <w:autoSpaceDE w:val="0"/>
        <w:autoSpaceDN w:val="0"/>
        <w:bidi w:val="0"/>
        <w:adjustRightInd w:val="0"/>
        <w:snapToGrid w:val="0"/>
        <w:spacing w:before="156" w:line="218" w:lineRule="auto"/>
        <w:ind w:left="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④不同投标人的投标文件由同一单位或者同一个人编制；</w:t>
      </w:r>
    </w:p>
    <w:p w14:paraId="6F110BB4">
      <w:pPr>
        <w:keepNext w:val="0"/>
        <w:keepLines w:val="0"/>
        <w:pageBreakBefore w:val="0"/>
        <w:widowControl/>
        <w:kinsoku/>
        <w:wordWrap w:val="0"/>
        <w:overflowPunct/>
        <w:topLinePunct/>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⑤不同投标人的投标文件中投标资料（包括电子资料）相互混装或项目班子成员出</w:t>
      </w:r>
      <w:r>
        <w:rPr>
          <w:rFonts w:hint="eastAsia" w:ascii="宋体" w:hAnsi="宋体" w:eastAsia="宋体" w:cs="宋体"/>
          <w:color w:val="000000" w:themeColor="text1"/>
          <w:spacing w:val="-3"/>
          <w:sz w:val="24"/>
          <w:szCs w:val="24"/>
          <w:highlight w:val="none"/>
          <w14:textFill>
            <w14:solidFill>
              <w14:schemeClr w14:val="tx1"/>
            </w14:solidFill>
          </w14:textFill>
        </w:rPr>
        <w:t>现同一人；</w:t>
      </w:r>
    </w:p>
    <w:p w14:paraId="43BFB941">
      <w:pPr>
        <w:keepNext w:val="0"/>
        <w:keepLines w:val="0"/>
        <w:pageBreakBefore w:val="0"/>
        <w:widowControl/>
        <w:kinsoku/>
        <w:wordWrap w:val="0"/>
        <w:overflowPunct/>
        <w:topLinePunct/>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⑥不同投标人的投标文件由同一电脑编制或同一台附属设备打印，或投标报价用同</w:t>
      </w:r>
      <w:r>
        <w:rPr>
          <w:rFonts w:hint="eastAsia" w:ascii="宋体" w:hAnsi="宋体" w:eastAsia="宋体" w:cs="宋体"/>
          <w:color w:val="000000" w:themeColor="text1"/>
          <w:spacing w:val="-1"/>
          <w:sz w:val="24"/>
          <w:szCs w:val="24"/>
          <w:highlight w:val="none"/>
          <w14:textFill>
            <w14:solidFill>
              <w14:schemeClr w14:val="tx1"/>
            </w14:solidFill>
          </w14:textFill>
        </w:rPr>
        <w:t>一个预算编制软件密码锁制作或出自同一电子文档；</w:t>
      </w:r>
    </w:p>
    <w:p w14:paraId="12B05947">
      <w:pPr>
        <w:keepNext w:val="0"/>
        <w:keepLines w:val="0"/>
        <w:pageBreakBefore w:val="0"/>
        <w:widowControl/>
        <w:kinsoku/>
        <w:wordWrap w:val="0"/>
        <w:overflowPunct/>
        <w:topLinePunct/>
        <w:autoSpaceDE w:val="0"/>
        <w:autoSpaceDN w:val="0"/>
        <w:bidi w:val="0"/>
        <w:adjustRightInd w:val="0"/>
        <w:snapToGrid w:val="0"/>
        <w:spacing w:before="155" w:line="218" w:lineRule="auto"/>
        <w:ind w:left="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⑦不同投标人的投标保证由同一企业或同一账户资金缴纳；</w:t>
      </w:r>
    </w:p>
    <w:p w14:paraId="3A3E2784">
      <w:pPr>
        <w:keepNext w:val="0"/>
        <w:keepLines w:val="0"/>
        <w:pageBreakBefore w:val="0"/>
        <w:widowControl/>
        <w:kinsoku/>
        <w:wordWrap w:val="0"/>
        <w:overflowPunct/>
        <w:topLinePunct/>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⑧不同投标人委托同一个人或注册在同一家企业的注册人员或同一家企业为其投</w:t>
      </w:r>
      <w:r>
        <w:rPr>
          <w:rFonts w:hint="eastAsia" w:ascii="宋体" w:hAnsi="宋体" w:eastAsia="宋体" w:cs="宋体"/>
          <w:color w:val="000000" w:themeColor="text1"/>
          <w:spacing w:val="-2"/>
          <w:sz w:val="24"/>
          <w:szCs w:val="24"/>
          <w:highlight w:val="none"/>
          <w14:textFill>
            <w14:solidFill>
              <w14:schemeClr w14:val="tx1"/>
            </w14:solidFill>
          </w14:textFill>
        </w:rPr>
        <w:t>标提供投标咨询、商务报价、技术咨询（招标项目本身要求采用专有技术的除外）等服</w:t>
      </w:r>
      <w:r>
        <w:rPr>
          <w:rFonts w:hint="eastAsia" w:ascii="宋体" w:hAnsi="宋体" w:eastAsia="宋体" w:cs="宋体"/>
          <w:color w:val="000000" w:themeColor="text1"/>
          <w:spacing w:val="-6"/>
          <w:sz w:val="24"/>
          <w:szCs w:val="24"/>
          <w:highlight w:val="none"/>
          <w14:textFill>
            <w14:solidFill>
              <w14:schemeClr w14:val="tx1"/>
            </w14:solidFill>
          </w14:textFill>
        </w:rPr>
        <w:t>务</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w:t>
      </w:r>
    </w:p>
    <w:p w14:paraId="18D5BC98">
      <w:pPr>
        <w:keepNext w:val="0"/>
        <w:keepLines w:val="0"/>
        <w:pageBreakBefore w:val="0"/>
        <w:widowControl/>
        <w:kinsoku/>
        <w:wordWrap w:val="0"/>
        <w:overflowPunct/>
        <w:topLinePunct/>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sectPr>
          <w:headerReference r:id="rId8" w:type="default"/>
          <w:footerReference r:id="rId9"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000000" w:themeColor="text1"/>
          <w:spacing w:val="-2"/>
          <w:sz w:val="24"/>
          <w:szCs w:val="24"/>
          <w:highlight w:val="none"/>
          <w14:textFill>
            <w14:solidFill>
              <w14:schemeClr w14:val="tx1"/>
            </w14:solidFill>
          </w14:textFill>
        </w:rPr>
        <w:t>⑨监督部门于韶关市公共交易一体化平台发现系统提示风险预警，如提示投标单位上传投标文件使用的电脑IP地址一致等</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p>
    <w:p w14:paraId="1AF32358">
      <w:pPr>
        <w:pageBreakBefore w:val="0"/>
        <w:kinsoku/>
        <w:wordWrap w:val="0"/>
        <w:overflowPunct/>
        <w:topLinePunct/>
        <w:bidi w:val="0"/>
        <w:spacing w:before="78" w:line="220" w:lineRule="auto"/>
        <w:ind w:left="9"/>
        <w:jc w:val="center"/>
        <w:outlineLvl w:val="1"/>
        <w:rPr>
          <w:rFonts w:hint="eastAsia" w:ascii="宋体" w:hAnsi="宋体" w:eastAsia="宋体" w:cs="宋体"/>
          <w:color w:val="000000" w:themeColor="text1"/>
          <w:sz w:val="24"/>
          <w:szCs w:val="24"/>
          <w:highlight w:val="none"/>
          <w14:textFill>
            <w14:solidFill>
              <w14:schemeClr w14:val="tx1"/>
            </w14:solidFill>
          </w14:textFill>
        </w:rPr>
      </w:pPr>
      <w:bookmarkStart w:id="149" w:name="bookmark57"/>
      <w:bookmarkEnd w:id="149"/>
      <w:bookmarkStart w:id="150" w:name="_Toc21439"/>
      <w:r>
        <w:rPr>
          <w:rFonts w:hint="eastAsia" w:ascii="宋体" w:hAnsi="宋体" w:eastAsia="宋体" w:cs="宋体"/>
          <w:b/>
          <w:bCs/>
          <w:color w:val="000000" w:themeColor="text1"/>
          <w:spacing w:val="-3"/>
          <w:sz w:val="24"/>
          <w:szCs w:val="24"/>
          <w:highlight w:val="none"/>
          <w14:textFill>
            <w14:solidFill>
              <w14:schemeClr w14:val="tx1"/>
            </w14:solidFill>
          </w14:textFill>
        </w:rPr>
        <w:t>第</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五</w:t>
      </w:r>
      <w:r>
        <w:rPr>
          <w:rFonts w:hint="eastAsia" w:ascii="宋体" w:hAnsi="宋体" w:eastAsia="宋体" w:cs="宋体"/>
          <w:b/>
          <w:bCs/>
          <w:color w:val="000000" w:themeColor="text1"/>
          <w:spacing w:val="-3"/>
          <w:sz w:val="24"/>
          <w:szCs w:val="24"/>
          <w:highlight w:val="none"/>
          <w14:textFill>
            <w14:solidFill>
              <w14:schemeClr w14:val="tx1"/>
            </w14:solidFill>
          </w14:textFill>
        </w:rPr>
        <w:t>节</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定标规定及细则（本项目采用票决数量法定标）</w:t>
      </w:r>
      <w:bookmarkEnd w:id="150"/>
    </w:p>
    <w:p w14:paraId="69617F79">
      <w:pPr>
        <w:pStyle w:val="5"/>
        <w:pageBreakBefore w:val="0"/>
        <w:kinsoku/>
        <w:wordWrap w:val="0"/>
        <w:overflowPunct/>
        <w:topLinePunct/>
        <w:bidi w:val="0"/>
        <w:spacing w:line="256" w:lineRule="auto"/>
        <w:rPr>
          <w:rFonts w:hint="eastAsia" w:ascii="宋体" w:hAnsi="宋体" w:eastAsia="宋体" w:cs="宋体"/>
          <w:color w:val="000000" w:themeColor="text1"/>
          <w:highlight w:val="none"/>
          <w14:textFill>
            <w14:solidFill>
              <w14:schemeClr w14:val="tx1"/>
            </w14:solidFill>
          </w14:textFill>
        </w:rPr>
      </w:pPr>
    </w:p>
    <w:p w14:paraId="4B79F0F6">
      <w:pPr>
        <w:keepNext w:val="0"/>
        <w:keepLines w:val="0"/>
        <w:pageBreakBefore w:val="0"/>
        <w:kinsoku/>
        <w:wordWrap w:val="0"/>
        <w:overflowPunct/>
        <w:topLinePunct/>
        <w:bidi w:val="0"/>
        <w:spacing w:line="360" w:lineRule="auto"/>
        <w:ind w:firstLine="482" w:firstLineChars="200"/>
        <w:rPr>
          <w:rStyle w:val="20"/>
          <w:rFonts w:hint="eastAsia" w:ascii="宋体" w:hAnsi="宋体" w:eastAsia="宋体" w:cs="宋体"/>
          <w:b/>
          <w:bCs/>
          <w:color w:val="000000" w:themeColor="text1"/>
          <w:kern w:val="0"/>
          <w:sz w:val="24"/>
          <w:szCs w:val="24"/>
          <w:highlight w:val="none"/>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1.</w:t>
      </w:r>
      <w:r>
        <w:rPr>
          <w:rStyle w:val="20"/>
          <w:rFonts w:hint="eastAsia" w:ascii="宋体" w:hAnsi="宋体" w:eastAsia="宋体" w:cs="宋体"/>
          <w:b/>
          <w:bCs/>
          <w:color w:val="000000" w:themeColor="text1"/>
          <w:kern w:val="0"/>
          <w:sz w:val="24"/>
          <w:szCs w:val="24"/>
          <w:highlight w:val="none"/>
          <w:lang w:eastAsia="zh-CN"/>
          <w14:textFill>
            <w14:solidFill>
              <w14:schemeClr w14:val="tx1"/>
            </w14:solidFill>
          </w14:textFill>
        </w:rPr>
        <w:t>确定</w:t>
      </w:r>
      <w:r>
        <w:rPr>
          <w:rStyle w:val="20"/>
          <w:rFonts w:hint="eastAsia" w:ascii="宋体" w:hAnsi="宋体" w:eastAsia="宋体" w:cs="宋体"/>
          <w:b/>
          <w:bCs/>
          <w:color w:val="000000" w:themeColor="text1"/>
          <w:kern w:val="0"/>
          <w:sz w:val="24"/>
          <w:szCs w:val="24"/>
          <w:highlight w:val="none"/>
          <w14:textFill>
            <w14:solidFill>
              <w14:schemeClr w14:val="tx1"/>
            </w14:solidFill>
          </w14:textFill>
        </w:rPr>
        <w:t>定标时间</w:t>
      </w:r>
    </w:p>
    <w:p w14:paraId="5E2C5132">
      <w:pPr>
        <w:keepNext w:val="0"/>
        <w:keepLines w:val="0"/>
        <w:pageBreakBefore w:val="0"/>
        <w:kinsoku/>
        <w:wordWrap w:val="0"/>
        <w:overflowPunct/>
        <w:topLinePunct/>
        <w:bidi w:val="0"/>
        <w:spacing w:line="360" w:lineRule="auto"/>
        <w:ind w:firstLine="480" w:firstLineChars="200"/>
        <w:rPr>
          <w:rStyle w:val="20"/>
          <w:rFonts w:hint="eastAsia" w:ascii="宋体" w:hAnsi="宋体" w:eastAsia="宋体" w:cs="宋体"/>
          <w:color w:val="000000" w:themeColor="text1"/>
          <w:kern w:val="0"/>
          <w:sz w:val="24"/>
          <w:szCs w:val="24"/>
          <w:highlight w:val="none"/>
          <w14:textFill>
            <w14:solidFill>
              <w14:schemeClr w14:val="tx1"/>
            </w14:solidFill>
          </w14:textFill>
        </w:rPr>
      </w:pPr>
      <w:r>
        <w:rPr>
          <w:rStyle w:val="20"/>
          <w:rFonts w:hint="eastAsia" w:ascii="宋体" w:hAnsi="宋体" w:eastAsia="宋体" w:cs="宋体"/>
          <w:color w:val="000000" w:themeColor="text1"/>
          <w:kern w:val="0"/>
          <w:sz w:val="24"/>
          <w:szCs w:val="24"/>
          <w:highlight w:val="none"/>
          <w14:textFill>
            <w14:solidFill>
              <w14:schemeClr w14:val="tx1"/>
            </w14:solidFill>
          </w14:textFill>
        </w:rPr>
        <w:t>招标人</w:t>
      </w:r>
      <w:r>
        <w:rPr>
          <w:rStyle w:val="20"/>
          <w:rFonts w:hint="eastAsia" w:ascii="宋体" w:hAnsi="宋体" w:eastAsia="宋体" w:cs="宋体"/>
          <w:color w:val="000000" w:themeColor="text1"/>
          <w:kern w:val="0"/>
          <w:sz w:val="24"/>
          <w:szCs w:val="24"/>
          <w:highlight w:val="none"/>
          <w:lang w:eastAsia="zh-CN"/>
          <w14:textFill>
            <w14:solidFill>
              <w14:schemeClr w14:val="tx1"/>
            </w14:solidFill>
          </w14:textFill>
        </w:rPr>
        <w:t>应</w:t>
      </w:r>
      <w:r>
        <w:rPr>
          <w:rStyle w:val="20"/>
          <w:rFonts w:hint="eastAsia" w:ascii="宋体" w:hAnsi="宋体" w:eastAsia="宋体" w:cs="宋体"/>
          <w:color w:val="000000" w:themeColor="text1"/>
          <w:kern w:val="0"/>
          <w:sz w:val="24"/>
          <w:szCs w:val="24"/>
          <w:highlight w:val="none"/>
          <w14:textFill>
            <w14:solidFill>
              <w14:schemeClr w14:val="tx1"/>
            </w14:solidFill>
          </w14:textFill>
        </w:rPr>
        <w:t>自</w:t>
      </w: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定标候选人</w:t>
      </w:r>
      <w:r>
        <w:rPr>
          <w:rStyle w:val="20"/>
          <w:rFonts w:hint="eastAsia" w:ascii="宋体" w:hAnsi="宋体" w:eastAsia="宋体" w:cs="宋体"/>
          <w:color w:val="000000" w:themeColor="text1"/>
          <w:kern w:val="0"/>
          <w:sz w:val="24"/>
          <w:szCs w:val="24"/>
          <w:highlight w:val="none"/>
          <w14:textFill>
            <w14:solidFill>
              <w14:schemeClr w14:val="tx1"/>
            </w14:solidFill>
          </w14:textFill>
        </w:rPr>
        <w:t>公示期满后</w:t>
      </w: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5</w:t>
      </w:r>
      <w:r>
        <w:rPr>
          <w:rStyle w:val="20"/>
          <w:rFonts w:hint="eastAsia" w:ascii="宋体" w:hAnsi="宋体" w:eastAsia="宋体" w:cs="宋体"/>
          <w:color w:val="000000" w:themeColor="text1"/>
          <w:kern w:val="0"/>
          <w:sz w:val="24"/>
          <w:szCs w:val="24"/>
          <w:highlight w:val="none"/>
          <w14:textFill>
            <w14:solidFill>
              <w14:schemeClr w14:val="tx1"/>
            </w14:solidFill>
          </w14:textFill>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000000" w:themeColor="text1"/>
          <w:kern w:val="0"/>
          <w:sz w:val="24"/>
          <w:szCs w:val="24"/>
          <w:highlight w:val="none"/>
          <w:lang w:eastAsia="zh-CN"/>
          <w14:textFill>
            <w14:solidFill>
              <w14:schemeClr w14:val="tx1"/>
            </w14:solidFill>
          </w14:textFill>
        </w:rPr>
        <w:t>应</w:t>
      </w:r>
      <w:r>
        <w:rPr>
          <w:rStyle w:val="20"/>
          <w:rFonts w:hint="eastAsia" w:ascii="宋体" w:hAnsi="宋体" w:eastAsia="宋体" w:cs="宋体"/>
          <w:color w:val="000000" w:themeColor="text1"/>
          <w:kern w:val="0"/>
          <w:sz w:val="24"/>
          <w:szCs w:val="24"/>
          <w:highlight w:val="none"/>
          <w14:textFill>
            <w14:solidFill>
              <w14:schemeClr w14:val="tx1"/>
            </w14:solidFill>
          </w14:textFill>
        </w:rPr>
        <w:t>通过公共资源交易平台公布延期原因和定标时间。</w:t>
      </w:r>
    </w:p>
    <w:p w14:paraId="56A981DA">
      <w:pPr>
        <w:keepNext w:val="0"/>
        <w:keepLines w:val="0"/>
        <w:pageBreakBefore w:val="0"/>
        <w:kinsoku/>
        <w:wordWrap w:val="0"/>
        <w:overflowPunct/>
        <w:topLinePunct/>
        <w:bidi w:val="0"/>
        <w:spacing w:line="360" w:lineRule="auto"/>
        <w:ind w:firstLine="482" w:firstLineChars="200"/>
        <w:rPr>
          <w:rStyle w:val="20"/>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2</w:t>
      </w:r>
      <w:r>
        <w:rPr>
          <w:rStyle w:val="20"/>
          <w:rFonts w:hint="eastAsia" w:ascii="宋体" w:hAnsi="宋体" w:eastAsia="宋体" w:cs="宋体"/>
          <w:b/>
          <w:bCs/>
          <w:color w:val="000000" w:themeColor="text1"/>
          <w:kern w:val="0"/>
          <w:sz w:val="24"/>
          <w:szCs w:val="24"/>
          <w:highlight w:val="none"/>
          <w14:textFill>
            <w14:solidFill>
              <w14:schemeClr w14:val="tx1"/>
            </w14:solidFill>
          </w14:textFill>
        </w:rPr>
        <w:t>.</w:t>
      </w:r>
      <w:r>
        <w:rPr>
          <w:rStyle w:val="20"/>
          <w:rFonts w:hint="eastAsia" w:ascii="宋体" w:hAnsi="宋体" w:eastAsia="宋体" w:cs="宋体"/>
          <w:b/>
          <w:bCs/>
          <w:color w:val="000000" w:themeColor="text1"/>
          <w:kern w:val="0"/>
          <w:sz w:val="24"/>
          <w:szCs w:val="24"/>
          <w:highlight w:val="none"/>
          <w:lang w:eastAsia="zh-CN"/>
          <w14:textFill>
            <w14:solidFill>
              <w14:schemeClr w14:val="tx1"/>
            </w14:solidFill>
          </w14:textFill>
        </w:rPr>
        <w:t>定标委员会</w:t>
      </w:r>
    </w:p>
    <w:p w14:paraId="4B6A0F66">
      <w:pPr>
        <w:keepNext w:val="0"/>
        <w:keepLines w:val="0"/>
        <w:pageBreakBefore w:val="0"/>
        <w:kinsoku/>
        <w:wordWrap w:val="0"/>
        <w:overflowPunct/>
        <w:topLinePunct/>
        <w:bidi w:val="0"/>
        <w:spacing w:line="360" w:lineRule="auto"/>
        <w:ind w:firstLine="480" w:firstLineChars="200"/>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2.1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6D710BA9">
      <w:pPr>
        <w:keepNext w:val="0"/>
        <w:keepLines w:val="0"/>
        <w:pageBreakBefore w:val="0"/>
        <w:kinsoku/>
        <w:wordWrap w:val="0"/>
        <w:overflowPunct/>
        <w:topLinePunct/>
        <w:bidi w:val="0"/>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24BBE3FC">
      <w:pPr>
        <w:keepNext w:val="0"/>
        <w:keepLines w:val="0"/>
        <w:pageBreakBefore w:val="0"/>
        <w:kinsoku/>
        <w:wordWrap w:val="0"/>
        <w:overflowPunct/>
        <w:topLinePunct/>
        <w:bidi w:val="0"/>
        <w:spacing w:line="360" w:lineRule="auto"/>
        <w:ind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r>
        <w:rPr>
          <w:rStyle w:val="20"/>
          <w:rFonts w:hint="eastAsia" w:ascii="宋体" w:hAnsi="宋体" w:eastAsia="宋体" w:cs="宋体"/>
          <w:color w:val="000000" w:themeColor="text1"/>
          <w:kern w:val="0"/>
          <w:sz w:val="24"/>
          <w:szCs w:val="24"/>
          <w:highlight w:val="none"/>
          <w14:textFill>
            <w14:solidFill>
              <w14:schemeClr w14:val="tx1"/>
            </w14:solidFill>
          </w14:textFill>
        </w:rPr>
        <w:t>.</w:t>
      </w: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3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5114F068">
      <w:pPr>
        <w:keepNext w:val="0"/>
        <w:keepLines w:val="0"/>
        <w:pageBreakBefore w:val="0"/>
        <w:kinsoku/>
        <w:wordWrap w:val="0"/>
        <w:overflowPunct/>
        <w:topLinePunct/>
        <w:bidi w:val="0"/>
        <w:spacing w:line="360" w:lineRule="auto"/>
        <w:ind w:firstLine="482" w:firstLineChars="200"/>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3</w:t>
      </w:r>
      <w:r>
        <w:rPr>
          <w:rStyle w:val="20"/>
          <w:rFonts w:hint="eastAsia" w:ascii="宋体" w:hAnsi="宋体" w:eastAsia="宋体" w:cs="宋体"/>
          <w:b/>
          <w:bCs/>
          <w:color w:val="000000" w:themeColor="text1"/>
          <w:kern w:val="0"/>
          <w:sz w:val="24"/>
          <w:szCs w:val="24"/>
          <w:highlight w:val="none"/>
          <w14:textFill>
            <w14:solidFill>
              <w14:schemeClr w14:val="tx1"/>
            </w14:solidFill>
          </w14:textFill>
        </w:rPr>
        <w:t>.</w:t>
      </w: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组建招标监督小组</w:t>
      </w:r>
    </w:p>
    <w:p w14:paraId="6EAE5168">
      <w:pPr>
        <w:keepNext w:val="0"/>
        <w:keepLines w:val="0"/>
        <w:pageBreakBefore w:val="0"/>
        <w:kinsoku/>
        <w:wordWrap w:val="0"/>
        <w:overflowPunct/>
        <w:topLinePunct/>
        <w:bidi w:val="0"/>
        <w:spacing w:line="360" w:lineRule="auto"/>
        <w:ind w:firstLine="480" w:firstLineChars="200"/>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119FA27A">
      <w:pPr>
        <w:keepNext w:val="0"/>
        <w:keepLines w:val="0"/>
        <w:pageBreakBefore w:val="0"/>
        <w:kinsoku/>
        <w:wordWrap w:val="0"/>
        <w:overflowPunct/>
        <w:topLinePunct/>
        <w:bidi w:val="0"/>
        <w:spacing w:line="360" w:lineRule="auto"/>
        <w:ind w:firstLine="482" w:firstLineChars="200"/>
        <w:jc w:val="left"/>
        <w:rPr>
          <w:rStyle w:val="20"/>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4</w:t>
      </w:r>
      <w:r>
        <w:rPr>
          <w:rStyle w:val="20"/>
          <w:rFonts w:hint="eastAsia" w:ascii="宋体" w:hAnsi="宋体" w:eastAsia="宋体" w:cs="宋体"/>
          <w:b/>
          <w:bCs/>
          <w:color w:val="000000" w:themeColor="text1"/>
          <w:kern w:val="0"/>
          <w:sz w:val="24"/>
          <w:szCs w:val="24"/>
          <w:highlight w:val="none"/>
          <w14:textFill>
            <w14:solidFill>
              <w14:schemeClr w14:val="tx1"/>
            </w14:solidFill>
          </w14:textFill>
        </w:rPr>
        <w:t>.</w:t>
      </w:r>
      <w:r>
        <w:rPr>
          <w:rStyle w:val="20"/>
          <w:rFonts w:hint="eastAsia" w:ascii="宋体" w:hAnsi="宋体" w:eastAsia="宋体" w:cs="宋体"/>
          <w:b/>
          <w:bCs/>
          <w:color w:val="000000" w:themeColor="text1"/>
          <w:kern w:val="0"/>
          <w:sz w:val="24"/>
          <w:szCs w:val="24"/>
          <w:highlight w:val="none"/>
          <w:lang w:eastAsia="zh-CN"/>
          <w14:textFill>
            <w14:solidFill>
              <w14:schemeClr w14:val="tx1"/>
            </w14:solidFill>
          </w14:textFill>
        </w:rPr>
        <w:t>定标办法</w:t>
      </w:r>
    </w:p>
    <w:p w14:paraId="0FEE8D21">
      <w:pPr>
        <w:keepNext w:val="0"/>
        <w:keepLines w:val="0"/>
        <w:pageBreakBefore w:val="0"/>
        <w:kinsoku/>
        <w:wordWrap w:val="0"/>
        <w:overflowPunct/>
        <w:topLinePunct/>
        <w:bidi w:val="0"/>
        <w:spacing w:line="360" w:lineRule="auto"/>
        <w:ind w:firstLine="240" w:firstLineChars="100"/>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定标办法由招标人按本投标人须知前附表的规定确定（只能选定其中一种定标办法）。</w:t>
      </w:r>
    </w:p>
    <w:p w14:paraId="42A64CAA">
      <w:pPr>
        <w:keepNext w:val="0"/>
        <w:keepLines w:val="0"/>
        <w:pageBreakBefore w:val="0"/>
        <w:kinsoku/>
        <w:wordWrap w:val="0"/>
        <w:overflowPunct/>
        <w:topLinePunct/>
        <w:bidi w:val="0"/>
        <w:spacing w:line="360" w:lineRule="auto"/>
        <w:ind w:firstLine="482" w:firstLineChars="200"/>
        <w:rPr>
          <w:rFonts w:hint="eastAsia" w:ascii="宋体" w:hAnsi="宋体" w:eastAsia="宋体" w:cs="宋体"/>
          <w:color w:val="000000" w:themeColor="text1"/>
          <w:sz w:val="24"/>
          <w:szCs w:val="24"/>
          <w:highlight w:val="none"/>
          <w14:textFill>
            <w14:solidFill>
              <w14:schemeClr w14:val="tx1"/>
            </w14:solidFill>
          </w14:textFill>
        </w:rPr>
      </w:pPr>
      <w:bookmarkStart w:id="151" w:name="OLE_LINK3"/>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本项目</w:t>
      </w:r>
      <w:bookmarkEnd w:id="151"/>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采用票决数量法定标。</w:t>
      </w:r>
    </w:p>
    <w:p w14:paraId="74C7FF23">
      <w:pPr>
        <w:keepNext w:val="0"/>
        <w:keepLines w:val="0"/>
        <w:pageBreakBefore w:val="0"/>
        <w:kinsoku/>
        <w:wordWrap w:val="0"/>
        <w:overflowPunct/>
        <w:topLinePunct/>
        <w:bidi w:val="0"/>
        <w:spacing w:line="360" w:lineRule="auto"/>
        <w:ind w:firstLine="482" w:firstLineChars="200"/>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pPr>
      <w:r>
        <w:rPr>
          <w:rStyle w:val="20"/>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5.定标细则</w:t>
      </w:r>
    </w:p>
    <w:p w14:paraId="5ECFFC53">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5.1票决数量法程序</w:t>
      </w:r>
    </w:p>
    <w:p w14:paraId="6D825BF5">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定标委员会根据定标因素对定标候选人进行评审比较后，每名定标委员会成员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有且仅有投出1票的权利，1票只能投1名定标候选人，</w:t>
      </w: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进行票决排名确定排序的中标候选人。即各定标委员会成员对定标候选人进行投票，按得票高低推荐排序的前三名中标候选人。</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若第一轮投票中前三名中标候选人有</w:t>
      </w:r>
      <w:r>
        <w:rPr>
          <w:rFonts w:hint="eastAsia" w:ascii="宋体" w:hAnsi="宋体" w:eastAsia="宋体" w:cs="宋体"/>
          <w:color w:val="000000" w:themeColor="text1"/>
          <w:sz w:val="24"/>
          <w:szCs w:val="24"/>
          <w:highlight w:val="none"/>
          <w:u w:val="none"/>
          <w:shd w:val="clear" w:color="auto" w:fill="FFFFFF"/>
          <w:lang w:val="en-US" w:eastAsia="zh-CN"/>
          <w14:textFill>
            <w14:solidFill>
              <w14:schemeClr w14:val="tx1"/>
            </w14:solidFill>
          </w14:textFill>
        </w:rPr>
        <w:t>得票相同且影响中标候选人排序确定的，由定标委员会对总票数相同的单位进行再次票决确定排序,</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直至决出排序的前三名中标候选人。若定标候选人中没有符合评审要求的三名中标候选人，则宣告本次招标失败。</w:t>
      </w:r>
      <w:r>
        <w:rPr>
          <w:rFonts w:hint="eastAsia" w:ascii="宋体" w:hAnsi="宋体" w:eastAsia="宋体" w:cs="宋体"/>
          <w:b w:val="0"/>
          <w:i w:val="0"/>
          <w:snapToGrid/>
          <w:color w:val="000000" w:themeColor="text1"/>
          <w:sz w:val="24"/>
          <w:szCs w:val="24"/>
          <w:highlight w:val="none"/>
          <w:u w:val="none"/>
          <w:shd w:val="clear" w:color="auto" w:fill="FFFFFF"/>
          <w:lang w:eastAsia="zh-CN"/>
          <w14:textFill>
            <w14:solidFill>
              <w14:schemeClr w14:val="tx1"/>
            </w14:solidFill>
          </w14:textFill>
        </w:rPr>
        <w:t>票决采用记名方式并注明投票理由。</w:t>
      </w:r>
    </w:p>
    <w:p w14:paraId="75860774">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5.1.1.</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项目情况介绍</w:t>
      </w:r>
    </w:p>
    <w:p w14:paraId="5323266F">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招标人代表介绍项目的概况及招标要求，以及定标方法与定标工作规则，不得发表具有倾向性的言论。</w:t>
      </w:r>
    </w:p>
    <w:p w14:paraId="19EA809F">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5.1.2.</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审阅定标资料</w:t>
      </w:r>
    </w:p>
    <w:p w14:paraId="0D7368C3">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定标委员会成员对各定标候选人的投标文件进行审阅，审阅内容主要是定标工作规则所规定的定标因素，</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聚焦于项目需求与候选人能力的匹配度</w:t>
      </w:r>
      <w:r>
        <w:rPr>
          <w:rFonts w:hint="eastAsia" w:ascii="宋体" w:hAnsi="宋体" w:eastAsia="宋体" w:cs="宋体"/>
          <w:color w:val="000000" w:themeColor="text1"/>
          <w:sz w:val="24"/>
          <w:szCs w:val="24"/>
          <w:highlight w:val="none"/>
          <w:u w:val="none"/>
          <w:shd w:val="clear" w:color="auto" w:fill="FFFFFF"/>
          <w:lang w:eastAsia="zh-CN"/>
          <w14:textFill>
            <w14:solidFill>
              <w14:schemeClr w14:val="tx1"/>
            </w14:solidFill>
          </w14:textFill>
        </w:rPr>
        <w:t>。</w:t>
      </w:r>
    </w:p>
    <w:p w14:paraId="191CC27A">
      <w:pPr>
        <w:pStyle w:val="12"/>
        <w:keepNext w:val="0"/>
        <w:keepLines w:val="0"/>
        <w:pageBreakBefore w:val="0"/>
        <w:numPr>
          <w:ilvl w:val="0"/>
          <w:numId w:val="0"/>
        </w:numPr>
        <w:shd w:val="clear" w:color="auto" w:fill="FFFFFF"/>
        <w:kinsoku/>
        <w:wordWrap w:val="0"/>
        <w:overflowPunct/>
        <w:topLinePunct/>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5.1.3.</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疑问澄清</w:t>
      </w:r>
    </w:p>
    <w:p w14:paraId="422608FD">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shd w:val="clear" w:color="auto" w:fill="FFFFFF"/>
          <w14:textFill>
            <w14:solidFill>
              <w14:schemeClr w14:val="tx1"/>
            </w14:solidFill>
          </w14:textFill>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6E8D4D9E">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5.1.4.投票，收票，点票和汇总</w:t>
      </w:r>
    </w:p>
    <w:p w14:paraId="6C3490A4">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eastAsia="zh-CN"/>
          <w14:textFill>
            <w14:solidFill>
              <w14:schemeClr w14:val="tx1"/>
            </w14:solidFill>
          </w14:textFill>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6EA2F25">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5.1.5.公布结果和出具定标报告</w:t>
      </w:r>
    </w:p>
    <w:p w14:paraId="46B9D813">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点票工作完成后，定标委员会组长汇总定标结果，编制定标报告，确定中标候选人，全体成员签名。</w:t>
      </w:r>
    </w:p>
    <w:p w14:paraId="6592BA36">
      <w:pPr>
        <w:pStyle w:val="12"/>
        <w:keepNext w:val="0"/>
        <w:keepLines w:val="0"/>
        <w:pageBreakBefore w:val="0"/>
        <w:numPr>
          <w:ilvl w:val="0"/>
          <w:numId w:val="0"/>
        </w:numPr>
        <w:shd w:val="clear" w:color="auto" w:fill="FFFFFF"/>
        <w:kinsoku/>
        <w:wordWrap w:val="0"/>
        <w:overflowPunct/>
        <w:topLinePunct/>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5.1.6.</w:t>
      </w:r>
      <w:r>
        <w:rPr>
          <w:rFonts w:hint="eastAsia" w:ascii="宋体" w:hAnsi="宋体" w:eastAsia="宋体" w:cs="宋体"/>
          <w:b/>
          <w:bCs/>
          <w:color w:val="000000" w:themeColor="text1"/>
          <w:sz w:val="24"/>
          <w:szCs w:val="24"/>
          <w:highlight w:val="none"/>
          <w:u w:val="none"/>
          <w:shd w:val="clear" w:color="auto" w:fill="FFFFFF"/>
          <w14:textFill>
            <w14:solidFill>
              <w14:schemeClr w14:val="tx1"/>
            </w14:solidFill>
          </w14:textFill>
        </w:rPr>
        <w:t>全程监督</w:t>
      </w:r>
    </w:p>
    <w:p w14:paraId="7B82D642">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000000" w:themeColor="text1"/>
          <w:sz w:val="24"/>
          <w:szCs w:val="24"/>
          <w:highlight w:val="none"/>
          <w:lang w:eastAsia="zh-CN"/>
          <w14:textFill>
            <w14:solidFill>
              <w14:schemeClr w14:val="tx1"/>
            </w14:solidFill>
          </w14:textFill>
        </w:rPr>
      </w:pPr>
      <w:r>
        <w:rPr>
          <w:rFonts w:hint="eastAsia" w:ascii="宋体" w:hAnsi="宋体" w:eastAsia="宋体" w:cs="宋体"/>
          <w:b w:val="0"/>
          <w:bCs/>
          <w:color w:val="000000" w:themeColor="text1"/>
          <w:sz w:val="24"/>
          <w:szCs w:val="24"/>
          <w:highlight w:val="none"/>
          <w:lang w:eastAsia="zh-CN"/>
          <w14:textFill>
            <w14:solidFill>
              <w14:schemeClr w14:val="tx1"/>
            </w14:solidFill>
          </w14:textFill>
        </w:rPr>
        <w:t>招标监督小组对集体议定的全过程进行监督，确保程序合规、讨论充分、记录完整，结论形成过程公正、透明。</w:t>
      </w:r>
    </w:p>
    <w:p w14:paraId="7E31CA14">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bCs/>
          <w:color w:val="000000" w:themeColor="text1"/>
          <w:spacing w:val="0"/>
          <w:position w:val="0"/>
          <w:sz w:val="24"/>
          <w:szCs w:val="24"/>
          <w:highlight w:val="none"/>
          <w:u w:val="none" w:color="auto"/>
          <w:lang w:val="en-US" w:eastAsia="zh-CN"/>
          <w14:textFill>
            <w14:solidFill>
              <w14:schemeClr w14:val="tx1"/>
            </w14:solidFill>
          </w14:textFill>
        </w:rPr>
        <w:t>5.2定标因素</w:t>
      </w:r>
    </w:p>
    <w:p w14:paraId="24CE29E0">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定标因素和相对标准有以下几个方面：</w:t>
      </w:r>
    </w:p>
    <w:p w14:paraId="04BC56F4">
      <w:pPr>
        <w:keepNext w:val="0"/>
        <w:keepLines w:val="0"/>
        <w:pageBreakBefore w:val="0"/>
        <w:widowControl w:val="0"/>
        <w:numPr>
          <w:ilvl w:val="0"/>
          <w:numId w:val="3"/>
        </w:numPr>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技术方案</w:t>
      </w:r>
    </w:p>
    <w:p w14:paraId="49A38FF2">
      <w:pPr>
        <w:keepNext w:val="0"/>
        <w:keepLines w:val="0"/>
        <w:pageBreakBefore w:val="0"/>
        <w:widowControl w:val="0"/>
        <w:numPr>
          <w:ilvl w:val="0"/>
          <w:numId w:val="0"/>
        </w:numPr>
        <w:kinsoku/>
        <w:wordWrap w:val="0"/>
        <w:overflowPunct/>
        <w:topLinePunct/>
        <w:autoSpaceDE/>
        <w:autoSpaceDN/>
        <w:bidi w:val="0"/>
        <w:adjustRightInd/>
        <w:snapToGrid/>
        <w:spacing w:line="360" w:lineRule="auto"/>
        <w:ind w:leftChars="200" w:right="0" w:rightChars="0"/>
        <w:jc w:val="both"/>
        <w:textAlignment w:val="auto"/>
        <w:outlineLvl w:val="9"/>
        <w:rPr>
          <w:rFonts w:hint="default"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相对标准：施工组织设计优良的定标候选人优于施工组织设计一般的定标候选人。</w:t>
      </w:r>
    </w:p>
    <w:p w14:paraId="3ED43259">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（2）企业信誉</w:t>
      </w:r>
    </w:p>
    <w:p w14:paraId="36D6BB74">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相对标准：企业信誉评价好的定标候选人优于企业信誉评价一般的定标候选人。</w:t>
      </w:r>
    </w:p>
    <w:p w14:paraId="01D91A77">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（3）评标报告</w:t>
      </w:r>
    </w:p>
    <w:p w14:paraId="0CDABEA7">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相对标准：评标委员会评审意见为具有优势</w:t>
      </w:r>
      <w:r>
        <w:rPr>
          <w:rFonts w:hint="eastAsia" w:ascii="宋体" w:hAnsi="宋体" w:eastAsia="宋体" w:cs="宋体"/>
          <w:color w:val="000000" w:themeColor="text1"/>
          <w:sz w:val="24"/>
          <w:szCs w:val="24"/>
          <w:highlight w:val="none"/>
          <w14:textFill>
            <w14:solidFill>
              <w14:schemeClr w14:val="tx1"/>
            </w14:solidFill>
          </w14:textFill>
        </w:rPr>
        <w:t>风险</w:t>
      </w:r>
      <w:r>
        <w:rPr>
          <w:rFonts w:hint="eastAsia" w:ascii="宋体" w:hAnsi="宋体" w:eastAsia="宋体" w:cs="宋体"/>
          <w:color w:val="000000" w:themeColor="text1"/>
          <w:sz w:val="24"/>
          <w:szCs w:val="24"/>
          <w:highlight w:val="none"/>
          <w:lang w:val="en-US" w:eastAsia="zh-CN"/>
          <w14:textFill>
            <w14:solidFill>
              <w14:schemeClr w14:val="tx1"/>
            </w14:solidFill>
          </w14:textFill>
        </w:rPr>
        <w:t>低</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的定标候选人优于评标委员会评审意见为没有优势</w:t>
      </w:r>
      <w:r>
        <w:rPr>
          <w:rFonts w:hint="eastAsia" w:ascii="宋体" w:hAnsi="宋体" w:eastAsia="宋体" w:cs="宋体"/>
          <w:color w:val="000000" w:themeColor="text1"/>
          <w:sz w:val="24"/>
          <w:szCs w:val="24"/>
          <w:highlight w:val="none"/>
          <w14:textFill>
            <w14:solidFill>
              <w14:schemeClr w14:val="tx1"/>
            </w14:solidFill>
          </w14:textFill>
        </w:rPr>
        <w:t>风险</w:t>
      </w:r>
      <w:r>
        <w:rPr>
          <w:rFonts w:hint="eastAsia" w:ascii="宋体" w:hAnsi="宋体" w:eastAsia="宋体" w:cs="宋体"/>
          <w:color w:val="000000" w:themeColor="text1"/>
          <w:sz w:val="24"/>
          <w:szCs w:val="24"/>
          <w:highlight w:val="none"/>
          <w:lang w:val="en-US" w:eastAsia="zh-CN"/>
          <w14:textFill>
            <w14:solidFill>
              <w14:schemeClr w14:val="tx1"/>
            </w14:solidFill>
          </w14:textFill>
        </w:rPr>
        <w:t>高</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定标候选人</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综合考虑评标委员会的评审意见，对各定标候选人</w:t>
      </w:r>
      <w:r>
        <w:rPr>
          <w:rFonts w:hint="eastAsia" w:ascii="宋体" w:hAnsi="宋体" w:eastAsia="宋体" w:cs="宋体"/>
          <w:color w:val="000000" w:themeColor="text1"/>
          <w:sz w:val="24"/>
          <w:szCs w:val="24"/>
          <w:highlight w:val="none"/>
          <w14:textFill>
            <w14:solidFill>
              <w14:schemeClr w14:val="tx1"/>
            </w14:solidFill>
          </w14:textFill>
        </w:rPr>
        <w:t>的优势、风险等评审情况</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进行评审比较</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w:t>
      </w:r>
    </w:p>
    <w:p w14:paraId="10EAAC7C">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（4）拟派团队管理能力与水平（履约能力）</w:t>
      </w:r>
    </w:p>
    <w:p w14:paraId="312C612C">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相对标准：拟派团队管理能力与水平（履约能力）强的定标候选人优于拟派团队管理能力与水平（履约能力）一般的定标候选人。</w:t>
      </w:r>
    </w:p>
    <w:p w14:paraId="08DF18D6">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（5）农民工工资保障情况</w:t>
      </w:r>
    </w:p>
    <w:p w14:paraId="01E4081C">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spacing w:val="0"/>
          <w:position w:val="0"/>
          <w:sz w:val="24"/>
          <w:szCs w:val="24"/>
          <w:highlight w:val="none"/>
          <w:u w:val="none" w:color="auto"/>
          <w:lang w:val="en-US" w:eastAsia="zh-CN"/>
          <w14:textFill>
            <w14:solidFill>
              <w14:schemeClr w14:val="tx1"/>
            </w14:solidFill>
          </w14:textFill>
        </w:rPr>
        <w:t>相对标准：农民工工资保障情况好的定标候选人优于农民工工资保障情况差的定标候选人（结合</w:t>
      </w: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定标候选人提交的证明材料和招标人查询的材料进行评审）。</w:t>
      </w:r>
    </w:p>
    <w:p w14:paraId="4AFDB7CC">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6.定标结果公示</w:t>
      </w:r>
    </w:p>
    <w:p w14:paraId="2958B60B">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定标委员会完成定标</w:t>
      </w:r>
      <w:r>
        <w:rPr>
          <w:rStyle w:val="20"/>
          <w:rFonts w:hint="eastAsia" w:ascii="宋体" w:hAnsi="宋体" w:eastAsia="宋体" w:cs="宋体"/>
          <w:b w:val="0"/>
          <w:bCs w:val="0"/>
          <w:color w:val="000000" w:themeColor="text1"/>
          <w:kern w:val="0"/>
          <w:sz w:val="24"/>
          <w:szCs w:val="24"/>
          <w:highlight w:val="none"/>
          <w:lang w:val="en-US" w:eastAsia="zh-CN"/>
          <w14:textFill>
            <w14:solidFill>
              <w14:schemeClr w14:val="tx1"/>
            </w14:solidFill>
          </w14:textFill>
        </w:rPr>
        <w:t>后</w:t>
      </w:r>
      <w:r>
        <w:rPr>
          <w:rStyle w:val="20"/>
          <w:rFonts w:hint="eastAsia" w:ascii="宋体" w:hAnsi="宋体" w:eastAsia="宋体" w:cs="宋体"/>
          <w:color w:val="000000" w:themeColor="text1"/>
          <w:kern w:val="0"/>
          <w:sz w:val="24"/>
          <w:szCs w:val="24"/>
          <w:highlight w:val="none"/>
          <w:lang w:val="en-US" w:eastAsia="zh-CN"/>
          <w14:textFill>
            <w14:solidFill>
              <w14:schemeClr w14:val="tx1"/>
            </w14:solidFill>
          </w14:textFill>
        </w:rPr>
        <w:t>，招标人应于定标会结束后3日内将中标候选人和定标情况在广东省招标投标监管网和韶关市公共资源交易中心工程交易系统上公示，公示时间不少于3日。公示主要内容包括：定标报告（定标成员信息除外）、中标人名单、中标价和拟投入本项目的项目负责人、技术负责人及各专业负责人（如有）等内容。</w:t>
      </w:r>
    </w:p>
    <w:p w14:paraId="29D49778">
      <w:pPr>
        <w:pageBreakBefore w:val="0"/>
        <w:kinsoku/>
        <w:wordWrap w:val="0"/>
        <w:overflowPunct/>
        <w:topLinePunct/>
        <w:bidi w:val="0"/>
        <w:rPr>
          <w:rFonts w:hint="eastAsia"/>
          <w:color w:val="000000" w:themeColor="text1"/>
          <w:highlight w:val="none"/>
          <w:lang w:val="en-US" w:eastAsia="zh-CN"/>
          <w14:textFill>
            <w14:solidFill>
              <w14:schemeClr w14:val="tx1"/>
            </w14:solidFill>
          </w14:textFill>
        </w:rPr>
      </w:pPr>
    </w:p>
    <w:p w14:paraId="3E95545A">
      <w:pPr>
        <w:pageBreakBefore w:val="0"/>
        <w:kinsoku/>
        <w:wordWrap w:val="0"/>
        <w:overflowPunct/>
        <w:topLinePunct/>
        <w:bidi w:val="0"/>
        <w:rPr>
          <w:rFonts w:hint="eastAsia"/>
          <w:color w:val="000000" w:themeColor="text1"/>
          <w:highlight w:val="none"/>
          <w14:textFill>
            <w14:solidFill>
              <w14:schemeClr w14:val="tx1"/>
            </w14:solidFill>
          </w14:textFill>
        </w:rPr>
      </w:pPr>
    </w:p>
    <w:p w14:paraId="65A7763F">
      <w:pPr>
        <w:pageBreakBefore w:val="0"/>
        <w:kinsoku/>
        <w:wordWrap w:val="0"/>
        <w:overflowPunct/>
        <w:topLinePunct/>
        <w:bidi w:val="0"/>
        <w:rPr>
          <w:rFonts w:hint="eastAsia"/>
          <w:color w:val="000000" w:themeColor="text1"/>
          <w:highlight w:val="none"/>
          <w14:textFill>
            <w14:solidFill>
              <w14:schemeClr w14:val="tx1"/>
            </w14:solidFill>
          </w14:textFill>
        </w:rPr>
      </w:pPr>
    </w:p>
    <w:p w14:paraId="3DE046EE">
      <w:pPr>
        <w:pageBreakBefore w:val="0"/>
        <w:kinsoku/>
        <w:wordWrap w:val="0"/>
        <w:overflowPunct/>
        <w:topLinePunct/>
        <w:bidi w:val="0"/>
        <w:rPr>
          <w:rFonts w:hint="eastAsia"/>
          <w:color w:val="000000" w:themeColor="text1"/>
          <w:highlight w:val="none"/>
          <w14:textFill>
            <w14:solidFill>
              <w14:schemeClr w14:val="tx1"/>
            </w14:solidFill>
          </w14:textFill>
        </w:rPr>
      </w:pPr>
    </w:p>
    <w:p w14:paraId="202658E9">
      <w:pPr>
        <w:pageBreakBefore w:val="0"/>
        <w:kinsoku/>
        <w:wordWrap w:val="0"/>
        <w:overflowPunct/>
        <w:topLinePunct/>
        <w:bidi w:val="0"/>
        <w:rPr>
          <w:rFonts w:hint="eastAsia"/>
          <w:color w:val="000000" w:themeColor="text1"/>
          <w:highlight w:val="none"/>
          <w14:textFill>
            <w14:solidFill>
              <w14:schemeClr w14:val="tx1"/>
            </w14:solidFill>
          </w14:textFill>
        </w:rPr>
      </w:pPr>
    </w:p>
    <w:p w14:paraId="2FE227F5">
      <w:pPr>
        <w:pageBreakBefore w:val="0"/>
        <w:kinsoku/>
        <w:wordWrap w:val="0"/>
        <w:overflowPunct/>
        <w:topLinePunct/>
        <w:bidi w:val="0"/>
        <w:rPr>
          <w:rFonts w:hint="eastAsia"/>
          <w:color w:val="000000" w:themeColor="text1"/>
          <w:highlight w:val="none"/>
          <w14:textFill>
            <w14:solidFill>
              <w14:schemeClr w14:val="tx1"/>
            </w14:solidFill>
          </w14:textFill>
        </w:rPr>
      </w:pPr>
    </w:p>
    <w:p w14:paraId="495A67AF">
      <w:pPr>
        <w:pageBreakBefore w:val="0"/>
        <w:kinsoku/>
        <w:wordWrap w:val="0"/>
        <w:overflowPunct/>
        <w:topLinePunct/>
        <w:bidi w:val="0"/>
        <w:rPr>
          <w:rFonts w:hint="eastAsia"/>
          <w:color w:val="000000" w:themeColor="text1"/>
          <w:highlight w:val="none"/>
          <w14:textFill>
            <w14:solidFill>
              <w14:schemeClr w14:val="tx1"/>
            </w14:solidFill>
          </w14:textFill>
        </w:rPr>
      </w:pPr>
    </w:p>
    <w:p w14:paraId="028E8C7E">
      <w:pPr>
        <w:pageBreakBefore w:val="0"/>
        <w:kinsoku/>
        <w:wordWrap w:val="0"/>
        <w:overflowPunct/>
        <w:topLinePunct/>
        <w:bidi w:val="0"/>
        <w:rPr>
          <w:rFonts w:hint="eastAsia"/>
          <w:color w:val="000000" w:themeColor="text1"/>
          <w:highlight w:val="none"/>
          <w14:textFill>
            <w14:solidFill>
              <w14:schemeClr w14:val="tx1"/>
            </w14:solidFill>
          </w14:textFill>
        </w:rPr>
      </w:pPr>
    </w:p>
    <w:p w14:paraId="15F5C06C">
      <w:pPr>
        <w:pageBreakBefore w:val="0"/>
        <w:kinsoku/>
        <w:wordWrap w:val="0"/>
        <w:overflowPunct/>
        <w:topLinePunct/>
        <w:bidi w:val="0"/>
        <w:rPr>
          <w:rFonts w:hint="eastAsia"/>
          <w:color w:val="000000" w:themeColor="text1"/>
          <w:highlight w:val="none"/>
          <w14:textFill>
            <w14:solidFill>
              <w14:schemeClr w14:val="tx1"/>
            </w14:solidFill>
          </w14:textFill>
        </w:rPr>
      </w:pPr>
    </w:p>
    <w:p w14:paraId="73F58B87">
      <w:pPr>
        <w:pageBreakBefore w:val="0"/>
        <w:kinsoku/>
        <w:wordWrap w:val="0"/>
        <w:overflowPunct/>
        <w:topLinePunct/>
        <w:bidi w:val="0"/>
        <w:rPr>
          <w:rFonts w:hint="eastAsia"/>
          <w:color w:val="000000" w:themeColor="text1"/>
          <w:highlight w:val="none"/>
          <w14:textFill>
            <w14:solidFill>
              <w14:schemeClr w14:val="tx1"/>
            </w14:solidFill>
          </w14:textFill>
        </w:rPr>
      </w:pPr>
    </w:p>
    <w:p w14:paraId="08AEAEBB">
      <w:pPr>
        <w:pageBreakBefore w:val="0"/>
        <w:kinsoku/>
        <w:wordWrap w:val="0"/>
        <w:overflowPunct/>
        <w:topLinePunct/>
        <w:bidi w:val="0"/>
        <w:rPr>
          <w:rFonts w:hint="eastAsia"/>
          <w:color w:val="000000" w:themeColor="text1"/>
          <w:highlight w:val="none"/>
          <w14:textFill>
            <w14:solidFill>
              <w14:schemeClr w14:val="tx1"/>
            </w14:solidFill>
          </w14:textFill>
        </w:rPr>
      </w:pPr>
    </w:p>
    <w:p w14:paraId="67B24121">
      <w:pPr>
        <w:pageBreakBefore w:val="0"/>
        <w:kinsoku/>
        <w:wordWrap w:val="0"/>
        <w:overflowPunct/>
        <w:topLinePunct/>
        <w:bidi w:val="0"/>
        <w:rPr>
          <w:rFonts w:hint="eastAsia"/>
          <w:color w:val="000000" w:themeColor="text1"/>
          <w:highlight w:val="none"/>
          <w14:textFill>
            <w14:solidFill>
              <w14:schemeClr w14:val="tx1"/>
            </w14:solidFill>
          </w14:textFill>
        </w:rPr>
      </w:pPr>
    </w:p>
    <w:p w14:paraId="527E448A">
      <w:pPr>
        <w:pageBreakBefore w:val="0"/>
        <w:kinsoku/>
        <w:wordWrap w:val="0"/>
        <w:overflowPunct/>
        <w:topLinePunct/>
        <w:bidi w:val="0"/>
        <w:rPr>
          <w:rFonts w:hint="eastAsia"/>
          <w:color w:val="000000" w:themeColor="text1"/>
          <w:highlight w:val="none"/>
          <w14:textFill>
            <w14:solidFill>
              <w14:schemeClr w14:val="tx1"/>
            </w14:solidFill>
          </w14:textFill>
        </w:rPr>
      </w:pPr>
    </w:p>
    <w:p w14:paraId="511441C5">
      <w:pPr>
        <w:pageBreakBefore w:val="0"/>
        <w:kinsoku/>
        <w:wordWrap w:val="0"/>
        <w:overflowPunct/>
        <w:topLinePunct/>
        <w:bidi w:val="0"/>
        <w:rPr>
          <w:rFonts w:hint="eastAsia"/>
          <w:color w:val="000000" w:themeColor="text1"/>
          <w:highlight w:val="none"/>
          <w14:textFill>
            <w14:solidFill>
              <w14:schemeClr w14:val="tx1"/>
            </w14:solidFill>
          </w14:textFill>
        </w:rPr>
      </w:pPr>
    </w:p>
    <w:p w14:paraId="6602CF0A">
      <w:pPr>
        <w:pageBreakBefore w:val="0"/>
        <w:kinsoku/>
        <w:wordWrap w:val="0"/>
        <w:overflowPunct/>
        <w:topLinePunct/>
        <w:bidi w:val="0"/>
        <w:rPr>
          <w:rFonts w:hint="eastAsia"/>
          <w:color w:val="000000" w:themeColor="text1"/>
          <w:highlight w:val="none"/>
          <w14:textFill>
            <w14:solidFill>
              <w14:schemeClr w14:val="tx1"/>
            </w14:solidFill>
          </w14:textFill>
        </w:rPr>
      </w:pPr>
    </w:p>
    <w:p w14:paraId="3374AE19">
      <w:pPr>
        <w:pageBreakBefore w:val="0"/>
        <w:kinsoku/>
        <w:wordWrap w:val="0"/>
        <w:overflowPunct/>
        <w:topLinePunct/>
        <w:bidi w:val="0"/>
        <w:rPr>
          <w:rFonts w:hint="eastAsia"/>
          <w:color w:val="000000" w:themeColor="text1"/>
          <w:highlight w:val="none"/>
          <w14:textFill>
            <w14:solidFill>
              <w14:schemeClr w14:val="tx1"/>
            </w14:solidFill>
          </w14:textFill>
        </w:rPr>
      </w:pPr>
    </w:p>
    <w:p w14:paraId="64C2DC87">
      <w:pPr>
        <w:pageBreakBefore w:val="0"/>
        <w:kinsoku/>
        <w:wordWrap w:val="0"/>
        <w:overflowPunct/>
        <w:topLinePunct/>
        <w:bidi w:val="0"/>
        <w:rPr>
          <w:rFonts w:hint="eastAsia"/>
          <w:color w:val="000000" w:themeColor="text1"/>
          <w:highlight w:val="none"/>
          <w14:textFill>
            <w14:solidFill>
              <w14:schemeClr w14:val="tx1"/>
            </w14:solidFill>
          </w14:textFill>
        </w:rPr>
      </w:pPr>
    </w:p>
    <w:p w14:paraId="6A86B62D">
      <w:pPr>
        <w:pageBreakBefore w:val="0"/>
        <w:kinsoku/>
        <w:wordWrap w:val="0"/>
        <w:overflowPunct/>
        <w:topLinePunct/>
        <w:bidi w:val="0"/>
        <w:rPr>
          <w:rFonts w:hint="eastAsia"/>
          <w:color w:val="000000" w:themeColor="text1"/>
          <w:highlight w:val="none"/>
          <w14:textFill>
            <w14:solidFill>
              <w14:schemeClr w14:val="tx1"/>
            </w14:solidFill>
          </w14:textFill>
        </w:rPr>
      </w:pPr>
    </w:p>
    <w:p w14:paraId="7BF795F2">
      <w:pPr>
        <w:pageBreakBefore w:val="0"/>
        <w:kinsoku/>
        <w:wordWrap w:val="0"/>
        <w:overflowPunct/>
        <w:topLinePunct/>
        <w:bidi w:val="0"/>
        <w:rPr>
          <w:rFonts w:hint="eastAsia"/>
          <w:color w:val="000000" w:themeColor="text1"/>
          <w:highlight w:val="none"/>
          <w14:textFill>
            <w14:solidFill>
              <w14:schemeClr w14:val="tx1"/>
            </w14:solidFill>
          </w14:textFill>
        </w:rPr>
      </w:pPr>
    </w:p>
    <w:p w14:paraId="33DDFD5A">
      <w:pPr>
        <w:pageBreakBefore w:val="0"/>
        <w:kinsoku/>
        <w:wordWrap w:val="0"/>
        <w:overflowPunct/>
        <w:topLinePunct/>
        <w:bidi w:val="0"/>
        <w:rPr>
          <w:rFonts w:hint="eastAsia"/>
          <w:color w:val="000000" w:themeColor="text1"/>
          <w:highlight w:val="none"/>
          <w14:textFill>
            <w14:solidFill>
              <w14:schemeClr w14:val="tx1"/>
            </w14:solidFill>
          </w14:textFill>
        </w:rPr>
      </w:pPr>
    </w:p>
    <w:p w14:paraId="06AEB8FB">
      <w:pPr>
        <w:pageBreakBefore w:val="0"/>
        <w:kinsoku/>
        <w:wordWrap w:val="0"/>
        <w:overflowPunct/>
        <w:topLinePunct/>
        <w:bidi w:val="0"/>
        <w:rPr>
          <w:rFonts w:hint="eastAsia"/>
          <w:color w:val="000000" w:themeColor="text1"/>
          <w:highlight w:val="none"/>
          <w14:textFill>
            <w14:solidFill>
              <w14:schemeClr w14:val="tx1"/>
            </w14:solidFill>
          </w14:textFill>
        </w:rPr>
      </w:pPr>
    </w:p>
    <w:p w14:paraId="44D1FA51">
      <w:pPr>
        <w:pageBreakBefore w:val="0"/>
        <w:kinsoku/>
        <w:wordWrap w:val="0"/>
        <w:overflowPunct/>
        <w:topLinePunct/>
        <w:bidi w:val="0"/>
        <w:rPr>
          <w:rFonts w:hint="eastAsia"/>
          <w:color w:val="000000" w:themeColor="text1"/>
          <w:highlight w:val="none"/>
          <w14:textFill>
            <w14:solidFill>
              <w14:schemeClr w14:val="tx1"/>
            </w14:solidFill>
          </w14:textFill>
        </w:rPr>
      </w:pPr>
    </w:p>
    <w:p w14:paraId="57EE968D">
      <w:pPr>
        <w:pageBreakBefore w:val="0"/>
        <w:kinsoku/>
        <w:wordWrap w:val="0"/>
        <w:overflowPunct/>
        <w:topLinePunct/>
        <w:bidi w:val="0"/>
        <w:rPr>
          <w:rFonts w:hint="eastAsia"/>
          <w:color w:val="000000" w:themeColor="text1"/>
          <w:highlight w:val="none"/>
          <w14:textFill>
            <w14:solidFill>
              <w14:schemeClr w14:val="tx1"/>
            </w14:solidFill>
          </w14:textFill>
        </w:rPr>
      </w:pPr>
    </w:p>
    <w:p w14:paraId="22C408F5">
      <w:pPr>
        <w:pageBreakBefore w:val="0"/>
        <w:kinsoku/>
        <w:wordWrap w:val="0"/>
        <w:overflowPunct/>
        <w:topLinePunct/>
        <w:bidi w:val="0"/>
        <w:rPr>
          <w:rFonts w:hint="eastAsia"/>
          <w:color w:val="000000" w:themeColor="text1"/>
          <w:highlight w:val="none"/>
          <w14:textFill>
            <w14:solidFill>
              <w14:schemeClr w14:val="tx1"/>
            </w14:solidFill>
          </w14:textFill>
        </w:rPr>
      </w:pPr>
    </w:p>
    <w:p w14:paraId="4026329B">
      <w:pPr>
        <w:pageBreakBefore w:val="0"/>
        <w:kinsoku/>
        <w:wordWrap w:val="0"/>
        <w:overflowPunct/>
        <w:topLinePunct/>
        <w:bidi w:val="0"/>
        <w:spacing w:before="78" w:line="220" w:lineRule="auto"/>
        <w:ind w:left="9"/>
        <w:jc w:val="center"/>
        <w:outlineLvl w:val="1"/>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pPr>
      <w:bookmarkStart w:id="152" w:name="_Toc209"/>
      <w:bookmarkStart w:id="153" w:name="_Toc26881"/>
      <w:r>
        <w:rPr>
          <w:rFonts w:hint="eastAsia" w:ascii="宋体" w:hAnsi="宋体" w:eastAsia="宋体" w:cs="宋体"/>
          <w:b/>
          <w:bCs/>
          <w:color w:val="000000" w:themeColor="text1"/>
          <w:spacing w:val="-3"/>
          <w:sz w:val="24"/>
          <w:szCs w:val="24"/>
          <w:highlight w:val="none"/>
          <w14:textFill>
            <w14:solidFill>
              <w14:schemeClr w14:val="tx1"/>
            </w14:solidFill>
          </w14:textFill>
        </w:rPr>
        <w:t>第</w:t>
      </w:r>
      <w:r>
        <w:rPr>
          <w:rFonts w:hint="eastAsia" w:ascii="宋体" w:hAnsi="宋体" w:eastAsia="宋体" w:cs="宋体"/>
          <w:b/>
          <w:bCs/>
          <w:color w:val="000000" w:themeColor="text1"/>
          <w:spacing w:val="-3"/>
          <w:sz w:val="24"/>
          <w:szCs w:val="24"/>
          <w:highlight w:val="none"/>
          <w:lang w:val="en-US" w:eastAsia="zh-CN"/>
          <w14:textFill>
            <w14:solidFill>
              <w14:schemeClr w14:val="tx1"/>
            </w14:solidFill>
          </w14:textFill>
        </w:rPr>
        <w:t>六</w:t>
      </w:r>
      <w:r>
        <w:rPr>
          <w:rFonts w:hint="eastAsia" w:ascii="宋体" w:hAnsi="宋体" w:eastAsia="宋体" w:cs="宋体"/>
          <w:b/>
          <w:bCs/>
          <w:color w:val="000000" w:themeColor="text1"/>
          <w:spacing w:val="-3"/>
          <w:sz w:val="24"/>
          <w:szCs w:val="24"/>
          <w:highlight w:val="none"/>
          <w14:textFill>
            <w14:solidFill>
              <w14:schemeClr w14:val="tx1"/>
            </w14:solidFill>
          </w14:textFill>
        </w:rPr>
        <w:t>节 中标确认</w:t>
      </w:r>
      <w:bookmarkEnd w:id="152"/>
      <w:bookmarkEnd w:id="153"/>
    </w:p>
    <w:p w14:paraId="4491FED1">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bCs/>
          <w:color w:val="000000" w:themeColor="text1"/>
          <w:kern w:val="0"/>
          <w:sz w:val="24"/>
          <w:szCs w:val="24"/>
          <w:highlight w:val="none"/>
          <w:u w:val="none"/>
          <w:shd w:val="clear" w:color="auto" w:fill="FFFFFF"/>
          <w:lang w:val="en-US" w:eastAsia="zh-CN" w:bidi="ar-SA"/>
          <w14:textFill>
            <w14:solidFill>
              <w14:schemeClr w14:val="tx1"/>
            </w14:solidFill>
          </w14:textFill>
        </w:rPr>
        <w:t>1.中标人确定</w:t>
      </w:r>
    </w:p>
    <w:p w14:paraId="38457127">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1.1中标人确定。中标结果公示期满无异议的，招标人确认排名第一的中标候选人为中标人，中标人的投标报价即为中标价。</w:t>
      </w:r>
    </w:p>
    <w:p w14:paraId="204A6FF9">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1.2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000000" w:themeColor="text1"/>
          <w:kern w:val="0"/>
          <w:sz w:val="24"/>
          <w:szCs w:val="24"/>
          <w:highlight w:val="none"/>
          <w14:textFill>
            <w14:solidFill>
              <w14:schemeClr w14:val="tx1"/>
            </w14:solidFill>
          </w14:textFill>
        </w:rPr>
        <w:t>在中标通知书发出后5个工作日内，韶关市公共资源交易中心将投标保证金（或银行保函）退还给中标候选人以外的投标人。</w:t>
      </w:r>
    </w:p>
    <w:p w14:paraId="208571BF">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1.3招标人应当自中标通知书发出之日起15日内，通过广东省招标投标监管网和公共资源交易平台发布中标结果公示。招标人应当自确定中标人之日起15日内，在线向有关招标管理部门提交招标投标情况的书面报告。</w:t>
      </w:r>
    </w:p>
    <w:p w14:paraId="5E218C04">
      <w:pPr>
        <w:keepNext w:val="0"/>
        <w:keepLines w:val="0"/>
        <w:pageBreakBefore w:val="0"/>
        <w:widowControl w:val="0"/>
        <w:shd w:val="clear" w:color="auto" w:fill="auto"/>
        <w:kinsoku/>
        <w:wordWrap w:val="0"/>
        <w:overflowPunct/>
        <w:topLinePunct/>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w:t>
      </w:r>
      <w:r>
        <w:rPr>
          <w:rFonts w:hint="eastAsia" w:ascii="宋体" w:hAnsi="宋体" w:eastAsia="宋体" w:cs="宋体"/>
          <w:b/>
          <w:bCs/>
          <w:color w:val="000000" w:themeColor="text1"/>
          <w:sz w:val="24"/>
          <w:szCs w:val="24"/>
          <w:highlight w:val="none"/>
          <w:lang w:eastAsia="zh-CN"/>
          <w14:textFill>
            <w14:solidFill>
              <w14:schemeClr w14:val="tx1"/>
            </w14:solidFill>
          </w14:textFill>
        </w:rPr>
        <w:t>异议和投诉</w:t>
      </w:r>
    </w:p>
    <w:p w14:paraId="7599C53D">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2.1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16CDC437">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2.2在定标候选人和中标候选人公示期间有关评标结果的异议成立的，招标人原则上应当组织原评标委员会和原定标委员会对有关的问题予以纠正，问题纠正后再公示定标候选人和中标候选人。</w:t>
      </w:r>
    </w:p>
    <w:p w14:paraId="4F902E0B">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2D1F98C5">
      <w:pPr>
        <w:pStyle w:val="12"/>
        <w:keepNext w:val="0"/>
        <w:keepLines w:val="0"/>
        <w:pageBreakBefore w:val="0"/>
        <w:widowControl w:val="0"/>
        <w:shd w:val="clear" w:color="auto" w:fill="auto"/>
        <w:kinsoku/>
        <w:wordWrap w:val="0"/>
        <w:overflowPunct/>
        <w:topLinePunct/>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000000" w:themeColor="text1"/>
          <w:sz w:val="24"/>
          <w:szCs w:val="24"/>
          <w:highlight w:val="none"/>
          <w14:textFill>
            <w14:solidFill>
              <w14:schemeClr w14:val="tx1"/>
            </w14:solidFill>
          </w14:textFill>
        </w:rPr>
      </w:pPr>
      <w:bookmarkStart w:id="154" w:name="_Toc236550039"/>
      <w:r>
        <w:rPr>
          <w:rStyle w:val="17"/>
          <w:rFonts w:hint="eastAsia" w:ascii="宋体" w:hAnsi="宋体" w:eastAsia="宋体" w:cs="宋体"/>
          <w:b/>
          <w:bCs/>
          <w:i w:val="0"/>
          <w:color w:val="000000" w:themeColor="text1"/>
          <w:sz w:val="24"/>
          <w:szCs w:val="24"/>
          <w:highlight w:val="none"/>
          <w:lang w:val="en-US" w:eastAsia="zh-CN"/>
          <w14:textFill>
            <w14:solidFill>
              <w14:schemeClr w14:val="tx1"/>
            </w14:solidFill>
          </w14:textFill>
        </w:rPr>
        <w:t>3</w:t>
      </w:r>
      <w:r>
        <w:rPr>
          <w:rStyle w:val="17"/>
          <w:rFonts w:hint="eastAsia" w:ascii="宋体" w:hAnsi="宋体" w:eastAsia="宋体" w:cs="宋体"/>
          <w:b/>
          <w:bCs/>
          <w:i w:val="0"/>
          <w:color w:val="000000" w:themeColor="text1"/>
          <w:sz w:val="24"/>
          <w:szCs w:val="24"/>
          <w:highlight w:val="none"/>
          <w14:textFill>
            <w14:solidFill>
              <w14:schemeClr w14:val="tx1"/>
            </w14:solidFill>
          </w14:textFill>
        </w:rPr>
        <w:t>．废除授标</w:t>
      </w:r>
      <w:bookmarkEnd w:id="154"/>
      <w:r>
        <w:rPr>
          <w:rStyle w:val="17"/>
          <w:rFonts w:hint="eastAsia" w:ascii="宋体" w:hAnsi="宋体" w:eastAsia="宋体" w:cs="宋体"/>
          <w:b/>
          <w:bCs/>
          <w:i w:val="0"/>
          <w:color w:val="000000" w:themeColor="text1"/>
          <w:sz w:val="24"/>
          <w:szCs w:val="24"/>
          <w:highlight w:val="none"/>
          <w14:textFill>
            <w14:solidFill>
              <w14:schemeClr w14:val="tx1"/>
            </w14:solidFill>
          </w14:textFill>
        </w:rPr>
        <w:t>及授标</w:t>
      </w:r>
    </w:p>
    <w:p w14:paraId="6C9F6E63">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3.1评定标完成后，中标候选人有下列情形之一的，招标人应按规定取消中标候选人资格或废除授标：</w:t>
      </w:r>
    </w:p>
    <w:p w14:paraId="5AEDDF29">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（1）以他人名义投标或者以其他方式弄虚作假骗取中标的；</w:t>
      </w:r>
    </w:p>
    <w:p w14:paraId="76C445E5">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（2）与其他投标人串通投标或以行贿的手段谋取中标的；</w:t>
      </w:r>
    </w:p>
    <w:p w14:paraId="0DDA9E1F">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（3）不是从本投标企业基本账户提交投标担保或以虚假方式提交投标保证金保函（保单）的；</w:t>
      </w:r>
    </w:p>
    <w:p w14:paraId="73F09E2C">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（4）中标人于投标有效期终止之前撤回投标文件，或者排名第一的中标候选人放弃中标资格的；</w:t>
      </w:r>
    </w:p>
    <w:p w14:paraId="1D0573BB">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（5）因中标人过错而未能按照规定与招标人签订工程总承包合同或中标人因不可抗力提出不能履行合同的；</w:t>
      </w:r>
    </w:p>
    <w:p w14:paraId="35C4BED4">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（6）因中标人过错而未能按照招标文件要求向招标人提交履约担保的；</w:t>
      </w:r>
    </w:p>
    <w:p w14:paraId="44C2F308">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（7）中标单位拟派的项目负责人从投标截止时间起在其他建设工程担任项目负责人；</w:t>
      </w:r>
    </w:p>
    <w:p w14:paraId="541BB5F4">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（8）中标人被有关部门查实存在影响中标结果的违法行为，不符合中标条件的；</w:t>
      </w:r>
    </w:p>
    <w:p w14:paraId="4C701236">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（9）中标人在参加本项目投标时有本企业投标承诺书所列被依法限制或暂停承揽业务或停业的处罚的；</w:t>
      </w:r>
    </w:p>
    <w:p w14:paraId="3E74B752">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（10）招标文件明确规定可以废除授标的其他情形。</w:t>
      </w:r>
    </w:p>
    <w:p w14:paraId="406069B1">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3.2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65062E10">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3.3招标人有下列情形之一的，应依法承担相应的责任：</w:t>
      </w:r>
    </w:p>
    <w:p w14:paraId="0B9A67F5">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（1）无正当理由不发出中标通知书的；</w:t>
      </w:r>
    </w:p>
    <w:p w14:paraId="24173F01">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（2）招标人不按照规定确定中标人的；</w:t>
      </w:r>
    </w:p>
    <w:p w14:paraId="13F0F3C9">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（3）中标通知书发出后无正当理由改变中标结果的；</w:t>
      </w:r>
    </w:p>
    <w:p w14:paraId="5490F2B6">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（4）无正当理由不与中标人签订工程总承包合同的；</w:t>
      </w:r>
    </w:p>
    <w:p w14:paraId="111716A0">
      <w:pPr>
        <w:keepNext w:val="0"/>
        <w:keepLines w:val="0"/>
        <w:pageBreakBefore w:val="0"/>
        <w:widowControl w:val="0"/>
        <w:kinsoku/>
        <w:wordWrap w:val="0"/>
        <w:overflowPunct/>
        <w:topLinePunct/>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val="0"/>
          <w:bCs w:val="0"/>
          <w:color w:val="000000" w:themeColor="text1"/>
          <w:kern w:val="0"/>
          <w:sz w:val="24"/>
          <w:szCs w:val="24"/>
          <w:highlight w:val="none"/>
          <w:u w:val="none"/>
          <w:shd w:val="clear" w:color="auto" w:fill="FFFFFF"/>
          <w:lang w:val="en-US" w:eastAsia="zh-CN" w:bidi="ar-SA"/>
          <w14:textFill>
            <w14:solidFill>
              <w14:schemeClr w14:val="tx1"/>
            </w14:solidFill>
          </w14:textFill>
        </w:rPr>
        <w:t>（5）在签订工程总承包合同时向中标人提出附加条件或者更改合同实质性内容的。</w:t>
      </w:r>
    </w:p>
    <w:p w14:paraId="266C37F8">
      <w:pPr>
        <w:keepNext w:val="0"/>
        <w:keepLines w:val="0"/>
        <w:pageBreakBefore w:val="0"/>
        <w:kinsoku/>
        <w:wordWrap w:val="0"/>
        <w:overflowPunct/>
        <w:topLinePunct/>
        <w:bidi w:val="0"/>
        <w:spacing w:line="360" w:lineRule="auto"/>
        <w:rPr>
          <w:rFonts w:hint="eastAsia" w:ascii="宋体" w:hAnsi="宋体" w:eastAsia="宋体" w:cs="宋体"/>
          <w:color w:val="000000" w:themeColor="text1"/>
          <w:sz w:val="24"/>
          <w:szCs w:val="24"/>
          <w:highlight w:val="none"/>
          <w14:textFill>
            <w14:solidFill>
              <w14:schemeClr w14:val="tx1"/>
            </w14:solidFill>
          </w14:textFill>
        </w:rPr>
        <w:sectPr>
          <w:endnotePr>
            <w:numFmt w:val="decimal"/>
          </w:endnotePr>
          <w:pgSz w:w="11906" w:h="16838"/>
          <w:pgMar w:top="1247" w:right="1304" w:bottom="1247" w:left="1304" w:header="850" w:footer="544" w:gutter="0"/>
          <w:cols w:space="720" w:num="1"/>
          <w:rtlGutter w:val="0"/>
          <w:docGrid w:linePitch="327" w:charSpace="0"/>
        </w:sectPr>
      </w:pPr>
    </w:p>
    <w:p w14:paraId="426A79CA">
      <w:pPr>
        <w:pageBreakBefore w:val="0"/>
        <w:kinsoku/>
        <w:wordWrap w:val="0"/>
        <w:overflowPunct/>
        <w:topLinePunct/>
        <w:bidi w:val="0"/>
        <w:spacing w:before="78" w:line="219" w:lineRule="auto"/>
        <w:ind w:left="3525"/>
        <w:outlineLvl w:val="0"/>
        <w:rPr>
          <w:rFonts w:hint="eastAsia" w:ascii="宋体" w:hAnsi="宋体" w:eastAsia="宋体" w:cs="宋体"/>
          <w:color w:val="000000" w:themeColor="text1"/>
          <w:sz w:val="24"/>
          <w:szCs w:val="24"/>
          <w:highlight w:val="none"/>
          <w14:textFill>
            <w14:solidFill>
              <w14:schemeClr w14:val="tx1"/>
            </w14:solidFill>
          </w14:textFill>
        </w:rPr>
      </w:pPr>
      <w:bookmarkStart w:id="155" w:name="_Toc16685"/>
      <w:r>
        <w:rPr>
          <w:rFonts w:hint="eastAsia" w:ascii="宋体" w:hAnsi="宋体" w:eastAsia="宋体" w:cs="宋体"/>
          <w:b/>
          <w:bCs/>
          <w:color w:val="000000" w:themeColor="text1"/>
          <w:spacing w:val="-7"/>
          <w:sz w:val="24"/>
          <w:szCs w:val="24"/>
          <w:highlight w:val="none"/>
          <w14:textFill>
            <w14:solidFill>
              <w14:schemeClr w14:val="tx1"/>
            </w14:solidFill>
          </w14:textFill>
        </w:rPr>
        <w:t>第二章</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7"/>
          <w:sz w:val="24"/>
          <w:szCs w:val="24"/>
          <w:highlight w:val="none"/>
          <w14:textFill>
            <w14:solidFill>
              <w14:schemeClr w14:val="tx1"/>
            </w14:solidFill>
          </w14:textFill>
        </w:rPr>
        <w:t>中标人须知</w:t>
      </w:r>
      <w:bookmarkEnd w:id="155"/>
    </w:p>
    <w:p w14:paraId="7E0FCCED">
      <w:pPr>
        <w:pageBreakBefore w:val="0"/>
        <w:kinsoku/>
        <w:wordWrap w:val="0"/>
        <w:overflowPunct/>
        <w:topLinePunct/>
        <w:bidi w:val="0"/>
        <w:spacing w:before="78" w:line="219" w:lineRule="auto"/>
        <w:ind w:left="582"/>
        <w:outlineLvl w:val="2"/>
        <w:rPr>
          <w:rFonts w:hint="eastAsia" w:ascii="宋体" w:hAnsi="宋体" w:eastAsia="宋体" w:cs="宋体"/>
          <w:color w:val="000000" w:themeColor="text1"/>
          <w:sz w:val="24"/>
          <w:szCs w:val="24"/>
          <w:highlight w:val="none"/>
          <w14:textFill>
            <w14:solidFill>
              <w14:schemeClr w14:val="tx1"/>
            </w14:solidFill>
          </w14:textFill>
        </w:rPr>
      </w:pPr>
      <w:bookmarkStart w:id="156" w:name="_Toc13189"/>
      <w:r>
        <w:rPr>
          <w:rFonts w:hint="eastAsia" w:ascii="宋体" w:hAnsi="宋体" w:eastAsia="宋体" w:cs="宋体"/>
          <w:b/>
          <w:bCs/>
          <w:color w:val="000000" w:themeColor="text1"/>
          <w:spacing w:val="-9"/>
          <w:sz w:val="24"/>
          <w:szCs w:val="24"/>
          <w:highlight w:val="none"/>
          <w14:textFill>
            <w14:solidFill>
              <w14:schemeClr w14:val="tx1"/>
            </w14:solidFill>
          </w14:textFill>
        </w:rPr>
        <w:t>1．中标通知书</w:t>
      </w:r>
      <w:bookmarkEnd w:id="156"/>
    </w:p>
    <w:p w14:paraId="3B7BDE46">
      <w:pPr>
        <w:pageBreakBefore w:val="0"/>
        <w:kinsoku/>
        <w:wordWrap w:val="0"/>
        <w:overflowPunct/>
        <w:topLinePunct/>
        <w:bidi w:val="0"/>
        <w:spacing w:before="152" w:line="332" w:lineRule="auto"/>
        <w:ind w:left="17" w:firstLine="559"/>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招标人确定第一中标候选人为中标人，并在中标人确定之日起7日内向中</w:t>
      </w:r>
      <w:r>
        <w:rPr>
          <w:rFonts w:hint="eastAsia" w:ascii="宋体" w:hAnsi="宋体" w:eastAsia="宋体" w:cs="宋体"/>
          <w:color w:val="000000" w:themeColor="text1"/>
          <w:sz w:val="24"/>
          <w:szCs w:val="24"/>
          <w:highlight w:val="none"/>
          <w14:textFill>
            <w14:solidFill>
              <w14:schemeClr w14:val="tx1"/>
            </w14:solidFill>
          </w14:textFill>
        </w:rPr>
        <w:t>标人发</w:t>
      </w:r>
      <w:r>
        <w:rPr>
          <w:rFonts w:hint="eastAsia" w:ascii="宋体" w:hAnsi="宋体" w:eastAsia="宋体" w:cs="宋体"/>
          <w:color w:val="000000" w:themeColor="text1"/>
          <w:spacing w:val="-3"/>
          <w:sz w:val="24"/>
          <w:szCs w:val="24"/>
          <w:highlight w:val="none"/>
          <w14:textFill>
            <w14:solidFill>
              <w14:schemeClr w14:val="tx1"/>
            </w14:solidFill>
          </w14:textFill>
        </w:rPr>
        <w:t>出中标通知书，中标人必须按韶关市公共资源交易中心的规定办理相关手续后方可领取。</w:t>
      </w:r>
      <w:r>
        <w:rPr>
          <w:rFonts w:hint="eastAsia" w:ascii="宋体" w:hAnsi="宋体" w:eastAsia="宋体" w:cs="宋体"/>
          <w:color w:val="000000" w:themeColor="text1"/>
          <w:spacing w:val="-2"/>
          <w:sz w:val="24"/>
          <w:szCs w:val="24"/>
          <w:highlight w:val="none"/>
          <w14:textFill>
            <w14:solidFill>
              <w14:schemeClr w14:val="tx1"/>
            </w14:solidFill>
          </w14:textFill>
        </w:rPr>
        <w:t>中标通知书对招标人和中标人均具有法律约束力。中标通知书发出后，招标人改变中标</w:t>
      </w:r>
      <w:r>
        <w:rPr>
          <w:rFonts w:hint="eastAsia" w:ascii="宋体" w:hAnsi="宋体" w:eastAsia="宋体" w:cs="宋体"/>
          <w:color w:val="000000" w:themeColor="text1"/>
          <w:spacing w:val="-1"/>
          <w:sz w:val="24"/>
          <w:szCs w:val="24"/>
          <w:highlight w:val="none"/>
          <w14:textFill>
            <w14:solidFill>
              <w14:schemeClr w14:val="tx1"/>
            </w14:solidFill>
          </w14:textFill>
        </w:rPr>
        <w:t>结果和中标人放弃中标的，应当承担法律责任。</w:t>
      </w:r>
    </w:p>
    <w:p w14:paraId="2A3F5A7C">
      <w:pPr>
        <w:pageBreakBefore w:val="0"/>
        <w:kinsoku/>
        <w:wordWrap w:val="0"/>
        <w:overflowPunct/>
        <w:topLinePunct/>
        <w:bidi w:val="0"/>
        <w:spacing w:before="78" w:line="221" w:lineRule="auto"/>
        <w:ind w:left="572"/>
        <w:outlineLvl w:val="2"/>
        <w:rPr>
          <w:rFonts w:hint="eastAsia" w:ascii="宋体" w:hAnsi="宋体" w:eastAsia="宋体" w:cs="宋体"/>
          <w:color w:val="000000" w:themeColor="text1"/>
          <w:sz w:val="24"/>
          <w:szCs w:val="24"/>
          <w:highlight w:val="none"/>
          <w14:textFill>
            <w14:solidFill>
              <w14:schemeClr w14:val="tx1"/>
            </w14:solidFill>
          </w14:textFill>
        </w:rPr>
      </w:pPr>
      <w:bookmarkStart w:id="157" w:name="_Toc25556"/>
      <w:r>
        <w:rPr>
          <w:rFonts w:hint="eastAsia" w:ascii="宋体" w:hAnsi="宋体" w:eastAsia="宋体" w:cs="宋体"/>
          <w:b/>
          <w:bCs/>
          <w:color w:val="000000" w:themeColor="text1"/>
          <w:spacing w:val="-7"/>
          <w:sz w:val="24"/>
          <w:szCs w:val="24"/>
          <w:highlight w:val="none"/>
          <w14:textFill>
            <w14:solidFill>
              <w14:schemeClr w14:val="tx1"/>
            </w14:solidFill>
          </w14:textFill>
        </w:rPr>
        <w:t>2．中标结果公示</w:t>
      </w:r>
      <w:bookmarkEnd w:id="157"/>
    </w:p>
    <w:p w14:paraId="6CE35E7F">
      <w:pPr>
        <w:pageBreakBefore w:val="0"/>
        <w:kinsoku/>
        <w:wordWrap w:val="0"/>
        <w:overflowPunct/>
        <w:topLinePunct/>
        <w:bidi w:val="0"/>
        <w:spacing w:before="115" w:line="316" w:lineRule="auto"/>
        <w:ind w:left="2" w:right="203" w:firstLine="595"/>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中标通知书发出后15日内，招标人应将中标结果在广东省招标投标</w:t>
      </w:r>
      <w:r>
        <w:rPr>
          <w:rFonts w:hint="eastAsia" w:ascii="宋体" w:hAnsi="宋体" w:eastAsia="宋体" w:cs="宋体"/>
          <w:color w:val="000000" w:themeColor="text1"/>
          <w:spacing w:val="-3"/>
          <w:sz w:val="24"/>
          <w:szCs w:val="24"/>
          <w:highlight w:val="none"/>
          <w14:textFill>
            <w14:solidFill>
              <w14:schemeClr w14:val="tx1"/>
            </w14:solidFill>
          </w14:textFill>
        </w:rPr>
        <w:t>监管网（http</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//zbtb.gd.gov.cn）、全国公共资源交易平台（广东省·韶关市</w:t>
      </w:r>
      <w:r>
        <w:rPr>
          <w:rFonts w:hint="eastAsia" w:ascii="宋体" w:hAnsi="宋体" w:eastAsia="宋体" w:cs="宋体"/>
          <w:color w:val="000000" w:themeColor="text1"/>
          <w:spacing w:val="-3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https</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//ygp.</w:t>
      </w:r>
      <w:r>
        <w:rPr>
          <w:rFonts w:hint="eastAsia" w:ascii="宋体" w:hAnsi="宋体" w:eastAsia="宋体" w:cs="宋体"/>
          <w:color w:val="000000" w:themeColor="text1"/>
          <w:spacing w:val="-3"/>
          <w:sz w:val="24"/>
          <w:szCs w:val="24"/>
          <w:highlight w:val="none"/>
          <w14:textFill>
            <w14:solidFill>
              <w14:schemeClr w14:val="tx1"/>
            </w14:solidFill>
          </w14:textFill>
        </w:rPr>
        <w:t>gdzwfw.gov.</w:t>
      </w:r>
      <w:r>
        <w:rPr>
          <w:rFonts w:hint="eastAsia" w:ascii="宋体" w:hAnsi="宋体" w:eastAsia="宋体" w:cs="宋体"/>
          <w:color w:val="000000" w:themeColor="text1"/>
          <w:sz w:val="24"/>
          <w:szCs w:val="24"/>
          <w:highlight w:val="none"/>
          <w14:textFill>
            <w14:solidFill>
              <w14:schemeClr w14:val="tx1"/>
            </w14:solidFill>
          </w14:textFill>
        </w:rPr>
        <w:t>cn/ggzy-portal/#/440200/index）进行公示。</w:t>
      </w:r>
    </w:p>
    <w:p w14:paraId="331075EE">
      <w:pPr>
        <w:pageBreakBefore w:val="0"/>
        <w:kinsoku/>
        <w:wordWrap w:val="0"/>
        <w:overflowPunct/>
        <w:topLinePunct/>
        <w:bidi w:val="0"/>
        <w:spacing w:before="79" w:line="221" w:lineRule="auto"/>
        <w:ind w:left="570"/>
        <w:outlineLvl w:val="2"/>
        <w:rPr>
          <w:rFonts w:hint="eastAsia" w:ascii="宋体" w:hAnsi="宋体" w:eastAsia="宋体" w:cs="宋体"/>
          <w:color w:val="000000" w:themeColor="text1"/>
          <w:sz w:val="24"/>
          <w:szCs w:val="24"/>
          <w:highlight w:val="none"/>
          <w14:textFill>
            <w14:solidFill>
              <w14:schemeClr w14:val="tx1"/>
            </w14:solidFill>
          </w14:textFill>
        </w:rPr>
      </w:pPr>
      <w:bookmarkStart w:id="158" w:name="_Toc5391"/>
      <w:r>
        <w:rPr>
          <w:rFonts w:hint="eastAsia" w:ascii="宋体" w:hAnsi="宋体" w:eastAsia="宋体" w:cs="宋体"/>
          <w:b/>
          <w:bCs/>
          <w:color w:val="000000" w:themeColor="text1"/>
          <w:spacing w:val="-8"/>
          <w:sz w:val="24"/>
          <w:szCs w:val="24"/>
          <w:highlight w:val="none"/>
          <w14:textFill>
            <w14:solidFill>
              <w14:schemeClr w14:val="tx1"/>
            </w14:solidFill>
          </w14:textFill>
        </w:rPr>
        <w:t>3．履约保证</w:t>
      </w:r>
      <w:bookmarkEnd w:id="158"/>
    </w:p>
    <w:p w14:paraId="4E112524">
      <w:pPr>
        <w:keepNext w:val="0"/>
        <w:keepLines w:val="0"/>
        <w:pageBreakBefore w:val="0"/>
        <w:widowControl/>
        <w:kinsoku/>
        <w:wordWrap w:val="0"/>
        <w:overflowPunct/>
        <w:topLinePunct/>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3.1</w:t>
      </w:r>
      <w:r>
        <w:rPr>
          <w:rFonts w:hint="eastAsia" w:ascii="宋体" w:hAnsi="宋体" w:eastAsia="宋体" w:cs="宋体"/>
          <w:color w:val="000000" w:themeColor="text1"/>
          <w:spacing w:val="-3"/>
          <w:sz w:val="24"/>
          <w:szCs w:val="24"/>
          <w:highlight w:val="none"/>
          <w14:textFill>
            <w14:solidFill>
              <w14:schemeClr w14:val="tx1"/>
            </w14:solidFill>
          </w14:textFill>
        </w:rPr>
        <w:t>中标人须在领取中标通知书之日起</w:t>
      </w:r>
      <w:r>
        <w:rPr>
          <w:rFonts w:hint="eastAsia" w:ascii="宋体" w:hAnsi="宋体" w:eastAsia="宋体" w:cs="宋体"/>
          <w:color w:val="000000" w:themeColor="text1"/>
          <w:spacing w:val="-3"/>
          <w:sz w:val="24"/>
          <w:szCs w:val="24"/>
          <w:highlight w:val="none"/>
          <w:u w:val="single"/>
          <w:lang w:val="en-US" w:eastAsia="zh-CN"/>
          <w14:textFill>
            <w14:solidFill>
              <w14:schemeClr w14:val="tx1"/>
            </w14:solidFill>
          </w14:textFill>
        </w:rPr>
        <w:t>10</w:t>
      </w:r>
      <w:r>
        <w:rPr>
          <w:rFonts w:hint="eastAsia" w:ascii="宋体" w:hAnsi="宋体" w:eastAsia="宋体" w:cs="宋体"/>
          <w:color w:val="000000" w:themeColor="text1"/>
          <w:spacing w:val="-3"/>
          <w:sz w:val="24"/>
          <w:szCs w:val="24"/>
          <w:highlight w:val="none"/>
          <w14:textFill>
            <w14:solidFill>
              <w14:schemeClr w14:val="tx1"/>
            </w14:solidFill>
          </w14:textFill>
        </w:rPr>
        <w:t>个工作日内、签订合同前向招标人提交金额</w:t>
      </w:r>
      <w:r>
        <w:rPr>
          <w:rFonts w:hint="eastAsia" w:ascii="宋体" w:hAnsi="宋体" w:eastAsia="宋体" w:cs="宋体"/>
          <w:color w:val="000000" w:themeColor="text1"/>
          <w:spacing w:val="-1"/>
          <w:position w:val="2"/>
          <w:sz w:val="24"/>
          <w:szCs w:val="24"/>
          <w:highlight w:val="none"/>
          <w14:textFill>
            <w14:solidFill>
              <w14:schemeClr w14:val="tx1"/>
            </w14:solidFill>
          </w14:textFill>
        </w:rPr>
        <w:t>为中标价</w:t>
      </w:r>
      <w:r>
        <w:rPr>
          <w:rFonts w:hint="eastAsia" w:ascii="宋体" w:hAnsi="宋体" w:eastAsia="宋体" w:cs="宋体"/>
          <w:color w:val="000000" w:themeColor="text1"/>
          <w:spacing w:val="-1"/>
          <w:position w:val="2"/>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pacing w:val="-1"/>
          <w:position w:val="2"/>
          <w:sz w:val="24"/>
          <w:szCs w:val="24"/>
          <w:highlight w:val="none"/>
          <w:u w:val="single"/>
          <w14:textFill>
            <w14:solidFill>
              <w14:schemeClr w14:val="tx1"/>
            </w14:solidFill>
          </w14:textFill>
        </w:rPr>
        <w:t>%</w:t>
      </w:r>
      <w:r>
        <w:rPr>
          <w:rFonts w:hint="eastAsia" w:ascii="宋体" w:hAnsi="宋体" w:eastAsia="宋体" w:cs="宋体"/>
          <w:color w:val="000000" w:themeColor="text1"/>
          <w:spacing w:val="-1"/>
          <w:position w:val="2"/>
          <w:sz w:val="24"/>
          <w:szCs w:val="24"/>
          <w:highlight w:val="none"/>
          <w14:textFill>
            <w14:solidFill>
              <w14:schemeClr w14:val="tx1"/>
            </w14:solidFill>
          </w14:textFill>
        </w:rPr>
        <w:t>的履约保证。联合体中标的，由联合体牵头人提交。</w:t>
      </w:r>
    </w:p>
    <w:p w14:paraId="7763D3E3">
      <w:pPr>
        <w:pageBreakBefore w:val="0"/>
        <w:kinsoku/>
        <w:wordWrap w:val="0"/>
        <w:overflowPunct/>
        <w:topLinePunct/>
        <w:bidi w:val="0"/>
        <w:spacing w:before="89" w:line="286" w:lineRule="auto"/>
        <w:ind w:left="12" w:right="108" w:firstLine="473"/>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3.2</w:t>
      </w:r>
      <w:r>
        <w:rPr>
          <w:rFonts w:hint="eastAsia" w:ascii="宋体" w:hAnsi="宋体" w:eastAsia="宋体" w:cs="宋体"/>
          <w:color w:val="000000" w:themeColor="text1"/>
          <w:spacing w:val="-1"/>
          <w:position w:val="2"/>
          <w:sz w:val="24"/>
          <w:szCs w:val="24"/>
          <w:highlight w:val="none"/>
          <w14:textFill>
            <w14:solidFill>
              <w14:schemeClr w14:val="tx1"/>
            </w14:solidFill>
          </w14:textFill>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000000" w:themeColor="text1"/>
          <w:spacing w:val="-2"/>
          <w:sz w:val="24"/>
          <w:szCs w:val="24"/>
          <w:highlight w:val="none"/>
          <w14:textFill>
            <w14:solidFill>
              <w14:schemeClr w14:val="tx1"/>
            </w14:solidFill>
          </w14:textFill>
        </w:rPr>
        <w:t>。商业保函、银行保函或保险合同（或保险单）的</w:t>
      </w:r>
      <w:r>
        <w:rPr>
          <w:rFonts w:hint="eastAsia" w:ascii="宋体" w:hAnsi="宋体" w:eastAsia="宋体" w:cs="宋体"/>
          <w:color w:val="000000" w:themeColor="text1"/>
          <w:spacing w:val="-1"/>
          <w:sz w:val="24"/>
          <w:szCs w:val="24"/>
          <w:highlight w:val="none"/>
          <w14:textFill>
            <w14:solidFill>
              <w14:schemeClr w14:val="tx1"/>
            </w14:solidFill>
          </w14:textFill>
        </w:rPr>
        <w:t>有效期应当自合同生效之日起至项目通过竣工验收之日后28天止。</w:t>
      </w:r>
    </w:p>
    <w:p w14:paraId="10B1F351">
      <w:pPr>
        <w:pageBreakBefore w:val="0"/>
        <w:kinsoku/>
        <w:wordWrap w:val="0"/>
        <w:overflowPunct/>
        <w:topLinePunct/>
        <w:bidi w:val="0"/>
        <w:spacing w:line="440" w:lineRule="exact"/>
        <w:ind w:firstLine="562"/>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position w:val="2"/>
          <w:sz w:val="24"/>
          <w:szCs w:val="24"/>
          <w:highlight w:val="none"/>
          <w:lang w:eastAsia="zh-CN"/>
          <w14:textFill>
            <w14:solidFill>
              <w14:schemeClr w14:val="tx1"/>
            </w14:solidFill>
          </w14:textFill>
        </w:rPr>
        <w:t>注：中标通知书发出时，招标人发起收缴履约保证金并填写保证金金额、缴交时限和项目工期；由中标人在建设工程交易系统中自主选择一种进行缴交。项目竣工后，由招标人发起退保。）</w:t>
      </w:r>
    </w:p>
    <w:p w14:paraId="0DC2D1E2">
      <w:pPr>
        <w:pageBreakBefore w:val="0"/>
        <w:kinsoku/>
        <w:wordWrap w:val="0"/>
        <w:overflowPunct/>
        <w:topLinePunct/>
        <w:bidi w:val="0"/>
        <w:spacing w:before="145" w:line="319" w:lineRule="auto"/>
        <w:ind w:left="12" w:right="108" w:firstLine="47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3.3</w:t>
      </w:r>
      <w:r>
        <w:rPr>
          <w:rFonts w:hint="eastAsia" w:ascii="宋体" w:hAnsi="宋体" w:eastAsia="宋体" w:cs="宋体"/>
          <w:color w:val="000000" w:themeColor="text1"/>
          <w:spacing w:val="-4"/>
          <w:sz w:val="24"/>
          <w:szCs w:val="24"/>
          <w:highlight w:val="none"/>
          <w14:textFill>
            <w14:solidFill>
              <w14:schemeClr w14:val="tx1"/>
            </w14:solidFill>
          </w14:textFill>
        </w:rPr>
        <w:t>中标人在领取中标通知书之日起10个工</w:t>
      </w:r>
      <w:r>
        <w:rPr>
          <w:rFonts w:hint="eastAsia" w:ascii="宋体" w:hAnsi="宋体" w:eastAsia="宋体" w:cs="宋体"/>
          <w:color w:val="000000" w:themeColor="text1"/>
          <w:spacing w:val="-5"/>
          <w:sz w:val="24"/>
          <w:szCs w:val="24"/>
          <w:highlight w:val="none"/>
          <w14:textFill>
            <w14:solidFill>
              <w14:schemeClr w14:val="tx1"/>
            </w14:solidFill>
          </w14:textFill>
        </w:rPr>
        <w:t>作日内仍未提交履约保证的，招标人发</w:t>
      </w:r>
      <w:r>
        <w:rPr>
          <w:rFonts w:hint="eastAsia" w:ascii="宋体" w:hAnsi="宋体" w:eastAsia="宋体" w:cs="宋体"/>
          <w:color w:val="000000" w:themeColor="text1"/>
          <w:spacing w:val="1"/>
          <w:sz w:val="24"/>
          <w:szCs w:val="24"/>
          <w:highlight w:val="none"/>
          <w14:textFill>
            <w14:solidFill>
              <w14:schemeClr w14:val="tx1"/>
            </w14:solidFill>
          </w14:textFill>
        </w:rPr>
        <w:t>出第一次提醒函；在领取中标通知书之日起15个工作日内仍未提交的</w:t>
      </w:r>
      <w:r>
        <w:rPr>
          <w:rFonts w:hint="eastAsia" w:ascii="宋体" w:hAnsi="宋体" w:eastAsia="宋体" w:cs="宋体"/>
          <w:color w:val="000000" w:themeColor="text1"/>
          <w:sz w:val="24"/>
          <w:szCs w:val="24"/>
          <w:highlight w:val="none"/>
          <w14:textFill>
            <w14:solidFill>
              <w14:schemeClr w14:val="tx1"/>
            </w14:solidFill>
          </w14:textFill>
        </w:rPr>
        <w:t>，招标人发出第</w:t>
      </w:r>
      <w:r>
        <w:rPr>
          <w:rFonts w:hint="eastAsia" w:ascii="宋体" w:hAnsi="宋体" w:eastAsia="宋体" w:cs="宋体"/>
          <w:color w:val="000000" w:themeColor="text1"/>
          <w:spacing w:val="1"/>
          <w:sz w:val="24"/>
          <w:szCs w:val="24"/>
          <w:highlight w:val="none"/>
          <w14:textFill>
            <w14:solidFill>
              <w14:schemeClr w14:val="tx1"/>
            </w14:solidFill>
          </w14:textFill>
        </w:rPr>
        <w:t>二次提醒函；在领取中标通知书之日起20个工作日内仍未提交的，视其放弃中标。并</w:t>
      </w:r>
      <w:r>
        <w:rPr>
          <w:rFonts w:hint="eastAsia" w:ascii="宋体" w:hAnsi="宋体" w:eastAsia="宋体" w:cs="宋体"/>
          <w:color w:val="000000" w:themeColor="text1"/>
          <w:spacing w:val="-2"/>
          <w:sz w:val="24"/>
          <w:szCs w:val="24"/>
          <w:highlight w:val="none"/>
          <w14:textFill>
            <w14:solidFill>
              <w14:schemeClr w14:val="tx1"/>
            </w14:solidFill>
          </w14:textFill>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000000" w:themeColor="text1"/>
          <w:spacing w:val="-1"/>
          <w:sz w:val="24"/>
          <w:szCs w:val="24"/>
          <w:highlight w:val="none"/>
          <w14:textFill>
            <w14:solidFill>
              <w14:schemeClr w14:val="tx1"/>
            </w14:solidFill>
          </w14:textFill>
        </w:rPr>
        <w:t>保函、银行保函或保险合同。</w:t>
      </w:r>
    </w:p>
    <w:p w14:paraId="0D34A2AA">
      <w:pPr>
        <w:pageBreakBefore w:val="0"/>
        <w:kinsoku/>
        <w:wordWrap w:val="0"/>
        <w:overflowPunct/>
        <w:topLinePunct/>
        <w:bidi w:val="0"/>
        <w:spacing w:before="152" w:line="299" w:lineRule="auto"/>
        <w:ind w:left="12" w:right="108"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3.4</w:t>
      </w:r>
      <w:r>
        <w:rPr>
          <w:rFonts w:hint="eastAsia" w:ascii="宋体" w:hAnsi="宋体" w:eastAsia="宋体" w:cs="宋体"/>
          <w:color w:val="000000" w:themeColor="text1"/>
          <w:sz w:val="24"/>
          <w:szCs w:val="24"/>
          <w:highlight w:val="none"/>
          <w14:textFill>
            <w14:solidFill>
              <w14:schemeClr w14:val="tx1"/>
            </w14:solidFill>
          </w14:textFill>
        </w:rPr>
        <w:t>在工程实施过程中，如果承包人（即招标阶段的中标人，下同）由于自身的资</w:t>
      </w:r>
      <w:r>
        <w:rPr>
          <w:rFonts w:hint="eastAsia" w:ascii="宋体" w:hAnsi="宋体" w:eastAsia="宋体" w:cs="宋体"/>
          <w:color w:val="000000" w:themeColor="text1"/>
          <w:spacing w:val="-2"/>
          <w:sz w:val="24"/>
          <w:szCs w:val="24"/>
          <w:highlight w:val="none"/>
          <w14:textFill>
            <w14:solidFill>
              <w14:schemeClr w14:val="tx1"/>
            </w14:solidFill>
          </w14:textFill>
        </w:rPr>
        <w:t>金、技术、质量、非不可抗力等原因给发包人（即招标阶段的招标人，下同）造成经济</w:t>
      </w:r>
      <w:r>
        <w:rPr>
          <w:rFonts w:hint="eastAsia" w:ascii="宋体" w:hAnsi="宋体" w:eastAsia="宋体" w:cs="宋体"/>
          <w:color w:val="000000" w:themeColor="text1"/>
          <w:spacing w:val="-1"/>
          <w:sz w:val="24"/>
          <w:szCs w:val="24"/>
          <w:highlight w:val="none"/>
          <w14:textFill>
            <w14:solidFill>
              <w14:schemeClr w14:val="tx1"/>
            </w14:solidFill>
          </w14:textFill>
        </w:rPr>
        <w:t>损失，发包人有权扣划相应金额的履约保证。</w:t>
      </w:r>
    </w:p>
    <w:p w14:paraId="68FC2033">
      <w:pPr>
        <w:pageBreakBefore w:val="0"/>
        <w:kinsoku/>
        <w:wordWrap w:val="0"/>
        <w:overflowPunct/>
        <w:topLinePunct/>
        <w:bidi w:val="0"/>
        <w:spacing w:before="154" w:line="220" w:lineRule="auto"/>
        <w:ind w:left="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3.5</w:t>
      </w:r>
      <w:r>
        <w:rPr>
          <w:rFonts w:hint="eastAsia" w:ascii="宋体" w:hAnsi="宋体" w:eastAsia="宋体" w:cs="宋体"/>
          <w:color w:val="000000" w:themeColor="text1"/>
          <w:sz w:val="24"/>
          <w:szCs w:val="24"/>
          <w:highlight w:val="none"/>
          <w14:textFill>
            <w14:solidFill>
              <w14:schemeClr w14:val="tx1"/>
            </w14:solidFill>
          </w14:textFill>
        </w:rPr>
        <w:t>项目通过竣工验收之日后28天内，发包人将履</w:t>
      </w:r>
      <w:r>
        <w:rPr>
          <w:rFonts w:hint="eastAsia" w:ascii="宋体" w:hAnsi="宋体" w:eastAsia="宋体" w:cs="宋体"/>
          <w:color w:val="000000" w:themeColor="text1"/>
          <w:spacing w:val="-1"/>
          <w:sz w:val="24"/>
          <w:szCs w:val="24"/>
          <w:highlight w:val="none"/>
          <w14:textFill>
            <w14:solidFill>
              <w14:schemeClr w14:val="tx1"/>
            </w14:solidFill>
          </w14:textFill>
        </w:rPr>
        <w:t>约保证退还给承包人。</w:t>
      </w:r>
    </w:p>
    <w:p w14:paraId="741330A8">
      <w:pPr>
        <w:pageBreakBefore w:val="0"/>
        <w:kinsoku/>
        <w:wordWrap w:val="0"/>
        <w:overflowPunct/>
        <w:topLinePunct/>
        <w:bidi w:val="0"/>
        <w:spacing w:before="78" w:line="222" w:lineRule="auto"/>
        <w:ind w:left="488"/>
        <w:outlineLvl w:val="2"/>
        <w:rPr>
          <w:rFonts w:hint="eastAsia" w:ascii="宋体" w:hAnsi="宋体" w:eastAsia="宋体" w:cs="宋体"/>
          <w:color w:val="000000" w:themeColor="text1"/>
          <w:sz w:val="24"/>
          <w:szCs w:val="24"/>
          <w:highlight w:val="none"/>
          <w14:textFill>
            <w14:solidFill>
              <w14:schemeClr w14:val="tx1"/>
            </w14:solidFill>
          </w14:textFill>
        </w:rPr>
      </w:pPr>
      <w:bookmarkStart w:id="159" w:name="_Toc29273"/>
      <w:r>
        <w:rPr>
          <w:rFonts w:hint="eastAsia" w:ascii="宋体" w:hAnsi="宋体" w:eastAsia="宋体" w:cs="宋体"/>
          <w:b/>
          <w:bCs/>
          <w:color w:val="000000" w:themeColor="text1"/>
          <w:spacing w:val="-8"/>
          <w:sz w:val="24"/>
          <w:szCs w:val="24"/>
          <w:highlight w:val="none"/>
          <w14:textFill>
            <w14:solidFill>
              <w14:schemeClr w14:val="tx1"/>
            </w14:solidFill>
          </w14:textFill>
        </w:rPr>
        <w:t>4．合同订立</w:t>
      </w:r>
      <w:bookmarkEnd w:id="159"/>
    </w:p>
    <w:p w14:paraId="11FD9595">
      <w:pPr>
        <w:pageBreakBefore w:val="0"/>
        <w:kinsoku/>
        <w:wordWrap w:val="0"/>
        <w:overflowPunct/>
        <w:topLinePunct/>
        <w:bidi w:val="0"/>
        <w:spacing w:before="150" w:line="279" w:lineRule="auto"/>
        <w:ind w:left="13" w:right="108"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4.1</w:t>
      </w:r>
      <w:r>
        <w:rPr>
          <w:rFonts w:hint="eastAsia" w:ascii="宋体" w:hAnsi="宋体" w:eastAsia="宋体" w:cs="宋体"/>
          <w:color w:val="000000" w:themeColor="text1"/>
          <w:sz w:val="24"/>
          <w:szCs w:val="24"/>
          <w:highlight w:val="none"/>
          <w14:textFill>
            <w14:solidFill>
              <w14:schemeClr w14:val="tx1"/>
            </w14:solidFill>
          </w14:textFill>
        </w:rPr>
        <w:t>招标人应当自中标通知书发出之日起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三十</w:t>
      </w:r>
      <w:r>
        <w:rPr>
          <w:rFonts w:hint="eastAsia" w:ascii="宋体" w:hAnsi="宋体" w:eastAsia="宋体" w:cs="宋体"/>
          <w:color w:val="000000" w:themeColor="text1"/>
          <w:sz w:val="24"/>
          <w:szCs w:val="24"/>
          <w:highlight w:val="none"/>
          <w14:textFill>
            <w14:solidFill>
              <w14:schemeClr w14:val="tx1"/>
            </w14:solidFill>
          </w14:textFill>
        </w:rPr>
        <w:t>日内，按照招标文件、中标人的投标</w:t>
      </w:r>
      <w:r>
        <w:rPr>
          <w:rFonts w:hint="eastAsia" w:ascii="宋体" w:hAnsi="宋体" w:eastAsia="宋体" w:cs="宋体"/>
          <w:color w:val="000000" w:themeColor="text1"/>
          <w:spacing w:val="-1"/>
          <w:sz w:val="24"/>
          <w:szCs w:val="24"/>
          <w:highlight w:val="none"/>
          <w14:textFill>
            <w14:solidFill>
              <w14:schemeClr w14:val="tx1"/>
            </w14:solidFill>
          </w14:textFill>
        </w:rPr>
        <w:t>文件与中标人订立书面合同。</w:t>
      </w:r>
    </w:p>
    <w:p w14:paraId="02E5A917">
      <w:pPr>
        <w:pageBreakBefore w:val="0"/>
        <w:kinsoku/>
        <w:wordWrap w:val="0"/>
        <w:overflowPunct/>
        <w:topLinePunct/>
        <w:bidi w:val="0"/>
        <w:spacing w:before="156" w:line="219"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4.2</w:t>
      </w:r>
      <w:r>
        <w:rPr>
          <w:rFonts w:hint="eastAsia" w:ascii="宋体" w:hAnsi="宋体" w:eastAsia="宋体" w:cs="宋体"/>
          <w:color w:val="000000" w:themeColor="text1"/>
          <w:spacing w:val="-1"/>
          <w:sz w:val="24"/>
          <w:szCs w:val="24"/>
          <w:highlight w:val="none"/>
          <w14:textFill>
            <w14:solidFill>
              <w14:schemeClr w14:val="tx1"/>
            </w14:solidFill>
          </w14:textFill>
        </w:rPr>
        <w:t>不正常报价的梳理和确认</w:t>
      </w:r>
    </w:p>
    <w:p w14:paraId="4B7D62B5">
      <w:pPr>
        <w:pageBreakBefore w:val="0"/>
        <w:kinsoku/>
        <w:wordWrap w:val="0"/>
        <w:overflowPunct/>
        <w:topLinePunct/>
        <w:bidi w:val="0"/>
        <w:spacing w:before="154" w:line="299" w:lineRule="auto"/>
        <w:ind w:left="14" w:right="64" w:firstLine="47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4.2.1合同订立期间，在不改变中标人的投标总价的前提下，招标人应对中标人的</w:t>
      </w:r>
      <w:r>
        <w:rPr>
          <w:rFonts w:hint="eastAsia" w:ascii="宋体" w:hAnsi="宋体" w:eastAsia="宋体" w:cs="宋体"/>
          <w:b/>
          <w:bCs/>
          <w:color w:val="000000" w:themeColor="text1"/>
          <w:spacing w:val="-3"/>
          <w:sz w:val="24"/>
          <w:szCs w:val="24"/>
          <w:highlight w:val="none"/>
          <w14:textFill>
            <w14:solidFill>
              <w14:schemeClr w14:val="tx1"/>
            </w14:solidFill>
          </w14:textFill>
        </w:rPr>
        <w:t>投标报价进行全面分析和整理，从而发现并提取其中可能存在的算术性错误、错漏项、不平衡报价等不正常报价，并修正其中的算术性错误。</w:t>
      </w:r>
      <w:r>
        <w:rPr>
          <w:rFonts w:hint="eastAsia" w:ascii="宋体" w:hAnsi="宋体" w:eastAsia="宋体" w:cs="宋体"/>
          <w:color w:val="000000" w:themeColor="text1"/>
          <w:spacing w:val="-3"/>
          <w:sz w:val="24"/>
          <w:szCs w:val="24"/>
          <w:highlight w:val="none"/>
          <w14:textFill>
            <w14:solidFill>
              <w14:schemeClr w14:val="tx1"/>
            </w14:solidFill>
          </w14:textFill>
        </w:rPr>
        <w:t>招标人不具备</w:t>
      </w:r>
      <w:r>
        <w:rPr>
          <w:rFonts w:hint="eastAsia" w:ascii="宋体" w:hAnsi="宋体" w:eastAsia="宋体" w:cs="宋体"/>
          <w:color w:val="000000" w:themeColor="text1"/>
          <w:spacing w:val="-4"/>
          <w:sz w:val="24"/>
          <w:szCs w:val="24"/>
          <w:highlight w:val="none"/>
          <w14:textFill>
            <w14:solidFill>
              <w14:schemeClr w14:val="tx1"/>
            </w14:solidFill>
          </w14:textFill>
        </w:rPr>
        <w:t>以上能力的，可授</w:t>
      </w:r>
      <w:r>
        <w:rPr>
          <w:rFonts w:hint="eastAsia" w:ascii="宋体" w:hAnsi="宋体" w:eastAsia="宋体" w:cs="宋体"/>
          <w:color w:val="000000" w:themeColor="text1"/>
          <w:spacing w:val="-1"/>
          <w:sz w:val="24"/>
          <w:szCs w:val="24"/>
          <w:highlight w:val="none"/>
          <w14:textFill>
            <w14:solidFill>
              <w14:schemeClr w14:val="tx1"/>
            </w14:solidFill>
          </w14:textFill>
        </w:rPr>
        <w:t>权编制本项目</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1"/>
          <w:sz w:val="24"/>
          <w:szCs w:val="24"/>
          <w:highlight w:val="none"/>
          <w14:textFill>
            <w14:solidFill>
              <w14:schemeClr w14:val="tx1"/>
            </w14:solidFill>
          </w14:textFill>
        </w:rPr>
        <w:t>的造价咨询单位实施。</w:t>
      </w:r>
    </w:p>
    <w:p w14:paraId="19B29E0F">
      <w:pPr>
        <w:pageBreakBefore w:val="0"/>
        <w:kinsoku/>
        <w:wordWrap w:val="0"/>
        <w:overflowPunct/>
        <w:topLinePunct/>
        <w:bidi w:val="0"/>
        <w:spacing w:before="121" w:line="309" w:lineRule="auto"/>
        <w:ind w:left="14" w:right="65" w:firstLine="47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4.2.2</w:t>
      </w:r>
      <w:r>
        <w:rPr>
          <w:rFonts w:hint="eastAsia" w:ascii="宋体" w:hAnsi="宋体" w:eastAsia="宋体" w:cs="宋体"/>
          <w:color w:val="000000" w:themeColor="text1"/>
          <w:spacing w:val="2"/>
          <w:sz w:val="24"/>
          <w:szCs w:val="24"/>
          <w:highlight w:val="none"/>
          <w14:textFill>
            <w14:solidFill>
              <w14:schemeClr w14:val="tx1"/>
            </w14:solidFill>
          </w14:textFill>
        </w:rPr>
        <w:t>算术性错误的分析和修正。投标报价汇</w:t>
      </w:r>
      <w:r>
        <w:rPr>
          <w:rFonts w:hint="eastAsia" w:ascii="宋体" w:hAnsi="宋体" w:eastAsia="宋体" w:cs="宋体"/>
          <w:color w:val="000000" w:themeColor="text1"/>
          <w:spacing w:val="1"/>
          <w:sz w:val="24"/>
          <w:szCs w:val="24"/>
          <w:highlight w:val="none"/>
          <w14:textFill>
            <w14:solidFill>
              <w14:schemeClr w14:val="tx1"/>
            </w14:solidFill>
          </w14:textFill>
        </w:rPr>
        <w:t>总表中，投标总价与各分项费用之和</w:t>
      </w:r>
      <w:r>
        <w:rPr>
          <w:rFonts w:hint="eastAsia" w:ascii="宋体" w:hAnsi="宋体" w:eastAsia="宋体" w:cs="宋体"/>
          <w:color w:val="000000" w:themeColor="text1"/>
          <w:spacing w:val="-2"/>
          <w:sz w:val="24"/>
          <w:szCs w:val="24"/>
          <w:highlight w:val="none"/>
          <w14:textFill>
            <w14:solidFill>
              <w14:schemeClr w14:val="tx1"/>
            </w14:solidFill>
          </w14:textFill>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000000" w:themeColor="text1"/>
          <w:sz w:val="24"/>
          <w:szCs w:val="24"/>
          <w:highlight w:val="none"/>
          <w14:textFill>
            <w14:solidFill>
              <w14:schemeClr w14:val="tx1"/>
            </w14:solidFill>
          </w14:textFill>
        </w:rPr>
        <w:t>分项表中总价金额与依据单价计算出的结果不</w:t>
      </w:r>
      <w:r>
        <w:rPr>
          <w:rFonts w:hint="eastAsia" w:ascii="宋体" w:hAnsi="宋体" w:eastAsia="宋体" w:cs="宋体"/>
          <w:color w:val="000000" w:themeColor="text1"/>
          <w:spacing w:val="-1"/>
          <w:sz w:val="24"/>
          <w:szCs w:val="24"/>
          <w:highlight w:val="none"/>
          <w14:textFill>
            <w14:solidFill>
              <w14:schemeClr w14:val="tx1"/>
            </w14:solidFill>
          </w14:textFill>
        </w:rPr>
        <w:t>一致的，以总价为准修正单价。</w:t>
      </w:r>
    </w:p>
    <w:p w14:paraId="7E4CBCF4">
      <w:pPr>
        <w:pageBreakBefore w:val="0"/>
        <w:kinsoku/>
        <w:wordWrap w:val="0"/>
        <w:overflowPunct/>
        <w:topLinePunct/>
        <w:bidi w:val="0"/>
        <w:spacing w:before="157" w:line="279" w:lineRule="auto"/>
        <w:ind w:left="12" w:right="66"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4.2.3</w:t>
      </w:r>
      <w:r>
        <w:rPr>
          <w:rFonts w:hint="eastAsia" w:ascii="宋体" w:hAnsi="宋体" w:eastAsia="宋体" w:cs="宋体"/>
          <w:color w:val="000000" w:themeColor="text1"/>
          <w:spacing w:val="2"/>
          <w:sz w:val="24"/>
          <w:szCs w:val="24"/>
          <w:highlight w:val="none"/>
          <w14:textFill>
            <w14:solidFill>
              <w14:schemeClr w14:val="tx1"/>
            </w14:solidFill>
          </w14:textFill>
        </w:rPr>
        <w:t>错漏项的认定。中标人已标价工程量清</w:t>
      </w:r>
      <w:r>
        <w:rPr>
          <w:rFonts w:hint="eastAsia" w:ascii="宋体" w:hAnsi="宋体" w:eastAsia="宋体" w:cs="宋体"/>
          <w:color w:val="000000" w:themeColor="text1"/>
          <w:spacing w:val="1"/>
          <w:sz w:val="24"/>
          <w:szCs w:val="24"/>
          <w:highlight w:val="none"/>
          <w14:textFill>
            <w14:solidFill>
              <w14:schemeClr w14:val="tx1"/>
            </w14:solidFill>
          </w14:textFill>
        </w:rPr>
        <w:t>单中，任一清单项目未填报价格或价</w:t>
      </w:r>
      <w:r>
        <w:rPr>
          <w:rFonts w:hint="eastAsia" w:ascii="宋体" w:hAnsi="宋体" w:eastAsia="宋体" w:cs="宋体"/>
          <w:color w:val="000000" w:themeColor="text1"/>
          <w:spacing w:val="-1"/>
          <w:sz w:val="24"/>
          <w:szCs w:val="24"/>
          <w:highlight w:val="none"/>
          <w14:textFill>
            <w14:solidFill>
              <w14:schemeClr w14:val="tx1"/>
            </w14:solidFill>
          </w14:textFill>
        </w:rPr>
        <w:t>格为零的，视为错漏项。</w:t>
      </w:r>
    </w:p>
    <w:p w14:paraId="40C38DD0">
      <w:pPr>
        <w:pageBreakBefore w:val="0"/>
        <w:kinsoku/>
        <w:wordWrap w:val="0"/>
        <w:overflowPunct/>
        <w:topLinePunct/>
        <w:bidi w:val="0"/>
        <w:spacing w:before="121" w:line="360" w:lineRule="auto"/>
        <w:ind w:firstLine="49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4.2.4</w:t>
      </w:r>
      <w:r>
        <w:rPr>
          <w:rFonts w:hint="eastAsia" w:ascii="宋体" w:hAnsi="宋体" w:eastAsia="宋体" w:cs="宋体"/>
          <w:color w:val="000000" w:themeColor="text1"/>
          <w:spacing w:val="2"/>
          <w:sz w:val="24"/>
          <w:szCs w:val="24"/>
          <w:highlight w:val="none"/>
          <w14:textFill>
            <w14:solidFill>
              <w14:schemeClr w14:val="tx1"/>
            </w14:solidFill>
          </w14:textFill>
        </w:rPr>
        <w:t>不平衡报价的认定。经修正算术性错误后的中标人已标价工程量清单中，</w:t>
      </w:r>
      <w:r>
        <w:rPr>
          <w:rFonts w:hint="eastAsia" w:ascii="宋体" w:hAnsi="宋体" w:eastAsia="宋体" w:cs="宋体"/>
          <w:color w:val="000000" w:themeColor="text1"/>
          <w:spacing w:val="2"/>
          <w:sz w:val="24"/>
          <w:szCs w:val="24"/>
          <w:highlight w:val="none"/>
          <w:u w:val="single"/>
          <w14:textFill>
            <w14:solidFill>
              <w14:schemeClr w14:val="tx1"/>
            </w14:solidFill>
          </w14:textFill>
        </w:rPr>
        <w:t>对于投标报价中综合单价相对</w:t>
      </w:r>
      <w:r>
        <w:rPr>
          <w:rFonts w:hint="eastAsia" w:ascii="宋体" w:hAnsi="宋体" w:eastAsia="宋体" w:cs="宋体"/>
          <w:color w:val="000000" w:themeColor="text1"/>
          <w:spacing w:val="2"/>
          <w:sz w:val="24"/>
          <w:szCs w:val="24"/>
          <w:highlight w:val="none"/>
          <w:u w:val="single"/>
          <w:lang w:eastAsia="zh-CN"/>
          <w14:textFill>
            <w14:solidFill>
              <w14:schemeClr w14:val="tx1"/>
            </w14:solidFill>
          </w14:textFill>
        </w:rPr>
        <w:t>最高投标限价</w:t>
      </w:r>
      <w:r>
        <w:rPr>
          <w:rFonts w:hint="eastAsia" w:ascii="宋体" w:hAnsi="宋体" w:eastAsia="宋体" w:cs="宋体"/>
          <w:color w:val="000000" w:themeColor="text1"/>
          <w:spacing w:val="2"/>
          <w:sz w:val="24"/>
          <w:szCs w:val="24"/>
          <w:highlight w:val="none"/>
          <w:u w:val="single"/>
          <w14:textFill>
            <w14:solidFill>
              <w14:schemeClr w14:val="tx1"/>
            </w14:solidFill>
          </w14:textFill>
        </w:rPr>
        <w:t>《分部分项工程和单价措施项目清单与计价表》中对应综合单价的偏差大于±15%</w:t>
      </w:r>
      <w:r>
        <w:rPr>
          <w:rFonts w:hint="eastAsia" w:ascii="宋体" w:hAnsi="宋体" w:eastAsia="宋体" w:cs="宋体"/>
          <w:color w:val="000000" w:themeColor="text1"/>
          <w:spacing w:val="2"/>
          <w:sz w:val="24"/>
          <w:szCs w:val="24"/>
          <w:highlight w:val="none"/>
          <w:u w:val="none"/>
          <w14:textFill>
            <w14:solidFill>
              <w14:schemeClr w14:val="tx1"/>
            </w14:solidFill>
          </w14:textFill>
        </w:rPr>
        <w:t>的清</w:t>
      </w:r>
      <w:r>
        <w:rPr>
          <w:rFonts w:hint="eastAsia" w:ascii="宋体" w:hAnsi="宋体" w:eastAsia="宋体" w:cs="宋体"/>
          <w:color w:val="000000" w:themeColor="text1"/>
          <w:spacing w:val="-3"/>
          <w:sz w:val="24"/>
          <w:szCs w:val="24"/>
          <w:highlight w:val="none"/>
          <w:u w:val="none"/>
          <w14:textFill>
            <w14:solidFill>
              <w14:schemeClr w14:val="tx1"/>
            </w14:solidFill>
          </w14:textFill>
        </w:rPr>
        <w:t>单项目</w:t>
      </w:r>
      <w:r>
        <w:rPr>
          <w:rFonts w:hint="eastAsia" w:ascii="宋体" w:hAnsi="宋体" w:eastAsia="宋体" w:cs="宋体"/>
          <w:color w:val="000000" w:themeColor="text1"/>
          <w:spacing w:val="-3"/>
          <w:sz w:val="24"/>
          <w:szCs w:val="24"/>
          <w:highlight w:val="none"/>
          <w14:textFill>
            <w14:solidFill>
              <w14:schemeClr w14:val="tx1"/>
            </w14:solidFill>
          </w14:textFill>
        </w:rPr>
        <w:t>，视为不平衡报价项目。</w:t>
      </w:r>
    </w:p>
    <w:p w14:paraId="471B31FC">
      <w:pPr>
        <w:pageBreakBefore w:val="0"/>
        <w:kinsoku/>
        <w:wordWrap w:val="0"/>
        <w:overflowPunct/>
        <w:topLinePunct/>
        <w:bidi w:val="0"/>
        <w:spacing w:before="146" w:line="330" w:lineRule="auto"/>
        <w:ind w:left="10" w:right="65" w:firstLine="478"/>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4.2.5</w:t>
      </w:r>
      <w:r>
        <w:rPr>
          <w:rFonts w:hint="eastAsia" w:ascii="宋体" w:hAnsi="宋体" w:eastAsia="宋体" w:cs="宋体"/>
          <w:color w:val="000000" w:themeColor="text1"/>
          <w:spacing w:val="-3"/>
          <w:sz w:val="24"/>
          <w:szCs w:val="24"/>
          <w:highlight w:val="none"/>
          <w14:textFill>
            <w14:solidFill>
              <w14:schemeClr w14:val="tx1"/>
            </w14:solidFill>
          </w14:textFill>
        </w:rPr>
        <w:t>施工合同签订前，招标人或其授权的造价咨询单位应就发现的以上所有不平衡报价进行修正，形成《不平衡报价修正报告》，并由招标人和中标人共同签章确认，构成施工合同的组成部分。</w:t>
      </w:r>
    </w:p>
    <w:p w14:paraId="37CCBC29">
      <w:pPr>
        <w:pageBreakBefore w:val="0"/>
        <w:kinsoku/>
        <w:wordWrap w:val="0"/>
        <w:overflowPunct/>
        <w:topLinePunct/>
        <w:bidi w:val="0"/>
        <w:spacing w:before="34" w:line="326" w:lineRule="auto"/>
        <w:ind w:left="12" w:right="65" w:firstLine="47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4.2.6合同履行过程中，被认定为错漏项的清单项目，结算时按照第三章“拟签订</w:t>
      </w:r>
      <w:r>
        <w:rPr>
          <w:rFonts w:hint="eastAsia" w:ascii="宋体" w:hAnsi="宋体" w:eastAsia="宋体" w:cs="宋体"/>
          <w:b/>
          <w:bCs/>
          <w:color w:val="000000" w:themeColor="text1"/>
          <w:spacing w:val="-6"/>
          <w:sz w:val="24"/>
          <w:szCs w:val="24"/>
          <w:highlight w:val="none"/>
          <w14:textFill>
            <w14:solidFill>
              <w14:schemeClr w14:val="tx1"/>
            </w14:solidFill>
          </w14:textFill>
        </w:rPr>
        <w:t>合同的主要条款”规定处理。</w:t>
      </w:r>
    </w:p>
    <w:p w14:paraId="0CCD4DA6">
      <w:pPr>
        <w:pageBreakBefore w:val="0"/>
        <w:kinsoku/>
        <w:wordWrap w:val="0"/>
        <w:overflowPunct/>
        <w:topLinePunct/>
        <w:bidi w:val="0"/>
        <w:spacing w:before="33" w:line="317" w:lineRule="auto"/>
        <w:ind w:left="12" w:right="38" w:firstLine="476"/>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4.2.7合同履行过程中，合同约定的调</w:t>
      </w:r>
      <w:r>
        <w:rPr>
          <w:rFonts w:hint="eastAsia" w:ascii="宋体" w:hAnsi="宋体" w:eastAsia="宋体" w:cs="宋体"/>
          <w:b/>
          <w:bCs/>
          <w:color w:val="000000" w:themeColor="text1"/>
          <w:spacing w:val="-1"/>
          <w:sz w:val="24"/>
          <w:szCs w:val="24"/>
          <w:highlight w:val="none"/>
          <w14:textFill>
            <w14:solidFill>
              <w14:schemeClr w14:val="tx1"/>
            </w14:solidFill>
          </w14:textFill>
        </w:rPr>
        <w:t>整因素（如工程量偏差、工程变更、项目特</w:t>
      </w:r>
      <w:r>
        <w:rPr>
          <w:rFonts w:hint="eastAsia" w:ascii="宋体" w:hAnsi="宋体" w:eastAsia="宋体" w:cs="宋体"/>
          <w:b/>
          <w:bCs/>
          <w:color w:val="000000" w:themeColor="text1"/>
          <w:spacing w:val="-4"/>
          <w:sz w:val="24"/>
          <w:szCs w:val="24"/>
          <w:highlight w:val="none"/>
          <w14:textFill>
            <w14:solidFill>
              <w14:schemeClr w14:val="tx1"/>
            </w14:solidFill>
          </w14:textFill>
        </w:rPr>
        <w:t>征不符、招标工程量清单缺项等）出现时，被认定为不平衡报价的清单项目以及</w:t>
      </w:r>
      <w:r>
        <w:rPr>
          <w:rFonts w:hint="eastAsia" w:ascii="宋体" w:hAnsi="宋体" w:eastAsia="宋体" w:cs="宋体"/>
          <w:b/>
          <w:bCs/>
          <w:color w:val="000000" w:themeColor="text1"/>
          <w:spacing w:val="-5"/>
          <w:sz w:val="24"/>
          <w:szCs w:val="24"/>
          <w:highlight w:val="none"/>
          <w14:textFill>
            <w14:solidFill>
              <w14:schemeClr w14:val="tx1"/>
            </w14:solidFill>
          </w14:textFill>
        </w:rPr>
        <w:t>采用被</w:t>
      </w:r>
      <w:r>
        <w:rPr>
          <w:rFonts w:hint="eastAsia" w:ascii="宋体" w:hAnsi="宋体" w:eastAsia="宋体" w:cs="宋体"/>
          <w:b/>
          <w:bCs/>
          <w:color w:val="000000" w:themeColor="text1"/>
          <w:spacing w:val="-3"/>
          <w:sz w:val="24"/>
          <w:szCs w:val="24"/>
          <w:highlight w:val="none"/>
          <w14:textFill>
            <w14:solidFill>
              <w14:schemeClr w14:val="tx1"/>
            </w14:solidFill>
          </w14:textFill>
        </w:rPr>
        <w:t>认定为不平衡报价的清单项目的价格作为取价（或参照取</w:t>
      </w:r>
      <w:r>
        <w:rPr>
          <w:rFonts w:hint="eastAsia" w:ascii="宋体" w:hAnsi="宋体" w:eastAsia="宋体" w:cs="宋体"/>
          <w:b/>
          <w:bCs/>
          <w:color w:val="000000" w:themeColor="text1"/>
          <w:spacing w:val="-4"/>
          <w:sz w:val="24"/>
          <w:szCs w:val="24"/>
          <w:highlight w:val="none"/>
          <w14:textFill>
            <w14:solidFill>
              <w14:schemeClr w14:val="tx1"/>
            </w14:solidFill>
          </w14:textFill>
        </w:rPr>
        <w:t>价）依据的变更、新增项目，</w:t>
      </w:r>
      <w:r>
        <w:rPr>
          <w:rFonts w:hint="eastAsia" w:ascii="宋体" w:hAnsi="宋体" w:eastAsia="宋体" w:cs="宋体"/>
          <w:b/>
          <w:bCs/>
          <w:color w:val="000000" w:themeColor="text1"/>
          <w:spacing w:val="-3"/>
          <w:sz w:val="24"/>
          <w:szCs w:val="24"/>
          <w:highlight w:val="none"/>
          <w14:textFill>
            <w14:solidFill>
              <w14:schemeClr w14:val="tx1"/>
            </w14:solidFill>
          </w14:textFill>
        </w:rPr>
        <w:t>按照第三章“拟签订合同的主要条款”有关规定调整</w:t>
      </w:r>
      <w:r>
        <w:rPr>
          <w:rFonts w:hint="eastAsia" w:ascii="宋体" w:hAnsi="宋体" w:eastAsia="宋体" w:cs="宋体"/>
          <w:b/>
          <w:bCs/>
          <w:color w:val="000000" w:themeColor="text1"/>
          <w:spacing w:val="-4"/>
          <w:sz w:val="24"/>
          <w:szCs w:val="24"/>
          <w:highlight w:val="none"/>
          <w14:textFill>
            <w14:solidFill>
              <w14:schemeClr w14:val="tx1"/>
            </w14:solidFill>
          </w14:textFill>
        </w:rPr>
        <w:t>合同价款。</w:t>
      </w:r>
    </w:p>
    <w:p w14:paraId="5BC92E98">
      <w:pPr>
        <w:pageBreakBefore w:val="0"/>
        <w:kinsoku/>
        <w:wordWrap w:val="0"/>
        <w:overflowPunct/>
        <w:topLinePunct/>
        <w:bidi w:val="0"/>
        <w:spacing w:before="87" w:line="276"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4.3</w:t>
      </w:r>
      <w:r>
        <w:rPr>
          <w:rFonts w:hint="eastAsia" w:ascii="宋体" w:hAnsi="宋体" w:eastAsia="宋体" w:cs="宋体"/>
          <w:color w:val="000000" w:themeColor="text1"/>
          <w:sz w:val="24"/>
          <w:szCs w:val="24"/>
          <w:highlight w:val="none"/>
          <w14:textFill>
            <w14:solidFill>
              <w14:schemeClr w14:val="tx1"/>
            </w14:solidFill>
          </w14:textFill>
        </w:rPr>
        <w:t>本招标项目合同计价方式为：</w:t>
      </w:r>
      <w:r>
        <w:rPr>
          <w:rFonts w:hint="eastAsia" w:ascii="宋体" w:hAnsi="宋体" w:eastAsia="宋体" w:cs="宋体"/>
          <w:color w:val="000000" w:themeColor="text1"/>
          <w:sz w:val="24"/>
          <w:szCs w:val="24"/>
          <w:highlight w:val="none"/>
          <w:u w:val="single"/>
          <w14:textFill>
            <w14:solidFill>
              <w14:schemeClr w14:val="tx1"/>
            </w14:solidFill>
          </w14:textFill>
        </w:rPr>
        <w:t>单价</w:t>
      </w:r>
      <w:r>
        <w:rPr>
          <w:rFonts w:hint="eastAsia" w:ascii="宋体" w:hAnsi="宋体" w:eastAsia="宋体" w:cs="宋体"/>
          <w:color w:val="000000" w:themeColor="text1"/>
          <w:spacing w:val="-1"/>
          <w:sz w:val="24"/>
          <w:szCs w:val="24"/>
          <w:highlight w:val="none"/>
          <w14:textFill>
            <w14:solidFill>
              <w14:schemeClr w14:val="tx1"/>
            </w14:solidFill>
          </w14:textFill>
        </w:rPr>
        <w:t>合同。</w:t>
      </w:r>
    </w:p>
    <w:p w14:paraId="70AF6E78">
      <w:pPr>
        <w:pageBreakBefore w:val="0"/>
        <w:kinsoku/>
        <w:wordWrap w:val="0"/>
        <w:overflowPunct/>
        <w:topLinePunct/>
        <w:bidi w:val="0"/>
        <w:spacing w:before="120" w:line="298" w:lineRule="auto"/>
        <w:ind w:left="11" w:right="28"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4.4</w:t>
      </w:r>
      <w:r>
        <w:rPr>
          <w:rFonts w:hint="eastAsia" w:ascii="宋体" w:hAnsi="宋体" w:eastAsia="宋体" w:cs="宋体"/>
          <w:color w:val="000000" w:themeColor="text1"/>
          <w:spacing w:val="-4"/>
          <w:sz w:val="24"/>
          <w:szCs w:val="24"/>
          <w:highlight w:val="none"/>
          <w14:textFill>
            <w14:solidFill>
              <w14:schemeClr w14:val="tx1"/>
            </w14:solidFill>
          </w14:textFill>
        </w:rPr>
        <w:t>合同的标的、质量、履行期限条款和合同的价款、单</w:t>
      </w:r>
      <w:r>
        <w:rPr>
          <w:rFonts w:hint="eastAsia" w:ascii="宋体" w:hAnsi="宋体" w:eastAsia="宋体" w:cs="宋体"/>
          <w:color w:val="000000" w:themeColor="text1"/>
          <w:spacing w:val="-5"/>
          <w:sz w:val="24"/>
          <w:szCs w:val="24"/>
          <w:highlight w:val="none"/>
          <w14:textFill>
            <w14:solidFill>
              <w14:schemeClr w14:val="tx1"/>
            </w14:solidFill>
          </w14:textFill>
        </w:rPr>
        <w:t>价、比例条款等主要条款，</w:t>
      </w:r>
      <w:r>
        <w:rPr>
          <w:rFonts w:hint="eastAsia" w:ascii="宋体" w:hAnsi="宋体" w:eastAsia="宋体" w:cs="宋体"/>
          <w:color w:val="000000" w:themeColor="text1"/>
          <w:spacing w:val="-2"/>
          <w:sz w:val="24"/>
          <w:szCs w:val="24"/>
          <w:highlight w:val="none"/>
          <w14:textFill>
            <w14:solidFill>
              <w14:schemeClr w14:val="tx1"/>
            </w14:solidFill>
          </w14:textFill>
        </w:rPr>
        <w:t>应当与招标文件、中标人的投标文件的内容一致。中标人在签订合同时不得向招标人提出附加条件。</w:t>
      </w:r>
    </w:p>
    <w:p w14:paraId="669CC754">
      <w:pPr>
        <w:pageBreakBefore w:val="0"/>
        <w:kinsoku/>
        <w:wordWrap w:val="0"/>
        <w:overflowPunct/>
        <w:topLinePunct/>
        <w:bidi w:val="0"/>
        <w:spacing w:before="158" w:line="298" w:lineRule="auto"/>
        <w:ind w:left="12" w:right="91" w:firstLine="474"/>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4.5</w:t>
      </w:r>
      <w:r>
        <w:rPr>
          <w:rFonts w:hint="eastAsia" w:ascii="宋体" w:hAnsi="宋体" w:eastAsia="宋体" w:cs="宋体"/>
          <w:color w:val="000000" w:themeColor="text1"/>
          <w:spacing w:val="-3"/>
          <w:sz w:val="24"/>
          <w:szCs w:val="24"/>
          <w:highlight w:val="none"/>
          <w14:textFill>
            <w14:solidFill>
              <w14:schemeClr w14:val="tx1"/>
            </w14:solidFill>
          </w14:textFill>
        </w:rPr>
        <w:t>若中标人在领取中标通知书之日起</w:t>
      </w:r>
      <w:r>
        <w:rPr>
          <w:rFonts w:hint="eastAsia" w:ascii="宋体" w:hAnsi="宋体" w:eastAsia="宋体" w:cs="宋体"/>
          <w:color w:val="000000" w:themeColor="text1"/>
          <w:spacing w:val="-4"/>
          <w:sz w:val="24"/>
          <w:szCs w:val="24"/>
          <w:highlight w:val="none"/>
          <w14:textFill>
            <w14:solidFill>
              <w14:schemeClr w14:val="tx1"/>
            </w14:solidFill>
          </w14:textFill>
        </w:rPr>
        <w:t>30天内仍未签订合同，招标人发出第一次提</w:t>
      </w:r>
      <w:r>
        <w:rPr>
          <w:rFonts w:hint="eastAsia" w:ascii="宋体" w:hAnsi="宋体" w:eastAsia="宋体" w:cs="宋体"/>
          <w:color w:val="000000" w:themeColor="text1"/>
          <w:spacing w:val="1"/>
          <w:sz w:val="24"/>
          <w:szCs w:val="24"/>
          <w:highlight w:val="none"/>
          <w14:textFill>
            <w14:solidFill>
              <w14:schemeClr w14:val="tx1"/>
            </w14:solidFill>
          </w14:textFill>
        </w:rPr>
        <w:t>醒函；在领取中标通知书之日起40天内仍未签订，招标人发出第二次提醒函；在</w:t>
      </w:r>
      <w:r>
        <w:rPr>
          <w:rFonts w:hint="eastAsia" w:ascii="宋体" w:hAnsi="宋体" w:eastAsia="宋体" w:cs="宋体"/>
          <w:color w:val="000000" w:themeColor="text1"/>
          <w:sz w:val="24"/>
          <w:szCs w:val="24"/>
          <w:highlight w:val="none"/>
          <w14:textFill>
            <w14:solidFill>
              <w14:schemeClr w14:val="tx1"/>
            </w14:solidFill>
          </w14:textFill>
        </w:rPr>
        <w:t>领取</w:t>
      </w:r>
      <w:r>
        <w:rPr>
          <w:rFonts w:hint="eastAsia" w:ascii="宋体" w:hAnsi="宋体" w:eastAsia="宋体" w:cs="宋体"/>
          <w:color w:val="000000" w:themeColor="text1"/>
          <w:spacing w:val="-1"/>
          <w:sz w:val="24"/>
          <w:szCs w:val="24"/>
          <w:highlight w:val="none"/>
          <w14:textFill>
            <w14:solidFill>
              <w14:schemeClr w14:val="tx1"/>
            </w14:solidFill>
          </w14:textFill>
        </w:rPr>
        <w:t>中标通知书之日起45天内仍未签订，视其放弃中标。</w:t>
      </w:r>
    </w:p>
    <w:p w14:paraId="4E4F1442">
      <w:pPr>
        <w:pageBreakBefore w:val="0"/>
        <w:kinsoku/>
        <w:wordWrap w:val="0"/>
        <w:overflowPunct/>
        <w:topLinePunct/>
        <w:bidi w:val="0"/>
        <w:spacing w:before="158" w:line="298" w:lineRule="auto"/>
        <w:ind w:left="12" w:right="91"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4.6</w:t>
      </w:r>
      <w:r>
        <w:rPr>
          <w:rFonts w:hint="eastAsia" w:ascii="宋体" w:hAnsi="宋体" w:eastAsia="宋体" w:cs="宋体"/>
          <w:color w:val="000000" w:themeColor="text1"/>
          <w:sz w:val="24"/>
          <w:szCs w:val="24"/>
          <w:highlight w:val="none"/>
          <w14:textFill>
            <w14:solidFill>
              <w14:schemeClr w14:val="tx1"/>
            </w14:solidFill>
          </w14:textFill>
        </w:rPr>
        <w:t>在书面合同订立之日起2个工作日内，由中标人或招标代理机构将合同上传至</w:t>
      </w:r>
      <w:r>
        <w:rPr>
          <w:rFonts w:hint="eastAsia" w:ascii="宋体" w:hAnsi="宋体" w:eastAsia="宋体" w:cs="宋体"/>
          <w:color w:val="000000" w:themeColor="text1"/>
          <w:spacing w:val="-2"/>
          <w:sz w:val="24"/>
          <w:szCs w:val="24"/>
          <w:highlight w:val="none"/>
          <w14:textFill>
            <w14:solidFill>
              <w14:schemeClr w14:val="tx1"/>
            </w14:solidFill>
          </w14:textFill>
        </w:rPr>
        <w:t>建设工程交易系统，并发起退还投标保证的申请。韶关市公共资源交易中心在收到申请之日起3个工作日内，将投标保证金（或银行保函）退还给中标人和其他中标候选人。</w:t>
      </w:r>
    </w:p>
    <w:p w14:paraId="750C1A61">
      <w:pPr>
        <w:pageBreakBefore w:val="0"/>
        <w:kinsoku/>
        <w:wordWrap w:val="0"/>
        <w:overflowPunct/>
        <w:topLinePunct/>
        <w:bidi w:val="0"/>
        <w:spacing w:before="78" w:line="220" w:lineRule="auto"/>
        <w:ind w:left="489"/>
        <w:outlineLvl w:val="2"/>
        <w:rPr>
          <w:rFonts w:hint="eastAsia" w:ascii="宋体" w:hAnsi="宋体" w:eastAsia="宋体" w:cs="宋体"/>
          <w:color w:val="000000" w:themeColor="text1"/>
          <w:sz w:val="24"/>
          <w:szCs w:val="24"/>
          <w:highlight w:val="none"/>
          <w14:textFill>
            <w14:solidFill>
              <w14:schemeClr w14:val="tx1"/>
            </w14:solidFill>
          </w14:textFill>
        </w:rPr>
      </w:pPr>
      <w:bookmarkStart w:id="160" w:name="_Toc8506"/>
      <w:r>
        <w:rPr>
          <w:rFonts w:hint="eastAsia" w:ascii="宋体" w:hAnsi="宋体" w:eastAsia="宋体" w:cs="宋体"/>
          <w:b/>
          <w:bCs/>
          <w:color w:val="000000" w:themeColor="text1"/>
          <w:spacing w:val="-6"/>
          <w:sz w:val="24"/>
          <w:szCs w:val="24"/>
          <w:highlight w:val="none"/>
          <w14:textFill>
            <w14:solidFill>
              <w14:schemeClr w14:val="tx1"/>
            </w14:solidFill>
          </w14:textFill>
        </w:rPr>
        <w:t>5．放弃中标的处理</w:t>
      </w:r>
      <w:bookmarkEnd w:id="160"/>
    </w:p>
    <w:p w14:paraId="1110BD7D">
      <w:pPr>
        <w:pageBreakBefore w:val="0"/>
        <w:kinsoku/>
        <w:wordWrap w:val="0"/>
        <w:overflowPunct/>
        <w:topLinePunct/>
        <w:bidi w:val="0"/>
        <w:spacing w:before="150" w:line="319" w:lineRule="auto"/>
        <w:ind w:left="12" w:right="91" w:firstLine="477"/>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5.1</w:t>
      </w:r>
      <w:r>
        <w:rPr>
          <w:rFonts w:hint="eastAsia" w:ascii="宋体" w:hAnsi="宋体" w:eastAsia="宋体" w:cs="宋体"/>
          <w:color w:val="000000" w:themeColor="text1"/>
          <w:spacing w:val="-1"/>
          <w:sz w:val="24"/>
          <w:szCs w:val="24"/>
          <w:highlight w:val="none"/>
          <w14:textFill>
            <w14:solidFill>
              <w14:schemeClr w14:val="tx1"/>
            </w14:solidFill>
          </w14:textFill>
        </w:rPr>
        <w:t>中标人无正当理由放弃中标的，取消其中标资格，其投标保证不予退还，给招</w:t>
      </w:r>
      <w:r>
        <w:rPr>
          <w:rFonts w:hint="eastAsia" w:ascii="宋体" w:hAnsi="宋体" w:eastAsia="宋体" w:cs="宋体"/>
          <w:color w:val="000000" w:themeColor="text1"/>
          <w:spacing w:val="-2"/>
          <w:sz w:val="24"/>
          <w:szCs w:val="24"/>
          <w:highlight w:val="none"/>
          <w14:textFill>
            <w14:solidFill>
              <w14:schemeClr w14:val="tx1"/>
            </w14:solidFill>
          </w14:textFill>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000000" w:themeColor="text1"/>
          <w:spacing w:val="-2"/>
          <w:sz w:val="24"/>
          <w:szCs w:val="24"/>
          <w:highlight w:val="none"/>
          <w14:textFill>
            <w14:solidFill>
              <w14:schemeClr w14:val="tx1"/>
            </w14:solidFill>
          </w14:textFill>
        </w:rPr>
        <w:t>招</w:t>
      </w:r>
      <w:r>
        <w:rPr>
          <w:rFonts w:hint="eastAsia" w:ascii="宋体" w:hAnsi="宋体" w:eastAsia="宋体" w:cs="宋体"/>
          <w:b/>
          <w:bCs/>
          <w:color w:val="000000" w:themeColor="text1"/>
          <w:spacing w:val="-3"/>
          <w:sz w:val="24"/>
          <w:szCs w:val="24"/>
          <w:highlight w:val="none"/>
          <w14:textFill>
            <w14:solidFill>
              <w14:schemeClr w14:val="tx1"/>
            </w14:solidFill>
          </w14:textFill>
        </w:rPr>
        <w:t>标人应将该弃标人的失信行为向行政监督部门报告。</w:t>
      </w:r>
    </w:p>
    <w:p w14:paraId="0A049239">
      <w:pPr>
        <w:pageBreakBefore w:val="0"/>
        <w:kinsoku/>
        <w:wordWrap w:val="0"/>
        <w:overflowPunct/>
        <w:topLinePunct/>
        <w:bidi w:val="0"/>
        <w:spacing w:before="79" w:line="298" w:lineRule="auto"/>
        <w:ind w:left="10" w:right="91" w:firstLine="4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5.2</w:t>
      </w:r>
      <w:r>
        <w:rPr>
          <w:rFonts w:hint="eastAsia" w:ascii="宋体" w:hAnsi="宋体" w:eastAsia="宋体" w:cs="宋体"/>
          <w:color w:val="000000" w:themeColor="text1"/>
          <w:spacing w:val="-5"/>
          <w:sz w:val="24"/>
          <w:szCs w:val="24"/>
          <w:highlight w:val="none"/>
          <w14:textFill>
            <w14:solidFill>
              <w14:schemeClr w14:val="tx1"/>
            </w14:solidFill>
          </w14:textFill>
        </w:rPr>
        <w:t>中标人因不可抗力提出不能履行合同的，须在领取中标通知书之日起10天</w:t>
      </w:r>
      <w:r>
        <w:rPr>
          <w:rFonts w:hint="eastAsia" w:ascii="宋体" w:hAnsi="宋体" w:eastAsia="宋体" w:cs="宋体"/>
          <w:color w:val="000000" w:themeColor="text1"/>
          <w:spacing w:val="-6"/>
          <w:sz w:val="24"/>
          <w:szCs w:val="24"/>
          <w:highlight w:val="none"/>
          <w14:textFill>
            <w14:solidFill>
              <w14:schemeClr w14:val="tx1"/>
            </w14:solidFill>
          </w14:textFill>
        </w:rPr>
        <w:t>内提</w:t>
      </w:r>
      <w:r>
        <w:rPr>
          <w:rFonts w:hint="eastAsia" w:ascii="宋体" w:hAnsi="宋体" w:eastAsia="宋体" w:cs="宋体"/>
          <w:color w:val="000000" w:themeColor="text1"/>
          <w:spacing w:val="-2"/>
          <w:sz w:val="24"/>
          <w:szCs w:val="24"/>
          <w:highlight w:val="none"/>
          <w14:textFill>
            <w14:solidFill>
              <w14:schemeClr w14:val="tx1"/>
            </w14:solidFill>
          </w14:textFill>
        </w:rPr>
        <w:t>供有关证明文件或资料，其投标保证予以退还，招标人可按照评标委员会提出的中标候选人名单排序依次确定其他中标候选人为中标人。如果招标人认为其他中标候选人的条</w:t>
      </w:r>
      <w:bookmarkStart w:id="161" w:name="bookmark84"/>
      <w:bookmarkEnd w:id="161"/>
      <w:r>
        <w:rPr>
          <w:rFonts w:hint="eastAsia" w:ascii="宋体" w:hAnsi="宋体" w:eastAsia="宋体" w:cs="宋体"/>
          <w:color w:val="000000" w:themeColor="text1"/>
          <w:spacing w:val="-2"/>
          <w:sz w:val="24"/>
          <w:szCs w:val="24"/>
          <w:highlight w:val="none"/>
          <w14:textFill>
            <w14:solidFill>
              <w14:schemeClr w14:val="tx1"/>
            </w14:solidFill>
          </w14:textFill>
        </w:rPr>
        <w:t>件明显不利于招标人的，也可以重新招标</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1B68A277">
      <w:pPr>
        <w:pStyle w:val="13"/>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sectPr>
          <w:footerReference r:id="rId1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4606912">
      <w:pPr>
        <w:pageBreakBefore w:val="0"/>
        <w:kinsoku/>
        <w:wordWrap w:val="0"/>
        <w:overflowPunct/>
        <w:topLinePunct/>
        <w:bidi w:val="0"/>
        <w:spacing w:before="78" w:line="219" w:lineRule="auto"/>
        <w:ind w:left="2923"/>
        <w:outlineLvl w:val="0"/>
        <w:rPr>
          <w:rFonts w:hint="eastAsia" w:ascii="宋体" w:hAnsi="宋体" w:eastAsia="宋体" w:cs="宋体"/>
          <w:color w:val="000000" w:themeColor="text1"/>
          <w:sz w:val="24"/>
          <w:szCs w:val="24"/>
          <w:highlight w:val="none"/>
          <w14:textFill>
            <w14:solidFill>
              <w14:schemeClr w14:val="tx1"/>
            </w14:solidFill>
          </w14:textFill>
        </w:rPr>
      </w:pPr>
      <w:bookmarkStart w:id="162" w:name="bookmark86"/>
      <w:bookmarkEnd w:id="162"/>
      <w:bookmarkStart w:id="163" w:name="_Toc13127"/>
      <w:r>
        <w:rPr>
          <w:rFonts w:hint="eastAsia" w:ascii="宋体" w:hAnsi="宋体" w:eastAsia="宋体" w:cs="宋体"/>
          <w:b/>
          <w:bCs/>
          <w:color w:val="000000" w:themeColor="text1"/>
          <w:spacing w:val="-3"/>
          <w:sz w:val="24"/>
          <w:szCs w:val="24"/>
          <w:highlight w:val="none"/>
          <w14:textFill>
            <w14:solidFill>
              <w14:schemeClr w14:val="tx1"/>
            </w14:solidFill>
          </w14:textFill>
        </w:rPr>
        <w:t>第三章拟签订合同的主要条款</w:t>
      </w:r>
      <w:bookmarkEnd w:id="163"/>
    </w:p>
    <w:p w14:paraId="25CAA5F6">
      <w:pPr>
        <w:pStyle w:val="5"/>
        <w:pageBreakBefore w:val="0"/>
        <w:kinsoku/>
        <w:wordWrap w:val="0"/>
        <w:overflowPunct/>
        <w:topLinePunct/>
        <w:bidi w:val="0"/>
        <w:spacing w:line="257" w:lineRule="auto"/>
        <w:rPr>
          <w:rFonts w:hint="eastAsia" w:ascii="宋体" w:hAnsi="宋体" w:eastAsia="宋体" w:cs="宋体"/>
          <w:color w:val="000000" w:themeColor="text1"/>
          <w:highlight w:val="none"/>
          <w14:textFill>
            <w14:solidFill>
              <w14:schemeClr w14:val="tx1"/>
            </w14:solidFill>
          </w14:textFill>
        </w:rPr>
      </w:pPr>
    </w:p>
    <w:p w14:paraId="62C0FAFC">
      <w:pPr>
        <w:pStyle w:val="5"/>
        <w:pageBreakBefore w:val="0"/>
        <w:kinsoku/>
        <w:wordWrap w:val="0"/>
        <w:overflowPunct/>
        <w:topLinePunct/>
        <w:bidi w:val="0"/>
        <w:spacing w:line="257" w:lineRule="auto"/>
        <w:rPr>
          <w:rFonts w:hint="eastAsia" w:ascii="宋体" w:hAnsi="宋体" w:eastAsia="宋体" w:cs="宋体"/>
          <w:color w:val="000000" w:themeColor="text1"/>
          <w:highlight w:val="none"/>
          <w14:textFill>
            <w14:solidFill>
              <w14:schemeClr w14:val="tx1"/>
            </w14:solidFill>
          </w14:textFill>
        </w:rPr>
      </w:pPr>
    </w:p>
    <w:p w14:paraId="0CA8748A">
      <w:pPr>
        <w:pageBreakBefore w:val="0"/>
        <w:kinsoku/>
        <w:wordWrap w:val="0"/>
        <w:overflowPunct/>
        <w:topLinePunct/>
        <w:bidi w:val="0"/>
        <w:spacing w:before="78" w:line="220" w:lineRule="auto"/>
        <w:ind w:left="498"/>
        <w:outlineLvl w:val="2"/>
        <w:rPr>
          <w:rFonts w:hint="eastAsia" w:ascii="宋体" w:hAnsi="宋体" w:eastAsia="宋体" w:cs="宋体"/>
          <w:color w:val="000000" w:themeColor="text1"/>
          <w:sz w:val="24"/>
          <w:szCs w:val="24"/>
          <w:highlight w:val="none"/>
          <w14:textFill>
            <w14:solidFill>
              <w14:schemeClr w14:val="tx1"/>
            </w14:solidFill>
          </w14:textFill>
        </w:rPr>
      </w:pPr>
      <w:bookmarkStart w:id="164" w:name="_Toc2112"/>
      <w:r>
        <w:rPr>
          <w:rFonts w:hint="eastAsia" w:ascii="宋体" w:hAnsi="宋体" w:eastAsia="宋体" w:cs="宋体"/>
          <w:b/>
          <w:bCs/>
          <w:color w:val="000000" w:themeColor="text1"/>
          <w:spacing w:val="-8"/>
          <w:sz w:val="24"/>
          <w:szCs w:val="24"/>
          <w:highlight w:val="none"/>
          <w14:textFill>
            <w14:solidFill>
              <w14:schemeClr w14:val="tx1"/>
            </w14:solidFill>
          </w14:textFill>
        </w:rPr>
        <w:t>1．工程承包方式</w:t>
      </w:r>
      <w:bookmarkEnd w:id="164"/>
    </w:p>
    <w:p w14:paraId="352E03E5">
      <w:pPr>
        <w:pageBreakBefore w:val="0"/>
        <w:kinsoku/>
        <w:wordWrap w:val="0"/>
        <w:overflowPunct/>
        <w:topLinePunct/>
        <w:bidi w:val="0"/>
        <w:spacing w:before="153" w:line="299" w:lineRule="auto"/>
        <w:ind w:left="11" w:right="295" w:firstLine="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1.1</w:t>
      </w:r>
      <w:r>
        <w:rPr>
          <w:rFonts w:hint="eastAsia" w:ascii="宋体" w:hAnsi="宋体" w:eastAsia="宋体" w:cs="宋体"/>
          <w:color w:val="000000" w:themeColor="text1"/>
          <w:sz w:val="24"/>
          <w:szCs w:val="24"/>
          <w:highlight w:val="none"/>
          <w14:textFill>
            <w14:solidFill>
              <w14:schemeClr w14:val="tx1"/>
            </w14:solidFill>
          </w14:textFill>
        </w:rPr>
        <w:t>承包人以中标价按包工包料、包质量、包安全包文明施工、包工期</w:t>
      </w:r>
      <w:r>
        <w:rPr>
          <w:rFonts w:hint="eastAsia" w:ascii="宋体" w:hAnsi="宋体" w:eastAsia="宋体" w:cs="宋体"/>
          <w:color w:val="000000" w:themeColor="text1"/>
          <w:spacing w:val="-1"/>
          <w:sz w:val="24"/>
          <w:szCs w:val="24"/>
          <w:highlight w:val="none"/>
          <w14:textFill>
            <w14:solidFill>
              <w14:schemeClr w14:val="tx1"/>
            </w14:solidFill>
          </w14:textFill>
        </w:rPr>
        <w:t>方式总承包</w:t>
      </w:r>
      <w:r>
        <w:rPr>
          <w:rFonts w:hint="eastAsia" w:ascii="宋体" w:hAnsi="宋体" w:eastAsia="宋体" w:cs="宋体"/>
          <w:color w:val="000000" w:themeColor="text1"/>
          <w:spacing w:val="-2"/>
          <w:sz w:val="24"/>
          <w:szCs w:val="24"/>
          <w:highlight w:val="none"/>
          <w14:textFill>
            <w14:solidFill>
              <w14:schemeClr w14:val="tx1"/>
            </w14:solidFill>
          </w14:textFill>
        </w:rPr>
        <w:t>施工，不允许转包和违法分包，如果确需分包须与发包人协商，在得到发包人和监理单</w:t>
      </w:r>
      <w:r>
        <w:rPr>
          <w:rFonts w:hint="eastAsia" w:ascii="宋体" w:hAnsi="宋体" w:eastAsia="宋体" w:cs="宋体"/>
          <w:color w:val="000000" w:themeColor="text1"/>
          <w:spacing w:val="-1"/>
          <w:sz w:val="24"/>
          <w:szCs w:val="24"/>
          <w:highlight w:val="none"/>
          <w14:textFill>
            <w14:solidFill>
              <w14:schemeClr w14:val="tx1"/>
            </w14:solidFill>
          </w14:textFill>
        </w:rPr>
        <w:t>位同意后报建设行政主管部门备案。</w:t>
      </w:r>
    </w:p>
    <w:p w14:paraId="521880F7">
      <w:pPr>
        <w:pageBreakBefore w:val="0"/>
        <w:kinsoku/>
        <w:wordWrap w:val="0"/>
        <w:overflowPunct/>
        <w:topLinePunct/>
        <w:bidi w:val="0"/>
        <w:spacing w:before="153" w:line="219"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1.1.1</w:t>
      </w:r>
      <w:r>
        <w:rPr>
          <w:rFonts w:hint="eastAsia" w:ascii="宋体" w:hAnsi="宋体" w:eastAsia="宋体" w:cs="宋体"/>
          <w:color w:val="000000" w:themeColor="text1"/>
          <w:spacing w:val="-1"/>
          <w:sz w:val="24"/>
          <w:szCs w:val="24"/>
          <w:highlight w:val="none"/>
          <w14:textFill>
            <w14:solidFill>
              <w14:schemeClr w14:val="tx1"/>
            </w14:solidFill>
          </w14:textFill>
        </w:rPr>
        <w:t>包工包料：材料符合招标文件要求并报验使用；办理用工保险。</w:t>
      </w:r>
    </w:p>
    <w:p w14:paraId="0D8D3A44">
      <w:pPr>
        <w:pageBreakBefore w:val="0"/>
        <w:kinsoku/>
        <w:wordWrap w:val="0"/>
        <w:overflowPunct/>
        <w:topLinePunct/>
        <w:bidi w:val="0"/>
        <w:spacing w:before="156" w:line="220"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1.1.2</w:t>
      </w:r>
      <w:r>
        <w:rPr>
          <w:rFonts w:hint="eastAsia" w:ascii="宋体" w:hAnsi="宋体" w:eastAsia="宋体" w:cs="宋体"/>
          <w:color w:val="000000" w:themeColor="text1"/>
          <w:spacing w:val="-1"/>
          <w:sz w:val="24"/>
          <w:szCs w:val="24"/>
          <w:highlight w:val="none"/>
          <w14:textFill>
            <w14:solidFill>
              <w14:schemeClr w14:val="tx1"/>
            </w14:solidFill>
          </w14:textFill>
        </w:rPr>
        <w:t>包质量：符合招标文件要求。</w:t>
      </w:r>
    </w:p>
    <w:p w14:paraId="3D622DDB">
      <w:pPr>
        <w:pageBreakBefore w:val="0"/>
        <w:kinsoku/>
        <w:wordWrap w:val="0"/>
        <w:overflowPunct/>
        <w:topLinePunct/>
        <w:bidi w:val="0"/>
        <w:spacing w:before="153" w:line="220"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1.1.3</w:t>
      </w:r>
      <w:r>
        <w:rPr>
          <w:rFonts w:hint="eastAsia" w:ascii="宋体" w:hAnsi="宋体" w:eastAsia="宋体" w:cs="宋体"/>
          <w:color w:val="000000" w:themeColor="text1"/>
          <w:spacing w:val="-1"/>
          <w:sz w:val="24"/>
          <w:szCs w:val="24"/>
          <w:highlight w:val="none"/>
          <w14:textFill>
            <w14:solidFill>
              <w14:schemeClr w14:val="tx1"/>
            </w14:solidFill>
          </w14:textFill>
        </w:rPr>
        <w:t>包安全包文明施工：符合招标文件要求。</w:t>
      </w:r>
    </w:p>
    <w:p w14:paraId="5C18707C">
      <w:pPr>
        <w:pageBreakBefore w:val="0"/>
        <w:kinsoku/>
        <w:wordWrap w:val="0"/>
        <w:overflowPunct/>
        <w:topLinePunct/>
        <w:bidi w:val="0"/>
        <w:spacing w:before="154" w:line="219" w:lineRule="auto"/>
        <w:ind w:left="5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1.1.4</w:t>
      </w:r>
      <w:r>
        <w:rPr>
          <w:rFonts w:hint="eastAsia" w:ascii="宋体" w:hAnsi="宋体" w:eastAsia="宋体" w:cs="宋体"/>
          <w:color w:val="000000" w:themeColor="text1"/>
          <w:spacing w:val="-1"/>
          <w:sz w:val="24"/>
          <w:szCs w:val="24"/>
          <w:highlight w:val="none"/>
          <w14:textFill>
            <w14:solidFill>
              <w14:schemeClr w14:val="tx1"/>
            </w14:solidFill>
          </w14:textFill>
        </w:rPr>
        <w:t>包工期：本招标项目施工必须在招标工期内完成。</w:t>
      </w:r>
    </w:p>
    <w:p w14:paraId="039570DC">
      <w:pPr>
        <w:pStyle w:val="5"/>
        <w:pageBreakBefore w:val="0"/>
        <w:kinsoku/>
        <w:wordWrap w:val="0"/>
        <w:overflowPunct/>
        <w:topLinePunct/>
        <w:bidi w:val="0"/>
        <w:spacing w:line="257" w:lineRule="auto"/>
        <w:rPr>
          <w:rFonts w:hint="eastAsia" w:ascii="宋体" w:hAnsi="宋体" w:eastAsia="宋体" w:cs="宋体"/>
          <w:color w:val="000000" w:themeColor="text1"/>
          <w:highlight w:val="none"/>
          <w14:textFill>
            <w14:solidFill>
              <w14:schemeClr w14:val="tx1"/>
            </w14:solidFill>
          </w14:textFill>
        </w:rPr>
      </w:pPr>
    </w:p>
    <w:p w14:paraId="530EA23C">
      <w:pPr>
        <w:pStyle w:val="5"/>
        <w:pageBreakBefore w:val="0"/>
        <w:kinsoku/>
        <w:wordWrap w:val="0"/>
        <w:overflowPunct/>
        <w:topLinePunct/>
        <w:bidi w:val="0"/>
        <w:spacing w:line="257" w:lineRule="auto"/>
        <w:rPr>
          <w:rFonts w:hint="eastAsia" w:ascii="宋体" w:hAnsi="宋体" w:eastAsia="宋体" w:cs="宋体"/>
          <w:color w:val="000000" w:themeColor="text1"/>
          <w:highlight w:val="none"/>
          <w14:textFill>
            <w14:solidFill>
              <w14:schemeClr w14:val="tx1"/>
            </w14:solidFill>
          </w14:textFill>
        </w:rPr>
      </w:pPr>
    </w:p>
    <w:p w14:paraId="7B16932A">
      <w:pPr>
        <w:pageBreakBefore w:val="0"/>
        <w:kinsoku/>
        <w:wordWrap w:val="0"/>
        <w:overflowPunct/>
        <w:topLinePunct/>
        <w:bidi w:val="0"/>
        <w:spacing w:before="78" w:line="220" w:lineRule="auto"/>
        <w:ind w:left="488"/>
        <w:outlineLvl w:val="2"/>
        <w:rPr>
          <w:rFonts w:hint="eastAsia" w:ascii="宋体" w:hAnsi="宋体" w:eastAsia="宋体" w:cs="宋体"/>
          <w:color w:val="000000" w:themeColor="text1"/>
          <w:sz w:val="24"/>
          <w:szCs w:val="24"/>
          <w:highlight w:val="none"/>
          <w14:textFill>
            <w14:solidFill>
              <w14:schemeClr w14:val="tx1"/>
            </w14:solidFill>
          </w14:textFill>
        </w:rPr>
      </w:pPr>
      <w:bookmarkStart w:id="165" w:name="bookmark88"/>
      <w:bookmarkEnd w:id="165"/>
      <w:bookmarkStart w:id="166" w:name="_Toc29287"/>
      <w:r>
        <w:rPr>
          <w:rFonts w:hint="eastAsia" w:ascii="宋体" w:hAnsi="宋体" w:eastAsia="宋体" w:cs="宋体"/>
          <w:b/>
          <w:bCs/>
          <w:color w:val="000000" w:themeColor="text1"/>
          <w:spacing w:val="-7"/>
          <w:sz w:val="24"/>
          <w:szCs w:val="24"/>
          <w:highlight w:val="none"/>
          <w14:textFill>
            <w14:solidFill>
              <w14:schemeClr w14:val="tx1"/>
            </w14:solidFill>
          </w14:textFill>
        </w:rPr>
        <w:t>2．工程结算原则</w:t>
      </w:r>
      <w:bookmarkEnd w:id="166"/>
    </w:p>
    <w:p w14:paraId="3CAE1EE6">
      <w:pPr>
        <w:pageBreakBefore w:val="0"/>
        <w:kinsoku/>
        <w:wordWrap w:val="0"/>
        <w:overflowPunct/>
        <w:topLinePunct/>
        <w:bidi w:val="0"/>
        <w:spacing w:before="153" w:line="219"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2.1</w:t>
      </w:r>
      <w:r>
        <w:rPr>
          <w:rFonts w:hint="eastAsia" w:ascii="宋体" w:hAnsi="宋体" w:eastAsia="宋体" w:cs="宋体"/>
          <w:color w:val="000000" w:themeColor="text1"/>
          <w:spacing w:val="-1"/>
          <w:sz w:val="24"/>
          <w:szCs w:val="24"/>
          <w:highlight w:val="none"/>
          <w14:textFill>
            <w14:solidFill>
              <w14:schemeClr w14:val="tx1"/>
            </w14:solidFill>
          </w14:textFill>
        </w:rPr>
        <w:t>承包人的投标总价为中标价，即为签约合同价。</w:t>
      </w:r>
    </w:p>
    <w:p w14:paraId="3D3B2375">
      <w:pPr>
        <w:pageBreakBefore w:val="0"/>
        <w:kinsoku/>
        <w:wordWrap w:val="0"/>
        <w:overflowPunct/>
        <w:topLinePunct/>
        <w:bidi w:val="0"/>
        <w:spacing w:before="155" w:line="319" w:lineRule="auto"/>
        <w:ind w:left="12" w:right="231"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2.2</w:t>
      </w:r>
      <w:r>
        <w:rPr>
          <w:rFonts w:hint="eastAsia" w:ascii="宋体" w:hAnsi="宋体" w:eastAsia="宋体" w:cs="宋体"/>
          <w:color w:val="000000" w:themeColor="text1"/>
          <w:spacing w:val="2"/>
          <w:sz w:val="24"/>
          <w:szCs w:val="24"/>
          <w:highlight w:val="none"/>
          <w14:textFill>
            <w14:solidFill>
              <w14:schemeClr w14:val="tx1"/>
            </w14:solidFill>
          </w14:textFill>
        </w:rPr>
        <w:t>招标工程量清单标明的工程量是投标人投标报价的</w:t>
      </w:r>
      <w:r>
        <w:rPr>
          <w:rFonts w:hint="eastAsia" w:ascii="宋体" w:hAnsi="宋体" w:eastAsia="宋体" w:cs="宋体"/>
          <w:color w:val="000000" w:themeColor="text1"/>
          <w:spacing w:val="1"/>
          <w:sz w:val="24"/>
          <w:szCs w:val="24"/>
          <w:highlight w:val="none"/>
          <w14:textFill>
            <w14:solidFill>
              <w14:schemeClr w14:val="tx1"/>
            </w14:solidFill>
          </w14:textFill>
        </w:rPr>
        <w:t>共同基础，竣工结算的工程</w:t>
      </w:r>
      <w:r>
        <w:rPr>
          <w:rFonts w:hint="eastAsia" w:ascii="宋体" w:hAnsi="宋体" w:eastAsia="宋体" w:cs="宋体"/>
          <w:color w:val="000000" w:themeColor="text1"/>
          <w:spacing w:val="-5"/>
          <w:sz w:val="24"/>
          <w:szCs w:val="24"/>
          <w:highlight w:val="none"/>
          <w14:textFill>
            <w14:solidFill>
              <w14:schemeClr w14:val="tx1"/>
            </w14:solidFill>
          </w14:textFill>
        </w:rPr>
        <w:t>量按</w:t>
      </w:r>
      <w:bookmarkStart w:id="167" w:name="OLE_LINK28"/>
      <w:r>
        <w:rPr>
          <w:rFonts w:hint="eastAsia" w:ascii="宋体" w:hAnsi="宋体" w:eastAsia="宋体" w:cs="宋体"/>
          <w:color w:val="000000" w:themeColor="text1"/>
          <w:spacing w:val="-5"/>
          <w:sz w:val="24"/>
          <w:szCs w:val="24"/>
          <w:highlight w:val="none"/>
          <w14:textFill>
            <w14:solidFill>
              <w14:schemeClr w14:val="tx1"/>
            </w14:solidFill>
          </w14:textFill>
        </w:rPr>
        <w:t>《建设工程工程量清单计价</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5"/>
          <w:sz w:val="24"/>
          <w:szCs w:val="24"/>
          <w:highlight w:val="none"/>
          <w14:textFill>
            <w14:solidFill>
              <w14:schemeClr w14:val="tx1"/>
            </w14:solidFill>
          </w14:textFill>
        </w:rPr>
        <w:t>》（GB50500—</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2024</w:t>
      </w:r>
      <w:r>
        <w:rPr>
          <w:rFonts w:hint="eastAsia" w:ascii="宋体" w:hAnsi="宋体" w:eastAsia="宋体" w:cs="宋体"/>
          <w:color w:val="000000" w:themeColor="text1"/>
          <w:spacing w:val="-5"/>
          <w:sz w:val="24"/>
          <w:szCs w:val="24"/>
          <w:highlight w:val="none"/>
          <w14:textFill>
            <w14:solidFill>
              <w14:schemeClr w14:val="tx1"/>
            </w14:solidFill>
          </w14:textFill>
        </w:rPr>
        <w:t>）对工程计量的规定进行计量，</w:t>
      </w:r>
      <w:r>
        <w:rPr>
          <w:rFonts w:hint="eastAsia" w:ascii="宋体" w:hAnsi="宋体" w:eastAsia="宋体" w:cs="宋体"/>
          <w:color w:val="000000" w:themeColor="text1"/>
          <w:spacing w:val="-2"/>
          <w:sz w:val="24"/>
          <w:szCs w:val="24"/>
          <w:highlight w:val="none"/>
          <w14:textFill>
            <w14:solidFill>
              <w14:schemeClr w14:val="tx1"/>
            </w14:solidFill>
          </w14:textFill>
        </w:rPr>
        <w:t>必须以承包人完成合同工程应予计量的工程量确定。施</w:t>
      </w:r>
      <w:bookmarkEnd w:id="167"/>
      <w:r>
        <w:rPr>
          <w:rFonts w:hint="eastAsia" w:ascii="宋体" w:hAnsi="宋体" w:eastAsia="宋体" w:cs="宋体"/>
          <w:color w:val="000000" w:themeColor="text1"/>
          <w:spacing w:val="-2"/>
          <w:sz w:val="24"/>
          <w:szCs w:val="24"/>
          <w:highlight w:val="none"/>
          <w14:textFill>
            <w14:solidFill>
              <w14:schemeClr w14:val="tx1"/>
            </w14:solidFill>
          </w14:textFill>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000000" w:themeColor="text1"/>
          <w:spacing w:val="-1"/>
          <w:sz w:val="24"/>
          <w:szCs w:val="24"/>
          <w:highlight w:val="none"/>
          <w14:textFill>
            <w14:solidFill>
              <w14:schemeClr w14:val="tx1"/>
            </w14:solidFill>
          </w14:textFill>
        </w:rPr>
        <w:t>的工程量，发包人不予计量，由</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承包人</w:t>
      </w:r>
      <w:r>
        <w:rPr>
          <w:rFonts w:hint="eastAsia" w:ascii="宋体" w:hAnsi="宋体" w:eastAsia="宋体" w:cs="宋体"/>
          <w:color w:val="000000" w:themeColor="text1"/>
          <w:spacing w:val="-1"/>
          <w:sz w:val="24"/>
          <w:szCs w:val="24"/>
          <w:highlight w:val="none"/>
          <w14:textFill>
            <w14:solidFill>
              <w14:schemeClr w14:val="tx1"/>
            </w14:solidFill>
          </w14:textFill>
        </w:rPr>
        <w:t>自行承担相关责任和费用。</w:t>
      </w:r>
    </w:p>
    <w:p w14:paraId="14F38B45">
      <w:pPr>
        <w:pageBreakBefore w:val="0"/>
        <w:kinsoku/>
        <w:wordWrap w:val="0"/>
        <w:overflowPunct/>
        <w:topLinePunct/>
        <w:bidi w:val="0"/>
        <w:spacing w:before="38" w:line="299" w:lineRule="auto"/>
        <w:ind w:left="12" w:right="183" w:firstLine="47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2.3</w:t>
      </w:r>
      <w:r>
        <w:rPr>
          <w:rFonts w:hint="eastAsia" w:ascii="宋体" w:hAnsi="宋体" w:eastAsia="宋体" w:cs="宋体"/>
          <w:color w:val="000000" w:themeColor="text1"/>
          <w:sz w:val="24"/>
          <w:szCs w:val="24"/>
          <w:highlight w:val="none"/>
          <w14:textFill>
            <w14:solidFill>
              <w14:schemeClr w14:val="tx1"/>
            </w14:solidFill>
          </w14:textFill>
        </w:rPr>
        <w:t>施工合同履行期间，若出现下列情形的，发、承包双方应当按照以下规定调整</w:t>
      </w:r>
      <w:r>
        <w:rPr>
          <w:rFonts w:hint="eastAsia" w:ascii="宋体" w:hAnsi="宋体" w:eastAsia="宋体" w:cs="宋体"/>
          <w:color w:val="000000" w:themeColor="text1"/>
          <w:spacing w:val="-3"/>
          <w:sz w:val="24"/>
          <w:szCs w:val="24"/>
          <w:highlight w:val="none"/>
          <w14:textFill>
            <w14:solidFill>
              <w14:schemeClr w14:val="tx1"/>
            </w14:solidFill>
          </w14:textFill>
        </w:rPr>
        <w:t>合同价款：</w:t>
      </w:r>
    </w:p>
    <w:p w14:paraId="4695E6EE">
      <w:pPr>
        <w:pageBreakBefore w:val="0"/>
        <w:kinsoku/>
        <w:wordWrap w:val="0"/>
        <w:overflowPunct/>
        <w:topLinePunct/>
        <w:bidi w:val="0"/>
        <w:spacing w:before="227" w:line="220"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2.3.1</w:t>
      </w:r>
      <w:r>
        <w:rPr>
          <w:rFonts w:hint="eastAsia" w:ascii="宋体" w:hAnsi="宋体" w:eastAsia="宋体" w:cs="宋体"/>
          <w:color w:val="000000" w:themeColor="text1"/>
          <w:spacing w:val="-1"/>
          <w:sz w:val="24"/>
          <w:szCs w:val="24"/>
          <w:highlight w:val="none"/>
          <w14:textFill>
            <w14:solidFill>
              <w14:schemeClr w14:val="tx1"/>
            </w14:solidFill>
          </w14:textFill>
        </w:rPr>
        <w:t>法律法规变化</w:t>
      </w:r>
    </w:p>
    <w:p w14:paraId="3749698E">
      <w:pPr>
        <w:pageBreakBefore w:val="0"/>
        <w:kinsoku/>
        <w:wordWrap w:val="0"/>
        <w:overflowPunct/>
        <w:topLinePunct/>
        <w:bidi w:val="0"/>
        <w:spacing w:before="156" w:line="298" w:lineRule="auto"/>
        <w:ind w:left="10" w:right="183"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"2.3.1.1"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2.3.1.1</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3"/>
          <w:sz w:val="24"/>
          <w:szCs w:val="24"/>
          <w:highlight w:val="none"/>
          <w14:textFill>
            <w14:solidFill>
              <w14:schemeClr w14:val="tx1"/>
            </w14:solidFill>
          </w14:textFill>
        </w:rPr>
        <w:t>基准日之后，因国家法律、法规、规章和政策发生变化引起工程造价增减变</w:t>
      </w:r>
      <w:r>
        <w:rPr>
          <w:rFonts w:hint="eastAsia" w:ascii="宋体" w:hAnsi="宋体" w:eastAsia="宋体" w:cs="宋体"/>
          <w:color w:val="000000" w:themeColor="text1"/>
          <w:spacing w:val="-2"/>
          <w:sz w:val="24"/>
          <w:szCs w:val="24"/>
          <w:highlight w:val="none"/>
          <w14:textFill>
            <w14:solidFill>
              <w14:schemeClr w14:val="tx1"/>
            </w14:solidFill>
          </w14:textFill>
        </w:rPr>
        <w:t>化时，发、承包双方应按照省级建设主管部门（或省级行业主管部门）或其授权的工程</w:t>
      </w:r>
      <w:r>
        <w:rPr>
          <w:rFonts w:hint="eastAsia" w:ascii="宋体" w:hAnsi="宋体" w:eastAsia="宋体" w:cs="宋体"/>
          <w:color w:val="000000" w:themeColor="text1"/>
          <w:spacing w:val="-1"/>
          <w:sz w:val="24"/>
          <w:szCs w:val="24"/>
          <w:highlight w:val="none"/>
          <w14:textFill>
            <w14:solidFill>
              <w14:schemeClr w14:val="tx1"/>
            </w14:solidFill>
          </w14:textFill>
        </w:rPr>
        <w:t>造价管理机构据此发布的最新规定调整合同价款。</w:t>
      </w:r>
    </w:p>
    <w:p w14:paraId="09380F49">
      <w:pPr>
        <w:pageBreakBefore w:val="0"/>
        <w:kinsoku/>
        <w:wordWrap w:val="0"/>
        <w:overflowPunct/>
        <w:topLinePunct/>
        <w:bidi w:val="0"/>
        <w:spacing w:before="157" w:line="325" w:lineRule="auto"/>
        <w:ind w:left="12" w:right="183" w:firstLine="4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1"/>
          <w:sz w:val="24"/>
          <w:szCs w:val="24"/>
          <w:highlight w:val="none"/>
          <w14:textFill>
            <w14:solidFill>
              <w14:schemeClr w14:val="tx1"/>
            </w14:solidFill>
          </w14:textFill>
        </w:rPr>
        <w:t>注：本招标文件所称“基准日”，均指投标文</w:t>
      </w:r>
      <w:r>
        <w:rPr>
          <w:rFonts w:hint="eastAsia" w:ascii="宋体" w:hAnsi="宋体" w:eastAsia="宋体" w:cs="宋体"/>
          <w:b/>
          <w:bCs/>
          <w:color w:val="000000" w:themeColor="text1"/>
          <w:spacing w:val="-12"/>
          <w:sz w:val="24"/>
          <w:szCs w:val="24"/>
          <w:highlight w:val="none"/>
          <w14:textFill>
            <w14:solidFill>
              <w14:schemeClr w14:val="tx1"/>
            </w14:solidFill>
          </w14:textFill>
        </w:rPr>
        <w:t>件递交截止时间（见第一章第二节“重</w:t>
      </w:r>
      <w:r>
        <w:rPr>
          <w:rFonts w:hint="eastAsia" w:ascii="宋体" w:hAnsi="宋体" w:eastAsia="宋体" w:cs="宋体"/>
          <w:b/>
          <w:bCs/>
          <w:color w:val="000000" w:themeColor="text1"/>
          <w:spacing w:val="-5"/>
          <w:sz w:val="24"/>
          <w:szCs w:val="24"/>
          <w:highlight w:val="none"/>
          <w14:textFill>
            <w14:solidFill>
              <w14:schemeClr w14:val="tx1"/>
            </w14:solidFill>
          </w14:textFill>
        </w:rPr>
        <w:t>要事项时间地点一览表”）前28天。</w:t>
      </w:r>
    </w:p>
    <w:p w14:paraId="6C513FC3">
      <w:pPr>
        <w:pageBreakBefore w:val="0"/>
        <w:kinsoku/>
        <w:wordWrap w:val="0"/>
        <w:overflowPunct/>
        <w:topLinePunct/>
        <w:bidi w:val="0"/>
        <w:spacing w:before="33" w:line="299" w:lineRule="auto"/>
        <w:ind w:left="11"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"2.3.1.2"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2.3.1.2</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1"/>
          <w:sz w:val="24"/>
          <w:szCs w:val="24"/>
          <w:highlight w:val="none"/>
          <w14:textFill>
            <w14:solidFill>
              <w14:schemeClr w14:val="tx1"/>
            </w14:solidFill>
          </w14:textFill>
        </w:rPr>
        <w:t>因承包人原因导致工程延误，本章第</w:t>
      </w:r>
      <w:r>
        <w:rPr>
          <w:rFonts w:hint="eastAsia" w:ascii="宋体" w:hAnsi="宋体" w:eastAsia="宋体" w:cs="宋体"/>
          <w:b/>
          <w:bCs/>
          <w:color w:val="000000" w:themeColor="text1"/>
          <w:spacing w:val="1"/>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.3.1.1</w:t>
      </w:r>
      <w:r>
        <w:rPr>
          <w:rFonts w:hint="eastAsia" w:ascii="宋体" w:hAnsi="宋体" w:eastAsia="宋体" w:cs="宋体"/>
          <w:color w:val="000000" w:themeColor="text1"/>
          <w:sz w:val="24"/>
          <w:szCs w:val="24"/>
          <w:highlight w:val="none"/>
          <w14:textFill>
            <w14:solidFill>
              <w14:schemeClr w14:val="tx1"/>
            </w14:solidFill>
          </w14:textFill>
        </w:rPr>
        <w:t>子目中的法定机构根据国家法</w:t>
      </w:r>
      <w:r>
        <w:rPr>
          <w:rFonts w:hint="eastAsia" w:ascii="宋体" w:hAnsi="宋体" w:eastAsia="宋体" w:cs="宋体"/>
          <w:color w:val="000000" w:themeColor="text1"/>
          <w:spacing w:val="-3"/>
          <w:sz w:val="24"/>
          <w:szCs w:val="24"/>
          <w:highlight w:val="none"/>
          <w14:textFill>
            <w14:solidFill>
              <w14:schemeClr w14:val="tx1"/>
            </w14:solidFill>
          </w14:textFill>
        </w:rPr>
        <w:t>律法规变化发布新规的时间在合同工程原定竣工时间之后的，合同价款调增的不予调整，</w:t>
      </w:r>
      <w:r>
        <w:rPr>
          <w:rFonts w:hint="eastAsia" w:ascii="宋体" w:hAnsi="宋体" w:eastAsia="宋体" w:cs="宋体"/>
          <w:color w:val="000000" w:themeColor="text1"/>
          <w:spacing w:val="-1"/>
          <w:sz w:val="24"/>
          <w:szCs w:val="24"/>
          <w:highlight w:val="none"/>
          <w14:textFill>
            <w14:solidFill>
              <w14:schemeClr w14:val="tx1"/>
            </w14:solidFill>
          </w14:textFill>
        </w:rPr>
        <w:t>合同价款调减的予以调整。</w:t>
      </w:r>
    </w:p>
    <w:p w14:paraId="2BAB090A">
      <w:pPr>
        <w:pageBreakBefore w:val="0"/>
        <w:kinsoku/>
        <w:wordWrap w:val="0"/>
        <w:overflowPunct/>
        <w:topLinePunct/>
        <w:bidi w:val="0"/>
        <w:spacing w:before="155" w:line="220"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2.3.2</w:t>
      </w:r>
      <w:r>
        <w:rPr>
          <w:rFonts w:hint="eastAsia" w:ascii="宋体" w:hAnsi="宋体" w:eastAsia="宋体" w:cs="宋体"/>
          <w:color w:val="000000" w:themeColor="text1"/>
          <w:spacing w:val="-1"/>
          <w:sz w:val="24"/>
          <w:szCs w:val="24"/>
          <w:highlight w:val="none"/>
          <w14:textFill>
            <w14:solidFill>
              <w14:schemeClr w14:val="tx1"/>
            </w14:solidFill>
          </w14:textFill>
        </w:rPr>
        <w:t>工程量偏差或变化</w:t>
      </w:r>
    </w:p>
    <w:p w14:paraId="4EBADE08">
      <w:pPr>
        <w:pageBreakBefore w:val="0"/>
        <w:kinsoku/>
        <w:wordWrap w:val="0"/>
        <w:overflowPunct/>
        <w:topLinePunct/>
        <w:bidi w:val="0"/>
        <w:spacing w:before="158" w:line="309" w:lineRule="auto"/>
        <w:ind w:left="10" w:right="183"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"2.3.2.1"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2.3.2.1</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3"/>
          <w:sz w:val="24"/>
          <w:szCs w:val="24"/>
          <w:highlight w:val="none"/>
          <w14:textFill>
            <w14:solidFill>
              <w14:schemeClr w14:val="tx1"/>
            </w14:solidFill>
          </w14:textFill>
        </w:rPr>
        <w:t>合同履行期间，当应予计算的实际工程量与招标工程量清单出现偏差或因工程变更引起已标价工程量清单项目的工程数量发生变化时，工程量偏差或变化在15%以</w:t>
      </w:r>
      <w:r>
        <w:rPr>
          <w:rFonts w:hint="eastAsia" w:ascii="宋体" w:hAnsi="宋体" w:eastAsia="宋体" w:cs="宋体"/>
          <w:color w:val="000000" w:themeColor="text1"/>
          <w:spacing w:val="-4"/>
          <w:sz w:val="24"/>
          <w:szCs w:val="24"/>
          <w:highlight w:val="none"/>
          <w14:textFill>
            <w14:solidFill>
              <w14:schemeClr w14:val="tx1"/>
            </w14:solidFill>
          </w14:textFill>
        </w:rPr>
        <w:t>内（含15%）的，其综合单价不予调整；工程量偏差或变化超过15%的，按照以下规定</w:t>
      </w:r>
      <w:r>
        <w:rPr>
          <w:rFonts w:hint="eastAsia" w:ascii="宋体" w:hAnsi="宋体" w:eastAsia="宋体" w:cs="宋体"/>
          <w:color w:val="000000" w:themeColor="text1"/>
          <w:spacing w:val="-3"/>
          <w:sz w:val="24"/>
          <w:szCs w:val="24"/>
          <w:highlight w:val="none"/>
          <w14:textFill>
            <w14:solidFill>
              <w14:schemeClr w14:val="tx1"/>
            </w14:solidFill>
          </w14:textFill>
        </w:rPr>
        <w:t>调整：</w:t>
      </w:r>
    </w:p>
    <w:p w14:paraId="569DC277">
      <w:pPr>
        <w:pageBreakBefore w:val="0"/>
        <w:kinsoku/>
        <w:wordWrap w:val="0"/>
        <w:overflowPunct/>
        <w:topLinePunct/>
        <w:bidi w:val="0"/>
        <w:spacing w:before="78" w:line="327" w:lineRule="auto"/>
        <w:ind w:left="12" w:firstLine="478"/>
        <w:jc w:val="both"/>
        <w:rPr>
          <w:rFonts w:hint="eastAsia" w:ascii="宋体" w:hAnsi="宋体" w:eastAsia="宋体" w:cs="宋体"/>
          <w:color w:val="000000" w:themeColor="text1"/>
          <w:sz w:val="24"/>
          <w:szCs w:val="24"/>
          <w:highlight w:val="none"/>
          <w14:textFill>
            <w14:solidFill>
              <w14:schemeClr w14:val="tx1"/>
            </w14:solidFill>
          </w14:textFill>
        </w:rPr>
      </w:pPr>
      <w:bookmarkStart w:id="168" w:name="bookmark142"/>
      <w:bookmarkEnd w:id="168"/>
      <w:r>
        <w:rPr>
          <w:rFonts w:hint="eastAsia" w:ascii="宋体" w:hAnsi="宋体" w:eastAsia="宋体" w:cs="宋体"/>
          <w:color w:val="000000" w:themeColor="text1"/>
          <w:spacing w:val="-3"/>
          <w:sz w:val="24"/>
          <w:szCs w:val="24"/>
          <w:highlight w:val="none"/>
          <w14:textFill>
            <w14:solidFill>
              <w14:schemeClr w14:val="tx1"/>
            </w14:solidFill>
          </w14:textFill>
        </w:rPr>
        <w:t>对于合理报价的清单项目，当工程量增加超过15%时，增加部分的工程量的综合单</w:t>
      </w:r>
      <w:r>
        <w:rPr>
          <w:rFonts w:hint="eastAsia" w:ascii="宋体" w:hAnsi="宋体" w:eastAsia="宋体" w:cs="宋体"/>
          <w:color w:val="000000" w:themeColor="text1"/>
          <w:spacing w:val="-7"/>
          <w:sz w:val="24"/>
          <w:szCs w:val="24"/>
          <w:highlight w:val="none"/>
          <w14:textFill>
            <w14:solidFill>
              <w14:schemeClr w14:val="tx1"/>
            </w14:solidFill>
          </w14:textFill>
        </w:rPr>
        <w:t>价以</w:t>
      </w:r>
      <w:r>
        <w:rPr>
          <w:rFonts w:hint="eastAsia" w:ascii="宋体" w:hAnsi="宋体" w:eastAsia="宋体" w:cs="宋体"/>
          <w:color w:val="000000" w:themeColor="text1"/>
          <w:spacing w:val="-3"/>
          <w:sz w:val="24"/>
          <w:szCs w:val="24"/>
          <w:highlight w:val="none"/>
          <w14:textFill>
            <w14:solidFill>
              <w14:schemeClr w14:val="tx1"/>
            </w14:solidFill>
          </w14:textFill>
        </w:rPr>
        <w:t>投标报价《分部分项工程和单价措施项目清单与计价表》中综合单价为基价调低3%；当工程量减少超过15%时，减少后剩余部分的工程量的综合单价以投标报价《分部分项工程和单价措施项目清单与计价表》中综合单价为基价调高3%</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5BE5A47C">
      <w:pPr>
        <w:pageBreakBefore w:val="0"/>
        <w:kinsoku/>
        <w:wordWrap w:val="0"/>
        <w:overflowPunct/>
        <w:topLinePunct/>
        <w:bidi w:val="0"/>
        <w:spacing w:before="97" w:line="324" w:lineRule="auto"/>
        <w:ind w:left="13" w:right="179"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对于按照第二章“中标人须知”第4.2条被认定为不平衡报价的清单项目，其综合</w:t>
      </w:r>
      <w:r>
        <w:rPr>
          <w:rFonts w:hint="eastAsia" w:ascii="宋体" w:hAnsi="宋体" w:eastAsia="宋体" w:cs="宋体"/>
          <w:b/>
          <w:bCs/>
          <w:color w:val="000000" w:themeColor="text1"/>
          <w:spacing w:val="-3"/>
          <w:sz w:val="24"/>
          <w:szCs w:val="24"/>
          <w:highlight w:val="none"/>
          <w14:textFill>
            <w14:solidFill>
              <w14:schemeClr w14:val="tx1"/>
            </w14:solidFill>
          </w14:textFill>
        </w:rPr>
        <w:t>单价按照以下方法调整：</w:t>
      </w:r>
    </w:p>
    <w:p w14:paraId="766BCCB8">
      <w:pPr>
        <w:pageBreakBefore w:val="0"/>
        <w:kinsoku/>
        <w:wordWrap w:val="0"/>
        <w:overflowPunct/>
        <w:topLinePunct/>
        <w:bidi w:val="0"/>
        <w:spacing w:before="97" w:line="324" w:lineRule="auto"/>
        <w:ind w:left="13" w:right="179" w:firstLine="477"/>
        <w:rPr>
          <w:rFonts w:hint="eastAsia" w:ascii="宋体" w:hAnsi="宋体" w:eastAsia="宋体" w:cs="宋体"/>
          <w:b/>
          <w:bCs/>
          <w:color w:val="000000" w:themeColor="text1"/>
          <w:spacing w:val="-4"/>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t>以</w:t>
      </w:r>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4"/>
          <w:sz w:val="24"/>
          <w:szCs w:val="24"/>
          <w:highlight w:val="none"/>
          <w14:textFill>
            <w14:solidFill>
              <w14:schemeClr w14:val="tx1"/>
            </w14:solidFill>
          </w14:textFill>
        </w:rPr>
        <w:t>中《分部分项工程和单价措施项目清单与计价表》子目相对应综合单价×（1-中标下浮率）。</w:t>
      </w:r>
    </w:p>
    <w:p w14:paraId="2B4271B4">
      <w:pPr>
        <w:pageBreakBefore w:val="0"/>
        <w:kinsoku/>
        <w:wordWrap w:val="0"/>
        <w:overflowPunct/>
        <w:topLinePunct/>
        <w:bidi w:val="0"/>
        <w:spacing w:before="97" w:line="324" w:lineRule="auto"/>
        <w:ind w:left="13" w:right="179" w:firstLine="477"/>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169" w:name="_Toc12035"/>
      <w:bookmarkStart w:id="170" w:name="_Toc18478"/>
      <w:bookmarkStart w:id="171" w:name="_Toc30068"/>
      <w:r>
        <w:rPr>
          <w:rFonts w:hint="eastAsia" w:ascii="宋体" w:hAnsi="宋体" w:eastAsia="宋体" w:cs="宋体"/>
          <w:b/>
          <w:bCs/>
          <w:color w:val="000000" w:themeColor="text1"/>
          <w:spacing w:val="-4"/>
          <w:sz w:val="24"/>
          <w:szCs w:val="24"/>
          <w:highlight w:val="none"/>
          <w14:textFill>
            <w14:solidFill>
              <w14:schemeClr w14:val="tx1"/>
            </w14:solidFill>
          </w14:textFill>
        </w:rPr>
        <w:t>中标下浮率=[1-（中标价-</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中标安全生产措施费</w:t>
      </w:r>
      <w:r>
        <w:rPr>
          <w:rFonts w:hint="eastAsia" w:ascii="宋体" w:hAnsi="宋体" w:eastAsia="宋体" w:cs="宋体"/>
          <w:b/>
          <w:bCs/>
          <w:color w:val="000000" w:themeColor="text1"/>
          <w:spacing w:val="-4"/>
          <w:sz w:val="24"/>
          <w:szCs w:val="24"/>
          <w:highlight w:val="none"/>
          <w14:textFill>
            <w14:solidFill>
              <w14:schemeClr w14:val="tx1"/>
            </w14:solidFill>
          </w14:textFill>
        </w:rPr>
        <w:t>-暂列金额-暂估价）/（</w:t>
      </w:r>
      <w:bookmarkEnd w:id="169"/>
      <w:bookmarkEnd w:id="170"/>
      <w:bookmarkStart w:id="172" w:name="_Toc13602"/>
      <w:bookmarkStart w:id="173" w:name="_Toc15512"/>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4"/>
          <w:sz w:val="24"/>
          <w:szCs w:val="24"/>
          <w:highlight w:val="none"/>
          <w14:textFill>
            <w14:solidFill>
              <w14:schemeClr w14:val="tx1"/>
            </w14:solidFill>
          </w14:textFill>
        </w:rPr>
        <w:t>-控制价</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安全生产措施费</w:t>
      </w:r>
      <w:r>
        <w:rPr>
          <w:rFonts w:hint="eastAsia" w:ascii="宋体" w:hAnsi="宋体" w:eastAsia="宋体" w:cs="宋体"/>
          <w:b/>
          <w:bCs/>
          <w:color w:val="000000" w:themeColor="text1"/>
          <w:spacing w:val="-4"/>
          <w:sz w:val="24"/>
          <w:szCs w:val="24"/>
          <w:highlight w:val="none"/>
          <w14:textFill>
            <w14:solidFill>
              <w14:schemeClr w14:val="tx1"/>
            </w14:solidFill>
          </w14:textFill>
        </w:rPr>
        <w:t>-暂列金额-暂估价）]×100%</w:t>
      </w:r>
      <w:bookmarkEnd w:id="171"/>
      <w:bookmarkEnd w:id="172"/>
      <w:bookmarkEnd w:id="173"/>
    </w:p>
    <w:p w14:paraId="03185D7F">
      <w:pPr>
        <w:pageBreakBefore w:val="0"/>
        <w:kinsoku/>
        <w:wordWrap w:val="0"/>
        <w:overflowPunct/>
        <w:topLinePunct/>
        <w:bidi w:val="0"/>
        <w:spacing w:before="123" w:line="301" w:lineRule="auto"/>
        <w:ind w:left="10" w:right="116" w:firstLine="482"/>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若修正后的该部分《分部分项工程和单价措施项目清单与计价表》总金额大于原投</w:t>
      </w:r>
      <w:r>
        <w:rPr>
          <w:rFonts w:hint="eastAsia" w:ascii="宋体" w:hAnsi="宋体" w:eastAsia="宋体" w:cs="宋体"/>
          <w:color w:val="000000" w:themeColor="text1"/>
          <w:spacing w:val="-1"/>
          <w:sz w:val="24"/>
          <w:szCs w:val="24"/>
          <w:highlight w:val="none"/>
          <w14:textFill>
            <w14:solidFill>
              <w14:schemeClr w14:val="tx1"/>
            </w14:solidFill>
          </w14:textFill>
        </w:rPr>
        <w:t>标报价中的该部分总金额，则从投标报价需</w:t>
      </w:r>
      <w:r>
        <w:rPr>
          <w:rFonts w:hint="eastAsia" w:ascii="宋体" w:hAnsi="宋体" w:eastAsia="宋体" w:cs="宋体"/>
          <w:color w:val="000000" w:themeColor="text1"/>
          <w:spacing w:val="-2"/>
          <w:sz w:val="24"/>
          <w:szCs w:val="24"/>
          <w:highlight w:val="none"/>
          <w14:textFill>
            <w14:solidFill>
              <w14:schemeClr w14:val="tx1"/>
            </w14:solidFill>
          </w14:textFill>
        </w:rPr>
        <w:t>调高的综合单价中选择偏离最大的清单开始</w:t>
      </w:r>
      <w:r>
        <w:rPr>
          <w:rFonts w:hint="eastAsia" w:ascii="宋体" w:hAnsi="宋体" w:eastAsia="宋体" w:cs="宋体"/>
          <w:color w:val="000000" w:themeColor="text1"/>
          <w:spacing w:val="-1"/>
          <w:sz w:val="24"/>
          <w:szCs w:val="24"/>
          <w:highlight w:val="none"/>
          <w14:textFill>
            <w14:solidFill>
              <w14:schemeClr w14:val="tx1"/>
            </w14:solidFill>
          </w14:textFill>
        </w:rPr>
        <w:t>调整，调整幅度逐步减少，直至修正后的该</w:t>
      </w:r>
      <w:r>
        <w:rPr>
          <w:rFonts w:hint="eastAsia" w:ascii="宋体" w:hAnsi="宋体" w:eastAsia="宋体" w:cs="宋体"/>
          <w:color w:val="000000" w:themeColor="text1"/>
          <w:spacing w:val="-2"/>
          <w:sz w:val="24"/>
          <w:szCs w:val="24"/>
          <w:highlight w:val="none"/>
          <w14:textFill>
            <w14:solidFill>
              <w14:schemeClr w14:val="tx1"/>
            </w14:solidFill>
          </w14:textFill>
        </w:rPr>
        <w:t>部分《分部分项工程和单价措施项目清单与</w:t>
      </w:r>
      <w:r>
        <w:rPr>
          <w:rFonts w:hint="eastAsia" w:ascii="宋体" w:hAnsi="宋体" w:eastAsia="宋体" w:cs="宋体"/>
          <w:color w:val="000000" w:themeColor="text1"/>
          <w:spacing w:val="-1"/>
          <w:sz w:val="24"/>
          <w:szCs w:val="24"/>
          <w:highlight w:val="none"/>
          <w14:textFill>
            <w14:solidFill>
              <w14:schemeClr w14:val="tx1"/>
            </w14:solidFill>
          </w14:textFill>
        </w:rPr>
        <w:t>计价表》总金额与原投标报价中的该部分总</w:t>
      </w:r>
      <w:r>
        <w:rPr>
          <w:rFonts w:hint="eastAsia" w:ascii="宋体" w:hAnsi="宋体" w:eastAsia="宋体" w:cs="宋体"/>
          <w:color w:val="000000" w:themeColor="text1"/>
          <w:spacing w:val="-2"/>
          <w:sz w:val="24"/>
          <w:szCs w:val="24"/>
          <w:highlight w:val="none"/>
          <w14:textFill>
            <w14:solidFill>
              <w14:schemeClr w14:val="tx1"/>
            </w14:solidFill>
          </w14:textFill>
        </w:rPr>
        <w:t>金额一致；若修正后的该部分《分部分项工</w:t>
      </w:r>
      <w:r>
        <w:rPr>
          <w:rFonts w:hint="eastAsia" w:ascii="宋体" w:hAnsi="宋体" w:eastAsia="宋体" w:cs="宋体"/>
          <w:color w:val="000000" w:themeColor="text1"/>
          <w:spacing w:val="-1"/>
          <w:sz w:val="24"/>
          <w:szCs w:val="24"/>
          <w:highlight w:val="none"/>
          <w14:textFill>
            <w14:solidFill>
              <w14:schemeClr w14:val="tx1"/>
            </w14:solidFill>
          </w14:textFill>
        </w:rPr>
        <w:t>程和单价措施项目清单与计价表》总金额小</w:t>
      </w:r>
      <w:r>
        <w:rPr>
          <w:rFonts w:hint="eastAsia" w:ascii="宋体" w:hAnsi="宋体" w:eastAsia="宋体" w:cs="宋体"/>
          <w:color w:val="000000" w:themeColor="text1"/>
          <w:spacing w:val="-2"/>
          <w:sz w:val="24"/>
          <w:szCs w:val="24"/>
          <w:highlight w:val="none"/>
          <w14:textFill>
            <w14:solidFill>
              <w14:schemeClr w14:val="tx1"/>
            </w14:solidFill>
          </w14:textFill>
        </w:rPr>
        <w:t>于原投标报价中的该部分总金额，则从投标</w:t>
      </w:r>
      <w:r>
        <w:rPr>
          <w:rFonts w:hint="eastAsia" w:ascii="宋体" w:hAnsi="宋体" w:eastAsia="宋体" w:cs="宋体"/>
          <w:color w:val="000000" w:themeColor="text1"/>
          <w:spacing w:val="-1"/>
          <w:sz w:val="24"/>
          <w:szCs w:val="24"/>
          <w:highlight w:val="none"/>
          <w14:textFill>
            <w14:solidFill>
              <w14:schemeClr w14:val="tx1"/>
            </w14:solidFill>
          </w14:textFill>
        </w:rPr>
        <w:t>报价需调低的综合单价中选择偏离最大的清</w:t>
      </w:r>
      <w:r>
        <w:rPr>
          <w:rFonts w:hint="eastAsia" w:ascii="宋体" w:hAnsi="宋体" w:eastAsia="宋体" w:cs="宋体"/>
          <w:color w:val="000000" w:themeColor="text1"/>
          <w:spacing w:val="-2"/>
          <w:sz w:val="24"/>
          <w:szCs w:val="24"/>
          <w:highlight w:val="none"/>
          <w14:textFill>
            <w14:solidFill>
              <w14:schemeClr w14:val="tx1"/>
            </w14:solidFill>
          </w14:textFill>
        </w:rPr>
        <w:t>单开始调整，调整幅度逐步减少，直至修正</w:t>
      </w:r>
      <w:r>
        <w:rPr>
          <w:rFonts w:hint="eastAsia" w:ascii="宋体" w:hAnsi="宋体" w:eastAsia="宋体" w:cs="宋体"/>
          <w:color w:val="000000" w:themeColor="text1"/>
          <w:spacing w:val="-1"/>
          <w:sz w:val="24"/>
          <w:szCs w:val="24"/>
          <w:highlight w:val="none"/>
          <w14:textFill>
            <w14:solidFill>
              <w14:schemeClr w14:val="tx1"/>
            </w14:solidFill>
          </w14:textFill>
        </w:rPr>
        <w:t>后的该部分《分部分项工程和单价措施项目</w:t>
      </w:r>
      <w:r>
        <w:rPr>
          <w:rFonts w:hint="eastAsia" w:ascii="宋体" w:hAnsi="宋体" w:eastAsia="宋体" w:cs="宋体"/>
          <w:color w:val="000000" w:themeColor="text1"/>
          <w:spacing w:val="-2"/>
          <w:sz w:val="24"/>
          <w:szCs w:val="24"/>
          <w:highlight w:val="none"/>
          <w14:textFill>
            <w14:solidFill>
              <w14:schemeClr w14:val="tx1"/>
            </w14:solidFill>
          </w14:textFill>
        </w:rPr>
        <w:t>清单与计价表》总金额与原投标报价中的该</w:t>
      </w:r>
      <w:r>
        <w:rPr>
          <w:rFonts w:hint="eastAsia" w:ascii="宋体" w:hAnsi="宋体" w:eastAsia="宋体" w:cs="宋体"/>
          <w:color w:val="000000" w:themeColor="text1"/>
          <w:spacing w:val="-12"/>
          <w:sz w:val="24"/>
          <w:szCs w:val="24"/>
          <w:highlight w:val="none"/>
          <w14:textFill>
            <w14:solidFill>
              <w14:schemeClr w14:val="tx1"/>
            </w14:solidFill>
          </w14:textFill>
        </w:rPr>
        <w:t>部分总金额一致。修正后的总造价应与总中标价保持一致，形成《不平衡报价修正报告》，</w:t>
      </w:r>
      <w:r>
        <w:rPr>
          <w:rFonts w:hint="eastAsia" w:ascii="宋体" w:hAnsi="宋体" w:eastAsia="宋体" w:cs="宋体"/>
          <w:color w:val="000000" w:themeColor="text1"/>
          <w:spacing w:val="-1"/>
          <w:sz w:val="24"/>
          <w:szCs w:val="24"/>
          <w:highlight w:val="none"/>
          <w14:textFill>
            <w14:solidFill>
              <w14:schemeClr w14:val="tx1"/>
            </w14:solidFill>
          </w14:textFill>
        </w:rPr>
        <w:t>并由招标人和中标人共同签章确认。</w:t>
      </w:r>
    </w:p>
    <w:p w14:paraId="21A0D515">
      <w:pPr>
        <w:pageBreakBefore w:val="0"/>
        <w:kinsoku/>
        <w:wordWrap w:val="0"/>
        <w:overflowPunct/>
        <w:topLinePunct/>
        <w:bidi w:val="0"/>
        <w:spacing w:before="129" w:line="299" w:lineRule="auto"/>
        <w:ind w:left="12" w:right="179"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"2.3.2.2"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2.3.2.2</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1"/>
          <w:sz w:val="24"/>
          <w:szCs w:val="24"/>
          <w:highlight w:val="none"/>
          <w14:textFill>
            <w14:solidFill>
              <w14:schemeClr w14:val="tx1"/>
            </w14:solidFill>
          </w14:textFill>
        </w:rPr>
        <w:t>如果工程量出现本章第</w:t>
      </w:r>
      <w:r>
        <w:rPr>
          <w:rFonts w:hint="eastAsia" w:ascii="宋体" w:hAnsi="宋体" w:eastAsia="宋体" w:cs="宋体"/>
          <w:b/>
          <w:bCs/>
          <w:color w:val="000000" w:themeColor="text1"/>
          <w:spacing w:val="1"/>
          <w:sz w:val="24"/>
          <w:szCs w:val="24"/>
          <w:highlight w:val="none"/>
          <w14:textFill>
            <w14:solidFill>
              <w14:schemeClr w14:val="tx1"/>
            </w14:solidFill>
          </w14:textFill>
        </w:rPr>
        <w:t>2.3.2.1</w:t>
      </w:r>
      <w:r>
        <w:rPr>
          <w:rFonts w:hint="eastAsia" w:ascii="宋体" w:hAnsi="宋体" w:eastAsia="宋体" w:cs="宋体"/>
          <w:color w:val="000000" w:themeColor="text1"/>
          <w:spacing w:val="1"/>
          <w:sz w:val="24"/>
          <w:szCs w:val="24"/>
          <w:highlight w:val="none"/>
          <w14:textFill>
            <w14:solidFill>
              <w14:schemeClr w14:val="tx1"/>
            </w14:solidFill>
          </w14:textFill>
        </w:rPr>
        <w:t>子目的变化，且该变化引起相关措施项目相</w:t>
      </w:r>
      <w:r>
        <w:rPr>
          <w:rFonts w:hint="eastAsia" w:ascii="宋体" w:hAnsi="宋体" w:eastAsia="宋体" w:cs="宋体"/>
          <w:color w:val="000000" w:themeColor="text1"/>
          <w:spacing w:val="-2"/>
          <w:sz w:val="24"/>
          <w:szCs w:val="24"/>
          <w:highlight w:val="none"/>
          <w14:textFill>
            <w14:solidFill>
              <w14:schemeClr w14:val="tx1"/>
            </w14:solidFill>
          </w14:textFill>
        </w:rPr>
        <w:t>应发生变化时，按系数或单一总价方式计价的，工程量增加的措施项目费调增，工程量</w:t>
      </w:r>
      <w:r>
        <w:rPr>
          <w:rFonts w:hint="eastAsia" w:ascii="宋体" w:hAnsi="宋体" w:eastAsia="宋体" w:cs="宋体"/>
          <w:color w:val="000000" w:themeColor="text1"/>
          <w:spacing w:val="-1"/>
          <w:sz w:val="24"/>
          <w:szCs w:val="24"/>
          <w:highlight w:val="none"/>
          <w14:textFill>
            <w14:solidFill>
              <w14:schemeClr w14:val="tx1"/>
            </w14:solidFill>
          </w14:textFill>
        </w:rPr>
        <w:t>减少的措施项目费调减。</w:t>
      </w:r>
    </w:p>
    <w:p w14:paraId="5660C313">
      <w:pPr>
        <w:pageBreakBefore w:val="0"/>
        <w:kinsoku/>
        <w:wordWrap w:val="0"/>
        <w:overflowPunct/>
        <w:topLinePunct/>
        <w:bidi w:val="0"/>
        <w:spacing w:before="154" w:line="221"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2.3.3</w:t>
      </w:r>
      <w:r>
        <w:rPr>
          <w:rFonts w:hint="eastAsia" w:ascii="宋体" w:hAnsi="宋体" w:eastAsia="宋体" w:cs="宋体"/>
          <w:color w:val="000000" w:themeColor="text1"/>
          <w:spacing w:val="-1"/>
          <w:sz w:val="24"/>
          <w:szCs w:val="24"/>
          <w:highlight w:val="none"/>
          <w14:textFill>
            <w14:solidFill>
              <w14:schemeClr w14:val="tx1"/>
            </w14:solidFill>
          </w14:textFill>
        </w:rPr>
        <w:t>工程变更</w:t>
      </w:r>
    </w:p>
    <w:p w14:paraId="503DB38A">
      <w:pPr>
        <w:pageBreakBefore w:val="0"/>
        <w:kinsoku/>
        <w:wordWrap w:val="0"/>
        <w:overflowPunct/>
        <w:topLinePunct/>
        <w:bidi w:val="0"/>
        <w:spacing w:before="153" w:line="279" w:lineRule="auto"/>
        <w:ind w:left="19" w:right="179" w:firstLine="46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"2.3.3.1"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2.3.3.1</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3"/>
          <w:sz w:val="24"/>
          <w:szCs w:val="24"/>
          <w:highlight w:val="none"/>
          <w14:textFill>
            <w14:solidFill>
              <w14:schemeClr w14:val="tx1"/>
            </w14:solidFill>
          </w14:textFill>
        </w:rPr>
        <w:t>合同履行期间，因工程变更引起已标价工程量清单项目发生变化时，按照以下规定调整：</w:t>
      </w:r>
    </w:p>
    <w:p w14:paraId="66793046">
      <w:pPr>
        <w:pageBreakBefore w:val="0"/>
        <w:numPr>
          <w:ilvl w:val="0"/>
          <w:numId w:val="4"/>
        </w:numPr>
        <w:kinsoku/>
        <w:wordWrap w:val="0"/>
        <w:overflowPunct/>
        <w:topLinePunct/>
        <w:bidi w:val="0"/>
        <w:spacing w:before="78" w:line="360" w:lineRule="auto"/>
        <w:ind w:firstLine="242" w:firstLineChars="100"/>
        <w:rPr>
          <w:rFonts w:hint="eastAsia" w:ascii="宋体" w:hAnsi="宋体" w:eastAsia="宋体" w:cs="宋体"/>
          <w:b/>
          <w:bCs/>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已标价工程量清单中有适用于变更工程项目的，采用该项目的单价。</w:t>
      </w:r>
      <w:r>
        <w:rPr>
          <w:rFonts w:hint="eastAsia" w:ascii="宋体" w:hAnsi="宋体" w:eastAsia="宋体" w:cs="宋体"/>
          <w:b/>
          <w:bCs/>
          <w:color w:val="000000" w:themeColor="text1"/>
          <w:spacing w:val="1"/>
          <w:sz w:val="24"/>
          <w:szCs w:val="24"/>
          <w:highlight w:val="none"/>
          <w14:textFill>
            <w14:solidFill>
              <w14:schemeClr w14:val="tx1"/>
            </w14:solidFill>
          </w14:textFill>
        </w:rPr>
        <w:t>但如果</w:t>
      </w:r>
      <w:bookmarkStart w:id="174" w:name="bookmark143"/>
      <w:bookmarkEnd w:id="174"/>
      <w:r>
        <w:rPr>
          <w:rFonts w:hint="eastAsia" w:ascii="宋体" w:hAnsi="宋体" w:eastAsia="宋体" w:cs="宋体"/>
          <w:b/>
          <w:bCs/>
          <w:color w:val="000000" w:themeColor="text1"/>
          <w:spacing w:val="-7"/>
          <w:sz w:val="24"/>
          <w:szCs w:val="24"/>
          <w:highlight w:val="none"/>
          <w14:textFill>
            <w14:solidFill>
              <w14:schemeClr w14:val="tx1"/>
            </w14:solidFill>
          </w14:textFill>
        </w:rPr>
        <w:t>被采用的项目属于按照第二章“中标人须知”第</w:t>
      </w:r>
      <w:r>
        <w:rPr>
          <w:rFonts w:hint="eastAsia" w:ascii="宋体" w:hAnsi="宋体" w:eastAsia="宋体" w:cs="宋体"/>
          <w:b/>
          <w:bCs/>
          <w:color w:val="000000" w:themeColor="text1"/>
          <w:spacing w:val="-8"/>
          <w:sz w:val="24"/>
          <w:szCs w:val="24"/>
          <w:highlight w:val="none"/>
          <w14:textFill>
            <w14:solidFill>
              <w14:schemeClr w14:val="tx1"/>
            </w14:solidFill>
          </w14:textFill>
        </w:rPr>
        <w:t>4.2条被认定为不平衡报价的清单项目，</w:t>
      </w:r>
      <w:r>
        <w:rPr>
          <w:rFonts w:hint="eastAsia" w:ascii="宋体" w:hAnsi="宋体" w:eastAsia="宋体" w:cs="宋体"/>
          <w:b/>
          <w:bCs/>
          <w:color w:val="000000" w:themeColor="text1"/>
          <w:spacing w:val="-2"/>
          <w:sz w:val="24"/>
          <w:szCs w:val="24"/>
          <w:highlight w:val="none"/>
          <w14:textFill>
            <w14:solidFill>
              <w14:schemeClr w14:val="tx1"/>
            </w14:solidFill>
          </w14:textFill>
        </w:rPr>
        <w:t>变更工程项目的单价按照</w:t>
      </w:r>
      <w:r>
        <w:rPr>
          <w:rFonts w:hint="eastAsia" w:ascii="宋体" w:hAnsi="宋体" w:eastAsia="宋体" w:cs="宋体"/>
          <w:b/>
          <w:bCs/>
          <w:color w:val="000000" w:themeColor="text1"/>
          <w:spacing w:val="-7"/>
          <w:sz w:val="24"/>
          <w:szCs w:val="24"/>
          <w:highlight w:val="none"/>
          <w14:textFill>
            <w14:solidFill>
              <w14:schemeClr w14:val="tx1"/>
            </w14:solidFill>
          </w14:textFill>
        </w:rPr>
        <w:t>本章2.3.2.1的</w:t>
      </w:r>
      <w:r>
        <w:rPr>
          <w:rFonts w:hint="eastAsia" w:ascii="宋体" w:hAnsi="宋体" w:eastAsia="宋体" w:cs="宋体"/>
          <w:b/>
          <w:bCs/>
          <w:color w:val="000000" w:themeColor="text1"/>
          <w:spacing w:val="-2"/>
          <w:sz w:val="24"/>
          <w:szCs w:val="24"/>
          <w:highlight w:val="none"/>
          <w14:textFill>
            <w14:solidFill>
              <w14:schemeClr w14:val="tx1"/>
            </w14:solidFill>
          </w14:textFill>
        </w:rPr>
        <w:t>方法调整。】</w:t>
      </w:r>
    </w:p>
    <w:p w14:paraId="1AACA9E5">
      <w:pPr>
        <w:pageBreakBefore w:val="0"/>
        <w:numPr>
          <w:ilvl w:val="0"/>
          <w:numId w:val="0"/>
        </w:numPr>
        <w:kinsoku/>
        <w:wordWrap w:val="0"/>
        <w:overflowPunct/>
        <w:topLinePunct/>
        <w:bidi w:val="0"/>
        <w:spacing w:before="78" w:line="360" w:lineRule="auto"/>
        <w:ind w:firstLine="237" w:firstLineChars="1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pacing w:val="-2"/>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已标价工程量清单中没有适用但有类似于变更工程项目的，可在合理范围内</w:t>
      </w:r>
      <w:r>
        <w:rPr>
          <w:rFonts w:hint="eastAsia" w:ascii="宋体" w:hAnsi="宋体" w:eastAsia="宋体" w:cs="宋体"/>
          <w:color w:val="000000" w:themeColor="text1"/>
          <w:spacing w:val="-3"/>
          <w:sz w:val="24"/>
          <w:szCs w:val="24"/>
          <w:highlight w:val="none"/>
          <w14:textFill>
            <w14:solidFill>
              <w14:schemeClr w14:val="tx1"/>
            </w14:solidFill>
          </w14:textFill>
        </w:rPr>
        <w:t>参照类似项目的单价。</w:t>
      </w:r>
      <w:r>
        <w:rPr>
          <w:rFonts w:hint="eastAsia" w:ascii="宋体" w:hAnsi="宋体" w:eastAsia="宋体" w:cs="宋体"/>
          <w:b/>
          <w:bCs/>
          <w:color w:val="000000" w:themeColor="text1"/>
          <w:spacing w:val="-3"/>
          <w:sz w:val="24"/>
          <w:szCs w:val="24"/>
          <w:highlight w:val="none"/>
          <w14:textFill>
            <w14:solidFill>
              <w14:schemeClr w14:val="tx1"/>
            </w14:solidFill>
          </w14:textFill>
        </w:rPr>
        <w:t>但如果被参考的类似项目属于按照第二章“</w:t>
      </w:r>
      <w:r>
        <w:rPr>
          <w:rFonts w:hint="eastAsia" w:ascii="宋体" w:hAnsi="宋体" w:eastAsia="宋体" w:cs="宋体"/>
          <w:b/>
          <w:bCs/>
          <w:color w:val="000000" w:themeColor="text1"/>
          <w:spacing w:val="-4"/>
          <w:sz w:val="24"/>
          <w:szCs w:val="24"/>
          <w:highlight w:val="none"/>
          <w14:textFill>
            <w14:solidFill>
              <w14:schemeClr w14:val="tx1"/>
            </w14:solidFill>
          </w14:textFill>
        </w:rPr>
        <w:t>中标人须知”第4.2条被认定为不平衡报价的清单项目，变更工程项目的单价按照本章2.3.2.1的方法调整。</w:t>
      </w:r>
    </w:p>
    <w:p w14:paraId="7DA69928">
      <w:pPr>
        <w:pageBreakBefore w:val="0"/>
        <w:numPr>
          <w:ilvl w:val="0"/>
          <w:numId w:val="0"/>
        </w:numPr>
        <w:kinsoku/>
        <w:wordWrap w:val="0"/>
        <w:overflowPunct/>
        <w:topLinePunct/>
        <w:bidi w:val="0"/>
        <w:spacing w:before="38" w:line="310" w:lineRule="auto"/>
        <w:ind w:right="81" w:rightChars="0" w:firstLine="242" w:firstLineChars="100"/>
        <w:jc w:val="both"/>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已标价工程量清单中没有适用也没有类似于变更工程项目的，由承包人根据</w:t>
      </w:r>
      <w:r>
        <w:rPr>
          <w:rFonts w:hint="eastAsia" w:ascii="宋体" w:hAnsi="宋体" w:eastAsia="宋体" w:cs="宋体"/>
          <w:color w:val="000000" w:themeColor="text1"/>
          <w:spacing w:val="-2"/>
          <w:sz w:val="24"/>
          <w:szCs w:val="24"/>
          <w:highlight w:val="none"/>
          <w14:textFill>
            <w14:solidFill>
              <w14:schemeClr w14:val="tx1"/>
            </w14:solidFill>
          </w14:textFill>
        </w:rPr>
        <w:t>变更工程资料、计量规则、计价办法、施工当月项目所在地工程造价管理机构发布的价格信息和中标下浮率提出变更工程项目的单价，报发包人确认后调整。中标下浮率的计算公式如下：</w:t>
      </w:r>
    </w:p>
    <w:p w14:paraId="3D63D2CE">
      <w:pPr>
        <w:pageBreakBefore w:val="0"/>
        <w:kinsoku/>
        <w:wordWrap w:val="0"/>
        <w:overflowPunct/>
        <w:topLinePunct/>
        <w:bidi w:val="0"/>
        <w:spacing w:before="126" w:line="314" w:lineRule="auto"/>
        <w:ind w:left="29" w:right="21" w:firstLine="50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中标下浮率=[1-（中标价-中标</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安全生产措施费</w:t>
      </w:r>
      <w:r>
        <w:rPr>
          <w:rFonts w:hint="eastAsia" w:ascii="宋体" w:hAnsi="宋体" w:eastAsia="宋体" w:cs="宋体"/>
          <w:b/>
          <w:bCs/>
          <w:color w:val="000000" w:themeColor="text1"/>
          <w:spacing w:val="-2"/>
          <w:sz w:val="24"/>
          <w:szCs w:val="24"/>
          <w:highlight w:val="none"/>
          <w14:textFill>
            <w14:solidFill>
              <w14:schemeClr w14:val="tx1"/>
            </w14:solidFill>
          </w14:textFill>
        </w:rPr>
        <w:t>-暂列</w:t>
      </w:r>
      <w:r>
        <w:rPr>
          <w:rFonts w:hint="eastAsia" w:ascii="宋体" w:hAnsi="宋体" w:eastAsia="宋体" w:cs="宋体"/>
          <w:b/>
          <w:bCs/>
          <w:color w:val="000000" w:themeColor="text1"/>
          <w:spacing w:val="-3"/>
          <w:sz w:val="24"/>
          <w:szCs w:val="24"/>
          <w:highlight w:val="none"/>
          <w14:textFill>
            <w14:solidFill>
              <w14:schemeClr w14:val="tx1"/>
            </w14:solidFill>
          </w14:textFill>
        </w:rPr>
        <w:t>金额-暂估价）/（</w:t>
      </w:r>
      <w:r>
        <w:rPr>
          <w:rFonts w:hint="eastAsia" w:ascii="宋体" w:hAnsi="宋体" w:eastAsia="宋体" w:cs="宋体"/>
          <w:b/>
          <w:bCs/>
          <w:color w:val="000000" w:themeColor="text1"/>
          <w:spacing w:val="-3"/>
          <w:sz w:val="24"/>
          <w:szCs w:val="24"/>
          <w:highlight w:val="none"/>
          <w:lang w:eastAsia="zh-CN"/>
          <w14:textFill>
            <w14:solidFill>
              <w14:schemeClr w14:val="tx1"/>
            </w14:solidFill>
          </w14:textFill>
        </w:rPr>
        <w:t>最高投标限价</w:t>
      </w:r>
      <w:r>
        <w:rPr>
          <w:rFonts w:hint="eastAsia" w:ascii="宋体" w:hAnsi="宋体" w:eastAsia="宋体" w:cs="宋体"/>
          <w:b/>
          <w:bCs/>
          <w:color w:val="000000" w:themeColor="text1"/>
          <w:spacing w:val="-3"/>
          <w:sz w:val="24"/>
          <w:szCs w:val="24"/>
          <w:highlight w:val="none"/>
          <w14:textFill>
            <w14:solidFill>
              <w14:schemeClr w14:val="tx1"/>
            </w14:solidFill>
          </w14:textFill>
        </w:rPr>
        <w:t>-控制价</w:t>
      </w:r>
      <w:r>
        <w:rPr>
          <w:rFonts w:hint="eastAsia" w:ascii="宋体" w:hAnsi="宋体" w:eastAsia="宋体" w:cs="宋体"/>
          <w:b/>
          <w:bCs/>
          <w:color w:val="000000" w:themeColor="text1"/>
          <w:spacing w:val="-2"/>
          <w:sz w:val="24"/>
          <w:szCs w:val="24"/>
          <w:highlight w:val="none"/>
          <w:lang w:val="en-US" w:eastAsia="zh-CN"/>
          <w14:textFill>
            <w14:solidFill>
              <w14:schemeClr w14:val="tx1"/>
            </w14:solidFill>
          </w14:textFill>
        </w:rPr>
        <w:t>安全生产措施费</w:t>
      </w:r>
      <w:r>
        <w:rPr>
          <w:rFonts w:hint="eastAsia" w:ascii="宋体" w:hAnsi="宋体" w:eastAsia="宋体" w:cs="宋体"/>
          <w:b/>
          <w:bCs/>
          <w:color w:val="000000" w:themeColor="text1"/>
          <w:spacing w:val="-3"/>
          <w:sz w:val="24"/>
          <w:szCs w:val="24"/>
          <w:highlight w:val="none"/>
          <w14:textFill>
            <w14:solidFill>
              <w14:schemeClr w14:val="tx1"/>
            </w14:solidFill>
          </w14:textFill>
        </w:rPr>
        <w:t>-暂列金额-暂估价）]×100%</w:t>
      </w:r>
    </w:p>
    <w:p w14:paraId="69F6C31D">
      <w:pPr>
        <w:pageBreakBefore w:val="0"/>
        <w:kinsoku/>
        <w:wordWrap w:val="0"/>
        <w:overflowPunct/>
        <w:topLinePunct/>
        <w:bidi w:val="0"/>
        <w:spacing w:before="145" w:line="309" w:lineRule="auto"/>
        <w:ind w:right="81" w:firstLine="242" w:firstLineChars="100"/>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pacing w:val="1"/>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22D654BE">
      <w:pPr>
        <w:pageBreakBefore w:val="0"/>
        <w:kinsoku/>
        <w:wordWrap w:val="0"/>
        <w:overflowPunct/>
        <w:topLinePunct/>
        <w:bidi w:val="0"/>
        <w:spacing w:before="156" w:line="309" w:lineRule="auto"/>
        <w:ind w:left="7" w:right="81"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"2.3.3.2"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2.3.3.2</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3"/>
          <w:sz w:val="24"/>
          <w:szCs w:val="24"/>
          <w:highlight w:val="none"/>
          <w14:textFill>
            <w14:solidFill>
              <w14:schemeClr w14:val="tx1"/>
            </w14:solidFill>
          </w14:textFill>
        </w:rPr>
        <w:t>工程变更引起施工方案改变并使措施项目发生变化时，承包人提出调整措施</w:t>
      </w:r>
      <w:r>
        <w:rPr>
          <w:rFonts w:hint="eastAsia" w:ascii="宋体" w:hAnsi="宋体" w:eastAsia="宋体" w:cs="宋体"/>
          <w:color w:val="000000" w:themeColor="text1"/>
          <w:spacing w:val="-2"/>
          <w:sz w:val="24"/>
          <w:szCs w:val="24"/>
          <w:highlight w:val="none"/>
          <w14:textFill>
            <w14:solidFill>
              <w14:schemeClr w14:val="tx1"/>
            </w14:solidFill>
          </w14:textFill>
        </w:rPr>
        <w:t>项目费的，应事先将拟实施的方案提交发包人确认，并应详细说明与原方案措施项目相比的变化情况。拟实施的方案经发、承包双方确认后执行，并按照本章下列规定调整措施项目费：</w:t>
      </w:r>
    </w:p>
    <w:p w14:paraId="04FF95AF">
      <w:pPr>
        <w:pageBreakBefore w:val="0"/>
        <w:kinsoku/>
        <w:wordWrap w:val="0"/>
        <w:overflowPunct/>
        <w:topLinePunct/>
        <w:bidi w:val="0"/>
        <w:spacing w:before="152" w:line="220" w:lineRule="auto"/>
        <w:ind w:left="499"/>
        <w:rPr>
          <w:rFonts w:hint="eastAsia" w:ascii="宋体" w:hAnsi="宋体" w:eastAsia="宋体" w:cs="宋体"/>
          <w:b w:val="0"/>
          <w:bCs w:val="0"/>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w:t>
      </w:r>
      <w:r>
        <w:rPr>
          <w:rFonts w:hint="eastAsia" w:ascii="宋体" w:hAnsi="宋体" w:eastAsia="宋体" w:cs="宋体"/>
          <w:b/>
          <w:bCs/>
          <w:color w:val="000000" w:themeColor="text1"/>
          <w:spacing w:val="-1"/>
          <w:sz w:val="24"/>
          <w:szCs w:val="24"/>
          <w:highlight w:val="none"/>
          <w14:textFill>
            <w14:solidFill>
              <w14:schemeClr w14:val="tx1"/>
            </w14:solidFill>
          </w14:textFill>
        </w:rPr>
        <w:t>）</w:t>
      </w:r>
      <w:r>
        <w:rPr>
          <w:rFonts w:hint="eastAsia" w:ascii="宋体" w:hAnsi="宋体" w:eastAsia="宋体" w:cs="宋体"/>
          <w:b w:val="0"/>
          <w:bCs w:val="0"/>
          <w:color w:val="000000" w:themeColor="text1"/>
          <w:spacing w:val="-1"/>
          <w:sz w:val="24"/>
          <w:szCs w:val="24"/>
          <w:highlight w:val="none"/>
          <w14:textFill>
            <w14:solidFill>
              <w14:schemeClr w14:val="tx1"/>
            </w14:solidFill>
          </w14:textFill>
        </w:rPr>
        <w:t>安全生产措施费应按照实际发生变化的措施项目计算。</w:t>
      </w:r>
    </w:p>
    <w:p w14:paraId="1CD1ACE0">
      <w:pPr>
        <w:pageBreakBefore w:val="0"/>
        <w:kinsoku/>
        <w:wordWrap w:val="0"/>
        <w:overflowPunct/>
        <w:topLinePunct/>
        <w:bidi w:val="0"/>
        <w:spacing w:before="156" w:line="309" w:lineRule="auto"/>
        <w:ind w:left="7" w:right="81" w:firstLine="477"/>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w:t>
      </w:r>
      <w:r>
        <w:rPr>
          <w:rFonts w:hint="eastAsia" w:ascii="宋体" w:hAnsi="宋体" w:eastAsia="宋体" w:cs="宋体"/>
          <w:color w:val="000000" w:themeColor="text1"/>
          <w:spacing w:val="-3"/>
          <w:sz w:val="24"/>
          <w:szCs w:val="24"/>
          <w:highlight w:val="none"/>
          <w14:textFill>
            <w14:solidFill>
              <w14:schemeClr w14:val="tx1"/>
            </w14:solidFill>
          </w14:textFill>
        </w:rPr>
        <w:t>采用单价计算的措施项目费，应按照实际发生变化的措施项目，按本章第2.3.3.1子目的规定确定单价。</w:t>
      </w:r>
    </w:p>
    <w:p w14:paraId="253C093A">
      <w:pPr>
        <w:pageBreakBefore w:val="0"/>
        <w:kinsoku/>
        <w:wordWrap w:val="0"/>
        <w:overflowPunct/>
        <w:topLinePunct/>
        <w:bidi w:val="0"/>
        <w:spacing w:before="154" w:line="360" w:lineRule="auto"/>
        <w:ind w:left="8" w:right="81" w:firstLine="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（3）按总价或系数计算的措施项目费，应按照实际发生变化的措施项目费调整并</w:t>
      </w:r>
      <w:r>
        <w:rPr>
          <w:rFonts w:hint="eastAsia" w:ascii="宋体" w:hAnsi="宋体" w:eastAsia="宋体" w:cs="宋体"/>
          <w:color w:val="000000" w:themeColor="text1"/>
          <w:spacing w:val="-3"/>
          <w:sz w:val="24"/>
          <w:szCs w:val="24"/>
          <w:highlight w:val="none"/>
          <w14:textFill>
            <w14:solidFill>
              <w14:schemeClr w14:val="tx1"/>
            </w14:solidFill>
          </w14:textFill>
        </w:rPr>
        <w:t>考虑中标下浮率因素，即调整金额＝按照实际变化调整后的金额×（1-中标下浮率）。</w:t>
      </w:r>
    </w:p>
    <w:p w14:paraId="23DC5D45">
      <w:pPr>
        <w:pageBreakBefore w:val="0"/>
        <w:kinsoku/>
        <w:wordWrap w:val="0"/>
        <w:overflowPunct/>
        <w:topLinePunct/>
        <w:bidi w:val="0"/>
        <w:spacing w:before="157" w:line="324" w:lineRule="auto"/>
        <w:ind w:left="21" w:right="81" w:firstLine="47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如果承包人未事先将拟实施的方案提交发包人确认，视为工程变更不引起措施项目费的调整或承包人放弃调整措施项目费的权利。</w:t>
      </w:r>
    </w:p>
    <w:p w14:paraId="0B910D59">
      <w:pPr>
        <w:pageBreakBefore w:val="0"/>
        <w:kinsoku/>
        <w:wordWrap w:val="0"/>
        <w:overflowPunct/>
        <w:topLinePunct/>
        <w:bidi w:val="0"/>
        <w:spacing w:before="35" w:line="309" w:lineRule="auto"/>
        <w:ind w:right="81" w:firstLine="42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"2.3.3.3"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2.3.3.3</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3"/>
          <w:sz w:val="24"/>
          <w:szCs w:val="24"/>
          <w:highlight w:val="none"/>
          <w14:textFill>
            <w14:solidFill>
              <w14:schemeClr w14:val="tx1"/>
            </w14:solidFill>
          </w14:textFill>
        </w:rPr>
        <w:t>当因非承包人原因，发包人提出的工程变更删减了合同中的某项原定工作或</w:t>
      </w:r>
      <w:r>
        <w:rPr>
          <w:rFonts w:hint="eastAsia" w:ascii="宋体" w:hAnsi="宋体" w:eastAsia="宋体" w:cs="宋体"/>
          <w:color w:val="000000" w:themeColor="text1"/>
          <w:spacing w:val="-2"/>
          <w:sz w:val="24"/>
          <w:szCs w:val="24"/>
          <w:highlight w:val="none"/>
          <w14:textFill>
            <w14:solidFill>
              <w14:schemeClr w14:val="tx1"/>
            </w14:solidFill>
          </w14:textFill>
        </w:rPr>
        <w:t>工程，致使承包人发生的费用或（和）得到的收益不能被包括在其他已支付或应支付的项目中，也未被包含在任何替代的工作或工程中时，承包人有权提出并应得到合理的费用及利润补偿。</w:t>
      </w:r>
    </w:p>
    <w:p w14:paraId="30E7C001">
      <w:pPr>
        <w:pageBreakBefore w:val="0"/>
        <w:kinsoku/>
        <w:wordWrap w:val="0"/>
        <w:overflowPunct/>
        <w:topLinePunct/>
        <w:bidi w:val="0"/>
        <w:spacing w:before="155" w:line="220" w:lineRule="auto"/>
        <w:ind w:left="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2.3.4</w:t>
      </w:r>
      <w:r>
        <w:rPr>
          <w:rFonts w:hint="eastAsia" w:ascii="宋体" w:hAnsi="宋体" w:eastAsia="宋体" w:cs="宋体"/>
          <w:color w:val="000000" w:themeColor="text1"/>
          <w:spacing w:val="-1"/>
          <w:sz w:val="24"/>
          <w:szCs w:val="24"/>
          <w:highlight w:val="none"/>
          <w14:textFill>
            <w14:solidFill>
              <w14:schemeClr w14:val="tx1"/>
            </w14:solidFill>
          </w14:textFill>
        </w:rPr>
        <w:t>项目特征不符</w:t>
      </w:r>
    </w:p>
    <w:p w14:paraId="74AC33C4">
      <w:pPr>
        <w:pageBreakBefore w:val="0"/>
        <w:kinsoku/>
        <w:wordWrap w:val="0"/>
        <w:overflowPunct/>
        <w:topLinePunct/>
        <w:bidi w:val="0"/>
        <w:spacing w:before="78" w:line="331" w:lineRule="auto"/>
        <w:ind w:left="8" w:right="108" w:firstLine="480"/>
        <w:jc w:val="both"/>
        <w:rPr>
          <w:rFonts w:hint="eastAsia" w:ascii="宋体" w:hAnsi="宋体" w:eastAsia="宋体" w:cs="宋体"/>
          <w:color w:val="000000" w:themeColor="text1"/>
          <w:sz w:val="24"/>
          <w:szCs w:val="24"/>
          <w:highlight w:val="none"/>
          <w14:textFill>
            <w14:solidFill>
              <w14:schemeClr w14:val="tx1"/>
            </w14:solidFill>
          </w14:textFill>
        </w:rPr>
      </w:pPr>
      <w:bookmarkStart w:id="175" w:name="bookmark144"/>
      <w:bookmarkEnd w:id="175"/>
      <w:r>
        <w:rPr>
          <w:rFonts w:hint="eastAsia" w:ascii="宋体" w:hAnsi="宋体" w:eastAsia="宋体" w:cs="宋体"/>
          <w:color w:val="000000" w:themeColor="text1"/>
          <w:spacing w:val="-2"/>
          <w:sz w:val="24"/>
          <w:szCs w:val="24"/>
          <w:highlight w:val="none"/>
          <w14:textFill>
            <w14:solidFill>
              <w14:schemeClr w14:val="tx1"/>
            </w14:solidFill>
          </w14:textFill>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000000" w:themeColor="text1"/>
          <w:sz w:val="24"/>
          <w:szCs w:val="24"/>
          <w:highlight w:val="none"/>
          <w14:textFill>
            <w14:solidFill>
              <w14:schemeClr w14:val="tx1"/>
            </w14:solidFill>
          </w14:textFill>
        </w:rPr>
        <w:t>程造价增减变化的，应按照实际施工的项目特征，并按本章第</w:t>
      </w:r>
      <w:r>
        <w:rPr>
          <w:rFonts w:hint="eastAsia" w:ascii="宋体" w:hAnsi="宋体" w:eastAsia="宋体" w:cs="宋体"/>
          <w:b/>
          <w:bCs/>
          <w:color w:val="000000" w:themeColor="text1"/>
          <w:sz w:val="24"/>
          <w:szCs w:val="24"/>
          <w:highlight w:val="none"/>
          <w14:textFill>
            <w14:solidFill>
              <w14:schemeClr w14:val="tx1"/>
            </w14:solidFill>
          </w14:textFill>
        </w:rPr>
        <w:t>2.3.3</w:t>
      </w:r>
      <w:r>
        <w:rPr>
          <w:rFonts w:hint="eastAsia" w:ascii="宋体" w:hAnsi="宋体" w:eastAsia="宋体" w:cs="宋体"/>
          <w:color w:val="000000" w:themeColor="text1"/>
          <w:sz w:val="24"/>
          <w:szCs w:val="24"/>
          <w:highlight w:val="none"/>
          <w14:textFill>
            <w14:solidFill>
              <w14:schemeClr w14:val="tx1"/>
            </w14:solidFill>
          </w14:textFill>
        </w:rPr>
        <w:t>目相</w:t>
      </w:r>
      <w:r>
        <w:rPr>
          <w:rFonts w:hint="eastAsia" w:ascii="宋体" w:hAnsi="宋体" w:eastAsia="宋体" w:cs="宋体"/>
          <w:color w:val="000000" w:themeColor="text1"/>
          <w:spacing w:val="-1"/>
          <w:sz w:val="24"/>
          <w:szCs w:val="24"/>
          <w:highlight w:val="none"/>
          <w14:textFill>
            <w14:solidFill>
              <w14:schemeClr w14:val="tx1"/>
            </w14:solidFill>
          </w14:textFill>
        </w:rPr>
        <w:t>关条款的规定重新确定相应工程量清单项目的综合单价，并调整合同价款。</w:t>
      </w:r>
    </w:p>
    <w:p w14:paraId="73A3E75C">
      <w:pPr>
        <w:pageBreakBefore w:val="0"/>
        <w:kinsoku/>
        <w:wordWrap w:val="0"/>
        <w:overflowPunct/>
        <w:topLinePunct/>
        <w:bidi w:val="0"/>
        <w:spacing w:before="38" w:line="221" w:lineRule="auto"/>
        <w:ind w:left="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2.3.5</w:t>
      </w:r>
      <w:r>
        <w:rPr>
          <w:rFonts w:hint="eastAsia" w:ascii="宋体" w:hAnsi="宋体" w:eastAsia="宋体" w:cs="宋体"/>
          <w:color w:val="000000" w:themeColor="text1"/>
          <w:spacing w:val="-1"/>
          <w:sz w:val="24"/>
          <w:szCs w:val="24"/>
          <w:highlight w:val="none"/>
          <w14:textFill>
            <w14:solidFill>
              <w14:schemeClr w14:val="tx1"/>
            </w14:solidFill>
          </w14:textFill>
        </w:rPr>
        <w:t>招标工程量清单缺项</w:t>
      </w:r>
    </w:p>
    <w:p w14:paraId="62F50862">
      <w:pPr>
        <w:pageBreakBefore w:val="0"/>
        <w:kinsoku/>
        <w:wordWrap w:val="0"/>
        <w:overflowPunct/>
        <w:topLinePunct/>
        <w:bidi w:val="0"/>
        <w:spacing w:before="152" w:line="278" w:lineRule="auto"/>
        <w:ind w:left="9" w:right="56"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"2.3.5.1"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2.3.5.1</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1"/>
          <w:sz w:val="24"/>
          <w:szCs w:val="24"/>
          <w:highlight w:val="none"/>
          <w14:textFill>
            <w14:solidFill>
              <w14:schemeClr w14:val="tx1"/>
            </w14:solidFill>
          </w14:textFill>
        </w:rPr>
        <w:t>合同履行期间，由于招标</w:t>
      </w:r>
      <w:r>
        <w:rPr>
          <w:rFonts w:hint="eastAsia" w:ascii="宋体" w:hAnsi="宋体" w:eastAsia="宋体" w:cs="宋体"/>
          <w:color w:val="000000" w:themeColor="text1"/>
          <w:spacing w:val="-2"/>
          <w:sz w:val="24"/>
          <w:szCs w:val="24"/>
          <w:highlight w:val="none"/>
          <w14:textFill>
            <w14:solidFill>
              <w14:schemeClr w14:val="tx1"/>
            </w14:solidFill>
          </w14:textFill>
        </w:rPr>
        <w:t>工程量清单中缺项，新增分部分项工程清单项目，</w:t>
      </w:r>
      <w:r>
        <w:rPr>
          <w:rFonts w:hint="eastAsia" w:ascii="宋体" w:hAnsi="宋体" w:eastAsia="宋体" w:cs="宋体"/>
          <w:color w:val="000000" w:themeColor="text1"/>
          <w:spacing w:val="-1"/>
          <w:sz w:val="24"/>
          <w:szCs w:val="24"/>
          <w:highlight w:val="none"/>
          <w14:textFill>
            <w14:solidFill>
              <w14:schemeClr w14:val="tx1"/>
            </w14:solidFill>
          </w14:textFill>
        </w:rPr>
        <w:t>应按照本章第</w:t>
      </w:r>
      <w:r>
        <w:rPr>
          <w:rFonts w:hint="eastAsia" w:ascii="宋体" w:hAnsi="宋体" w:eastAsia="宋体" w:cs="宋体"/>
          <w:b/>
          <w:bCs/>
          <w:color w:val="000000" w:themeColor="text1"/>
          <w:spacing w:val="-1"/>
          <w:sz w:val="24"/>
          <w:szCs w:val="24"/>
          <w:highlight w:val="none"/>
          <w14:textFill>
            <w14:solidFill>
              <w14:schemeClr w14:val="tx1"/>
            </w14:solidFill>
          </w14:textFill>
        </w:rPr>
        <w:t>2.3.3.1</w:t>
      </w:r>
      <w:r>
        <w:rPr>
          <w:rFonts w:hint="eastAsia" w:ascii="宋体" w:hAnsi="宋体" w:eastAsia="宋体" w:cs="宋体"/>
          <w:color w:val="000000" w:themeColor="text1"/>
          <w:spacing w:val="-1"/>
          <w:sz w:val="24"/>
          <w:szCs w:val="24"/>
          <w:highlight w:val="none"/>
          <w14:textFill>
            <w14:solidFill>
              <w14:schemeClr w14:val="tx1"/>
            </w14:solidFill>
          </w14:textFill>
        </w:rPr>
        <w:t>子目的规定确定单价，并调整合同价款。</w:t>
      </w:r>
    </w:p>
    <w:p w14:paraId="779C9CD4">
      <w:pPr>
        <w:pageBreakBefore w:val="0"/>
        <w:kinsoku/>
        <w:wordWrap w:val="0"/>
        <w:overflowPunct/>
        <w:topLinePunct/>
        <w:bidi w:val="0"/>
        <w:spacing w:before="157" w:line="219" w:lineRule="auto"/>
        <w:ind w:firstLine="42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"2.3.5.2"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2.3.5.2</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1"/>
          <w:sz w:val="24"/>
          <w:szCs w:val="24"/>
          <w:highlight w:val="none"/>
          <w14:textFill>
            <w14:solidFill>
              <w14:schemeClr w14:val="tx1"/>
            </w14:solidFill>
          </w14:textFill>
        </w:rPr>
        <w:t>新增分部分项工程清单项目后，引起</w:t>
      </w:r>
      <w:r>
        <w:rPr>
          <w:rFonts w:hint="eastAsia" w:ascii="宋体" w:hAnsi="宋体" w:eastAsia="宋体" w:cs="宋体"/>
          <w:color w:val="000000" w:themeColor="text1"/>
          <w:spacing w:val="-2"/>
          <w:sz w:val="24"/>
          <w:szCs w:val="24"/>
          <w:highlight w:val="none"/>
          <w14:textFill>
            <w14:solidFill>
              <w14:schemeClr w14:val="tx1"/>
            </w14:solidFill>
          </w14:textFill>
        </w:rPr>
        <w:t>措施项目发生变化的，应按照本章第</w:t>
      </w:r>
      <w:r>
        <w:rPr>
          <w:rFonts w:hint="eastAsia" w:ascii="宋体" w:hAnsi="宋体" w:eastAsia="宋体" w:cs="宋体"/>
          <w:b/>
          <w:bCs/>
          <w:color w:val="000000" w:themeColor="text1"/>
          <w:spacing w:val="-2"/>
          <w:sz w:val="24"/>
          <w:szCs w:val="24"/>
          <w:highlight w:val="none"/>
          <w14:textFill>
            <w14:solidFill>
              <w14:schemeClr w14:val="tx1"/>
            </w14:solidFill>
          </w14:textFill>
        </w:rPr>
        <w:t>2.</w:t>
      </w:r>
      <w:r>
        <w:rPr>
          <w:rFonts w:hint="eastAsia" w:ascii="宋体" w:hAnsi="宋体" w:eastAsia="宋体" w:cs="宋体"/>
          <w:b/>
          <w:bCs/>
          <w:color w:val="000000" w:themeColor="text1"/>
          <w:sz w:val="24"/>
          <w:szCs w:val="24"/>
          <w:highlight w:val="none"/>
          <w14:textFill>
            <w14:solidFill>
              <w14:schemeClr w14:val="tx1"/>
            </w14:solidFill>
          </w14:textFill>
        </w:rPr>
        <w:t>3.3.2</w:t>
      </w:r>
      <w:r>
        <w:rPr>
          <w:rFonts w:hint="eastAsia" w:ascii="宋体" w:hAnsi="宋体" w:eastAsia="宋体" w:cs="宋体"/>
          <w:color w:val="000000" w:themeColor="text1"/>
          <w:sz w:val="24"/>
          <w:szCs w:val="24"/>
          <w:highlight w:val="none"/>
          <w14:textFill>
            <w14:solidFill>
              <w14:schemeClr w14:val="tx1"/>
            </w14:solidFill>
          </w14:textFill>
        </w:rPr>
        <w:t>子目的规定，在承包人提交的实施方案被发包人批准后调整</w:t>
      </w:r>
      <w:r>
        <w:rPr>
          <w:rFonts w:hint="eastAsia" w:ascii="宋体" w:hAnsi="宋体" w:eastAsia="宋体" w:cs="宋体"/>
          <w:color w:val="000000" w:themeColor="text1"/>
          <w:spacing w:val="-1"/>
          <w:sz w:val="24"/>
          <w:szCs w:val="24"/>
          <w:highlight w:val="none"/>
          <w14:textFill>
            <w14:solidFill>
              <w14:schemeClr w14:val="tx1"/>
            </w14:solidFill>
          </w14:textFill>
        </w:rPr>
        <w:t>合同价款。</w:t>
      </w:r>
    </w:p>
    <w:p w14:paraId="3CDB9163">
      <w:pPr>
        <w:pageBreakBefore w:val="0"/>
        <w:kinsoku/>
        <w:wordWrap w:val="0"/>
        <w:overflowPunct/>
        <w:topLinePunct/>
        <w:bidi w:val="0"/>
        <w:spacing w:before="156" w:line="279" w:lineRule="auto"/>
        <w:ind w:left="13" w:right="108" w:firstLine="47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"2.3.5.3"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4"/>
          <w:sz w:val="24"/>
          <w:szCs w:val="24"/>
          <w:highlight w:val="none"/>
          <w14:textFill>
            <w14:solidFill>
              <w14:schemeClr w14:val="tx1"/>
            </w14:solidFill>
          </w14:textFill>
        </w:rPr>
        <w:t>2.3.5.3</w:t>
      </w:r>
      <w:r>
        <w:rPr>
          <w:rFonts w:hint="eastAsia" w:ascii="宋体" w:hAnsi="宋体" w:eastAsia="宋体" w:cs="宋体"/>
          <w:b/>
          <w:bCs/>
          <w:color w:val="000000" w:themeColor="text1"/>
          <w:spacing w:val="-4"/>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4"/>
          <w:sz w:val="24"/>
          <w:szCs w:val="24"/>
          <w:highlight w:val="none"/>
          <w14:textFill>
            <w14:solidFill>
              <w14:schemeClr w14:val="tx1"/>
            </w14:solidFill>
          </w14:textFill>
        </w:rPr>
        <w:t>由于招标工程量清单中措施项目缺项，承包人应将新增措施项目实施方案提</w:t>
      </w:r>
      <w:r>
        <w:rPr>
          <w:rFonts w:hint="eastAsia" w:ascii="宋体" w:hAnsi="宋体" w:eastAsia="宋体" w:cs="宋体"/>
          <w:color w:val="000000" w:themeColor="text1"/>
          <w:spacing w:val="-1"/>
          <w:sz w:val="24"/>
          <w:szCs w:val="24"/>
          <w:highlight w:val="none"/>
          <w14:textFill>
            <w14:solidFill>
              <w14:schemeClr w14:val="tx1"/>
            </w14:solidFill>
          </w14:textFill>
        </w:rPr>
        <w:t>交发包人批准后，按照本章第</w:t>
      </w:r>
      <w:r>
        <w:rPr>
          <w:rFonts w:hint="eastAsia" w:ascii="宋体" w:hAnsi="宋体" w:eastAsia="宋体" w:cs="宋体"/>
          <w:b/>
          <w:bCs/>
          <w:color w:val="000000" w:themeColor="text1"/>
          <w:spacing w:val="-1"/>
          <w:sz w:val="24"/>
          <w:szCs w:val="24"/>
          <w:highlight w:val="none"/>
          <w14:textFill>
            <w14:solidFill>
              <w14:schemeClr w14:val="tx1"/>
            </w14:solidFill>
          </w14:textFill>
        </w:rPr>
        <w:t>2.3.3.1</w:t>
      </w:r>
      <w:r>
        <w:rPr>
          <w:rFonts w:hint="eastAsia" w:ascii="宋体" w:hAnsi="宋体" w:eastAsia="宋体" w:cs="宋体"/>
          <w:color w:val="000000" w:themeColor="text1"/>
          <w:spacing w:val="-1"/>
          <w:sz w:val="24"/>
          <w:szCs w:val="24"/>
          <w:highlight w:val="none"/>
          <w14:textFill>
            <w14:solidFill>
              <w14:schemeClr w14:val="tx1"/>
            </w14:solidFill>
          </w14:textFill>
        </w:rPr>
        <w:t>子目、第</w:t>
      </w:r>
      <w:r>
        <w:rPr>
          <w:rFonts w:hint="eastAsia" w:ascii="宋体" w:hAnsi="宋体" w:eastAsia="宋体" w:cs="宋体"/>
          <w:b/>
          <w:bCs/>
          <w:color w:val="000000" w:themeColor="text1"/>
          <w:spacing w:val="-1"/>
          <w:sz w:val="24"/>
          <w:szCs w:val="24"/>
          <w:highlight w:val="none"/>
          <w14:textFill>
            <w14:solidFill>
              <w14:schemeClr w14:val="tx1"/>
            </w14:solidFill>
          </w14:textFill>
        </w:rPr>
        <w:t>2.3.3.2</w:t>
      </w:r>
      <w:r>
        <w:rPr>
          <w:rFonts w:hint="eastAsia" w:ascii="宋体" w:hAnsi="宋体" w:eastAsia="宋体" w:cs="宋体"/>
          <w:color w:val="000000" w:themeColor="text1"/>
          <w:spacing w:val="-1"/>
          <w:sz w:val="24"/>
          <w:szCs w:val="24"/>
          <w:highlight w:val="none"/>
          <w14:textFill>
            <w14:solidFill>
              <w14:schemeClr w14:val="tx1"/>
            </w14:solidFill>
          </w14:textFill>
        </w:rPr>
        <w:t>子目的规定调整合同价款。</w:t>
      </w:r>
    </w:p>
    <w:p w14:paraId="68D93B77">
      <w:pPr>
        <w:pageBreakBefore w:val="0"/>
        <w:kinsoku/>
        <w:wordWrap w:val="0"/>
        <w:overflowPunct/>
        <w:topLinePunct/>
        <w:bidi w:val="0"/>
        <w:spacing w:before="154" w:line="219" w:lineRule="auto"/>
        <w:ind w:left="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2.3.6</w:t>
      </w:r>
      <w:r>
        <w:rPr>
          <w:rFonts w:hint="eastAsia" w:ascii="宋体" w:hAnsi="宋体" w:eastAsia="宋体" w:cs="宋体"/>
          <w:color w:val="000000" w:themeColor="text1"/>
          <w:spacing w:val="-1"/>
          <w:sz w:val="24"/>
          <w:szCs w:val="24"/>
          <w:highlight w:val="none"/>
          <w14:textFill>
            <w14:solidFill>
              <w14:schemeClr w14:val="tx1"/>
            </w14:solidFill>
          </w14:textFill>
        </w:rPr>
        <w:t>物价变化</w:t>
      </w:r>
    </w:p>
    <w:p w14:paraId="50AEDAD7">
      <w:pPr>
        <w:pageBreakBefore w:val="0"/>
        <w:kinsoku/>
        <w:wordWrap w:val="0"/>
        <w:overflowPunct/>
        <w:topLinePunct/>
        <w:bidi w:val="0"/>
        <w:spacing w:before="156" w:line="315" w:lineRule="auto"/>
        <w:ind w:left="8" w:right="108"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"2.3.6.1"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2.3.6.1</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3"/>
          <w:sz w:val="24"/>
          <w:szCs w:val="24"/>
          <w:highlight w:val="none"/>
          <w14:textFill>
            <w14:solidFill>
              <w14:schemeClr w14:val="tx1"/>
            </w14:solidFill>
          </w14:textFill>
        </w:rPr>
        <w:t>合同履行期间，项目所在地工程造价管理机构发布的动态人工调整系数发生变化时，如果承包人投标报价中人工费（以下简称“中标人工费”）</w:t>
      </w:r>
      <w:r>
        <w:rPr>
          <w:rFonts w:hint="eastAsia" w:ascii="宋体" w:hAnsi="宋体" w:eastAsia="宋体" w:cs="宋体"/>
          <w:color w:val="000000" w:themeColor="text1"/>
          <w:spacing w:val="-4"/>
          <w:sz w:val="24"/>
          <w:szCs w:val="24"/>
          <w:highlight w:val="none"/>
          <w14:textFill>
            <w14:solidFill>
              <w14:schemeClr w14:val="tx1"/>
            </w14:solidFill>
          </w14:textFill>
        </w:rPr>
        <w:t>等于或超过施工当</w:t>
      </w:r>
      <w:r>
        <w:rPr>
          <w:rFonts w:hint="eastAsia" w:ascii="宋体" w:hAnsi="宋体" w:eastAsia="宋体" w:cs="宋体"/>
          <w:color w:val="000000" w:themeColor="text1"/>
          <w:spacing w:val="-2"/>
          <w:sz w:val="24"/>
          <w:szCs w:val="24"/>
          <w:highlight w:val="none"/>
          <w14:textFill>
            <w14:solidFill>
              <w14:schemeClr w14:val="tx1"/>
            </w14:solidFill>
          </w14:textFill>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000000" w:themeColor="text1"/>
          <w:spacing w:val="-1"/>
          <w:sz w:val="24"/>
          <w:szCs w:val="24"/>
          <w:highlight w:val="none"/>
          <w14:textFill>
            <w14:solidFill>
              <w14:schemeClr w14:val="tx1"/>
            </w14:solidFill>
          </w14:textFill>
        </w:rPr>
        <w:t>关规定进行相应调整。结算人工费调整公式为：</w:t>
      </w:r>
    </w:p>
    <w:p w14:paraId="78154BF8">
      <w:pPr>
        <w:pageBreakBefore w:val="0"/>
        <w:kinsoku/>
        <w:wordWrap w:val="0"/>
        <w:overflowPunct/>
        <w:topLinePunct/>
        <w:bidi w:val="0"/>
        <w:spacing w:before="153" w:line="220" w:lineRule="auto"/>
        <w:ind w:left="494"/>
        <w:rPr>
          <w:rFonts w:hint="eastAsia" w:ascii="宋体" w:hAnsi="宋体" w:eastAsia="宋体" w:cs="宋体"/>
          <w:color w:val="000000" w:themeColor="text1"/>
          <w:sz w:val="15"/>
          <w:szCs w:val="15"/>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结算人工费＝中标人工费×F</w:t>
      </w:r>
      <w:r>
        <w:rPr>
          <w:rFonts w:hint="eastAsia" w:ascii="宋体" w:hAnsi="宋体" w:eastAsia="宋体" w:cs="宋体"/>
          <w:color w:val="000000" w:themeColor="text1"/>
          <w:spacing w:val="-1"/>
          <w:position w:val="-1"/>
          <w:sz w:val="15"/>
          <w:szCs w:val="15"/>
          <w:highlight w:val="none"/>
          <w14:textFill>
            <w14:solidFill>
              <w14:schemeClr w14:val="tx1"/>
            </w14:solidFill>
          </w14:textFill>
        </w:rPr>
        <w:t>1</w:t>
      </w:r>
    </w:p>
    <w:p w14:paraId="42C59298">
      <w:pPr>
        <w:pageBreakBefore w:val="0"/>
        <w:kinsoku/>
        <w:wordWrap w:val="0"/>
        <w:overflowPunct/>
        <w:topLinePunct/>
        <w:bidi w:val="0"/>
        <w:spacing w:before="152" w:line="219"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式中，F</w:t>
      </w:r>
      <w:r>
        <w:rPr>
          <w:rFonts w:hint="eastAsia" w:ascii="宋体" w:hAnsi="宋体" w:eastAsia="宋体" w:cs="宋体"/>
          <w:color w:val="000000" w:themeColor="text1"/>
          <w:spacing w:val="-1"/>
          <w:position w:val="-1"/>
          <w:sz w:val="15"/>
          <w:szCs w:val="15"/>
          <w:highlight w:val="none"/>
          <w14:textFill>
            <w14:solidFill>
              <w14:schemeClr w14:val="tx1"/>
            </w14:solidFill>
          </w14:textFill>
        </w:rPr>
        <w:t>1</w:t>
      </w:r>
      <w:r>
        <w:rPr>
          <w:rFonts w:hint="eastAsia" w:ascii="宋体" w:hAnsi="宋体" w:eastAsia="宋体" w:cs="宋体"/>
          <w:color w:val="000000" w:themeColor="text1"/>
          <w:spacing w:val="-1"/>
          <w:sz w:val="24"/>
          <w:szCs w:val="24"/>
          <w:highlight w:val="none"/>
          <w14:textFill>
            <w14:solidFill>
              <w14:schemeClr w14:val="tx1"/>
            </w14:solidFill>
          </w14:textFill>
        </w:rPr>
        <w:t>为施工当月项目所在地工程造价管理机构发布的动态人工调整系数。</w:t>
      </w:r>
    </w:p>
    <w:p w14:paraId="45633BC2">
      <w:pPr>
        <w:pageBreakBefore w:val="0"/>
        <w:kinsoku/>
        <w:wordWrap w:val="0"/>
        <w:overflowPunct/>
        <w:topLinePunct/>
        <w:bidi w:val="0"/>
        <w:spacing w:before="119" w:line="324" w:lineRule="auto"/>
        <w:ind w:left="1" w:right="108" w:firstLine="48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begin"/>
      </w:r>
      <w:r>
        <w:rPr>
          <w:rFonts w:hint="eastAsia" w:ascii="宋体" w:hAnsi="宋体" w:eastAsia="宋体" w:cs="宋体"/>
          <w:b/>
          <w:bCs/>
          <w:color w:val="000000" w:themeColor="text1"/>
          <w:spacing w:val="-1"/>
          <w:sz w:val="24"/>
          <w:szCs w:val="24"/>
          <w:highlight w:val="none"/>
          <w14:textFill>
            <w14:solidFill>
              <w14:schemeClr w14:val="tx1"/>
            </w14:solidFill>
          </w14:textFill>
        </w:rPr>
        <w:instrText xml:space="preserve"> HYPERLINK "2.3.6.2" </w:instrTex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separate"/>
      </w:r>
      <w:r>
        <w:rPr>
          <w:rFonts w:hint="eastAsia" w:ascii="宋体" w:hAnsi="宋体" w:eastAsia="宋体" w:cs="宋体"/>
          <w:b/>
          <w:bCs/>
          <w:color w:val="000000" w:themeColor="text1"/>
          <w:spacing w:val="-1"/>
          <w:sz w:val="24"/>
          <w:szCs w:val="24"/>
          <w:highlight w:val="none"/>
          <w14:textFill>
            <w14:solidFill>
              <w14:schemeClr w14:val="tx1"/>
            </w14:solidFill>
          </w14:textFill>
        </w:rPr>
        <w:t>2.3.6.2</w:t>
      </w:r>
      <w:r>
        <w:rPr>
          <w:rFonts w:hint="eastAsia" w:ascii="宋体" w:hAnsi="宋体" w:eastAsia="宋体" w:cs="宋体"/>
          <w:b/>
          <w:bCs/>
          <w:color w:val="000000" w:themeColor="text1"/>
          <w:spacing w:val="-1"/>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1"/>
          <w:sz w:val="24"/>
          <w:szCs w:val="24"/>
          <w:highlight w:val="none"/>
          <w14:textFill>
            <w14:solidFill>
              <w14:schemeClr w14:val="tx1"/>
            </w14:solidFill>
          </w14:textFill>
        </w:rPr>
        <w:t>本招标项目约定，材料、工程设备</w:t>
      </w:r>
      <w:r>
        <w:rPr>
          <w:rFonts w:hint="eastAsia" w:ascii="宋体" w:hAnsi="宋体" w:eastAsia="宋体" w:cs="宋体"/>
          <w:color w:val="000000" w:themeColor="text1"/>
          <w:spacing w:val="-2"/>
          <w:sz w:val="24"/>
          <w:szCs w:val="24"/>
          <w:highlight w:val="none"/>
          <w14:textFill>
            <w14:solidFill>
              <w14:schemeClr w14:val="tx1"/>
            </w14:solidFill>
          </w14:textFill>
        </w:rPr>
        <w:t>单价涨跌风险幅度值A为</w:t>
      </w:r>
      <w:r>
        <w:rPr>
          <w:rFonts w:hint="eastAsia" w:ascii="宋体" w:hAnsi="宋体" w:eastAsia="宋体" w:cs="宋体"/>
          <w:color w:val="000000" w:themeColor="text1"/>
          <w:spacing w:val="-2"/>
          <w:sz w:val="24"/>
          <w:szCs w:val="24"/>
          <w:highlight w:val="none"/>
          <w:u w:val="single"/>
          <w14:textFill>
            <w14:solidFill>
              <w14:schemeClr w14:val="tx1"/>
            </w14:solidFill>
          </w14:textFill>
        </w:rPr>
        <w:t>5%</w:t>
      </w:r>
      <w:r>
        <w:rPr>
          <w:rFonts w:hint="eastAsia" w:ascii="宋体" w:hAnsi="宋体" w:eastAsia="宋体" w:cs="宋体"/>
          <w:color w:val="000000" w:themeColor="text1"/>
          <w:spacing w:val="-2"/>
          <w:sz w:val="24"/>
          <w:szCs w:val="24"/>
          <w:highlight w:val="none"/>
          <w14:textFill>
            <w14:solidFill>
              <w14:schemeClr w14:val="tx1"/>
            </w14:solidFill>
          </w14:textFill>
        </w:rPr>
        <w:t>。合同履</w:t>
      </w:r>
      <w:r>
        <w:rPr>
          <w:rFonts w:hint="eastAsia" w:ascii="宋体" w:hAnsi="宋体" w:eastAsia="宋体" w:cs="宋体"/>
          <w:color w:val="000000" w:themeColor="text1"/>
          <w:spacing w:val="-1"/>
          <w:sz w:val="24"/>
          <w:szCs w:val="24"/>
          <w:highlight w:val="none"/>
          <w14:textFill>
            <w14:solidFill>
              <w14:schemeClr w14:val="tx1"/>
            </w14:solidFill>
          </w14:textFill>
        </w:rPr>
        <w:t>行期间，当《承包人提供主要材料和工程设备一览表》（</w:t>
      </w:r>
      <w:r>
        <w:rPr>
          <w:rFonts w:hint="eastAsia" w:ascii="宋体" w:hAnsi="宋体" w:eastAsia="宋体" w:cs="宋体"/>
          <w:color w:val="000000" w:themeColor="text1"/>
          <w:spacing w:val="-2"/>
          <w:sz w:val="24"/>
          <w:szCs w:val="24"/>
          <w:highlight w:val="none"/>
          <w14:textFill>
            <w14:solidFill>
              <w14:schemeClr w14:val="tx1"/>
            </w14:solidFill>
          </w14:textFill>
        </w:rPr>
        <w:t>详见招标工程量清单）中的材</w:t>
      </w:r>
      <w:r>
        <w:rPr>
          <w:rFonts w:hint="eastAsia" w:ascii="宋体" w:hAnsi="宋体" w:eastAsia="宋体" w:cs="宋体"/>
          <w:color w:val="000000" w:themeColor="text1"/>
          <w:spacing w:val="-3"/>
          <w:sz w:val="24"/>
          <w:szCs w:val="24"/>
          <w:highlight w:val="none"/>
          <w14:textFill>
            <w14:solidFill>
              <w14:schemeClr w14:val="tx1"/>
            </w14:solidFill>
          </w14:textFill>
        </w:rPr>
        <w:t>料、工程设备单价涨跌幅度等于或低于A值时，该材料、工程设备单价不予调整；超过</w:t>
      </w:r>
      <w:r>
        <w:rPr>
          <w:rFonts w:hint="eastAsia" w:ascii="宋体" w:hAnsi="宋体" w:eastAsia="宋体" w:cs="宋体"/>
          <w:color w:val="000000" w:themeColor="text1"/>
          <w:sz w:val="24"/>
          <w:szCs w:val="24"/>
          <w:highlight w:val="none"/>
          <w14:textFill>
            <w14:solidFill>
              <w14:schemeClr w14:val="tx1"/>
            </w14:solidFill>
          </w14:textFill>
        </w:rPr>
        <w:t>A值时，其超过部分可以调整。相关费用按有关规定进行相</w:t>
      </w:r>
      <w:r>
        <w:rPr>
          <w:rFonts w:hint="eastAsia" w:ascii="宋体" w:hAnsi="宋体" w:eastAsia="宋体" w:cs="宋体"/>
          <w:color w:val="000000" w:themeColor="text1"/>
          <w:spacing w:val="-1"/>
          <w:sz w:val="24"/>
          <w:szCs w:val="24"/>
          <w:highlight w:val="none"/>
          <w14:textFill>
            <w14:solidFill>
              <w14:schemeClr w14:val="tx1"/>
            </w14:solidFill>
          </w14:textFill>
        </w:rPr>
        <w:t>应调整。</w:t>
      </w:r>
    </w:p>
    <w:p w14:paraId="55D8F26F">
      <w:pPr>
        <w:pageBreakBefore w:val="0"/>
        <w:kinsoku/>
        <w:wordWrap w:val="0"/>
        <w:overflowPunct/>
        <w:topLinePunct/>
        <w:bidi w:val="0"/>
        <w:spacing w:before="126" w:line="295" w:lineRule="auto"/>
        <w:ind w:left="11" w:right="108" w:firstLine="477"/>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a．如果承包人投标报价中材料、工程设备单价（以下简称“中标单价”）低于基准日当月项目所在地工程造价管理机构发布的对应材料、工程设备单价（以下简称“基准单价”），该材料、工程设备的结算单价调整公式为：</w:t>
      </w:r>
    </w:p>
    <w:p w14:paraId="03887C16">
      <w:pPr>
        <w:pageBreakBefore w:val="0"/>
        <w:kinsoku/>
        <w:wordWrap w:val="0"/>
        <w:overflowPunct/>
        <w:topLinePunct/>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a．涨价时，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5" o:spt="75" type="#_x0000_t75" style="height:33.95pt;width:200.95pt;" o:ole="t" filled="f" o:preferrelative="t" stroked="f" coordsize="21600,21600">
            <v:path/>
            <v:fill on="f" focussize="0,0"/>
            <v:stroke on="f"/>
            <v:imagedata r:id="rId28" embosscolor="#FFFFFF" o:title=""/>
            <o:lock v:ext="edit" grouping="f" rotation="f" text="f" aspectratio="t"/>
            <w10:wrap type="none"/>
            <w10:anchorlock/>
          </v:shape>
          <o:OLEObject Type="Embed" ProgID="Equation.KSEE3" ShapeID="_x0000_i1025" DrawAspect="Content" ObjectID="_1468075725" r:id="rId27">
            <o:LockedField>false</o:LockedField>
          </o:OLEObject>
        </w:object>
      </w:r>
    </w:p>
    <w:p w14:paraId="19F3D162">
      <w:pPr>
        <w:pageBreakBefore w:val="0"/>
        <w:kinsoku/>
        <w:wordWrap w:val="0"/>
        <w:overflowPunct/>
        <w:topLinePunct/>
        <w:bidi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6" o:spt="75" type="#_x0000_t75" style="height:33.95pt;width:198.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6" DrawAspect="Content" ObjectID="_1468075726" r:id="rId29">
            <o:LockedField>false</o:LockedField>
          </o:OLEObject>
        </w:object>
      </w:r>
    </w:p>
    <w:p w14:paraId="4C0304EC">
      <w:pPr>
        <w:pageBreakBefore w:val="0"/>
        <w:kinsoku/>
        <w:wordWrap w:val="0"/>
        <w:overflowPunct/>
        <w:topLinePunct/>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b．涨价时，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7"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7" DrawAspect="Content" ObjectID="_1468075727" r:id="rId31">
            <o:LockedField>false</o:LockedField>
          </o:OLEObject>
        </w:object>
      </w:r>
    </w:p>
    <w:p w14:paraId="1258BDAA">
      <w:pPr>
        <w:pageBreakBefore w:val="0"/>
        <w:kinsoku/>
        <w:wordWrap w:val="0"/>
        <w:overflowPunct/>
        <w:topLinePunct/>
        <w:bidi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8" o:spt="75" type="#_x0000_t75" style="height:33.95pt;width:200.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8" DrawAspect="Content" ObjectID="_1468075728" r:id="rId33">
            <o:LockedField>false</o:LockedField>
          </o:OLEObject>
        </w:object>
      </w:r>
    </w:p>
    <w:p w14:paraId="78E71299">
      <w:pPr>
        <w:pageBreakBefore w:val="0"/>
        <w:kinsoku/>
        <w:wordWrap w:val="0"/>
        <w:overflowPunct/>
        <w:topLinePunct/>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c．涨价时，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29"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9" DrawAspect="Content" ObjectID="_1468075729" r:id="rId35">
            <o:LockedField>false</o:LockedField>
          </o:OLEObject>
        </w:object>
      </w:r>
    </w:p>
    <w:p w14:paraId="3181C806">
      <w:pPr>
        <w:pageBreakBefore w:val="0"/>
        <w:kinsoku/>
        <w:wordWrap w:val="0"/>
        <w:overflowPunct/>
        <w:topLinePunct/>
        <w:bidi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0"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30" DrawAspect="Content" ObjectID="_1468075730" r:id="rId37">
            <o:LockedField>false</o:LockedField>
          </o:OLEObject>
        </w:object>
      </w:r>
    </w:p>
    <w:p w14:paraId="68749C7A">
      <w:pPr>
        <w:pageBreakBefore w:val="0"/>
        <w:kinsoku/>
        <w:wordWrap w:val="0"/>
        <w:overflowPunct/>
        <w:topLinePunct/>
        <w:bidi w:val="0"/>
        <w:spacing w:before="78"/>
        <w:ind w:left="330"/>
        <w:rPr>
          <w:rFonts w:hint="eastAsia" w:ascii="宋体" w:hAnsi="宋体" w:eastAsia="宋体" w:cs="宋体"/>
          <w:color w:val="000000" w:themeColor="text1"/>
          <w:sz w:val="24"/>
          <w:szCs w:val="24"/>
          <w:highlight w:val="none"/>
          <w14:textFill>
            <w14:solidFill>
              <w14:schemeClr w14:val="tx1"/>
            </w14:solidFill>
          </w14:textFill>
        </w:rPr>
      </w:pPr>
    </w:p>
    <w:p w14:paraId="3724289B">
      <w:pPr>
        <w:pageBreakBefore w:val="0"/>
        <w:kinsoku/>
        <w:wordWrap w:val="0"/>
        <w:overflowPunct/>
        <w:topLinePunct/>
        <w:bidi w:val="0"/>
        <w:spacing w:before="140" w:line="196" w:lineRule="auto"/>
        <w:ind w:left="3758"/>
        <w:rPr>
          <w:rFonts w:hint="eastAsia" w:ascii="宋体" w:hAnsi="宋体" w:eastAsia="宋体" w:cs="宋体"/>
          <w:color w:val="000000" w:themeColor="text1"/>
          <w:sz w:val="13"/>
          <w:szCs w:val="13"/>
          <w:highlight w:val="none"/>
          <w14:textFill>
            <w14:solidFill>
              <w14:schemeClr w14:val="tx1"/>
            </w14:solidFill>
          </w14:textFill>
        </w:rPr>
      </w:pPr>
      <w:r>
        <w:rPr>
          <w:rFonts w:hint="eastAsia" w:ascii="宋体" w:hAnsi="宋体" w:eastAsia="宋体" w:cs="宋体"/>
          <w:color w:val="000000" w:themeColor="text1"/>
          <w:spacing w:val="-2"/>
          <w:position w:val="1"/>
          <w:sz w:val="24"/>
          <w:szCs w:val="24"/>
          <w:highlight w:val="none"/>
          <w14:textFill>
            <w14:solidFill>
              <w14:schemeClr w14:val="tx1"/>
            </w14:solidFill>
          </w14:textFill>
        </w:rPr>
        <w:t>F</w:t>
      </w:r>
      <w:r>
        <w:rPr>
          <w:rFonts w:hint="eastAsia" w:ascii="宋体" w:hAnsi="宋体" w:eastAsia="宋体" w:cs="宋体"/>
          <w:color w:val="000000" w:themeColor="text1"/>
          <w:spacing w:val="-2"/>
          <w:position w:val="-4"/>
          <w:sz w:val="13"/>
          <w:szCs w:val="13"/>
          <w:highlight w:val="none"/>
          <w14:textFill>
            <w14:solidFill>
              <w14:schemeClr w14:val="tx1"/>
            </w14:solidFill>
          </w14:textFill>
        </w:rPr>
        <w:t>0</w:t>
      </w:r>
    </w:p>
    <w:p w14:paraId="6780C75F">
      <w:pPr>
        <w:pageBreakBefore w:val="0"/>
        <w:kinsoku/>
        <w:wordWrap w:val="0"/>
        <w:overflowPunct/>
        <w:topLinePunct/>
        <w:bidi w:val="0"/>
        <w:spacing w:before="78" w:line="330" w:lineRule="auto"/>
        <w:ind w:right="59" w:firstLine="507"/>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以上公式中，F</w:t>
      </w:r>
      <w:r>
        <w:rPr>
          <w:rFonts w:hint="eastAsia" w:ascii="宋体" w:hAnsi="宋体" w:eastAsia="宋体" w:cs="宋体"/>
          <w:color w:val="000000" w:themeColor="text1"/>
          <w:spacing w:val="-4"/>
          <w:position w:val="-1"/>
          <w:sz w:val="15"/>
          <w:szCs w:val="15"/>
          <w:highlight w:val="none"/>
          <w14:textFill>
            <w14:solidFill>
              <w14:schemeClr w14:val="tx1"/>
            </w14:solidFill>
          </w14:textFill>
        </w:rPr>
        <w:t>1</w:t>
      </w:r>
      <w:r>
        <w:rPr>
          <w:rFonts w:hint="eastAsia" w:ascii="宋体" w:hAnsi="宋体" w:eastAsia="宋体" w:cs="宋体"/>
          <w:color w:val="000000" w:themeColor="text1"/>
          <w:spacing w:val="-4"/>
          <w:sz w:val="24"/>
          <w:szCs w:val="24"/>
          <w:highlight w:val="none"/>
          <w14:textFill>
            <w14:solidFill>
              <w14:schemeClr w14:val="tx1"/>
            </w14:solidFill>
          </w14:textFill>
        </w:rPr>
        <w:t>为中标单价；F</w:t>
      </w:r>
      <w:r>
        <w:rPr>
          <w:rFonts w:hint="eastAsia" w:ascii="宋体" w:hAnsi="宋体" w:eastAsia="宋体" w:cs="宋体"/>
          <w:color w:val="000000" w:themeColor="text1"/>
          <w:spacing w:val="-4"/>
          <w:position w:val="-1"/>
          <w:sz w:val="15"/>
          <w:szCs w:val="15"/>
          <w:highlight w:val="none"/>
          <w14:textFill>
            <w14:solidFill>
              <w14:schemeClr w14:val="tx1"/>
            </w14:solidFill>
          </w14:textFill>
        </w:rPr>
        <w:t>0</w:t>
      </w:r>
      <w:r>
        <w:rPr>
          <w:rFonts w:hint="eastAsia" w:ascii="宋体" w:hAnsi="宋体" w:eastAsia="宋体" w:cs="宋体"/>
          <w:color w:val="000000" w:themeColor="text1"/>
          <w:spacing w:val="-4"/>
          <w:sz w:val="24"/>
          <w:szCs w:val="24"/>
          <w:highlight w:val="none"/>
          <w14:textFill>
            <w14:solidFill>
              <w14:schemeClr w14:val="tx1"/>
            </w14:solidFill>
          </w14:textFill>
        </w:rPr>
        <w:t>为基准单价；F</w:t>
      </w:r>
      <w:r>
        <w:rPr>
          <w:rFonts w:hint="eastAsia" w:ascii="宋体" w:hAnsi="宋体" w:eastAsia="宋体" w:cs="宋体"/>
          <w:color w:val="000000" w:themeColor="text1"/>
          <w:spacing w:val="-4"/>
          <w:position w:val="-1"/>
          <w:sz w:val="15"/>
          <w:szCs w:val="15"/>
          <w:highlight w:val="none"/>
          <w14:textFill>
            <w14:solidFill>
              <w14:schemeClr w14:val="tx1"/>
            </w14:solidFill>
          </w14:textFill>
        </w:rPr>
        <w:t>2</w:t>
      </w:r>
      <w:r>
        <w:rPr>
          <w:rFonts w:hint="eastAsia" w:ascii="宋体" w:hAnsi="宋体" w:eastAsia="宋体" w:cs="宋体"/>
          <w:color w:val="000000" w:themeColor="text1"/>
          <w:spacing w:val="-4"/>
          <w:sz w:val="24"/>
          <w:szCs w:val="24"/>
          <w:highlight w:val="none"/>
          <w14:textFill>
            <w14:solidFill>
              <w14:schemeClr w14:val="tx1"/>
            </w14:solidFill>
          </w14:textFill>
        </w:rPr>
        <w:t>为施工当月项目所在地工程造价管</w:t>
      </w:r>
      <w:r>
        <w:rPr>
          <w:rFonts w:hint="eastAsia" w:ascii="宋体" w:hAnsi="宋体" w:eastAsia="宋体" w:cs="宋体"/>
          <w:color w:val="000000" w:themeColor="text1"/>
          <w:spacing w:val="-1"/>
          <w:sz w:val="24"/>
          <w:szCs w:val="24"/>
          <w:highlight w:val="none"/>
          <w14:textFill>
            <w14:solidFill>
              <w14:schemeClr w14:val="tx1"/>
            </w14:solidFill>
          </w14:textFill>
        </w:rPr>
        <w:t>理机构发布的材料、工程设备单价；A为合同约定的材料</w:t>
      </w:r>
      <w:r>
        <w:rPr>
          <w:rFonts w:hint="eastAsia" w:ascii="宋体" w:hAnsi="宋体" w:eastAsia="宋体" w:cs="宋体"/>
          <w:color w:val="000000" w:themeColor="text1"/>
          <w:spacing w:val="-2"/>
          <w:sz w:val="24"/>
          <w:szCs w:val="24"/>
          <w:highlight w:val="none"/>
          <w14:textFill>
            <w14:solidFill>
              <w14:schemeClr w14:val="tx1"/>
            </w14:solidFill>
          </w14:textFill>
        </w:rPr>
        <w:t>、工程设备单价涨跌风险幅度</w:t>
      </w:r>
      <w:r>
        <w:rPr>
          <w:rFonts w:hint="eastAsia" w:ascii="宋体" w:hAnsi="宋体" w:eastAsia="宋体" w:cs="宋体"/>
          <w:color w:val="000000" w:themeColor="text1"/>
          <w:spacing w:val="-5"/>
          <w:sz w:val="24"/>
          <w:szCs w:val="24"/>
          <w:highlight w:val="none"/>
          <w14:textFill>
            <w14:solidFill>
              <w14:schemeClr w14:val="tx1"/>
            </w14:solidFill>
          </w14:textFill>
        </w:rPr>
        <w:t>值。</w:t>
      </w:r>
    </w:p>
    <w:p w14:paraId="3EDD36E8">
      <w:pPr>
        <w:pageBreakBefore w:val="0"/>
        <w:kinsoku/>
        <w:wordWrap w:val="0"/>
        <w:overflowPunct/>
        <w:topLinePunct/>
        <w:bidi w:val="0"/>
        <w:spacing w:before="33" w:line="299" w:lineRule="auto"/>
        <w:ind w:right="59"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"2.3.6.3"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2.3.6.3</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3"/>
          <w:sz w:val="24"/>
          <w:szCs w:val="24"/>
          <w:highlight w:val="none"/>
          <w14:textFill>
            <w14:solidFill>
              <w14:schemeClr w14:val="tx1"/>
            </w14:solidFill>
          </w14:textFill>
        </w:rPr>
        <w:t>合同履行期间，当《发包人提供材料和工程设备一览表》（详见招标工程量</w:t>
      </w:r>
      <w:r>
        <w:rPr>
          <w:rFonts w:hint="eastAsia" w:ascii="宋体" w:hAnsi="宋体" w:eastAsia="宋体" w:cs="宋体"/>
          <w:color w:val="000000" w:themeColor="text1"/>
          <w:spacing w:val="-2"/>
          <w:sz w:val="24"/>
          <w:szCs w:val="24"/>
          <w:highlight w:val="none"/>
          <w14:textFill>
            <w14:solidFill>
              <w14:schemeClr w14:val="tx1"/>
            </w14:solidFill>
          </w14:textFill>
        </w:rPr>
        <w:t>清单）中的材料、工程设备单价发生变化时，由发包人按照实际变化调整，并列入合同</w:t>
      </w:r>
      <w:r>
        <w:rPr>
          <w:rFonts w:hint="eastAsia" w:ascii="宋体" w:hAnsi="宋体" w:eastAsia="宋体" w:cs="宋体"/>
          <w:color w:val="000000" w:themeColor="text1"/>
          <w:spacing w:val="-4"/>
          <w:sz w:val="24"/>
          <w:szCs w:val="24"/>
          <w:highlight w:val="none"/>
          <w14:textFill>
            <w14:solidFill>
              <w14:schemeClr w14:val="tx1"/>
            </w14:solidFill>
          </w14:textFill>
        </w:rPr>
        <w:t>价款。</w:t>
      </w:r>
    </w:p>
    <w:p w14:paraId="4B419F7D">
      <w:pPr>
        <w:pageBreakBefore w:val="0"/>
        <w:kinsoku/>
        <w:wordWrap w:val="0"/>
        <w:overflowPunct/>
        <w:topLinePunct/>
        <w:bidi w:val="0"/>
        <w:spacing w:before="121" w:line="308" w:lineRule="auto"/>
        <w:ind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"2.3.6.4"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3"/>
          <w:sz w:val="24"/>
          <w:szCs w:val="24"/>
          <w:highlight w:val="none"/>
          <w14:textFill>
            <w14:solidFill>
              <w14:schemeClr w14:val="tx1"/>
            </w14:solidFill>
          </w14:textFill>
        </w:rPr>
        <w:t>2.3.6.4</w:t>
      </w:r>
      <w:r>
        <w:rPr>
          <w:rFonts w:hint="eastAsia" w:ascii="宋体" w:hAnsi="宋体" w:eastAsia="宋体" w:cs="宋体"/>
          <w:b/>
          <w:bCs/>
          <w:color w:val="000000" w:themeColor="text1"/>
          <w:spacing w:val="-3"/>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3"/>
          <w:sz w:val="24"/>
          <w:szCs w:val="24"/>
          <w:highlight w:val="none"/>
          <w14:textFill>
            <w14:solidFill>
              <w14:schemeClr w14:val="tx1"/>
            </w14:solidFill>
          </w14:textFill>
        </w:rPr>
        <w:t>本招标项目约定，施工机具台班单价涨跌风险幅度值B</w:t>
      </w:r>
      <w:r>
        <w:rPr>
          <w:rFonts w:hint="eastAsia" w:ascii="宋体" w:hAnsi="宋体" w:eastAsia="宋体" w:cs="宋体"/>
          <w:color w:val="000000" w:themeColor="text1"/>
          <w:spacing w:val="-4"/>
          <w:sz w:val="24"/>
          <w:szCs w:val="24"/>
          <w:highlight w:val="none"/>
          <w14:textFill>
            <w14:solidFill>
              <w14:schemeClr w14:val="tx1"/>
            </w14:solidFill>
          </w14:textFill>
        </w:rPr>
        <w:t>为</w:t>
      </w:r>
      <w:r>
        <w:rPr>
          <w:rFonts w:hint="eastAsia" w:ascii="宋体" w:hAnsi="宋体" w:eastAsia="宋体" w:cs="宋体"/>
          <w:color w:val="000000" w:themeColor="text1"/>
          <w:spacing w:val="-4"/>
          <w:sz w:val="24"/>
          <w:szCs w:val="24"/>
          <w:highlight w:val="none"/>
          <w:u w:val="single"/>
          <w14:textFill>
            <w14:solidFill>
              <w14:schemeClr w14:val="tx1"/>
            </w14:solidFill>
          </w14:textFill>
        </w:rPr>
        <w:t>10%</w:t>
      </w:r>
      <w:r>
        <w:rPr>
          <w:rFonts w:hint="eastAsia" w:ascii="宋体" w:hAnsi="宋体" w:eastAsia="宋体" w:cs="宋体"/>
          <w:color w:val="000000" w:themeColor="text1"/>
          <w:spacing w:val="-4"/>
          <w:sz w:val="24"/>
          <w:szCs w:val="24"/>
          <w:highlight w:val="none"/>
          <w14:textFill>
            <w14:solidFill>
              <w14:schemeClr w14:val="tx1"/>
            </w14:solidFill>
          </w14:textFill>
        </w:rPr>
        <w:t>。合同履行</w:t>
      </w:r>
      <w:r>
        <w:rPr>
          <w:rFonts w:hint="eastAsia" w:ascii="宋体" w:hAnsi="宋体" w:eastAsia="宋体" w:cs="宋体"/>
          <w:color w:val="000000" w:themeColor="text1"/>
          <w:spacing w:val="-7"/>
          <w:sz w:val="24"/>
          <w:szCs w:val="24"/>
          <w:highlight w:val="none"/>
          <w14:textFill>
            <w14:solidFill>
              <w14:schemeClr w14:val="tx1"/>
            </w14:solidFill>
          </w14:textFill>
        </w:rPr>
        <w:t>期间，当施工机具台班单价涨跌幅度等于或低于B值时，该施工机具台班单价不予调</w:t>
      </w:r>
      <w:r>
        <w:rPr>
          <w:rFonts w:hint="eastAsia" w:ascii="宋体" w:hAnsi="宋体" w:eastAsia="宋体" w:cs="宋体"/>
          <w:color w:val="000000" w:themeColor="text1"/>
          <w:spacing w:val="-8"/>
          <w:sz w:val="24"/>
          <w:szCs w:val="24"/>
          <w:highlight w:val="none"/>
          <w14:textFill>
            <w14:solidFill>
              <w14:schemeClr w14:val="tx1"/>
            </w14:solidFill>
          </w14:textFill>
        </w:rPr>
        <w:t>整；</w:t>
      </w:r>
      <w:r>
        <w:rPr>
          <w:rFonts w:hint="eastAsia" w:ascii="宋体" w:hAnsi="宋体" w:eastAsia="宋体" w:cs="宋体"/>
          <w:color w:val="000000" w:themeColor="text1"/>
          <w:sz w:val="24"/>
          <w:szCs w:val="24"/>
          <w:highlight w:val="none"/>
          <w14:textFill>
            <w14:solidFill>
              <w14:schemeClr w14:val="tx1"/>
            </w14:solidFill>
          </w14:textFill>
        </w:rPr>
        <w:t>超过B值时，其超过部分可以调整。相关费</w:t>
      </w:r>
      <w:r>
        <w:rPr>
          <w:rFonts w:hint="eastAsia" w:ascii="宋体" w:hAnsi="宋体" w:eastAsia="宋体" w:cs="宋体"/>
          <w:color w:val="000000" w:themeColor="text1"/>
          <w:spacing w:val="-1"/>
          <w:sz w:val="24"/>
          <w:szCs w:val="24"/>
          <w:highlight w:val="none"/>
          <w14:textFill>
            <w14:solidFill>
              <w14:schemeClr w14:val="tx1"/>
            </w14:solidFill>
          </w14:textFill>
        </w:rPr>
        <w:t>用按有关规定进行相应调整。</w:t>
      </w:r>
    </w:p>
    <w:p w14:paraId="1704EB53">
      <w:pPr>
        <w:pageBreakBefore w:val="0"/>
        <w:kinsoku/>
        <w:wordWrap w:val="0"/>
        <w:overflowPunct/>
        <w:topLinePunct/>
        <w:bidi w:val="0"/>
        <w:spacing w:before="153" w:line="278" w:lineRule="auto"/>
        <w:ind w:left="42" w:right="59" w:firstLine="44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a</w:t>
      </w:r>
      <w:r>
        <w:rPr>
          <w:rFonts w:hint="eastAsia" w:ascii="宋体" w:hAnsi="宋体" w:eastAsia="宋体" w:cs="宋体"/>
          <w:color w:val="000000" w:themeColor="text1"/>
          <w:spacing w:val="-1"/>
          <w:sz w:val="24"/>
          <w:szCs w:val="24"/>
          <w:highlight w:val="none"/>
          <w14:textFill>
            <w14:solidFill>
              <w14:schemeClr w14:val="tx1"/>
            </w14:solidFill>
          </w14:textFill>
        </w:rPr>
        <w:t>．如果承包人投标报价中施工机具台班单价（以下简称“中标单价”</w:t>
      </w:r>
      <w:r>
        <w:rPr>
          <w:rFonts w:hint="eastAsia" w:ascii="宋体" w:hAnsi="宋体" w:eastAsia="宋体" w:cs="宋体"/>
          <w:color w:val="000000" w:themeColor="text1"/>
          <w:spacing w:val="-2"/>
          <w:sz w:val="24"/>
          <w:szCs w:val="24"/>
          <w:highlight w:val="none"/>
          <w14:textFill>
            <w14:solidFill>
              <w14:schemeClr w14:val="tx1"/>
            </w14:solidFill>
          </w14:textFill>
        </w:rPr>
        <w:t>）低于基准</w:t>
      </w:r>
      <w:r>
        <w:rPr>
          <w:rFonts w:hint="eastAsia" w:ascii="宋体" w:hAnsi="宋体" w:eastAsia="宋体" w:cs="宋体"/>
          <w:color w:val="000000" w:themeColor="text1"/>
          <w:spacing w:val="-3"/>
          <w:sz w:val="24"/>
          <w:szCs w:val="24"/>
          <w:highlight w:val="none"/>
          <w14:textFill>
            <w14:solidFill>
              <w14:schemeClr w14:val="tx1"/>
            </w14:solidFill>
          </w14:textFill>
        </w:rPr>
        <w:t>日当月项目所在地工程造价管理机构发布的对应施工机具台班单价（以下简称“基准单</w:t>
      </w:r>
      <w:r>
        <w:rPr>
          <w:rFonts w:hint="eastAsia" w:ascii="宋体" w:hAnsi="宋体" w:eastAsia="宋体" w:cs="宋体"/>
          <w:color w:val="000000" w:themeColor="text1"/>
          <w:spacing w:val="-2"/>
          <w:sz w:val="24"/>
          <w:szCs w:val="24"/>
          <w:highlight w:val="none"/>
          <w14:textFill>
            <w14:solidFill>
              <w14:schemeClr w14:val="tx1"/>
            </w14:solidFill>
          </w14:textFill>
        </w:rPr>
        <w:t>价”），该施工机具台班的结算单价调整公式为：</w:t>
      </w:r>
    </w:p>
    <w:p w14:paraId="604F88D7">
      <w:pPr>
        <w:pageBreakBefore w:val="0"/>
        <w:kinsoku/>
        <w:wordWrap w:val="0"/>
        <w:overflowPunct/>
        <w:topLinePunct/>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1"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1" DrawAspect="Content" ObjectID="_1468075731" r:id="rId39">
            <o:LockedField>false</o:LockedField>
          </o:OLEObject>
        </w:object>
      </w:r>
    </w:p>
    <w:p w14:paraId="6B80B6F3">
      <w:pPr>
        <w:pageBreakBefore w:val="0"/>
        <w:kinsoku/>
        <w:wordWrap w:val="0"/>
        <w:overflowPunct/>
        <w:topLinePunct/>
        <w:bidi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2" o:spt="75" type="#_x0000_t75" style="height:33.95pt;width:198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2" DrawAspect="Content" ObjectID="_1468075732" r:id="rId41">
            <o:LockedField>false</o:LockedField>
          </o:OLEObject>
        </w:object>
      </w:r>
    </w:p>
    <w:p w14:paraId="37E27B74">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b</w:t>
      </w:r>
      <w:r>
        <w:rPr>
          <w:rFonts w:hint="eastAsia" w:ascii="宋体" w:hAnsi="宋体" w:eastAsia="宋体" w:cs="宋体"/>
          <w:snapToGrid w:val="0"/>
          <w:color w:val="000000" w:themeColor="text1"/>
          <w:kern w:val="0"/>
          <w:sz w:val="24"/>
          <w:szCs w:val="24"/>
          <w:highlight w:val="none"/>
          <w14:textFill>
            <w14:solidFill>
              <w14:schemeClr w14:val="tx1"/>
            </w14:solidFill>
          </w14:textFill>
        </w:rPr>
        <w:t>．如果中标单价高于基准单价，该施工机具台班的结算单价调整公式为：</w:t>
      </w:r>
    </w:p>
    <w:p w14:paraId="7FA783C5">
      <w:pPr>
        <w:pageBreakBefore w:val="0"/>
        <w:kinsoku/>
        <w:wordWrap w:val="0"/>
        <w:overflowPunct/>
        <w:topLinePunct/>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3"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3" DrawAspect="Content" ObjectID="_1468075733" r:id="rId43">
            <o:LockedField>false</o:LockedField>
          </o:OLEObject>
        </w:object>
      </w:r>
    </w:p>
    <w:p w14:paraId="4EBD9E77">
      <w:pPr>
        <w:pageBreakBefore w:val="0"/>
        <w:kinsoku/>
        <w:wordWrap w:val="0"/>
        <w:overflowPunct/>
        <w:topLinePunct/>
        <w:bidi w:val="0"/>
        <w:adjustRightIn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4" o:spt="75" type="#_x0000_t75" style="height:33.95pt;width:200.95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4" DrawAspect="Content" ObjectID="_1468075734" r:id="rId45">
            <o:LockedField>false</o:LockedField>
          </o:OLEObject>
        </w:object>
      </w:r>
    </w:p>
    <w:p w14:paraId="636EA59F">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c</w:t>
      </w:r>
      <w:r>
        <w:rPr>
          <w:rFonts w:hint="eastAsia" w:ascii="宋体" w:hAnsi="宋体" w:eastAsia="宋体" w:cs="宋体"/>
          <w:snapToGrid w:val="0"/>
          <w:color w:val="000000" w:themeColor="text1"/>
          <w:kern w:val="0"/>
          <w:sz w:val="24"/>
          <w:szCs w:val="24"/>
          <w:highlight w:val="none"/>
          <w14:textFill>
            <w14:solidFill>
              <w14:schemeClr w14:val="tx1"/>
            </w14:solidFill>
          </w14:textFill>
        </w:rPr>
        <w:t>．如果中标单价等于基准单价，该施工机具台班的结算单价调整公式为：</w:t>
      </w:r>
    </w:p>
    <w:p w14:paraId="08875E7E">
      <w:pPr>
        <w:pageBreakBefore w:val="0"/>
        <w:kinsoku/>
        <w:wordWrap w:val="0"/>
        <w:overflowPunct/>
        <w:topLinePunct/>
        <w:bidi w:val="0"/>
        <w:adjustRightInd w:val="0"/>
        <w:snapToGrid w:val="0"/>
        <w:spacing w:before="360" w:beforeLines="150" w:after="240" w:afterLines="100" w:line="440" w:lineRule="exact"/>
        <w:ind w:firstLine="480" w:firstLineChars="200"/>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涨价时，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5"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5" DrawAspect="Content" ObjectID="_1468075735" r:id="rId47">
            <o:LockedField>false</o:LockedField>
          </o:OLEObject>
        </w:object>
      </w:r>
    </w:p>
    <w:p w14:paraId="72B12F67">
      <w:pPr>
        <w:pageBreakBefore w:val="0"/>
        <w:kinsoku/>
        <w:wordWrap w:val="0"/>
        <w:overflowPunct/>
        <w:topLinePunct/>
        <w:bidi w:val="0"/>
        <w:spacing w:before="79" w:line="324" w:lineRule="auto"/>
        <w:ind w:left="11" w:right="65" w:firstLine="504"/>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跌价时，</w:t>
      </w:r>
      <w:r>
        <w:rPr>
          <w:rFonts w:hint="eastAsia" w:ascii="宋体" w:hAnsi="宋体" w:eastAsia="宋体" w:cs="宋体"/>
          <w:snapToGrid w:val="0"/>
          <w:color w:val="000000" w:themeColor="text1"/>
          <w:kern w:val="0"/>
          <w:position w:val="-30"/>
          <w:sz w:val="24"/>
          <w:szCs w:val="24"/>
          <w:highlight w:val="none"/>
          <w14:textFill>
            <w14:solidFill>
              <w14:schemeClr w14:val="tx1"/>
            </w14:solidFill>
          </w14:textFill>
        </w:rPr>
        <w:object>
          <v:shape id="_x0000_i1036"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6" DrawAspect="Content" ObjectID="_1468075736" r:id="rId49">
            <o:LockedField>false</o:LockedField>
          </o:OLEObject>
        </w:object>
      </w:r>
    </w:p>
    <w:p w14:paraId="6C9EF355">
      <w:pPr>
        <w:pageBreakBefore w:val="0"/>
        <w:kinsoku/>
        <w:wordWrap w:val="0"/>
        <w:overflowPunct/>
        <w:topLinePunct/>
        <w:bidi w:val="0"/>
        <w:spacing w:before="79" w:line="324" w:lineRule="auto"/>
        <w:ind w:left="11" w:right="65" w:firstLine="5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以上公式中，F</w:t>
      </w:r>
      <w:r>
        <w:rPr>
          <w:rFonts w:hint="eastAsia" w:ascii="宋体" w:hAnsi="宋体" w:eastAsia="宋体" w:cs="宋体"/>
          <w:color w:val="000000" w:themeColor="text1"/>
          <w:spacing w:val="-4"/>
          <w:position w:val="-1"/>
          <w:sz w:val="15"/>
          <w:szCs w:val="15"/>
          <w:highlight w:val="none"/>
          <w14:textFill>
            <w14:solidFill>
              <w14:schemeClr w14:val="tx1"/>
            </w14:solidFill>
          </w14:textFill>
        </w:rPr>
        <w:t>1</w:t>
      </w:r>
      <w:r>
        <w:rPr>
          <w:rFonts w:hint="eastAsia" w:ascii="宋体" w:hAnsi="宋体" w:eastAsia="宋体" w:cs="宋体"/>
          <w:color w:val="000000" w:themeColor="text1"/>
          <w:spacing w:val="-4"/>
          <w:sz w:val="24"/>
          <w:szCs w:val="24"/>
          <w:highlight w:val="none"/>
          <w14:textFill>
            <w14:solidFill>
              <w14:schemeClr w14:val="tx1"/>
            </w14:solidFill>
          </w14:textFill>
        </w:rPr>
        <w:t>为中标单价；F</w:t>
      </w:r>
      <w:r>
        <w:rPr>
          <w:rFonts w:hint="eastAsia" w:ascii="宋体" w:hAnsi="宋体" w:eastAsia="宋体" w:cs="宋体"/>
          <w:color w:val="000000" w:themeColor="text1"/>
          <w:spacing w:val="-4"/>
          <w:position w:val="-1"/>
          <w:sz w:val="15"/>
          <w:szCs w:val="15"/>
          <w:highlight w:val="none"/>
          <w14:textFill>
            <w14:solidFill>
              <w14:schemeClr w14:val="tx1"/>
            </w14:solidFill>
          </w14:textFill>
        </w:rPr>
        <w:t>0</w:t>
      </w:r>
      <w:r>
        <w:rPr>
          <w:rFonts w:hint="eastAsia" w:ascii="宋体" w:hAnsi="宋体" w:eastAsia="宋体" w:cs="宋体"/>
          <w:color w:val="000000" w:themeColor="text1"/>
          <w:spacing w:val="-4"/>
          <w:sz w:val="24"/>
          <w:szCs w:val="24"/>
          <w:highlight w:val="none"/>
          <w14:textFill>
            <w14:solidFill>
              <w14:schemeClr w14:val="tx1"/>
            </w14:solidFill>
          </w14:textFill>
        </w:rPr>
        <w:t>为基准单价；F</w:t>
      </w:r>
      <w:r>
        <w:rPr>
          <w:rFonts w:hint="eastAsia" w:ascii="宋体" w:hAnsi="宋体" w:eastAsia="宋体" w:cs="宋体"/>
          <w:color w:val="000000" w:themeColor="text1"/>
          <w:spacing w:val="-4"/>
          <w:position w:val="-1"/>
          <w:sz w:val="15"/>
          <w:szCs w:val="15"/>
          <w:highlight w:val="none"/>
          <w14:textFill>
            <w14:solidFill>
              <w14:schemeClr w14:val="tx1"/>
            </w14:solidFill>
          </w14:textFill>
        </w:rPr>
        <w:t>2</w:t>
      </w:r>
      <w:r>
        <w:rPr>
          <w:rFonts w:hint="eastAsia" w:ascii="宋体" w:hAnsi="宋体" w:eastAsia="宋体" w:cs="宋体"/>
          <w:color w:val="000000" w:themeColor="text1"/>
          <w:spacing w:val="-4"/>
          <w:sz w:val="24"/>
          <w:szCs w:val="24"/>
          <w:highlight w:val="none"/>
          <w14:textFill>
            <w14:solidFill>
              <w14:schemeClr w14:val="tx1"/>
            </w14:solidFill>
          </w14:textFill>
        </w:rPr>
        <w:t>为施工当月项目所在地工程造价管</w:t>
      </w:r>
      <w:r>
        <w:rPr>
          <w:rFonts w:hint="eastAsia" w:ascii="宋体" w:hAnsi="宋体" w:eastAsia="宋体" w:cs="宋体"/>
          <w:color w:val="000000" w:themeColor="text1"/>
          <w:spacing w:val="-1"/>
          <w:sz w:val="24"/>
          <w:szCs w:val="24"/>
          <w:highlight w:val="none"/>
          <w14:textFill>
            <w14:solidFill>
              <w14:schemeClr w14:val="tx1"/>
            </w14:solidFill>
          </w14:textFill>
        </w:rPr>
        <w:t>理机构发布的施工机具台班单价；B为合同约定的施工机具台班单价</w:t>
      </w:r>
      <w:r>
        <w:rPr>
          <w:rFonts w:hint="eastAsia" w:ascii="宋体" w:hAnsi="宋体" w:eastAsia="宋体" w:cs="宋体"/>
          <w:color w:val="000000" w:themeColor="text1"/>
          <w:spacing w:val="-2"/>
          <w:sz w:val="24"/>
          <w:szCs w:val="24"/>
          <w:highlight w:val="none"/>
          <w14:textFill>
            <w14:solidFill>
              <w14:schemeClr w14:val="tx1"/>
            </w14:solidFill>
          </w14:textFill>
        </w:rPr>
        <w:t>涨跌风险幅度值。</w:t>
      </w:r>
    </w:p>
    <w:p w14:paraId="4EE338E0">
      <w:pPr>
        <w:pageBreakBefore w:val="0"/>
        <w:kinsoku/>
        <w:wordWrap w:val="0"/>
        <w:overflowPunct/>
        <w:topLinePunct/>
        <w:bidi w:val="0"/>
        <w:spacing w:before="39" w:line="219" w:lineRule="auto"/>
        <w:ind w:left="48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2.3.7</w:t>
      </w:r>
      <w:r>
        <w:rPr>
          <w:rFonts w:hint="eastAsia" w:ascii="宋体" w:hAnsi="宋体" w:eastAsia="宋体" w:cs="宋体"/>
          <w:color w:val="000000" w:themeColor="text1"/>
          <w:spacing w:val="-1"/>
          <w:sz w:val="24"/>
          <w:szCs w:val="24"/>
          <w:highlight w:val="none"/>
          <w14:textFill>
            <w14:solidFill>
              <w14:schemeClr w14:val="tx1"/>
            </w14:solidFill>
          </w14:textFill>
        </w:rPr>
        <w:t>暂估价和暂列金额</w:t>
      </w:r>
    </w:p>
    <w:p w14:paraId="1FE499CB">
      <w:pPr>
        <w:pageBreakBefore w:val="0"/>
        <w:kinsoku/>
        <w:wordWrap w:val="0"/>
        <w:overflowPunct/>
        <w:topLinePunct/>
        <w:bidi w:val="0"/>
        <w:spacing w:before="154" w:line="299" w:lineRule="auto"/>
        <w:ind w:left="7" w:right="57" w:firstLine="477"/>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"2.3.7.1"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2"/>
          <w:sz w:val="24"/>
          <w:szCs w:val="24"/>
          <w:highlight w:val="none"/>
          <w14:textFill>
            <w14:solidFill>
              <w14:schemeClr w14:val="tx1"/>
            </w14:solidFill>
          </w14:textFill>
        </w:rPr>
        <w:t>2.3.7.1</w:t>
      </w:r>
      <w:r>
        <w:rPr>
          <w:rFonts w:hint="eastAsia" w:ascii="宋体" w:hAnsi="宋体" w:eastAsia="宋体" w:cs="宋体"/>
          <w:b/>
          <w:bCs/>
          <w:color w:val="000000" w:themeColor="text1"/>
          <w:spacing w:val="-2"/>
          <w:sz w:val="24"/>
          <w:szCs w:val="24"/>
          <w:highlight w:val="none"/>
          <w14:textFill>
            <w14:solidFill>
              <w14:schemeClr w14:val="tx1"/>
            </w14:solidFill>
          </w14:textFill>
        </w:rPr>
        <w:fldChar w:fldCharType="end"/>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暂估价项目按第一章第三节“投标人须知正文”第</w:t>
      </w:r>
      <w:r>
        <w:rPr>
          <w:rFonts w:hint="eastAsia" w:ascii="宋体" w:hAnsi="宋体" w:eastAsia="宋体" w:cs="宋体"/>
          <w:b/>
          <w:bCs/>
          <w:snapToGrid w:val="0"/>
          <w:color w:val="000000" w:themeColor="text1"/>
          <w:kern w:val="0"/>
          <w:sz w:val="24"/>
          <w:szCs w:val="24"/>
          <w:highlight w:val="none"/>
          <w:lang w:eastAsia="zh-CN"/>
          <w14:textFill>
            <w14:solidFill>
              <w14:schemeClr w14:val="tx1"/>
            </w14:solidFill>
          </w14:textFill>
        </w:rPr>
        <w:t>8.5</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条的规定确定专业工程承包人（或材料供应商、工程设备供应商）后，将专业工程合同价款（或材料单价、工程设备单价）取代相应暂估价，并调整合同价款。</w:t>
      </w:r>
    </w:p>
    <w:p w14:paraId="70F7A80E">
      <w:pPr>
        <w:pageBreakBefore w:val="0"/>
        <w:kinsoku/>
        <w:wordWrap w:val="0"/>
        <w:overflowPunct/>
        <w:topLinePunct/>
        <w:bidi w:val="0"/>
        <w:spacing w:before="153" w:line="315" w:lineRule="auto"/>
        <w:ind w:left="8" w:right="2" w:firstLine="476"/>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"2.3.7.2"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
          <w:bCs/>
          <w:color w:val="000000" w:themeColor="text1"/>
          <w:spacing w:val="-8"/>
          <w:sz w:val="24"/>
          <w:szCs w:val="24"/>
          <w:highlight w:val="none"/>
          <w14:textFill>
            <w14:solidFill>
              <w14:schemeClr w14:val="tx1"/>
            </w14:solidFill>
          </w14:textFill>
        </w:rPr>
        <w:t>2.3.7.2</w:t>
      </w:r>
      <w:r>
        <w:rPr>
          <w:rFonts w:hint="eastAsia" w:ascii="宋体" w:hAnsi="宋体" w:eastAsia="宋体" w:cs="宋体"/>
          <w:b/>
          <w:bCs/>
          <w:color w:val="000000" w:themeColor="text1"/>
          <w:spacing w:val="-8"/>
          <w:sz w:val="24"/>
          <w:szCs w:val="24"/>
          <w:highlight w:val="none"/>
          <w14:textFill>
            <w14:solidFill>
              <w14:schemeClr w14:val="tx1"/>
            </w14:solidFill>
          </w14:textFill>
        </w:rPr>
        <w:fldChar w:fldCharType="end"/>
      </w:r>
      <w:r>
        <w:rPr>
          <w:rFonts w:hint="eastAsia" w:ascii="宋体" w:hAnsi="宋体" w:eastAsia="宋体" w:cs="宋体"/>
          <w:color w:val="000000" w:themeColor="text1"/>
          <w:spacing w:val="-8"/>
          <w:sz w:val="24"/>
          <w:szCs w:val="24"/>
          <w:highlight w:val="none"/>
          <w14:textFill>
            <w14:solidFill>
              <w14:schemeClr w14:val="tx1"/>
            </w14:solidFill>
          </w14:textFill>
        </w:rPr>
        <w:t>暂列金额由发包人掌握和使用。暂列金额项目若有发</w:t>
      </w:r>
      <w:r>
        <w:rPr>
          <w:rFonts w:hint="eastAsia" w:ascii="宋体" w:hAnsi="宋体" w:eastAsia="宋体" w:cs="宋体"/>
          <w:color w:val="000000" w:themeColor="text1"/>
          <w:spacing w:val="-9"/>
          <w:sz w:val="24"/>
          <w:szCs w:val="24"/>
          <w:highlight w:val="none"/>
          <w14:textFill>
            <w14:solidFill>
              <w14:schemeClr w14:val="tx1"/>
            </w14:solidFill>
          </w14:textFill>
        </w:rPr>
        <w:t>生，按第一章第三节“投</w:t>
      </w:r>
      <w:r>
        <w:rPr>
          <w:rFonts w:hint="eastAsia" w:ascii="宋体" w:hAnsi="宋体" w:eastAsia="宋体" w:cs="宋体"/>
          <w:color w:val="000000" w:themeColor="text1"/>
          <w:spacing w:val="-5"/>
          <w:sz w:val="24"/>
          <w:szCs w:val="24"/>
          <w:highlight w:val="none"/>
          <w14:textFill>
            <w14:solidFill>
              <w14:schemeClr w14:val="tx1"/>
            </w14:solidFill>
          </w14:textFill>
        </w:rPr>
        <w:t>标人须知正文”第</w:t>
      </w:r>
      <w:r>
        <w:rPr>
          <w:rFonts w:hint="eastAsia" w:ascii="宋体" w:hAnsi="宋体" w:eastAsia="宋体" w:cs="宋体"/>
          <w:b/>
          <w:bCs/>
          <w:color w:val="000000" w:themeColor="text1"/>
          <w:spacing w:val="-5"/>
          <w:sz w:val="24"/>
          <w:szCs w:val="24"/>
          <w:highlight w:val="none"/>
          <w14:textFill>
            <w14:solidFill>
              <w14:schemeClr w14:val="tx1"/>
            </w14:solidFill>
          </w14:textFill>
        </w:rPr>
        <w:t>8.6</w:t>
      </w:r>
      <w:r>
        <w:rPr>
          <w:rFonts w:hint="eastAsia" w:ascii="宋体" w:hAnsi="宋体" w:eastAsia="宋体" w:cs="宋体"/>
          <w:color w:val="000000" w:themeColor="text1"/>
          <w:spacing w:val="-5"/>
          <w:sz w:val="24"/>
          <w:szCs w:val="24"/>
          <w:highlight w:val="none"/>
          <w14:textFill>
            <w14:solidFill>
              <w14:schemeClr w14:val="tx1"/>
            </w14:solidFill>
          </w14:textFill>
        </w:rPr>
        <w:t>条的规定确定材料供应商（或工程设备供</w:t>
      </w:r>
      <w:r>
        <w:rPr>
          <w:rFonts w:hint="eastAsia" w:ascii="宋体" w:hAnsi="宋体" w:eastAsia="宋体" w:cs="宋体"/>
          <w:color w:val="000000" w:themeColor="text1"/>
          <w:spacing w:val="-6"/>
          <w:sz w:val="24"/>
          <w:szCs w:val="24"/>
          <w:highlight w:val="none"/>
          <w14:textFill>
            <w14:solidFill>
              <w14:schemeClr w14:val="tx1"/>
            </w14:solidFill>
          </w14:textFill>
        </w:rPr>
        <w:t>应商、服务供应商）后，</w:t>
      </w:r>
      <w:r>
        <w:rPr>
          <w:rFonts w:hint="eastAsia" w:ascii="宋体" w:hAnsi="宋体" w:eastAsia="宋体" w:cs="宋体"/>
          <w:color w:val="000000" w:themeColor="text1"/>
          <w:spacing w:val="-2"/>
          <w:sz w:val="24"/>
          <w:szCs w:val="24"/>
          <w:highlight w:val="none"/>
          <w14:textFill>
            <w14:solidFill>
              <w14:schemeClr w14:val="tx1"/>
            </w14:solidFill>
          </w14:textFill>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000000" w:themeColor="text1"/>
          <w:spacing w:val="-1"/>
          <w:sz w:val="24"/>
          <w:szCs w:val="24"/>
          <w:highlight w:val="none"/>
          <w14:textFill>
            <w14:solidFill>
              <w14:schemeClr w14:val="tx1"/>
            </w14:solidFill>
          </w14:textFill>
        </w:rPr>
        <w:t>现场签证确认等的费用后，余额（若有）归发包人所有。</w:t>
      </w:r>
    </w:p>
    <w:p w14:paraId="3279E7CB">
      <w:pPr>
        <w:pageBreakBefore w:val="0"/>
        <w:kinsoku/>
        <w:wordWrap w:val="0"/>
        <w:overflowPunct/>
        <w:topLinePunct/>
        <w:bidi w:val="0"/>
        <w:spacing w:before="153" w:line="315" w:lineRule="auto"/>
        <w:ind w:left="8" w:right="2" w:firstLine="476"/>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b/>
          <w:bCs/>
          <w:color w:val="000000" w:themeColor="text1"/>
          <w:spacing w:val="-8"/>
          <w:sz w:val="24"/>
          <w:szCs w:val="24"/>
          <w:highlight w:val="none"/>
          <w14:textFill>
            <w14:solidFill>
              <w14:schemeClr w14:val="tx1"/>
            </w14:solidFill>
          </w14:textFill>
        </w:rPr>
        <w:t>2.3.8</w:t>
      </w:r>
      <w:r>
        <w:rPr>
          <w:rFonts w:hint="eastAsia" w:ascii="宋体" w:hAnsi="宋体" w:eastAsia="宋体" w:cs="宋体"/>
          <w:color w:val="000000" w:themeColor="text1"/>
          <w:spacing w:val="-8"/>
          <w:sz w:val="24"/>
          <w:szCs w:val="24"/>
          <w:highlight w:val="none"/>
          <w14:textFill>
            <w14:solidFill>
              <w14:schemeClr w14:val="tx1"/>
            </w14:solidFill>
          </w14:textFill>
        </w:rPr>
        <w:t>预算包干费：根据《市政工程工程量计算标准》（GB/T</w:t>
      </w:r>
      <w:r>
        <w:rPr>
          <w:rFonts w:hint="eastAsia" w:ascii="宋体" w:hAnsi="宋体" w:eastAsia="宋体" w:cs="宋体"/>
          <w:color w:val="000000" w:themeColor="text1"/>
          <w:spacing w:val="-8"/>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《广东省建设工程计价依据(2018)》</w:t>
      </w:r>
      <w:r>
        <w:rPr>
          <w:rFonts w:hint="eastAsia" w:ascii="宋体" w:hAnsi="宋体" w:eastAsia="宋体" w:cs="宋体"/>
          <w:color w:val="000000" w:themeColor="text1"/>
          <w:spacing w:val="-8"/>
          <w:sz w:val="24"/>
          <w:szCs w:val="24"/>
          <w:highlight w:val="none"/>
          <w14:textFill>
            <w14:solidFill>
              <w14:schemeClr w14:val="tx1"/>
            </w14:solidFill>
          </w14:textFill>
        </w:rPr>
        <w:t>》相关规定。若发生工程签证变更，应按合同约定计取预算包干费。</w:t>
      </w:r>
    </w:p>
    <w:p w14:paraId="694AE300">
      <w:pPr>
        <w:pageBreakBefore w:val="0"/>
        <w:kinsoku/>
        <w:wordWrap w:val="0"/>
        <w:overflowPunct/>
        <w:topLinePunct/>
        <w:bidi w:val="0"/>
        <w:spacing w:before="153" w:line="315" w:lineRule="auto"/>
        <w:ind w:left="8" w:right="2" w:firstLine="476"/>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b/>
          <w:bCs/>
          <w:color w:val="000000" w:themeColor="text1"/>
          <w:spacing w:val="-8"/>
          <w:sz w:val="24"/>
          <w:szCs w:val="24"/>
          <w:highlight w:val="none"/>
          <w14:textFill>
            <w14:solidFill>
              <w14:schemeClr w14:val="tx1"/>
            </w14:solidFill>
          </w14:textFill>
        </w:rPr>
        <w:t>2.3.</w:t>
      </w:r>
      <w:r>
        <w:rPr>
          <w:rFonts w:hint="eastAsia" w:ascii="宋体" w:hAnsi="宋体" w:eastAsia="宋体" w:cs="宋体"/>
          <w:b/>
          <w:bCs/>
          <w:color w:val="000000" w:themeColor="text1"/>
          <w:spacing w:val="-8"/>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pacing w:val="-8"/>
          <w:sz w:val="24"/>
          <w:szCs w:val="24"/>
          <w:highlight w:val="none"/>
          <w14:textFill>
            <w14:solidFill>
              <w14:schemeClr w14:val="tx1"/>
            </w14:solidFill>
          </w14:textFill>
        </w:rPr>
        <w:t>其余事项（如不可抗力、索赔、现场签证等）的调整原则按照《建设工程工程量清单计价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8"/>
          <w:sz w:val="24"/>
          <w:szCs w:val="24"/>
          <w:highlight w:val="none"/>
          <w14:textFill>
            <w14:solidFill>
              <w14:schemeClr w14:val="tx1"/>
            </w14:solidFill>
          </w14:textFill>
        </w:rPr>
        <w:t>》（GB50500—20</w:t>
      </w:r>
      <w:r>
        <w:rPr>
          <w:rFonts w:hint="eastAsia" w:ascii="宋体" w:hAnsi="宋体" w:eastAsia="宋体" w:cs="宋体"/>
          <w:color w:val="000000" w:themeColor="text1"/>
          <w:spacing w:val="-8"/>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8"/>
          <w:sz w:val="24"/>
          <w:szCs w:val="24"/>
          <w:highlight w:val="none"/>
          <w14:textFill>
            <w14:solidFill>
              <w14:schemeClr w14:val="tx1"/>
            </w14:solidFill>
          </w14:textFill>
        </w:rPr>
        <w:t>）有关规定执行。</w:t>
      </w:r>
    </w:p>
    <w:p w14:paraId="35126317">
      <w:pPr>
        <w:pageBreakBefore w:val="0"/>
        <w:kinsoku/>
        <w:wordWrap w:val="0"/>
        <w:overflowPunct/>
        <w:topLinePunct/>
        <w:bidi w:val="0"/>
        <w:spacing w:before="156" w:line="299" w:lineRule="auto"/>
        <w:ind w:left="12" w:right="65" w:firstLine="5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2.4</w:t>
      </w:r>
      <w:r>
        <w:rPr>
          <w:rFonts w:hint="eastAsia" w:ascii="宋体" w:hAnsi="宋体" w:eastAsia="宋体" w:cs="宋体"/>
          <w:color w:val="000000" w:themeColor="text1"/>
          <w:sz w:val="24"/>
          <w:szCs w:val="24"/>
          <w:highlight w:val="none"/>
          <w14:textFill>
            <w14:solidFill>
              <w14:schemeClr w14:val="tx1"/>
            </w14:solidFill>
          </w14:textFill>
        </w:rPr>
        <w:t>凡将引起合同价款调增的事项，承包人必须于拟实施14天前，将详细的</w:t>
      </w:r>
      <w:r>
        <w:rPr>
          <w:rFonts w:hint="eastAsia" w:ascii="宋体" w:hAnsi="宋体" w:eastAsia="宋体" w:cs="宋体"/>
          <w:color w:val="000000" w:themeColor="text1"/>
          <w:spacing w:val="-1"/>
          <w:sz w:val="24"/>
          <w:szCs w:val="24"/>
          <w:highlight w:val="none"/>
          <w14:textFill>
            <w14:solidFill>
              <w14:schemeClr w14:val="tx1"/>
            </w14:solidFill>
          </w14:textFill>
        </w:rPr>
        <w:t>报价</w:t>
      </w:r>
      <w:r>
        <w:rPr>
          <w:rFonts w:hint="eastAsia" w:ascii="宋体" w:hAnsi="宋体" w:eastAsia="宋体" w:cs="宋体"/>
          <w:color w:val="000000" w:themeColor="text1"/>
          <w:spacing w:val="-2"/>
          <w:sz w:val="24"/>
          <w:szCs w:val="24"/>
          <w:highlight w:val="none"/>
          <w14:textFill>
            <w14:solidFill>
              <w14:schemeClr w14:val="tx1"/>
            </w14:solidFill>
          </w14:textFill>
        </w:rPr>
        <w:t>书（含拟实施项目名称、变更部位、理由、预计造价等）报监理单位审核和发包人批准后方可实施。</w:t>
      </w:r>
    </w:p>
    <w:p w14:paraId="736254DD">
      <w:pPr>
        <w:pageBreakBefore w:val="0"/>
        <w:kinsoku/>
        <w:wordWrap w:val="0"/>
        <w:overflowPunct/>
        <w:topLinePunct/>
        <w:bidi w:val="0"/>
        <w:spacing w:before="153" w:line="279" w:lineRule="auto"/>
        <w:ind w:left="9" w:right="102" w:firstLine="4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2.5</w:t>
      </w:r>
      <w:r>
        <w:rPr>
          <w:rFonts w:hint="eastAsia" w:ascii="宋体" w:hAnsi="宋体" w:eastAsia="宋体" w:cs="宋体"/>
          <w:color w:val="000000" w:themeColor="text1"/>
          <w:spacing w:val="1"/>
          <w:sz w:val="24"/>
          <w:szCs w:val="24"/>
          <w:highlight w:val="none"/>
          <w14:textFill>
            <w14:solidFill>
              <w14:schemeClr w14:val="tx1"/>
            </w14:solidFill>
          </w14:textFill>
        </w:rPr>
        <w:t>承包人不得以不完全了解现场情况为理由，提出额外付</w:t>
      </w:r>
      <w:r>
        <w:rPr>
          <w:rFonts w:hint="eastAsia" w:ascii="宋体" w:hAnsi="宋体" w:eastAsia="宋体" w:cs="宋体"/>
          <w:color w:val="000000" w:themeColor="text1"/>
          <w:sz w:val="24"/>
          <w:szCs w:val="24"/>
          <w:highlight w:val="none"/>
          <w14:textFill>
            <w14:solidFill>
              <w14:schemeClr w14:val="tx1"/>
            </w14:solidFill>
          </w14:textFill>
        </w:rPr>
        <w:t>款或延长工期等要求。</w:t>
      </w:r>
      <w:r>
        <w:rPr>
          <w:rFonts w:hint="eastAsia" w:ascii="宋体" w:hAnsi="宋体" w:eastAsia="宋体" w:cs="宋体"/>
          <w:color w:val="000000" w:themeColor="text1"/>
          <w:spacing w:val="-1"/>
          <w:sz w:val="24"/>
          <w:szCs w:val="24"/>
          <w:highlight w:val="none"/>
          <w14:textFill>
            <w14:solidFill>
              <w14:schemeClr w14:val="tx1"/>
            </w14:solidFill>
          </w14:textFill>
        </w:rPr>
        <w:t>对此类要求，发包人不作任何考虑及答复。</w:t>
      </w:r>
    </w:p>
    <w:p w14:paraId="7B700420">
      <w:pPr>
        <w:pageBreakBefore w:val="0"/>
        <w:kinsoku/>
        <w:wordWrap w:val="0"/>
        <w:overflowPunct/>
        <w:topLinePunct/>
        <w:bidi w:val="0"/>
        <w:spacing w:before="154" w:line="279" w:lineRule="auto"/>
        <w:ind w:left="10" w:right="63" w:firstLine="47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2"/>
          <w:sz w:val="24"/>
          <w:szCs w:val="24"/>
          <w:highlight w:val="none"/>
          <w14:textFill>
            <w14:solidFill>
              <w14:schemeClr w14:val="tx1"/>
            </w14:solidFill>
          </w14:textFill>
        </w:rPr>
        <w:t>2.6</w:t>
      </w:r>
      <w:r>
        <w:rPr>
          <w:rFonts w:hint="eastAsia" w:ascii="宋体" w:hAnsi="宋体" w:eastAsia="宋体" w:cs="宋体"/>
          <w:color w:val="000000" w:themeColor="text1"/>
          <w:spacing w:val="2"/>
          <w:sz w:val="24"/>
          <w:szCs w:val="24"/>
          <w:highlight w:val="none"/>
          <w14:textFill>
            <w14:solidFill>
              <w14:schemeClr w14:val="tx1"/>
            </w14:solidFill>
          </w14:textFill>
        </w:rPr>
        <w:t>承包人已标价工程量清单中漏报、错报或少报的清单项目</w:t>
      </w:r>
      <w:r>
        <w:rPr>
          <w:rFonts w:hint="eastAsia" w:ascii="宋体" w:hAnsi="宋体" w:eastAsia="宋体" w:cs="宋体"/>
          <w:color w:val="000000" w:themeColor="text1"/>
          <w:spacing w:val="1"/>
          <w:sz w:val="24"/>
          <w:szCs w:val="24"/>
          <w:highlight w:val="none"/>
          <w14:textFill>
            <w14:solidFill>
              <w14:schemeClr w14:val="tx1"/>
            </w14:solidFill>
          </w14:textFill>
        </w:rPr>
        <w:t>，其价格均视为已经</w:t>
      </w:r>
      <w:r>
        <w:rPr>
          <w:rFonts w:hint="eastAsia" w:ascii="宋体" w:hAnsi="宋体" w:eastAsia="宋体" w:cs="宋体"/>
          <w:color w:val="000000" w:themeColor="text1"/>
          <w:spacing w:val="-1"/>
          <w:sz w:val="24"/>
          <w:szCs w:val="24"/>
          <w:highlight w:val="none"/>
          <w14:textFill>
            <w14:solidFill>
              <w14:schemeClr w14:val="tx1"/>
            </w14:solidFill>
          </w14:textFill>
        </w:rPr>
        <w:t>包含在其它清单项目中，竣工结算时不得重新组价和调整。</w:t>
      </w:r>
    </w:p>
    <w:p w14:paraId="44C99E08">
      <w:pPr>
        <w:pageBreakBefore w:val="0"/>
        <w:kinsoku/>
        <w:wordWrap w:val="0"/>
        <w:overflowPunct/>
        <w:topLinePunct/>
        <w:bidi w:val="0"/>
        <w:spacing w:before="155" w:line="299" w:lineRule="auto"/>
        <w:ind w:left="12" w:right="65"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2.7</w:t>
      </w:r>
      <w:r>
        <w:rPr>
          <w:rFonts w:hint="eastAsia" w:ascii="宋体" w:hAnsi="宋体" w:eastAsia="宋体" w:cs="宋体"/>
          <w:color w:val="000000" w:themeColor="text1"/>
          <w:sz w:val="24"/>
          <w:szCs w:val="24"/>
          <w:highlight w:val="none"/>
          <w14:textFill>
            <w14:solidFill>
              <w14:schemeClr w14:val="tx1"/>
            </w14:solidFill>
          </w14:textFill>
        </w:rPr>
        <w:t>项目完工后，发、承包双方和受其委托具备相应资质的工程造价咨询单位必须</w:t>
      </w:r>
      <w:r>
        <w:rPr>
          <w:rFonts w:hint="eastAsia" w:ascii="宋体" w:hAnsi="宋体" w:eastAsia="宋体" w:cs="宋体"/>
          <w:color w:val="000000" w:themeColor="text1"/>
          <w:spacing w:val="-1"/>
          <w:sz w:val="24"/>
          <w:szCs w:val="24"/>
          <w:highlight w:val="none"/>
          <w14:textFill>
            <w14:solidFill>
              <w14:schemeClr w14:val="tx1"/>
            </w14:solidFill>
          </w14:textFill>
        </w:rPr>
        <w:t>按照《建设工程工程量清单计价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14:textFill>
            <w14:solidFill>
              <w14:schemeClr w14:val="tx1"/>
            </w14:solidFill>
          </w14:textFill>
        </w:rPr>
        <w:t>》（GB50500—20</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1"/>
          <w:sz w:val="24"/>
          <w:szCs w:val="24"/>
          <w:highlight w:val="none"/>
          <w14:textFill>
            <w14:solidFill>
              <w14:schemeClr w14:val="tx1"/>
            </w14:solidFill>
          </w14:textFill>
        </w:rPr>
        <w:t>）和国家、省、市的有关规定</w:t>
      </w:r>
      <w:r>
        <w:rPr>
          <w:rFonts w:hint="eastAsia" w:ascii="宋体" w:hAnsi="宋体" w:eastAsia="宋体" w:cs="宋体"/>
          <w:color w:val="000000" w:themeColor="text1"/>
          <w:spacing w:val="-2"/>
          <w:sz w:val="24"/>
          <w:szCs w:val="24"/>
          <w:highlight w:val="none"/>
          <w14:textFill>
            <w14:solidFill>
              <w14:schemeClr w14:val="tx1"/>
            </w14:solidFill>
          </w14:textFill>
        </w:rPr>
        <w:t>办理竣工结算。</w:t>
      </w:r>
    </w:p>
    <w:p w14:paraId="7CD51FC9">
      <w:pPr>
        <w:pageBreakBefore w:val="0"/>
        <w:kinsoku/>
        <w:wordWrap w:val="0"/>
        <w:overflowPunct/>
        <w:topLinePunct/>
        <w:bidi w:val="0"/>
        <w:spacing w:before="152" w:line="319" w:lineRule="auto"/>
        <w:ind w:left="8" w:right="38" w:firstLine="5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2.8</w:t>
      </w:r>
      <w:r>
        <w:rPr>
          <w:rFonts w:hint="eastAsia" w:ascii="宋体" w:hAnsi="宋体" w:eastAsia="宋体" w:cs="宋体"/>
          <w:color w:val="000000" w:themeColor="text1"/>
          <w:spacing w:val="-1"/>
          <w:sz w:val="24"/>
          <w:szCs w:val="24"/>
          <w:highlight w:val="none"/>
          <w14:textFill>
            <w14:solidFill>
              <w14:schemeClr w14:val="tx1"/>
            </w14:solidFill>
          </w14:textFill>
        </w:rPr>
        <w:t>承包人已标价工程量清单中没有的材料（或工程设备</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承包人在使</w:t>
      </w:r>
      <w:r>
        <w:rPr>
          <w:rFonts w:hint="eastAsia" w:ascii="宋体" w:hAnsi="宋体" w:eastAsia="宋体" w:cs="宋体"/>
          <w:color w:val="000000" w:themeColor="text1"/>
          <w:spacing w:val="-2"/>
          <w:sz w:val="24"/>
          <w:szCs w:val="24"/>
          <w:highlight w:val="none"/>
          <w14:textFill>
            <w14:solidFill>
              <w14:schemeClr w14:val="tx1"/>
            </w14:solidFill>
          </w14:textFill>
        </w:rPr>
        <w:t>用前必须</w:t>
      </w:r>
      <w:r>
        <w:rPr>
          <w:rFonts w:hint="eastAsia" w:ascii="宋体" w:hAnsi="宋体" w:eastAsia="宋体" w:cs="宋体"/>
          <w:color w:val="000000" w:themeColor="text1"/>
          <w:spacing w:val="-1"/>
          <w:sz w:val="24"/>
          <w:szCs w:val="24"/>
          <w:highlight w:val="none"/>
          <w14:textFill>
            <w14:solidFill>
              <w14:schemeClr w14:val="tx1"/>
            </w14:solidFill>
          </w14:textFill>
        </w:rPr>
        <w:t>将材料（或工程设备）样板、材料合格证明（或产品合格证书）、材料（或工程设备）检验报告提交给监理单位和发包人审核。发</w:t>
      </w:r>
      <w:r>
        <w:rPr>
          <w:rFonts w:hint="eastAsia" w:ascii="宋体" w:hAnsi="宋体" w:eastAsia="宋体" w:cs="宋体"/>
          <w:color w:val="000000" w:themeColor="text1"/>
          <w:spacing w:val="-2"/>
          <w:sz w:val="24"/>
          <w:szCs w:val="24"/>
          <w:highlight w:val="none"/>
          <w14:textFill>
            <w14:solidFill>
              <w14:schemeClr w14:val="tx1"/>
            </w14:solidFill>
          </w14:textFill>
        </w:rPr>
        <w:t>包人审定并确定价格后，承包人方可采购和</w:t>
      </w:r>
      <w:r>
        <w:rPr>
          <w:rFonts w:hint="eastAsia" w:ascii="宋体" w:hAnsi="宋体" w:eastAsia="宋体" w:cs="宋体"/>
          <w:color w:val="000000" w:themeColor="text1"/>
          <w:spacing w:val="-1"/>
          <w:sz w:val="24"/>
          <w:szCs w:val="24"/>
          <w:highlight w:val="none"/>
          <w14:textFill>
            <w14:solidFill>
              <w14:schemeClr w14:val="tx1"/>
            </w14:solidFill>
          </w14:textFill>
        </w:rPr>
        <w:t>使用。如果在交货验收和使用过程中发现货</w:t>
      </w:r>
      <w:r>
        <w:rPr>
          <w:rFonts w:hint="eastAsia" w:ascii="宋体" w:hAnsi="宋体" w:eastAsia="宋体" w:cs="宋体"/>
          <w:color w:val="000000" w:themeColor="text1"/>
          <w:spacing w:val="-2"/>
          <w:sz w:val="24"/>
          <w:szCs w:val="24"/>
          <w:highlight w:val="none"/>
          <w14:textFill>
            <w14:solidFill>
              <w14:schemeClr w14:val="tx1"/>
            </w14:solidFill>
          </w14:textFill>
        </w:rPr>
        <w:t>不对板，监理单位和发包人有权拒用，并要</w:t>
      </w:r>
      <w:r>
        <w:rPr>
          <w:rFonts w:hint="eastAsia" w:ascii="宋体" w:hAnsi="宋体" w:eastAsia="宋体" w:cs="宋体"/>
          <w:color w:val="000000" w:themeColor="text1"/>
          <w:spacing w:val="-1"/>
          <w:sz w:val="24"/>
          <w:szCs w:val="24"/>
          <w:highlight w:val="none"/>
          <w14:textFill>
            <w14:solidFill>
              <w14:schemeClr w14:val="tx1"/>
            </w14:solidFill>
          </w14:textFill>
        </w:rPr>
        <w:t>求承包人立即进行更换。更换后的材料（或</w:t>
      </w:r>
      <w:r>
        <w:rPr>
          <w:rFonts w:hint="eastAsia" w:ascii="宋体" w:hAnsi="宋体" w:eastAsia="宋体" w:cs="宋体"/>
          <w:color w:val="000000" w:themeColor="text1"/>
          <w:spacing w:val="-2"/>
          <w:sz w:val="24"/>
          <w:szCs w:val="24"/>
          <w:highlight w:val="none"/>
          <w14:textFill>
            <w14:solidFill>
              <w14:schemeClr w14:val="tx1"/>
            </w14:solidFill>
          </w14:textFill>
        </w:rPr>
        <w:t>工程设备）应再次进行检查和检验。由此增</w:t>
      </w:r>
      <w:r>
        <w:rPr>
          <w:rFonts w:hint="eastAsia" w:ascii="宋体" w:hAnsi="宋体" w:eastAsia="宋体" w:cs="宋体"/>
          <w:color w:val="000000" w:themeColor="text1"/>
          <w:spacing w:val="-1"/>
          <w:sz w:val="24"/>
          <w:szCs w:val="24"/>
          <w:highlight w:val="none"/>
          <w14:textFill>
            <w14:solidFill>
              <w14:schemeClr w14:val="tx1"/>
            </w14:solidFill>
          </w14:textFill>
        </w:rPr>
        <w:t>加的费用和（或）工期延误由承包人承担。</w:t>
      </w:r>
    </w:p>
    <w:p w14:paraId="4761C872">
      <w:pPr>
        <w:pageBreakBefore w:val="0"/>
        <w:kinsoku/>
        <w:wordWrap w:val="0"/>
        <w:overflowPunct/>
        <w:topLinePunct/>
        <w:bidi w:val="0"/>
        <w:spacing w:before="152" w:line="319" w:lineRule="auto"/>
        <w:ind w:left="8" w:right="38" w:firstLine="559"/>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2.9</w:t>
      </w:r>
      <w:r>
        <w:rPr>
          <w:rFonts w:hint="eastAsia" w:ascii="宋体" w:hAnsi="宋体" w:eastAsia="宋体" w:cs="宋体"/>
          <w:color w:val="000000" w:themeColor="text1"/>
          <w:spacing w:val="-1"/>
          <w:sz w:val="24"/>
          <w:szCs w:val="24"/>
          <w:highlight w:val="none"/>
          <w14:textFill>
            <w14:solidFill>
              <w14:schemeClr w14:val="tx1"/>
            </w14:solidFill>
          </w14:textFill>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造价通、</w:t>
      </w:r>
      <w:r>
        <w:rPr>
          <w:rFonts w:hint="eastAsia" w:ascii="宋体" w:hAnsi="宋体" w:eastAsia="宋体" w:cs="宋体"/>
          <w:color w:val="000000" w:themeColor="text1"/>
          <w:spacing w:val="-1"/>
          <w:sz w:val="24"/>
          <w:szCs w:val="24"/>
          <w:highlight w:val="none"/>
          <w14:textFill>
            <w14:solidFill>
              <w14:schemeClr w14:val="tx1"/>
            </w14:solidFill>
          </w14:textFill>
        </w:rPr>
        <w:t>电商平台价格（优先从京东、国美、苏宁等大型电商平台查询取其平均价）；若以上方式均无法确定材料价格的，则采用厂商报价或市场询价等方式取得有合法依据的市场价格，报发包人确认。</w:t>
      </w:r>
    </w:p>
    <w:p w14:paraId="4F94715E">
      <w:pPr>
        <w:pStyle w:val="29"/>
        <w:pageBreakBefore w:val="0"/>
        <w:kinsoku/>
        <w:wordWrap w:val="0"/>
        <w:overflowPunct/>
        <w:topLinePunct/>
        <w:bidi w:val="0"/>
        <w:snapToGrid w:val="0"/>
        <w:spacing w:line="440" w:lineRule="exact"/>
        <w:ind w:firstLine="480"/>
        <w:jc w:val="both"/>
        <w:outlineLvl w:val="2"/>
        <w:rPr>
          <w:rStyle w:val="20"/>
          <w:rFonts w:hint="eastAsia" w:ascii="宋体" w:hAnsi="宋体" w:eastAsia="宋体" w:cs="宋体"/>
          <w:b/>
          <w:bCs/>
          <w:color w:val="000000" w:themeColor="text1"/>
          <w:sz w:val="24"/>
          <w:szCs w:val="24"/>
          <w:highlight w:val="none"/>
          <w14:textFill>
            <w14:solidFill>
              <w14:schemeClr w14:val="tx1"/>
            </w14:solidFill>
          </w14:textFill>
        </w:rPr>
      </w:pPr>
      <w:bookmarkStart w:id="176" w:name="_Toc6511"/>
      <w:bookmarkStart w:id="177" w:name="_Toc1816"/>
      <w:r>
        <w:rPr>
          <w:rStyle w:val="20"/>
          <w:rFonts w:hint="eastAsia" w:ascii="宋体" w:hAnsi="宋体" w:eastAsia="宋体" w:cs="宋体"/>
          <w:b/>
          <w:bCs/>
          <w:color w:val="000000" w:themeColor="text1"/>
          <w:sz w:val="24"/>
          <w:szCs w:val="24"/>
          <w:highlight w:val="none"/>
          <w14:textFill>
            <w14:solidFill>
              <w14:schemeClr w14:val="tx1"/>
            </w14:solidFill>
          </w14:textFill>
        </w:rPr>
        <w:t>3.工程付款办法</w:t>
      </w:r>
      <w:bookmarkEnd w:id="176"/>
      <w:bookmarkEnd w:id="177"/>
    </w:p>
    <w:p w14:paraId="1ED6735D">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3.1本项目支付施工</w:t>
      </w:r>
      <w:r>
        <w:rPr>
          <w:rFonts w:hint="eastAsia" w:ascii="宋体" w:hAnsi="宋体" w:eastAsia="宋体" w:cs="宋体"/>
          <w:b/>
          <w:bCs/>
          <w:snapToGrid w:val="0"/>
          <w:color w:val="000000" w:themeColor="text1"/>
          <w:kern w:val="0"/>
          <w:sz w:val="24"/>
          <w:szCs w:val="24"/>
          <w:highlight w:val="none"/>
          <w14:textFill>
            <w14:solidFill>
              <w14:schemeClr w14:val="tx1"/>
            </w14:solidFill>
          </w14:textFill>
        </w:rPr>
        <w:t>预付款</w:t>
      </w:r>
      <w:r>
        <w:rPr>
          <w:rFonts w:hint="eastAsia" w:ascii="宋体" w:hAnsi="宋体" w:eastAsia="宋体" w:cs="宋体"/>
          <w:snapToGrid w:val="0"/>
          <w:color w:val="000000" w:themeColor="text1"/>
          <w:kern w:val="0"/>
          <w:sz w:val="24"/>
          <w:szCs w:val="24"/>
          <w:highlight w:val="none"/>
          <w14:textFill>
            <w14:solidFill>
              <w14:schemeClr w14:val="tx1"/>
            </w14:solidFill>
          </w14:textFill>
        </w:rPr>
        <w:t>。</w:t>
      </w:r>
    </w:p>
    <w:p w14:paraId="07A8BF03">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3.2施工预付款必须专用于合同工程，并按以下原则支付和抵扣：</w:t>
      </w:r>
    </w:p>
    <w:p w14:paraId="075C4F63">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3.2.1施工预付款支付比例为：按施工合同价</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扣除安全生产措施费、暂估价、暂列金）30</w:t>
      </w:r>
      <w:r>
        <w:rPr>
          <w:rFonts w:hint="eastAsia" w:ascii="宋体" w:hAnsi="宋体" w:eastAsia="宋体" w:cs="宋体"/>
          <w:snapToGrid w:val="0"/>
          <w:color w:val="000000" w:themeColor="text1"/>
          <w:kern w:val="0"/>
          <w:sz w:val="24"/>
          <w:szCs w:val="24"/>
          <w:highlight w:val="none"/>
          <w14:textFill>
            <w14:solidFill>
              <w14:schemeClr w14:val="tx1"/>
            </w14:solidFill>
          </w14:textFill>
        </w:rPr>
        <w:t>%支付。</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en-US"/>
          <w14:textFill>
            <w14:solidFill>
              <w14:schemeClr w14:val="tx1"/>
            </w14:solidFill>
          </w14:textFill>
        </w:rPr>
        <w:t>本项目资金来源为财政资金，预付款支付比例及拨付时间视财政情况统筹决定，财政资金不足时，可降低预付款支付比率</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或分批支付</w:t>
      </w:r>
      <w:r>
        <w:rPr>
          <w:rFonts w:hint="eastAsia" w:ascii="宋体" w:hAnsi="宋体" w:eastAsia="宋体" w:cs="宋体"/>
          <w:snapToGrid w:val="0"/>
          <w:color w:val="000000" w:themeColor="text1"/>
          <w:kern w:val="0"/>
          <w:sz w:val="24"/>
          <w:szCs w:val="24"/>
          <w:highlight w:val="none"/>
          <w:lang w:val="en-US" w:eastAsia="en-US"/>
          <w14:textFill>
            <w14:solidFill>
              <w14:schemeClr w14:val="tx1"/>
            </w14:solidFill>
          </w14:textFill>
        </w:rPr>
        <w:t>以及延缓拨付时间，具体以财政</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部门</w:t>
      </w:r>
      <w:r>
        <w:rPr>
          <w:rFonts w:hint="eastAsia" w:ascii="宋体" w:hAnsi="宋体" w:eastAsia="宋体" w:cs="宋体"/>
          <w:snapToGrid w:val="0"/>
          <w:color w:val="000000" w:themeColor="text1"/>
          <w:kern w:val="0"/>
          <w:sz w:val="24"/>
          <w:szCs w:val="24"/>
          <w:highlight w:val="none"/>
          <w:lang w:val="en-US" w:eastAsia="en-US"/>
          <w14:textFill>
            <w14:solidFill>
              <w14:schemeClr w14:val="tx1"/>
            </w14:solidFill>
          </w14:textFill>
        </w:rPr>
        <w:t>和建设单位意见为准</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，其中70%支付给工程账户，30%支付给工人工资专用账户。）</w:t>
      </w:r>
    </w:p>
    <w:p w14:paraId="08433448">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3.2.2本招标项目</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要求</w:t>
      </w:r>
      <w:r>
        <w:rPr>
          <w:rFonts w:hint="eastAsia" w:ascii="宋体" w:hAnsi="宋体" w:eastAsia="宋体" w:cs="宋体"/>
          <w:snapToGrid w:val="0"/>
          <w:color w:val="000000" w:themeColor="text1"/>
          <w:kern w:val="0"/>
          <w:sz w:val="24"/>
          <w:szCs w:val="24"/>
          <w:highlight w:val="none"/>
          <w14:textFill>
            <w14:solidFill>
              <w14:schemeClr w14:val="tx1"/>
            </w14:solidFill>
          </w14:textFill>
        </w:rPr>
        <w:t>承包人提供与预付款等额的预付款保函。</w:t>
      </w:r>
    </w:p>
    <w:p w14:paraId="47512238">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lang w:val="en-US" w:eastAsia="en-US"/>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en-US"/>
          <w14:textFill>
            <w14:solidFill>
              <w14:schemeClr w14:val="tx1"/>
            </w14:solidFill>
          </w14:textFill>
        </w:rPr>
        <w:t>3.2.3承包人应在签订合同后，在提供符合要求的预付款保函或预付款保险及在具备施工条件的前提下，向发包人提交预付款支付申请。凡未签订合同或不具备施工条件的工程，发包人不得预付工程款。</w:t>
      </w:r>
    </w:p>
    <w:p w14:paraId="449267C0">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3.2.4预付款应从每支付期应支付给承包人的工程进度款中扣回，</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每次扣回实际支付预付款比例的50%，</w:t>
      </w:r>
      <w:r>
        <w:rPr>
          <w:rFonts w:hint="eastAsia" w:ascii="宋体" w:hAnsi="宋体" w:eastAsia="宋体" w:cs="宋体"/>
          <w:snapToGrid w:val="0"/>
          <w:color w:val="000000" w:themeColor="text1"/>
          <w:kern w:val="0"/>
          <w:sz w:val="24"/>
          <w:szCs w:val="24"/>
          <w:highlight w:val="none"/>
          <w14:textFill>
            <w14:solidFill>
              <w14:schemeClr w14:val="tx1"/>
            </w14:solidFill>
          </w14:textFill>
        </w:rPr>
        <w:t>直到扣回的金额达到合同约定的预付款金额为止。</w:t>
      </w:r>
    </w:p>
    <w:p w14:paraId="45BBE685">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3.3施工过程中按月申报工程进度款：承包人每月按工程实际完成工程量（含变更及增加工程）申报，承包人必须将已完成工程量和工程付款申请书</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等相关资料，</w:t>
      </w:r>
      <w:r>
        <w:rPr>
          <w:rFonts w:hint="eastAsia" w:ascii="宋体" w:hAnsi="宋体" w:eastAsia="宋体" w:cs="宋体"/>
          <w:snapToGrid w:val="0"/>
          <w:color w:val="000000" w:themeColor="text1"/>
          <w:kern w:val="0"/>
          <w:sz w:val="24"/>
          <w:szCs w:val="24"/>
          <w:highlight w:val="none"/>
          <w14:textFill>
            <w14:solidFill>
              <w14:schemeClr w14:val="tx1"/>
            </w14:solidFill>
          </w14:textFill>
        </w:rPr>
        <w:t>于当月26日前报监理单位核</w:t>
      </w:r>
      <w:bookmarkStart w:id="178" w:name="_Hlt127094354"/>
      <w:bookmarkEnd w:id="178"/>
      <w:r>
        <w:rPr>
          <w:rFonts w:hint="eastAsia" w:ascii="宋体" w:hAnsi="宋体" w:eastAsia="宋体" w:cs="宋体"/>
          <w:snapToGrid w:val="0"/>
          <w:color w:val="000000" w:themeColor="text1"/>
          <w:kern w:val="0"/>
          <w:sz w:val="24"/>
          <w:szCs w:val="24"/>
          <w:highlight w:val="none"/>
          <w14:textFill>
            <w14:solidFill>
              <w14:schemeClr w14:val="tx1"/>
            </w14:solidFill>
          </w14:textFill>
        </w:rPr>
        <w:t>实。经监理单位审核、发包人审定后的工程进度款（指已经按照合同约定，扣除该支付期内因承包人违约而应扣除的管理费），申报后按</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资金</w:t>
      </w:r>
      <w:r>
        <w:rPr>
          <w:rFonts w:hint="eastAsia" w:ascii="宋体" w:hAnsi="宋体" w:eastAsia="宋体" w:cs="宋体"/>
          <w:snapToGrid w:val="0"/>
          <w:color w:val="000000" w:themeColor="text1"/>
          <w:kern w:val="0"/>
          <w:sz w:val="24"/>
          <w:szCs w:val="24"/>
          <w:highlight w:val="none"/>
          <w14:textFill>
            <w14:solidFill>
              <w14:schemeClr w14:val="tx1"/>
            </w14:solidFill>
          </w14:textFill>
        </w:rPr>
        <w:t>拨付到位实际情况进行支付。</w:t>
      </w:r>
    </w:p>
    <w:p w14:paraId="12D4BF19">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3.4每月的工程进度款按工程实际完成工程量的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80</w:t>
      </w:r>
      <w:r>
        <w:rPr>
          <w:rFonts w:hint="eastAsia" w:ascii="宋体" w:hAnsi="宋体" w:eastAsia="宋体" w:cs="宋体"/>
          <w:snapToGrid w:val="0"/>
          <w:color w:val="000000" w:themeColor="text1"/>
          <w:kern w:val="0"/>
          <w:sz w:val="24"/>
          <w:szCs w:val="24"/>
          <w:highlight w:val="none"/>
          <w14:textFill>
            <w14:solidFill>
              <w14:schemeClr w14:val="tx1"/>
            </w14:solidFill>
          </w14:textFill>
        </w:rPr>
        <w:t>%申请支付（其中70%支付</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给工程账户</w:t>
      </w:r>
      <w:r>
        <w:rPr>
          <w:rFonts w:hint="eastAsia" w:ascii="宋体" w:hAnsi="宋体" w:eastAsia="宋体" w:cs="宋体"/>
          <w:snapToGrid w:val="0"/>
          <w:color w:val="000000" w:themeColor="text1"/>
          <w:kern w:val="0"/>
          <w:sz w:val="24"/>
          <w:szCs w:val="24"/>
          <w:highlight w:val="none"/>
          <w14:textFill>
            <w14:solidFill>
              <w14:schemeClr w14:val="tx1"/>
            </w14:solidFill>
          </w14:textFill>
        </w:rPr>
        <w:t>，30%支付</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给</w:t>
      </w:r>
      <w:r>
        <w:rPr>
          <w:rFonts w:hint="eastAsia" w:ascii="宋体" w:hAnsi="宋体" w:eastAsia="宋体" w:cs="宋体"/>
          <w:snapToGrid w:val="0"/>
          <w:color w:val="000000" w:themeColor="text1"/>
          <w:kern w:val="0"/>
          <w:sz w:val="24"/>
          <w:szCs w:val="24"/>
          <w:highlight w:val="none"/>
          <w14:textFill>
            <w14:solidFill>
              <w14:schemeClr w14:val="tx1"/>
            </w14:solidFill>
          </w14:textFill>
        </w:rPr>
        <w:t>工人工资专用</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账户</w:t>
      </w:r>
      <w:r>
        <w:rPr>
          <w:rFonts w:hint="eastAsia" w:ascii="宋体" w:hAnsi="宋体" w:eastAsia="宋体" w:cs="宋体"/>
          <w:snapToGrid w:val="0"/>
          <w:color w:val="000000" w:themeColor="text1"/>
          <w:kern w:val="0"/>
          <w:sz w:val="24"/>
          <w:szCs w:val="24"/>
          <w:highlight w:val="none"/>
          <w14:textFill>
            <w14:solidFill>
              <w14:schemeClr w14:val="tx1"/>
            </w14:solidFill>
          </w14:textFill>
        </w:rPr>
        <w:t>），工程进度款中的作业工人工资款项由发包人单独足额拨付到承包人的工资专户。</w:t>
      </w:r>
    </w:p>
    <w:p w14:paraId="5C33A1EA">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5</w:t>
      </w:r>
      <w:r>
        <w:rPr>
          <w:rFonts w:hint="eastAsia" w:ascii="宋体" w:hAnsi="宋体" w:eastAsia="宋体" w:cs="宋体"/>
          <w:snapToGrid w:val="0"/>
          <w:color w:val="000000" w:themeColor="text1"/>
          <w:kern w:val="0"/>
          <w:sz w:val="24"/>
          <w:szCs w:val="24"/>
          <w:highlight w:val="none"/>
          <w14:textFill>
            <w14:solidFill>
              <w14:schemeClr w14:val="tx1"/>
            </w14:solidFill>
          </w14:textFill>
        </w:rPr>
        <w:t>措施项目费中的“</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安全生产措施费</w:t>
      </w:r>
      <w:r>
        <w:rPr>
          <w:rFonts w:hint="eastAsia" w:ascii="宋体" w:hAnsi="宋体" w:eastAsia="宋体" w:cs="宋体"/>
          <w:snapToGrid w:val="0"/>
          <w:color w:val="000000" w:themeColor="text1"/>
          <w:kern w:val="0"/>
          <w:sz w:val="24"/>
          <w:szCs w:val="24"/>
          <w:highlight w:val="none"/>
          <w14:textFill>
            <w14:solidFill>
              <w14:schemeClr w14:val="tx1"/>
            </w14:solidFill>
          </w14:textFill>
        </w:rPr>
        <w:t>”拨付按照《</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《广东省建设工程计价依据(2018)》</w:t>
      </w:r>
      <w:r>
        <w:rPr>
          <w:rFonts w:hint="eastAsia" w:ascii="宋体" w:hAnsi="宋体" w:eastAsia="宋体" w:cs="宋体"/>
          <w:snapToGrid w:val="0"/>
          <w:color w:val="000000" w:themeColor="text1"/>
          <w:kern w:val="0"/>
          <w:sz w:val="24"/>
          <w:szCs w:val="24"/>
          <w:highlight w:val="none"/>
          <w14:textFill>
            <w14:solidFill>
              <w14:schemeClr w14:val="tx1"/>
            </w14:solidFill>
          </w14:textFill>
        </w:rPr>
        <w:t>》执行，按照项目所在地的建设行政主管部门有关规定支付。发生一般事故及以上等级重大安全事故的，发包人可扣除承包人金额相当于所有“安全生产措施费”的工程管理费。</w:t>
      </w:r>
    </w:p>
    <w:p w14:paraId="0D184968">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6</w:t>
      </w:r>
      <w:r>
        <w:rPr>
          <w:rFonts w:hint="eastAsia" w:ascii="宋体" w:hAnsi="宋体" w:eastAsia="宋体" w:cs="宋体"/>
          <w:snapToGrid w:val="0"/>
          <w:color w:val="000000" w:themeColor="text1"/>
          <w:kern w:val="0"/>
          <w:sz w:val="24"/>
          <w:szCs w:val="24"/>
          <w:highlight w:val="none"/>
          <w14:textFill>
            <w14:solidFill>
              <w14:schemeClr w14:val="tx1"/>
            </w14:solidFill>
          </w14:textFill>
        </w:rPr>
        <w:t>变更工程造价必须经监理单位核实，并经发包人核定后方可支付。</w:t>
      </w:r>
    </w:p>
    <w:p w14:paraId="09AEB85D">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7</w:t>
      </w:r>
      <w:r>
        <w:rPr>
          <w:rFonts w:hint="eastAsia" w:ascii="宋体" w:hAnsi="宋体" w:eastAsia="宋体" w:cs="宋体"/>
          <w:snapToGrid w:val="0"/>
          <w:color w:val="000000" w:themeColor="text1"/>
          <w:kern w:val="0"/>
          <w:sz w:val="24"/>
          <w:szCs w:val="24"/>
          <w:highlight w:val="none"/>
          <w14:textFill>
            <w14:solidFill>
              <w14:schemeClr w14:val="tx1"/>
            </w14:solidFill>
          </w14:textFill>
        </w:rPr>
        <w:t>结算审核完成后，于次月支付至</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审核</w:t>
      </w:r>
      <w:r>
        <w:rPr>
          <w:rFonts w:hint="eastAsia" w:ascii="宋体" w:hAnsi="宋体" w:eastAsia="宋体" w:cs="宋体"/>
          <w:snapToGrid w:val="0"/>
          <w:color w:val="000000" w:themeColor="text1"/>
          <w:kern w:val="0"/>
          <w:sz w:val="24"/>
          <w:szCs w:val="24"/>
          <w:highlight w:val="none"/>
          <w14:textFill>
            <w14:solidFill>
              <w14:schemeClr w14:val="tx1"/>
            </w14:solidFill>
          </w14:textFill>
        </w:rPr>
        <w:t>价格的97%</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以</w:t>
      </w:r>
      <w:r>
        <w:rPr>
          <w:rFonts w:hint="eastAsia" w:ascii="宋体" w:hAnsi="宋体" w:eastAsia="宋体" w:cs="宋体"/>
          <w:snapToGrid w:val="0"/>
          <w:color w:val="000000" w:themeColor="text1"/>
          <w:kern w:val="0"/>
          <w:sz w:val="24"/>
          <w:szCs w:val="24"/>
          <w:highlight w:val="none"/>
          <w:lang w:val="en-US"/>
          <w14:textFill>
            <w14:solidFill>
              <w14:schemeClr w14:val="tx1"/>
            </w14:solidFill>
          </w14:textFill>
        </w:rPr>
        <w:t>财政</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部门</w:t>
      </w:r>
      <w:r>
        <w:rPr>
          <w:rFonts w:hint="eastAsia" w:ascii="宋体" w:hAnsi="宋体" w:eastAsia="宋体" w:cs="宋体"/>
          <w:snapToGrid w:val="0"/>
          <w:color w:val="000000" w:themeColor="text1"/>
          <w:kern w:val="0"/>
          <w:sz w:val="24"/>
          <w:szCs w:val="24"/>
          <w:highlight w:val="none"/>
          <w:lang w:val="en-US"/>
          <w14:textFill>
            <w14:solidFill>
              <w14:schemeClr w14:val="tx1"/>
            </w14:solidFill>
          </w14:textFill>
        </w:rPr>
        <w:t>审定后的价格为准</w:t>
      </w:r>
      <w:r>
        <w:rPr>
          <w:rFonts w:hint="eastAsia" w:ascii="宋体" w:hAnsi="宋体" w:eastAsia="宋体" w:cs="宋体"/>
          <w:snapToGrid w:val="0"/>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4"/>
          <w:szCs w:val="24"/>
          <w:highlight w:val="none"/>
          <w14:textFill>
            <w14:solidFill>
              <w14:schemeClr w14:val="tx1"/>
            </w14:solidFill>
          </w14:textFill>
        </w:rPr>
        <w:t>，剩余3%转为质量保证金；承包人提交了等额质量保证担保或质量保证保险的，于次月一次性结清合同价格。</w:t>
      </w:r>
    </w:p>
    <w:p w14:paraId="293A628D">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8</w:t>
      </w:r>
      <w:r>
        <w:rPr>
          <w:rFonts w:hint="eastAsia" w:ascii="宋体" w:hAnsi="宋体" w:eastAsia="宋体" w:cs="宋体"/>
          <w:snapToGrid w:val="0"/>
          <w:color w:val="000000" w:themeColor="text1"/>
          <w:kern w:val="0"/>
          <w:sz w:val="24"/>
          <w:szCs w:val="24"/>
          <w:highlight w:val="none"/>
          <w14:textFill>
            <w14:solidFill>
              <w14:schemeClr w14:val="tx1"/>
            </w14:solidFill>
          </w14:textFill>
        </w:rPr>
        <w:t>本招标项目缺陷责任期为</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自通过竣工验收之日起计）。缺陷责任期到期后，承包人向发包人申请退还质量保证。发包人收到退还申请后，于14天内会同承包人进行核实。经双方核实且均无异议后，发包人在核实之日起14天内将应返保证金（或银行保函）退还承包人。</w:t>
      </w:r>
    </w:p>
    <w:p w14:paraId="724F016A">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3.</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9</w:t>
      </w:r>
      <w:r>
        <w:rPr>
          <w:rFonts w:hint="eastAsia" w:ascii="宋体" w:hAnsi="宋体" w:eastAsia="宋体" w:cs="宋体"/>
          <w:snapToGrid w:val="0"/>
          <w:color w:val="000000" w:themeColor="text1"/>
          <w:kern w:val="0"/>
          <w:sz w:val="24"/>
          <w:szCs w:val="24"/>
          <w:highlight w:val="none"/>
          <w14:textFill>
            <w14:solidFill>
              <w14:schemeClr w14:val="tx1"/>
            </w14:solidFill>
          </w14:textFill>
        </w:rPr>
        <w:t>发包人每次支付工程款前，承包人均应提供有效的增值税</w:t>
      </w: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专用</w:t>
      </w:r>
      <w:r>
        <w:rPr>
          <w:rFonts w:hint="eastAsia" w:ascii="宋体" w:hAnsi="宋体" w:eastAsia="宋体" w:cs="宋体"/>
          <w:snapToGrid w:val="0"/>
          <w:color w:val="000000" w:themeColor="text1"/>
          <w:kern w:val="0"/>
          <w:sz w:val="24"/>
          <w:szCs w:val="24"/>
          <w:highlight w:val="none"/>
          <w14:textFill>
            <w14:solidFill>
              <w14:schemeClr w14:val="tx1"/>
            </w14:solidFill>
          </w14:textFill>
        </w:rPr>
        <w:t>发票。如果承包人无法提供符合要求的发票，由此造成的相应损失由承包人承担。</w:t>
      </w:r>
    </w:p>
    <w:p w14:paraId="60D2D6EC">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3.10暂列金额支付方式：承包人需根据相关管理办法进行办理相关程序后，与次月的工程进度款一并报送；若承包人原因未按上述办法在规定时间内完善工程变更签证相关程序的，次月工程进度款暂停拨付。在暂列金额的范围内，最终经发包人确认后支付至该部分实际完成工程量的50%，其余部分待最终结算完成审核后支付至97%，剩余3%为工程质量保修金。在承包人提供了等额的质量保证金保函后，支付至审核价的100%。</w:t>
      </w:r>
    </w:p>
    <w:p w14:paraId="13BA85C0">
      <w:pPr>
        <w:keepNext w:val="0"/>
        <w:keepLines w:val="0"/>
        <w:pageBreakBefore w:val="0"/>
        <w:widowControl w:val="0"/>
        <w:kinsoku/>
        <w:wordWrap w:val="0"/>
        <w:overflowPunct/>
        <w:topLinePunct/>
        <w:autoSpaceDE/>
        <w:autoSpaceDN/>
        <w:bidi w:val="0"/>
        <w:adjustRightInd w:val="0"/>
        <w:snapToGrid w:val="0"/>
        <w:spacing w:line="500" w:lineRule="exact"/>
        <w:ind w:firstLine="560"/>
        <w:textAlignment w:val="auto"/>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lang w:val="en-US" w:eastAsia="zh-CN"/>
          <w14:textFill>
            <w14:solidFill>
              <w14:schemeClr w14:val="tx1"/>
            </w14:solidFill>
          </w14:textFill>
        </w:rPr>
        <w:t>3.11材料暂估价、专业工程暂估价支付方式：材料暂估价、专业工程暂估价与每个月的工程进度款一并报送，但需要列明详细项目内容，该部分材料暂估价、专业工程暂估价按该部分实际完成工程量的50%支付，剩余部分待最终结算完成后支付至97%，剩余3%为工程质量保修金。</w:t>
      </w:r>
    </w:p>
    <w:p w14:paraId="46CED726">
      <w:pPr>
        <w:pageBreakBefore w:val="0"/>
        <w:kinsoku/>
        <w:wordWrap w:val="0"/>
        <w:overflowPunct/>
        <w:topLinePunct/>
        <w:bidi w:val="0"/>
        <w:spacing w:before="154" w:line="212" w:lineRule="auto"/>
        <w:ind w:left="486"/>
        <w:outlineLvl w:val="2"/>
        <w:rPr>
          <w:rFonts w:hint="eastAsia" w:ascii="宋体" w:hAnsi="宋体" w:eastAsia="宋体" w:cs="宋体"/>
          <w:b/>
          <w:bCs/>
          <w:color w:val="000000" w:themeColor="text1"/>
          <w:spacing w:val="-7"/>
          <w:sz w:val="24"/>
          <w:szCs w:val="24"/>
          <w:highlight w:val="none"/>
          <w14:textFill>
            <w14:solidFill>
              <w14:schemeClr w14:val="tx1"/>
            </w14:solidFill>
          </w14:textFill>
        </w:rPr>
      </w:pPr>
      <w:bookmarkStart w:id="179" w:name="_Toc20938"/>
      <w:r>
        <w:rPr>
          <w:rFonts w:hint="eastAsia" w:ascii="宋体" w:hAnsi="宋体" w:eastAsia="宋体" w:cs="宋体"/>
          <w:b/>
          <w:bCs/>
          <w:color w:val="000000" w:themeColor="text1"/>
          <w:spacing w:val="-7"/>
          <w:sz w:val="24"/>
          <w:szCs w:val="24"/>
          <w:highlight w:val="none"/>
          <w14:textFill>
            <w14:solidFill>
              <w14:schemeClr w14:val="tx1"/>
            </w14:solidFill>
          </w14:textFill>
        </w:rPr>
        <w:t>4．其他专用合同条款</w:t>
      </w:r>
      <w:bookmarkEnd w:id="179"/>
    </w:p>
    <w:p w14:paraId="69C3B1BA">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专业工程分包</w:t>
      </w:r>
    </w:p>
    <w:p w14:paraId="4E262622">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14:paraId="4E0EE43F">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工人工资支付专用账户</w:t>
      </w:r>
    </w:p>
    <w:p w14:paraId="2C5DA4AA">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14:paraId="1596CCDC">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依据人力资源社会保障部等十部门印发的《工程建设领域农民工工资专用账户管理暂行办法》（人社部发〔2021〕53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14:paraId="329317B6">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号)及《韶关市工程建设领域农民工工资保证金管理实施细则》（韶法审〔2023〕19号）规定执行。承包人在签订工程施工承包合同后一个月内必须办妥该事项，并将办妥回执交发包人。</w:t>
      </w:r>
    </w:p>
    <w:p w14:paraId="13A36583">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2倍向发包人支付违约金。</w:t>
      </w:r>
    </w:p>
    <w:p w14:paraId="311D0CB8">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4.2.3承包人应在工资专户开立后2个工作日内，将开户银行及其账号、开户协议等资料提交给发包人。</w:t>
      </w:r>
    </w:p>
    <w:p w14:paraId="54EE4CD9">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（1）用人单位应当在建设项目动工前，在建设项目所在地商业银行设立工人工资支付专用账户。</w:t>
      </w:r>
    </w:p>
    <w:p w14:paraId="5863C3B4">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（2）用人单位应当在用工之日起15日内为每一位工人办理个人银行账户。</w:t>
      </w:r>
    </w:p>
    <w:p w14:paraId="7F214C6F">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（3）用人单位应当指定专人负责建设项目施工现场台账管理，真实、准确记录工人名册、劳务合同、劳动合同、工程进度、工时台账、劳务承包款和工人工资支付等信息，并保存两年以上备查。</w:t>
      </w:r>
    </w:p>
    <w:p w14:paraId="561FC862">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4）用人单位应当按照“及时支付，按实结算”的原则，在规定日期前通过银行工人工资支付专用账户将工人工资直接支付到工人的个人银行账户，并按月将工人工资支付明细表报施工总承包单位和建设单位备案。</w:t>
      </w:r>
    </w:p>
    <w:p w14:paraId="091EDEB4">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用人单位未建立、保存用工管理台账，或者伪造相关台账的，按照《广东省劳动保障监察条例》第五十条的规定，由人力资源社会保障部门责令改正，并可处以二千元以上二万元以下的人民币罚款。</w:t>
      </w:r>
    </w:p>
    <w:p w14:paraId="6AC50D41">
      <w:pPr>
        <w:keepNext w:val="0"/>
        <w:keepLines w:val="0"/>
        <w:pageBreakBefore w:val="0"/>
        <w:widowControl/>
        <w:kinsoku/>
        <w:wordWrap w:val="0"/>
        <w:overflowPunct/>
        <w:topLinePunct/>
        <w:autoSpaceDE w:val="0"/>
        <w:autoSpaceDN w:val="0"/>
        <w:bidi w:val="0"/>
        <w:adjustRightInd w:val="0"/>
        <w:snapToGrid w:val="0"/>
        <w:spacing w:line="360" w:lineRule="auto"/>
        <w:ind w:firstLine="482" w:firstLineChars="200"/>
        <w:textAlignment w:val="baseline"/>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1CCAFC13">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4.2.5</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14:paraId="563E3BC3">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诚信登记</w:t>
      </w:r>
    </w:p>
    <w:p w14:paraId="315BBA92">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根据资质管理规定，许可机关应当建立、健全建筑业企业信用档案管理制度，包括企业基本信息、资质、业绩、工程质量和安全、合同履约、社会投诉和违法行为等情况。</w:t>
      </w:r>
    </w:p>
    <w:p w14:paraId="0E78E6D6">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4.4</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工期进度</w:t>
      </w:r>
    </w:p>
    <w:p w14:paraId="071DBAB4">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4.4.1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本招标项目施工标准工期为</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90日历天</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，招标工期为</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90日历天</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，承包人必须在招标工期内完成招标范围内的全部内容。</w:t>
      </w:r>
    </w:p>
    <w:p w14:paraId="4C17CAD9">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4.4.2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施工工期从承包人收到监理单位签发的开工令之日起计，至竣工验收合格之日止。</w:t>
      </w:r>
    </w:p>
    <w:p w14:paraId="75D3CC59">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4.4.3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工期奖罚</w:t>
      </w:r>
    </w:p>
    <w:p w14:paraId="5D10D3C3">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u w:val="single"/>
          <w:lang w:val="en-US"/>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□竣工验收合格交付使用每提前</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天竣工；奖</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p>
    <w:p w14:paraId="2A93016D">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元，奖励金额不超过合同价款的</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%（一般为2%～5%）且不超过</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元。</w:t>
      </w:r>
    </w:p>
    <w:p w14:paraId="33330BD1">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□按施工合同期约定,因承包人原因每延误</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天竣工,罚</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元。</w:t>
      </w:r>
    </w:p>
    <w:p w14:paraId="0039ACA9">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□按施工合同期约定,因承包人原因延误工期</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天内不处罚，自第壹天起每延误</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天竣工,罚元。处罚金额不超过合同价款的</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%（一般为2%～5%）且不超过万元，累计延误工期达到</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天，报请建设行政主管部门作不良行为记录，非承包方原因或不可抗力造成延误的除外。</w:t>
      </w:r>
    </w:p>
    <w:p w14:paraId="6E464D1D">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☑其它说明：（1）因承包人原因，工程没有按期竣工时，承包人须在逾期第壹天起每天按合同价的1‰向发包人返纳逾期竣工违约金。逾期竣工违约金的最高限额为合同价款的3%。</w:t>
      </w:r>
    </w:p>
    <w:p w14:paraId="5DC09388">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F1CC665">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（3）承包人在进场后7天内提交施工进度计划，并注明主要施工节点时间，送监理单位及发包人审核后，作为工期考核的阶段性指标。</w:t>
      </w:r>
    </w:p>
    <w:p w14:paraId="3E8526E8">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4.5</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项目管理机构</w:t>
      </w:r>
    </w:p>
    <w:p w14:paraId="5DB52909">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4.5.1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承包人派驻的项目管理班子成员必须为其投标文件确定的人员，否则发包人有权终止合同。</w:t>
      </w:r>
    </w:p>
    <w:p w14:paraId="5EBE44CC">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4.5.2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14:paraId="42D4D343">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4.6</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现场管理</w:t>
      </w:r>
    </w:p>
    <w:p w14:paraId="68C233A9">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4.6.1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w:t>
      </w:r>
    </w:p>
    <w:p w14:paraId="7D525BC4">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4.6.2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承包人应按安全施工有关规定，采取严格、科学的安全防护措施，确保施工和人员（包括第三者）的安全，承担由于自身安全防护措施不力所造成的安全事故责任和发生的费用。</w:t>
      </w:r>
    </w:p>
    <w:p w14:paraId="45379B5C">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4.6.3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为保证施工现场的环境卫生，承包人在本招标项目施工过程中，所有的车辆必须按发包人规定的行车路线行驶。</w:t>
      </w:r>
    </w:p>
    <w:p w14:paraId="41348356">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4.7</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监督实施</w:t>
      </w:r>
    </w:p>
    <w:p w14:paraId="56D31357">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须服从发包人对工程质量、进度、成本的全方位监督，施工中的年度计划、季度计划、月度计划、施工方案等应报送监理单位审批和发包人备案。施工中的质量保措施等资料均应及时报送监理单位和发包人备案。</w:t>
      </w:r>
    </w:p>
    <w:p w14:paraId="319DD9E8">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4.8</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主材的采购和使用</w:t>
      </w:r>
    </w:p>
    <w:p w14:paraId="650AB1BB">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14:paraId="24BB825D">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4.9</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竣工资料移交</w:t>
      </w:r>
    </w:p>
    <w:p w14:paraId="2A8EFFBB">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项目竣工验收时，承包人应向监理单位和发包人提供符合国家档案部门备案要求的，编制成册的竣工图及有关的技术档案资料（含声像档案）一式份。</w:t>
      </w:r>
    </w:p>
    <w:p w14:paraId="760387E1">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质量保证</w:t>
      </w:r>
    </w:p>
    <w:p w14:paraId="08EDA65F">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本招标项目缺陷责任期为</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年（自通过竣工验收之日起计），在此期间预留金额为结算价</w:t>
      </w:r>
      <w:r>
        <w:rPr>
          <w:rFonts w:hint="eastAsia" w:ascii="宋体" w:hAnsi="宋体" w:eastAsia="宋体" w:cs="宋体"/>
          <w:bCs/>
          <w:snapToGrid w:val="0"/>
          <w:color w:val="000000" w:themeColor="text1"/>
          <w:kern w:val="0"/>
          <w:sz w:val="24"/>
          <w:szCs w:val="24"/>
          <w:highlight w:val="none"/>
          <w:u w:val="single"/>
          <w:lang w:val="en-US" w:eastAsia="zh-CN"/>
          <w14:textFill>
            <w14:solidFill>
              <w14:schemeClr w14:val="tx1"/>
            </w14:solidFill>
          </w14:textFill>
        </w:rPr>
        <w:t>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的质量保证。</w:t>
      </w:r>
    </w:p>
    <w:p w14:paraId="61850FD8">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质量保证的形式包括质量保证金、质量保证担保、质量保证保险三种，由承包人自主选择。</w:t>
      </w:r>
    </w:p>
    <w:p w14:paraId="23EFEC60">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（1）采用质量保证金形式的，在结清审定总造价时一次性扣留相应金额作为质量保证金。</w:t>
      </w:r>
    </w:p>
    <w:p w14:paraId="7B92DB0F">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采用质量保证担保或质量保证保险的，承包人应在竣工验收时向发包人提交有效的商业保函、银行保函或保险合同（或保险单）原件，商业保函、银行保函或保险合同（或保险单）的有效期不得短于缺陷责任期。</w:t>
      </w:r>
    </w:p>
    <w:p w14:paraId="50B0307A">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14:paraId="60FA4613">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由他人原因造成的缺陷，发包人负责组织维修，承包人不承担费用，且发包人不得从质量保证中扣除费用。</w:t>
      </w:r>
    </w:p>
    <w:p w14:paraId="60C554C5">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4.10.4</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缺陷责任期内，承包人应认真履行合同约定的责任。缺陷责任期到期后，承包人向发包人申请退还质量保证，发包人应按照《建设工程质量保证金管理办法》有关规定将质量保证退还给承包人。</w:t>
      </w:r>
    </w:p>
    <w:p w14:paraId="78932EAD">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不良行为处理</w:t>
      </w:r>
    </w:p>
    <w:p w14:paraId="3EEB4FB4">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及其有关人员有下列行为之一的，发包人应及时向建设行政主管部门报告。除按照有关法律、法规进行处罚外，不良行为将计入企业及有关个人诚信档案，并在韶关市住房和城乡建设管理局网站（http：//zgj.sg.gov.cn）公示。</w:t>
      </w:r>
    </w:p>
    <w:p w14:paraId="51145D8F">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（1）转包、违法分包或违反投标承诺分包工程的；</w:t>
      </w:r>
    </w:p>
    <w:p w14:paraId="65A7366D">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（2）非原参加投标中标的项目经理负责组织施工或在实施过程中擅自更换项目经理的、项目的其他主要管理人员与中标文件确定的人员不相符的；</w:t>
      </w:r>
    </w:p>
    <w:p w14:paraId="5DCB01F8">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（3）投标文件确定的大型机械设备没有进入施工现场的；</w:t>
      </w:r>
    </w:p>
    <w:p w14:paraId="3DB3B57F">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（4）与建设单位、监理单位串通，签认虚假工程量或工程造价的；</w:t>
      </w:r>
    </w:p>
    <w:p w14:paraId="60397BD1">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（5）项目经理施工现场管理不到位的；</w:t>
      </w:r>
    </w:p>
    <w:p w14:paraId="5B00952A">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（6）项目经理在非本人资格证书注册单位从事工程项目施工管理的；</w:t>
      </w:r>
    </w:p>
    <w:p w14:paraId="02C67DA8">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（7）项目经理同时承担超过一项工程项目的；</w:t>
      </w:r>
    </w:p>
    <w:p w14:paraId="47B5DAAF">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（8）违反有关法律、法规、规章规定的其它行为。</w:t>
      </w:r>
    </w:p>
    <w:p w14:paraId="1F727F4C">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信用评价条款内容</w:t>
      </w:r>
    </w:p>
    <w:p w14:paraId="52AACC39">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由发包人决定是否对施工单位的履约情况进行信用评价。若进行信用评价，评价条款由发包人自拟，条款内容可参考人员到位情况、服务配合程度、服务成果质量、项目后期服务及信用评价结果的运用等。</w:t>
      </w:r>
    </w:p>
    <w:p w14:paraId="30CA2AD6">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危险性较大的分部分项工程安全管理约定。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w:t>
      </w:r>
    </w:p>
    <w:p w14:paraId="67E871C0">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和《广东省安全生产委员会办公室 广东省住房和城乡建设厅关于&lt;严格落实危险性较大的分部分项工程“六不施工”要求的通知&gt;》（粤安办〔2020〕151号）等有关危险性较大的分部分项工程的法规规定通知，履行建设工程安全生产管理职责。</w:t>
      </w:r>
    </w:p>
    <w:p w14:paraId="1111295D">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4.14</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承包人在工程实施过程中，按照国家、省、市的相关规定制定相关的专项安全施工方案（如高支模、基坑支护、沉井等），编制专项施工方案报监理人、发包人审批后方可开展专项工程的施工。</w:t>
      </w:r>
    </w:p>
    <w:p w14:paraId="7FB28F09">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4.15</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承包人须按照《韶关市建筑垃圾管理条例》（2021年5月1日起施行），将弃土运至发包人指定的场所，否则发包人有权要求承包人无条件将弃土从违约弃土点运至发包人指定的场所并扣除违约金人民币</w:t>
      </w:r>
      <w:r>
        <w:rPr>
          <w:rFonts w:hint="eastAsia" w:ascii="宋体" w:hAnsi="宋体" w:eastAsia="宋体" w:cs="宋体"/>
          <w:color w:val="000000" w:themeColor="text1"/>
          <w:kern w:val="2"/>
          <w:sz w:val="24"/>
          <w:szCs w:val="24"/>
          <w:highlight w:val="none"/>
          <w:u w:val="single"/>
          <w:shd w:val="clear" w:color="auto" w:fill="FFFFFF"/>
          <w:lang w:val="en-US" w:eastAsia="zh-CN" w:bidi="ar-SA"/>
          <w14:textFill>
            <w14:solidFill>
              <w14:schemeClr w14:val="tx1"/>
            </w14:solidFill>
          </w14:textFill>
        </w:rPr>
        <w:t>200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元/次。承包人对建筑垃圾须按《韶关市建筑垃圾管理条例》（2021年5月1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w:t>
      </w:r>
    </w:p>
    <w:p w14:paraId="2E914B5F">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4.16</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工程竣工验收后15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w:t>
      </w:r>
    </w:p>
    <w:p w14:paraId="270FB3FE">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4.17</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6D3910C2">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4.17.1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承包人在施工阶段应做好水土保持工作，相关费用承包人自行考虑在投标报价中。</w:t>
      </w:r>
    </w:p>
    <w:p w14:paraId="6DEE6FB9">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4.18</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承包人中标后必须按规定及时缴交工人工资保证金、环保噪声排污费等。</w:t>
      </w:r>
    </w:p>
    <w:p w14:paraId="081AABB0">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4.19</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工程质量保修期按《中华人民共和国建筑法》、《建设工程质量管理条例》等相关规定实施。</w:t>
      </w:r>
    </w:p>
    <w:p w14:paraId="3E26F324">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4.20</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如项目实施过程中发生了工程变更及工程签证，承包人需根据发包人发布的《工程变更管理办法》和《工程签证管理办法》完善工程变更签证相关程序。</w:t>
      </w:r>
    </w:p>
    <w:p w14:paraId="77FA1D37">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承包人需按相关规定要求，设置本工程符合相关要求的永久性标牌及规划公示牌，投标人在投标报价时综合考虑在报价内，发包人不另行支付该部分费用。</w:t>
      </w:r>
    </w:p>
    <w:p w14:paraId="5D624F45">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4.22</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承包人应在项目所在地住建管理部门办理诚信登记，发包人将严格按住建管理部门诚信登记管理办法对承包人履约情况进行考核。</w:t>
      </w:r>
    </w:p>
    <w:p w14:paraId="30E88394">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4.23</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承包人应按韶关市住房和城乡建设管理局、韶关市人力资源和社会保障局等职能部门对用工实名制的相关规定,落实工人及相关软硬件设施要求。</w:t>
      </w:r>
    </w:p>
    <w:p w14:paraId="59B83295">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质量违约</w:t>
      </w:r>
    </w:p>
    <w:p w14:paraId="5678F702">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材料违约处理：若发现材料不符合国家标准或发包人在技术规范中规定的标准，</w:t>
      </w:r>
    </w:p>
    <w:p w14:paraId="0F8B8B2F">
      <w:pPr>
        <w:pageBreakBefore w:val="0"/>
        <w:kinsoku/>
        <w:wordWrap w:val="0"/>
        <w:overflowPunct/>
        <w:topLinePunct/>
        <w:bidi w:val="0"/>
        <w:adjustRightInd w:val="0"/>
        <w:snapToGrid w:val="0"/>
        <w:spacing w:line="440" w:lineRule="exact"/>
        <w:ind w:left="0" w:leftChars="0" w:firstLine="0" w:firstLineChars="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视为承包人违约，按现行《建设工程质量管理条例》处理。</w:t>
      </w:r>
    </w:p>
    <w:p w14:paraId="20FDDBEC">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4.24.1.1</w:t>
      </w: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成品采购项目在采购前，承包人必须先行书面征求监理人、发包人的同意并</w:t>
      </w:r>
    </w:p>
    <w:p w14:paraId="64BC3AE0">
      <w:pPr>
        <w:pageBreakBefore w:val="0"/>
        <w:kinsoku/>
        <w:wordWrap w:val="0"/>
        <w:overflowPunct/>
        <w:topLinePunct/>
        <w:bidi w:val="0"/>
        <w:adjustRightInd w:val="0"/>
        <w:snapToGrid w:val="0"/>
        <w:spacing w:line="440" w:lineRule="exact"/>
        <w:ind w:left="0" w:leftChars="0" w:firstLine="0" w:firstLineChars="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一起看样定版后方能实施。未经监理人、发包人同意擅自先行采购和实施的，否则因不符</w:t>
      </w:r>
    </w:p>
    <w:p w14:paraId="679654D9">
      <w:pPr>
        <w:pageBreakBefore w:val="0"/>
        <w:kinsoku/>
        <w:wordWrap w:val="0"/>
        <w:overflowPunct/>
        <w:topLinePunct/>
        <w:bidi w:val="0"/>
        <w:adjustRightInd w:val="0"/>
        <w:snapToGrid w:val="0"/>
        <w:spacing w:line="440" w:lineRule="exact"/>
        <w:ind w:left="0" w:leftChars="0" w:firstLine="0" w:firstLineChars="0"/>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4"/>
          <w:szCs w:val="24"/>
          <w:highlight w:val="none"/>
          <w:lang w:val="en-US" w:eastAsia="zh-CN"/>
          <w14:textFill>
            <w14:solidFill>
              <w14:schemeClr w14:val="tx1"/>
            </w14:solidFill>
          </w14:textFill>
        </w:rPr>
        <w:t>合设计要求返工造成的费用由承包人承担。</w:t>
      </w:r>
    </w:p>
    <w:p w14:paraId="3A08B7E1">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4.24.2</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工程质量违约：</w:t>
      </w:r>
    </w:p>
    <w:p w14:paraId="2156AF52">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4.24.2.1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在施工过程中经监理单位日常巡查或抽检发现未达到合格标准，责令承包人进</w:t>
      </w:r>
    </w:p>
    <w:p w14:paraId="08FD2829">
      <w:pPr>
        <w:pageBreakBefore w:val="0"/>
        <w:kinsoku/>
        <w:wordWrap w:val="0"/>
        <w:overflowPunct/>
        <w:topLinePunct/>
        <w:bidi w:val="0"/>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行整改，如未按规定时间进行整改或整改不到位的，每次按1000元缴纳违约金给发包人，在进度款或结算款中一并扣除。</w:t>
      </w:r>
    </w:p>
    <w:p w14:paraId="6664E2DA">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4.24.2.2</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工程质量标准须达到国家验收合格标准。如未达到合格标准，除无偿返工至合</w:t>
      </w:r>
    </w:p>
    <w:p w14:paraId="70E8AC61">
      <w:pPr>
        <w:pageBreakBefore w:val="0"/>
        <w:kinsoku/>
        <w:wordWrap w:val="0"/>
        <w:overflowPunct/>
        <w:topLinePunct/>
        <w:bidi w:val="0"/>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格外，还要按合同价款的1%向招标人支付质量违约金，工期不予顺延。</w:t>
      </w:r>
    </w:p>
    <w:p w14:paraId="49F2BD71">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4.25</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重大责任事故违约</w:t>
      </w:r>
    </w:p>
    <w:p w14:paraId="0D24F181">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4.25.1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承包人因违反国家安全质量法规及合同有关条款约定,出现火灾、坍塌、人员重</w:t>
      </w:r>
    </w:p>
    <w:p w14:paraId="1A749E94">
      <w:pPr>
        <w:pageBreakBefore w:val="0"/>
        <w:kinsoku/>
        <w:wordWrap w:val="0"/>
        <w:overflowPunct/>
        <w:topLinePunct/>
        <w:bidi w:val="0"/>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伤、死亡等重大责任事故,则承包人应承担全部损失,并按相关法规接受行政处罚；如造成发</w:t>
      </w:r>
    </w:p>
    <w:p w14:paraId="63D09235">
      <w:pPr>
        <w:pageBreakBefore w:val="0"/>
        <w:kinsoku/>
        <w:wordWrap w:val="0"/>
        <w:overflowPunct/>
        <w:topLinePunct/>
        <w:bidi w:val="0"/>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包人及对第三人利益的损害,该等损害赔偿责任均由承包人承担。</w:t>
      </w:r>
    </w:p>
    <w:p w14:paraId="6C2AC840">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4.26</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用工违约</w:t>
      </w:r>
    </w:p>
    <w:p w14:paraId="0564670A">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4.26.1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在合同履行期间，如经查实承包人拖欠或克扣农民工或劳务工工资，导致劳资纠纷或发生危及公共安全或正常社会秩序的事件的，按承包人违约处理，承包人应按拖欠或克</w:t>
      </w:r>
    </w:p>
    <w:p w14:paraId="21A20391">
      <w:pPr>
        <w:pageBreakBefore w:val="0"/>
        <w:kinsoku/>
        <w:wordWrap w:val="0"/>
        <w:overflowPunct/>
        <w:topLinePunct/>
        <w:bidi w:val="0"/>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扣农民工工资总金额2倍的标准向发包人缴纳惩罚性违约金。</w:t>
      </w:r>
    </w:p>
    <w:p w14:paraId="0F7F8DEF">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4.27</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安全文明施工违约</w:t>
      </w:r>
    </w:p>
    <w:p w14:paraId="035F90BB">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4.27.1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如承包人违反国家、广东省、发包人及合同关于安全文明施工的规定，但尚未造</w:t>
      </w:r>
    </w:p>
    <w:p w14:paraId="2EAE93CE">
      <w:pPr>
        <w:pageBreakBefore w:val="0"/>
        <w:kinsoku/>
        <w:wordWrap w:val="0"/>
        <w:overflowPunct/>
        <w:topLinePunct/>
        <w:bidi w:val="0"/>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成安全责任事故，承包人应及时改正行为并赔偿相关方的损失，如未及时整改，针对每一违约</w:t>
      </w:r>
    </w:p>
    <w:p w14:paraId="25D3005C">
      <w:pPr>
        <w:pageBreakBefore w:val="0"/>
        <w:kinsoku/>
        <w:wordWrap w:val="0"/>
        <w:overflowPunct/>
        <w:topLinePunct/>
        <w:bidi w:val="0"/>
        <w:adjustRightInd w:val="0"/>
        <w:snapToGrid w:val="0"/>
        <w:spacing w:line="440" w:lineRule="exact"/>
        <w:ind w:left="0" w:leftChars="0" w:firstLine="0" w:firstLineChars="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行为应缴纳违约金1000元。</w:t>
      </w:r>
    </w:p>
    <w:p w14:paraId="07FF75D6">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4.27.2</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承包人必须接受发包人及监理单位组织的安全、文明施工的检查，检查中的不合</w:t>
      </w:r>
    </w:p>
    <w:p w14:paraId="75CEAEA5">
      <w:pPr>
        <w:pageBreakBefore w:val="0"/>
        <w:kinsoku/>
        <w:wordWrap w:val="0"/>
        <w:overflowPunct/>
        <w:topLinePunct/>
        <w:bidi w:val="0"/>
        <w:adjustRightInd w:val="0"/>
        <w:snapToGrid w:val="0"/>
        <w:spacing w:line="440" w:lineRule="exact"/>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格项目、安全隐患必须在规定的时间内整改完成，否则每拖延一天处以200元人民币违约金，直至整改合格。</w:t>
      </w:r>
    </w:p>
    <w:p w14:paraId="52E60ABE">
      <w:pPr>
        <w:keepNext w:val="0"/>
        <w:keepLines w:val="0"/>
        <w:pageBreakBefore w:val="0"/>
        <w:widowControl/>
        <w:kinsoku/>
        <w:wordWrap w:val="0"/>
        <w:overflowPunct/>
        <w:topLinePunct/>
        <w:autoSpaceDE w:val="0"/>
        <w:autoSpaceDN w:val="0"/>
        <w:bidi w:val="0"/>
        <w:adjustRightInd w:val="0"/>
        <w:snapToGrid w:val="0"/>
        <w:spacing w:line="440" w:lineRule="exact"/>
        <w:ind w:firstLine="482" w:firstLineChars="200"/>
        <w:textAlignment w:val="baseline"/>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4.27.3</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承包人现场施工人员未按相关规定佩戴安全帽和反光衣进入施工区域的，经现场发包人（监理单位）管理人员确认后，承包人须按50元/人/次缴纳违约金。</w:t>
      </w:r>
    </w:p>
    <w:p w14:paraId="61533690">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4.28</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其他违约</w:t>
      </w:r>
    </w:p>
    <w:p w14:paraId="7FD78796">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4.28.1</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承包人安排在施工场地的主要管理人员（主要指项目经理、项目技术负责人和专</w:t>
      </w:r>
    </w:p>
    <w:p w14:paraId="57B7AF72">
      <w:pPr>
        <w:pageBreakBefore w:val="0"/>
        <w:kinsoku/>
        <w:wordWrap w:val="0"/>
        <w:overflowPunct/>
        <w:topLinePunct/>
        <w:bidi w:val="0"/>
        <w:adjustRightInd w:val="0"/>
        <w:snapToGrid w:val="0"/>
        <w:spacing w:line="440" w:lineRule="exact"/>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在日常检查及相关会议中主要管理人员不到岗，按500元/人/次缴纳违约金给发包人。</w:t>
      </w:r>
    </w:p>
    <w:p w14:paraId="17EBC0B9">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4.28.2</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中标人施工资料必须与形象进度同步，如发包人在日常检查中发现不同步的现象的，视为违约并扣除违约金1000元/每次。</w:t>
      </w:r>
    </w:p>
    <w:p w14:paraId="3C5FCE0C">
      <w:pPr>
        <w:pageBreakBefore w:val="0"/>
        <w:kinsoku/>
        <w:wordWrap w:val="0"/>
        <w:overflowPunct/>
        <w:topLinePunct/>
        <w:bidi w:val="0"/>
        <w:adjustRightInd w:val="0"/>
        <w:snapToGrid w:val="0"/>
        <w:spacing w:line="440" w:lineRule="exact"/>
        <w:ind w:firstLine="482"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4.28.3</w:t>
      </w: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承包人没有正当合理的理由中途退场，可扣除承包人已递交的所有履约风险保证</w:t>
      </w:r>
    </w:p>
    <w:p w14:paraId="73F04561">
      <w:pPr>
        <w:pageBreakBefore w:val="0"/>
        <w:kinsoku/>
        <w:wordWrap w:val="0"/>
        <w:overflowPunct/>
        <w:topLinePunct/>
        <w:bidi w:val="0"/>
        <w:adjustRightInd w:val="0"/>
        <w:snapToGrid w:val="0"/>
        <w:spacing w:line="440" w:lineRule="exact"/>
        <w:rPr>
          <w:rFonts w:hint="eastAsia" w:ascii="宋体" w:hAnsi="宋体" w:eastAsia="宋体" w:cs="宋体"/>
          <w:bCs/>
          <w:snapToGrid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金。承包人因上述违约行为而须缴纳的违约金在工程进度款中或结算时一并扣除。</w:t>
      </w:r>
    </w:p>
    <w:p w14:paraId="38CB8410">
      <w:pPr>
        <w:pageBreakBefore w:val="0"/>
        <w:numPr>
          <w:ilvl w:val="0"/>
          <w:numId w:val="5"/>
        </w:numPr>
        <w:kinsoku/>
        <w:wordWrap w:val="0"/>
        <w:overflowPunct/>
        <w:topLinePunct/>
        <w:bidi w:val="0"/>
        <w:adjustRightInd w:val="0"/>
        <w:snapToGrid w:val="0"/>
        <w:spacing w:line="440" w:lineRule="exact"/>
        <w:ind w:firstLine="482" w:firstLineChars="200"/>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bCs w:val="0"/>
          <w:snapToGrid w:val="0"/>
          <w:color w:val="000000" w:themeColor="text1"/>
          <w:kern w:val="0"/>
          <w:sz w:val="24"/>
          <w:szCs w:val="24"/>
          <w:highlight w:val="none"/>
          <w:lang w:val="en-US" w:eastAsia="zh-CN"/>
          <w14:textFill>
            <w14:solidFill>
              <w14:schemeClr w14:val="tx1"/>
            </w14:solidFill>
          </w14:textFill>
        </w:rPr>
        <w:t>承包人违约</w:t>
      </w:r>
    </w:p>
    <w:p w14:paraId="6CEA7595">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5.1承包人违约的情形：</w:t>
      </w:r>
    </w:p>
    <w:p w14:paraId="72C517BC">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5.1.1工程质量达不到合同约定的质量标准承包人违约责任：如未达到合格标准，除则按合同价款的1%向招标人返纳质量违约金外，发包人有权利选择以下方式返工或修复，承包人不得异议：(1)发包人要求承包人在监理工程师和发包人要求的合理时间内，完成质量不合格工程的返工或修复工作，直至合同约定的质量标准，由此造成的工期延误和所有费用，全部由承包人承担；(2)发包人直接委托其它承包人完成质量不合格部分工程的返工或修复工作，由此造成的工期延误和所有费用，全部由承包人承担。(3)无论采取以上何种方式返工或修复，发包人均有权提请建设行政主管部门对其作不良行为记录，有权给予承包人履约评价为不合格，同时发包人有权拒绝承包人3年内参加发包人其它工程的投标。(4)因工程质量不达标而影响发包人与第三方产生的经济纠纷，相关损失全部由承包人承担。</w:t>
      </w:r>
    </w:p>
    <w:p w14:paraId="50F6740E">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5.1.2承包人违反本合同的约定，应当按约定向发包人承担相应的违约责任。本合同违约责任形式按以下情况分类：</w:t>
      </w:r>
    </w:p>
    <w:p w14:paraId="76C9D649">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(1)限期改正。承包人未履行或未按时履行或未按质履行义务时，发包人有权提出书面警告，承包人必须在发包人限定的时间内履行义务。每一次书面警告扣除违约金人民币壹仟元(￥1000)</w:t>
      </w:r>
    </w:p>
    <w:p w14:paraId="12EED64B">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(2)一般违约责任。承包人按本合同约定应当承担一般违约责任时，在发包人提出书面警告或通知后扣除违约金人民币伍仟元(￥5000)/次。合同另有约定的除外。</w:t>
      </w:r>
    </w:p>
    <w:p w14:paraId="6AE40C3E">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(3)严重违约责任。承包人按本合同约定应当承担严重违约责任时，在发包人提出书面警告或通知后扣除违约金伍万元(￥50000)/次。合同另有约定的除外</w:t>
      </w:r>
    </w:p>
    <w:p w14:paraId="354097E5">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(4)部分解除合同。三次受到发包人书面警告，发包人有权直接解除合同或部分解除合同，按承包人违约解除合同的条款执行。</w:t>
      </w:r>
    </w:p>
    <w:p w14:paraId="56B49927">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5.1.3三次限期改正责任相当于一次一般违约责任，三次一般违约责任相当于一次严重违约责任；累计三次严重违约责任，发包人有权单方部分解除合同；累计五次严重违约责任，发包人有权全部解除合同。合同另有约定的除外。</w:t>
      </w:r>
    </w:p>
    <w:p w14:paraId="70F742EF">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5.1.4承包人未按合同要求建立组织架构、派驻项目管理人员和投入设备，承包人必须按发包人要求限期整改，并承担相应违约责任。具体约定为：</w:t>
      </w:r>
    </w:p>
    <w:p w14:paraId="09E825F9">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(1)在中标通知书发出后3日内，承包人承诺的项目技术负责人(总工)不到位，或到位后又离开，造成该岗位空缺。发包人一旦发现，将要求承包人做出书面解释并保证限期到位，同时将承担一般违约责任1次；若承包人拒不配合，未在发包人提出限期改正的期限内进行整改的，应承担严重违约责任1次，发包人有权单方提出解除合同，并要求承包人承担由此造成的一切损失。</w:t>
      </w:r>
    </w:p>
    <w:p w14:paraId="47A870C7">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(2)在规定的时间内施工人员和设备进场后3日内，承包人在投标文件中承诺的其他主要管理人员未能足额到位，或到位后又离开，造成该岗位空缺，以及未按承诺依时、足额投入有关设备，发包人一旦发现将要求承包人做出书面解释并保证人员、设备限期到位。上述情况每发生1次，承包人应承担限期改正责任1次。如果承包人拒不配合，未在发包人提出限期改正的期限内进行整改的，承包人应承担一般违约责任1次，连续二次书面通知整改拒不配合的，承包人应承担严重违约责任1次。</w:t>
      </w:r>
    </w:p>
    <w:p w14:paraId="6F26F810">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5.1.5承包人如需要调换除项目经理外的其他主要管理人员，必须事先征得发包人书面同意。如承包人未经发包人书面同意，擅自调换项目主要管理人员，除必须限期改正外，承包人必须承担严重违约责任，发包人有权暂停支付工程款，并保留索赔的权利。</w:t>
      </w:r>
    </w:p>
    <w:p w14:paraId="2B135AB5">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5.1.6除项目经理外的其他主要管理人员需离开施工现场3日以上（含3日）需报发包人批准。在其请假离开的时间段内应书面委托其他驻场管理人员全权代表其行使相应职权。否则，每违约一次，承包人应当承担限期整改责任1次。在国家法定节假日期间，承包人应做好管理人员的轮休，并保证现场管理人员不少于3名。在工程实施期间，承包人应对现场主要管理人员进行考勤，并在每月1日前将前一月考勤表报送甲方审核。现场主要管理人员出勤天数均不得少于22天，若少于22天将按每缺勤一天扣减工程费用叁仟元（￥3000）/每人次处理。</w:t>
      </w:r>
    </w:p>
    <w:p w14:paraId="6366A27C">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5.1.7承包人项目经理和主要管理人员的考勤实行实名制打卡，承包人项目经理和主要管理人员的考勤若发现有弄虚作假行为，发现一次，承包人应承担一般违约责任1次。</w:t>
      </w:r>
    </w:p>
    <w:p w14:paraId="01BB7ABE">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5.1.8承包人未按招标文件及合同要求按期提交发包人工程指挥部所需要的各项设施，应承担限期整改责任1次，若限期整改仍不提交，应承担一般违约责任1次，发包人有权自行安排临时设施的建设，所有费用由承包人工程费用中扣减。</w:t>
      </w:r>
    </w:p>
    <w:p w14:paraId="741043B5">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5.1.9承包人未按合同及投标书所作的承诺投入机械、设备、材料等，被监理工程师或发包人发现后，承包人除必须限期改正外，应承担限期改正责任1次。</w:t>
      </w:r>
    </w:p>
    <w:p w14:paraId="521031E2">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5.1.10工程承包人每次的进场材料，若出现不合格材料使用于工程上并造成质量缺陷，承包人必须承担一般违约责任1次。若出现质量事故或经济损失一次人民币壹拾万元(￥100,000)以上的，必须承担严重违约责任1次。造成重大质量安全事故(按国家安监部门规定界定)，发包人视情况部分或全部解除合同。同时，发包人有权追究当事人和承包人的法律责任。</w:t>
      </w:r>
    </w:p>
    <w:p w14:paraId="0D01E201">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5.1.11承包人的工程质量，经监理工程师、发包人或工程质量监督机构抽查，发现质量有不合格、或未按设计要求和有关规范进行施工的，每发现一处承包人应承担一般违约责任1次；出现大面积质量不合格(占比达30%及以上)，每发现一处承包人应承担严重违约责任1次，发包人将情况通报纪检监察和建设行政主管部门，必要时申请调查责任相关人员，且承包人应赔偿发包人的经济损失。</w:t>
      </w:r>
    </w:p>
    <w:p w14:paraId="3E065009">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5.1.12承包人没有按投标承诺和有关规定做好文明施工措施及安全生产，当发生包括但不限于以下情况：工人不统一着装施工临时材料如脚手架、泥网等过于陈旧、现场垃圾未安排专人清理、现场排水不畅污水横流、交通组织不力现场交通严重拥挤、材料设备堆放混乱、安全防护不符合要求、既有管线被破坏、野蛮施工造成周边环境破坏及警示安全标志不齐等，被监理工程师、发包人发现后，承包人除必须限期改正外，每发生一次(或一处)，承包人必须承担限期改正责任1次。由此而被上级主管部门通报批评被新闻媒体曝光的，承包人应承担一般违约责任1次；若由此发生安全生产事故，承包人应承担严重违约责任1次；造成严重安全事故等情节严重的，发包人有权部分或全部解除合同。</w:t>
      </w:r>
    </w:p>
    <w:p w14:paraId="7B2EED31">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5.1.13因承包人原因造成工程投资增加的，承包人应赔偿发包人由此遭受的实际损失，情况严重时发包人有权单方解除本施工合同。</w:t>
      </w:r>
    </w:p>
    <w:p w14:paraId="1D8E71DB">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(1)若因承包人未按设计规定和施工技术规程要求认真做好施工现场的临时降水、排水(尤其是雨季施工期间)工作导致需要进行地基处理、边坡加固等情况时，每发生一处承包人应负严重违约责任1次，由此造成的工程投资增加由承包人承担。</w:t>
      </w:r>
    </w:p>
    <w:p w14:paraId="4FA7F2E6">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(2)若承包人未严格按施工进度计划要求组织施工造成工期拖延，导致一些工程项目被迫进入雨季施工而引起投资增加的，承包人应承担严重违约责任1次，由此造成的投资增加由承包人负责。</w:t>
      </w:r>
    </w:p>
    <w:p w14:paraId="32D7DFC6">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(3)承包人未经监理工程师、发包人同意擅自改变施工技术方案和工艺，造成投资增加的，应承担严重违约责任1次，由此造成的投资增加由承包人负责。</w:t>
      </w:r>
    </w:p>
    <w:p w14:paraId="1823CB9E">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(4)承包人未拟定临时设施方案并经监理工程师、发包人审批同意擅自实施临时设施建设，若此临时设施建设经核实无法达到合同规定的要求，承包人应承担限期整改责任1次，若承包人拒绝限期整改应当承担一般违约责任1次，同时发包人有权按实际发生重新核定安全文明施工措施费</w:t>
      </w:r>
    </w:p>
    <w:p w14:paraId="08AF8632">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(5)承包人提供虚假情况或制造现场假象造成设计变更及投资增加时，经监理公司、发包人发现，承包人应承担严重违约责任1次，造成的投资增加由承包人承担。</w:t>
      </w:r>
    </w:p>
    <w:p w14:paraId="3C541418">
      <w:pPr>
        <w:pageBreakBefore w:val="0"/>
        <w:kinsoku/>
        <w:wordWrap w:val="0"/>
        <w:overflowPunct/>
        <w:topLinePunct/>
        <w:bidi w:val="0"/>
        <w:adjustRightInd w:val="0"/>
        <w:snapToGrid w:val="0"/>
        <w:spacing w:line="440" w:lineRule="exact"/>
        <w:ind w:firstLine="480" w:firstLineChars="200"/>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bCs/>
          <w:snapToGrid w:val="0"/>
          <w:color w:val="000000" w:themeColor="text1"/>
          <w:kern w:val="0"/>
          <w:sz w:val="24"/>
          <w:szCs w:val="24"/>
          <w:highlight w:val="none"/>
          <w:lang w:val="en-US" w:eastAsia="zh-CN"/>
          <w14:textFill>
            <w14:solidFill>
              <w14:schemeClr w14:val="tx1"/>
            </w14:solidFill>
          </w14:textFill>
        </w:rPr>
        <w:t>5.1.14发包人将根据承包人的投标文件，严格考核施工项目管理人员的日常到位情况，并定期按照发包人的合同履约评价管理办法对承包人的合同履行情况进行评价。履约评价为不合格的，发包人有权拒绝承包人3年内参加发包人任何其它工程的投标，有权报请建设行政主管部门对其作不良行为记录。</w:t>
      </w:r>
    </w:p>
    <w:p w14:paraId="796EB7BB">
      <w:pPr>
        <w:rPr>
          <w:rFonts w:hint="eastAsia" w:ascii="宋体" w:hAnsi="宋体" w:eastAsia="宋体" w:cs="宋体"/>
          <w:b/>
          <w:bCs/>
          <w:color w:val="000000" w:themeColor="text1"/>
          <w:spacing w:val="-3"/>
          <w:sz w:val="24"/>
          <w:szCs w:val="24"/>
          <w:highlight w:val="none"/>
          <w14:textFill>
            <w14:solidFill>
              <w14:schemeClr w14:val="tx1"/>
            </w14:solidFill>
          </w14:textFill>
        </w:rPr>
      </w:pPr>
      <w:bookmarkStart w:id="180" w:name="bookmark96"/>
      <w:bookmarkEnd w:id="180"/>
      <w:r>
        <w:rPr>
          <w:rFonts w:hint="eastAsia" w:ascii="宋体" w:hAnsi="宋体" w:eastAsia="宋体" w:cs="宋体"/>
          <w:b/>
          <w:bCs/>
          <w:color w:val="000000" w:themeColor="text1"/>
          <w:spacing w:val="-3"/>
          <w:sz w:val="24"/>
          <w:szCs w:val="24"/>
          <w:highlight w:val="none"/>
          <w14:textFill>
            <w14:solidFill>
              <w14:schemeClr w14:val="tx1"/>
            </w14:solidFill>
          </w14:textFill>
        </w:rPr>
        <w:br w:type="page"/>
      </w:r>
    </w:p>
    <w:p w14:paraId="193BE457">
      <w:pPr>
        <w:pageBreakBefore w:val="0"/>
        <w:kinsoku/>
        <w:wordWrap w:val="0"/>
        <w:overflowPunct/>
        <w:topLinePunct/>
        <w:bidi w:val="0"/>
        <w:spacing w:before="78" w:line="219" w:lineRule="auto"/>
        <w:ind w:left="3273"/>
        <w:outlineLvl w:val="0"/>
        <w:rPr>
          <w:rFonts w:hint="eastAsia" w:ascii="宋体" w:hAnsi="宋体" w:eastAsia="宋体" w:cs="宋体"/>
          <w:color w:val="000000" w:themeColor="text1"/>
          <w:highlight w:val="none"/>
          <w14:textFill>
            <w14:solidFill>
              <w14:schemeClr w14:val="tx1"/>
            </w14:solidFill>
          </w14:textFill>
        </w:rPr>
      </w:pPr>
      <w:bookmarkStart w:id="181" w:name="_Toc18062"/>
      <w:r>
        <w:rPr>
          <w:rFonts w:hint="eastAsia" w:ascii="宋体" w:hAnsi="宋体" w:eastAsia="宋体" w:cs="宋体"/>
          <w:b/>
          <w:bCs/>
          <w:color w:val="000000" w:themeColor="text1"/>
          <w:spacing w:val="-3"/>
          <w:sz w:val="24"/>
          <w:szCs w:val="24"/>
          <w:highlight w:val="none"/>
          <w14:textFill>
            <w14:solidFill>
              <w14:schemeClr w14:val="tx1"/>
            </w14:solidFill>
          </w14:textFill>
        </w:rPr>
        <w:t>第四章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技术要求</w:t>
      </w:r>
      <w:bookmarkEnd w:id="181"/>
    </w:p>
    <w:p w14:paraId="64DDBBE2">
      <w:pPr>
        <w:pStyle w:val="5"/>
        <w:pageBreakBefore w:val="0"/>
        <w:kinsoku/>
        <w:wordWrap w:val="0"/>
        <w:overflowPunct/>
        <w:topLinePunct/>
        <w:bidi w:val="0"/>
        <w:spacing w:line="257" w:lineRule="auto"/>
        <w:rPr>
          <w:rFonts w:hint="eastAsia" w:ascii="宋体" w:hAnsi="宋体" w:eastAsia="宋体" w:cs="宋体"/>
          <w:color w:val="000000" w:themeColor="text1"/>
          <w:highlight w:val="none"/>
          <w14:textFill>
            <w14:solidFill>
              <w14:schemeClr w14:val="tx1"/>
            </w14:solidFill>
          </w14:textFill>
        </w:rPr>
      </w:pPr>
    </w:p>
    <w:p w14:paraId="6DDC10F2">
      <w:pPr>
        <w:pageBreakBefore w:val="0"/>
        <w:kinsoku/>
        <w:wordWrap w:val="0"/>
        <w:overflowPunct/>
        <w:topLinePunct/>
        <w:bidi w:val="0"/>
        <w:spacing w:before="78" w:line="220" w:lineRule="auto"/>
        <w:ind w:left="115"/>
        <w:outlineLvl w:val="2"/>
        <w:rPr>
          <w:rFonts w:hint="eastAsia" w:ascii="宋体" w:hAnsi="宋体" w:eastAsia="宋体" w:cs="宋体"/>
          <w:color w:val="000000" w:themeColor="text1"/>
          <w:sz w:val="24"/>
          <w:szCs w:val="24"/>
          <w:highlight w:val="none"/>
          <w14:textFill>
            <w14:solidFill>
              <w14:schemeClr w14:val="tx1"/>
            </w14:solidFill>
          </w14:textFill>
        </w:rPr>
      </w:pPr>
      <w:bookmarkStart w:id="182" w:name="_Toc23604"/>
      <w:bookmarkStart w:id="183" w:name="_Toc15652"/>
      <w:r>
        <w:rPr>
          <w:rFonts w:hint="eastAsia" w:ascii="宋体" w:hAnsi="宋体" w:eastAsia="宋体" w:cs="宋体"/>
          <w:b/>
          <w:bCs/>
          <w:color w:val="000000" w:themeColor="text1"/>
          <w:spacing w:val="-5"/>
          <w:sz w:val="24"/>
          <w:szCs w:val="24"/>
          <w:highlight w:val="none"/>
          <w:lang w:val="en-US" w:eastAsia="zh-CN"/>
          <w14:textFill>
            <w14:solidFill>
              <w14:schemeClr w14:val="tx1"/>
            </w14:solidFill>
          </w14:textFill>
        </w:rPr>
        <w:t>1</w:t>
      </w:r>
      <w:r>
        <w:rPr>
          <w:rFonts w:hint="eastAsia" w:ascii="宋体" w:hAnsi="宋体" w:eastAsia="宋体" w:cs="宋体"/>
          <w:b/>
          <w:bCs/>
          <w:color w:val="000000" w:themeColor="text1"/>
          <w:spacing w:val="-5"/>
          <w:sz w:val="24"/>
          <w:szCs w:val="24"/>
          <w:highlight w:val="none"/>
          <w14:textFill>
            <w14:solidFill>
              <w14:schemeClr w14:val="tx1"/>
            </w14:solidFill>
          </w14:textFill>
        </w:rPr>
        <w:t>．市政基础设施工程建设项目</w:t>
      </w:r>
      <w:bookmarkEnd w:id="182"/>
      <w:bookmarkEnd w:id="183"/>
    </w:p>
    <w:p w14:paraId="4165FA64">
      <w:pPr>
        <w:pageBreakBefore w:val="0"/>
        <w:kinsoku/>
        <w:wordWrap w:val="0"/>
        <w:overflowPunct/>
        <w:topLinePunct/>
        <w:bidi w:val="0"/>
        <w:spacing w:before="154" w:line="220" w:lineRule="auto"/>
        <w:ind w:left="1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市政基础设施工程建设项目必须执行的现行技术规范，包括且不限于：</w:t>
      </w:r>
    </w:p>
    <w:p w14:paraId="171AC8DE">
      <w:pPr>
        <w:pageBreakBefore w:val="0"/>
        <w:kinsoku/>
        <w:wordWrap w:val="0"/>
        <w:overflowPunct/>
        <w:topLinePunct/>
        <w:bidi w:val="0"/>
        <w:spacing w:before="155"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（1）《公路路基施工技术规范》；</w:t>
      </w:r>
    </w:p>
    <w:p w14:paraId="62D01775">
      <w:pPr>
        <w:pageBreakBefore w:val="0"/>
        <w:kinsoku/>
        <w:wordWrap w:val="0"/>
        <w:overflowPunct/>
        <w:topLinePunct/>
        <w:bidi w:val="0"/>
        <w:spacing w:before="153"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（2）《市政道路工程质量检验评定标准》；</w:t>
      </w:r>
    </w:p>
    <w:p w14:paraId="2D55EE01">
      <w:pPr>
        <w:pageBreakBefore w:val="0"/>
        <w:kinsoku/>
        <w:wordWrap w:val="0"/>
        <w:overflowPunct/>
        <w:topLinePunct/>
        <w:bidi w:val="0"/>
        <w:spacing w:before="154" w:line="220"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（3）《市政排水管渠工程质量检验评定标准》；</w:t>
      </w:r>
    </w:p>
    <w:p w14:paraId="2C5FCE42">
      <w:pPr>
        <w:keepNext w:val="0"/>
        <w:keepLines w:val="0"/>
        <w:pageBreakBefore w:val="0"/>
        <w:widowControl w:val="0"/>
        <w:kinsoku/>
        <w:wordWrap w:val="0"/>
        <w:overflowPunct/>
        <w:topLinePunct/>
        <w:autoSpaceDE w:val="0"/>
        <w:autoSpaceDN w:val="0"/>
        <w:bidi w:val="0"/>
        <w:adjustRightInd w:val="0"/>
        <w:snapToGrid w:val="0"/>
        <w:spacing w:before="155" w:line="220" w:lineRule="auto"/>
        <w:ind w:left="130"/>
        <w:textAlignment w:val="baseline"/>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（4）《给水排水管道工程施工及验收规范》；</w:t>
      </w:r>
    </w:p>
    <w:p w14:paraId="075A3D5D">
      <w:pPr>
        <w:keepNext w:val="0"/>
        <w:keepLines w:val="0"/>
        <w:pageBreakBefore w:val="0"/>
        <w:widowControl w:val="0"/>
        <w:kinsoku/>
        <w:wordWrap w:val="0"/>
        <w:overflowPunct/>
        <w:topLinePunct/>
        <w:autoSpaceDE w:val="0"/>
        <w:autoSpaceDN w:val="0"/>
        <w:bidi w:val="0"/>
        <w:adjustRightInd w:val="0"/>
        <w:snapToGrid w:val="0"/>
        <w:spacing w:before="155" w:line="220" w:lineRule="auto"/>
        <w:ind w:left="13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（5）《城市道路路基工程施工及验收规范》；</w:t>
      </w:r>
    </w:p>
    <w:p w14:paraId="18E1EBCA">
      <w:pPr>
        <w:keepNext w:val="0"/>
        <w:keepLines w:val="0"/>
        <w:pageBreakBefore w:val="0"/>
        <w:widowControl w:val="0"/>
        <w:kinsoku/>
        <w:wordWrap w:val="0"/>
        <w:overflowPunct/>
        <w:topLinePunct/>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（6）《水泥砼路面施工及验收规范》；</w:t>
      </w:r>
    </w:p>
    <w:p w14:paraId="674C5BE6">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（7）《公路水泥砼路面施工技术规范》；</w:t>
      </w:r>
    </w:p>
    <w:p w14:paraId="0BEBBE13">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（8）《埋地硬聚氯乙烯排水管道工程技术规程》；</w:t>
      </w:r>
    </w:p>
    <w:p w14:paraId="5ED692C0">
      <w:pPr>
        <w:keepNext w:val="0"/>
        <w:keepLines w:val="0"/>
        <w:pageBreakBefore w:val="0"/>
        <w:widowControl w:val="0"/>
        <w:kinsoku/>
        <w:wordWrap w:val="0"/>
        <w:overflowPunct/>
        <w:topLinePunct/>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（9）《沥青路面施工及验收规范》；</w:t>
      </w:r>
    </w:p>
    <w:p w14:paraId="5D46741E">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（10）《广东省市政工程施工质量技术资料统一用表》。</w:t>
      </w:r>
    </w:p>
    <w:p w14:paraId="680C1D20">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184" w:name="_Toc30781"/>
      <w:bookmarkStart w:id="185" w:name="_Toc8494"/>
      <w:r>
        <w:rPr>
          <w:rFonts w:hint="eastAsia" w:ascii="宋体" w:hAnsi="宋体" w:eastAsia="宋体" w:cs="宋体"/>
          <w:color w:val="000000" w:themeColor="text1"/>
          <w:spacing w:val="-2"/>
          <w:sz w:val="24"/>
          <w:szCs w:val="24"/>
          <w:highlight w:val="none"/>
          <w14:textFill>
            <w14:solidFill>
              <w14:schemeClr w14:val="tx1"/>
            </w14:solidFill>
          </w14:textFill>
        </w:rPr>
        <w:t>（11）《建筑与市政工程无障碍通用规范》GB 55019-2021；</w:t>
      </w:r>
      <w:bookmarkEnd w:id="184"/>
      <w:bookmarkEnd w:id="185"/>
    </w:p>
    <w:p w14:paraId="48E6876B">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bookmarkStart w:id="186" w:name="_Toc17383"/>
      <w:bookmarkStart w:id="187" w:name="_Toc31143"/>
      <w:r>
        <w:rPr>
          <w:rFonts w:hint="eastAsia" w:ascii="宋体" w:hAnsi="宋体" w:eastAsia="宋体" w:cs="宋体"/>
          <w:color w:val="000000" w:themeColor="text1"/>
          <w:spacing w:val="-2"/>
          <w:sz w:val="24"/>
          <w:szCs w:val="24"/>
          <w:highlight w:val="none"/>
          <w14:textFill>
            <w14:solidFill>
              <w14:schemeClr w14:val="tx1"/>
            </w14:solidFill>
          </w14:textFill>
        </w:rPr>
        <w:t>（12）《建筑防火通用规范》GB 55037-2022</w:t>
      </w:r>
      <w:bookmarkEnd w:id="186"/>
      <w:bookmarkEnd w:id="187"/>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p>
    <w:p w14:paraId="67881DC1">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bookmarkStart w:id="188" w:name="_Toc954"/>
      <w:bookmarkStart w:id="189" w:name="_Toc32476"/>
      <w:r>
        <w:rPr>
          <w:rFonts w:hint="eastAsia" w:ascii="宋体" w:hAnsi="宋体" w:eastAsia="宋体" w:cs="宋体"/>
          <w:color w:val="000000" w:themeColor="text1"/>
          <w:spacing w:val="-2"/>
          <w:sz w:val="24"/>
          <w:szCs w:val="24"/>
          <w:highlight w:val="none"/>
          <w14:textFill>
            <w14:solidFill>
              <w14:schemeClr w14:val="tx1"/>
            </w14:solidFill>
          </w14:textFill>
        </w:rPr>
        <w:t>（13）《建筑与市政工程抗震通用规范》GB55002-2001</w:t>
      </w:r>
      <w:bookmarkEnd w:id="188"/>
      <w:bookmarkEnd w:id="189"/>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p>
    <w:p w14:paraId="12DFCDB1">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lang w:eastAsia="zh-CN"/>
          <w14:textFill>
            <w14:solidFill>
              <w14:schemeClr w14:val="tx1"/>
            </w14:solidFill>
          </w14:textFill>
        </w:rPr>
      </w:pPr>
      <w:bookmarkStart w:id="190" w:name="_Toc27898"/>
      <w:bookmarkStart w:id="191" w:name="_Toc7185"/>
      <w:r>
        <w:rPr>
          <w:rFonts w:hint="eastAsia" w:ascii="宋体" w:hAnsi="宋体" w:eastAsia="宋体" w:cs="宋体"/>
          <w:color w:val="000000" w:themeColor="text1"/>
          <w:spacing w:val="-2"/>
          <w:sz w:val="24"/>
          <w:szCs w:val="24"/>
          <w:highlight w:val="none"/>
          <w14:textFill>
            <w14:solidFill>
              <w14:schemeClr w14:val="tx1"/>
            </w14:solidFill>
          </w14:textFill>
        </w:rPr>
        <w:t>（14）《建筑与市政地基基础通用规范》GB55003-2001</w:t>
      </w:r>
      <w:bookmarkEnd w:id="190"/>
      <w:bookmarkEnd w:id="191"/>
      <w:r>
        <w:rPr>
          <w:rFonts w:hint="eastAsia" w:ascii="宋体" w:hAnsi="宋体" w:eastAsia="宋体" w:cs="宋体"/>
          <w:color w:val="000000" w:themeColor="text1"/>
          <w:spacing w:val="-2"/>
          <w:sz w:val="24"/>
          <w:szCs w:val="24"/>
          <w:highlight w:val="none"/>
          <w:lang w:eastAsia="zh-CN"/>
          <w14:textFill>
            <w14:solidFill>
              <w14:schemeClr w14:val="tx1"/>
            </w14:solidFill>
          </w14:textFill>
        </w:rPr>
        <w:t>；</w:t>
      </w:r>
    </w:p>
    <w:p w14:paraId="74A81B73">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192" w:name="_Toc29669"/>
      <w:bookmarkStart w:id="193" w:name="_Toc17281"/>
      <w:r>
        <w:rPr>
          <w:rFonts w:hint="eastAsia" w:ascii="宋体" w:hAnsi="宋体" w:eastAsia="宋体" w:cs="宋体"/>
          <w:color w:val="000000" w:themeColor="text1"/>
          <w:spacing w:val="-2"/>
          <w:sz w:val="24"/>
          <w:szCs w:val="24"/>
          <w:highlight w:val="none"/>
          <w14:textFill>
            <w14:solidFill>
              <w14:schemeClr w14:val="tx1"/>
            </w14:solidFill>
          </w14:textFill>
        </w:rPr>
        <w:t>（15）《城市道路照明设计标准》（CJJ45-2015）；</w:t>
      </w:r>
      <w:bookmarkEnd w:id="192"/>
      <w:bookmarkEnd w:id="193"/>
    </w:p>
    <w:p w14:paraId="2B1E7EE2">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194" w:name="_Toc9161"/>
      <w:bookmarkStart w:id="195" w:name="_Toc31812"/>
      <w:r>
        <w:rPr>
          <w:rFonts w:hint="eastAsia" w:ascii="宋体" w:hAnsi="宋体" w:eastAsia="宋体" w:cs="宋体"/>
          <w:color w:val="000000" w:themeColor="text1"/>
          <w:spacing w:val="-2"/>
          <w:sz w:val="24"/>
          <w:szCs w:val="24"/>
          <w:highlight w:val="none"/>
          <w14:textFill>
            <w14:solidFill>
              <w14:schemeClr w14:val="tx1"/>
            </w14:solidFill>
          </w14:textFill>
        </w:rPr>
        <w:t>（16）《低压配电设计规范》（GB50054-2011）；</w:t>
      </w:r>
      <w:bookmarkEnd w:id="194"/>
      <w:bookmarkEnd w:id="195"/>
    </w:p>
    <w:p w14:paraId="3BE77EC4">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bookmarkStart w:id="196" w:name="_Toc6405"/>
      <w:bookmarkStart w:id="197" w:name="_Toc18255"/>
      <w:r>
        <w:rPr>
          <w:rFonts w:hint="eastAsia" w:ascii="宋体" w:hAnsi="宋体" w:eastAsia="宋体" w:cs="宋体"/>
          <w:color w:val="000000" w:themeColor="text1"/>
          <w:spacing w:val="-2"/>
          <w:sz w:val="24"/>
          <w:szCs w:val="24"/>
          <w:highlight w:val="none"/>
          <w14:textFill>
            <w14:solidFill>
              <w14:schemeClr w14:val="tx1"/>
            </w14:solidFill>
          </w14:textFill>
        </w:rPr>
        <w:t>（17）《城市道路照明工程施工及验收规程》（CJJ89-2012）；</w:t>
      </w:r>
      <w:bookmarkEnd w:id="196"/>
      <w:bookmarkEnd w:id="197"/>
    </w:p>
    <w:p w14:paraId="26703278">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（18）《LED 道路照明工程技术规范》（DB44/T 1898-2016）；</w:t>
      </w:r>
    </w:p>
    <w:p w14:paraId="311E3DD3">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（19）《灯具第 1 部分：一般要求与试验》（GB7000.1-2015）；</w:t>
      </w:r>
    </w:p>
    <w:p w14:paraId="07253F71">
      <w:pPr>
        <w:keepNext w:val="0"/>
        <w:keepLines w:val="0"/>
        <w:pageBreakBefore w:val="0"/>
        <w:widowControl w:val="0"/>
        <w:kinsoku/>
        <w:wordWrap w:val="0"/>
        <w:overflowPunct/>
        <w:topLinePunct/>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（20）《电缆工程电缆设计标准》（GB50217-2018）；</w:t>
      </w:r>
    </w:p>
    <w:p w14:paraId="74DEEA1B">
      <w:pPr>
        <w:keepNext w:val="0"/>
        <w:keepLines w:val="0"/>
        <w:pageBreakBefore w:val="0"/>
        <w:widowControl w:val="0"/>
        <w:kinsoku/>
        <w:wordWrap w:val="0"/>
        <w:overflowPunct/>
        <w:topLinePunct/>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（21）其他现行国家、广东省关于市政工程的技术及验收规范、定额、规程、标准。</w:t>
      </w:r>
    </w:p>
    <w:p w14:paraId="27324786">
      <w:pPr>
        <w:pStyle w:val="5"/>
        <w:keepNext w:val="0"/>
        <w:keepLines w:val="0"/>
        <w:pageBreakBefore w:val="0"/>
        <w:widowControl w:val="0"/>
        <w:kinsoku/>
        <w:wordWrap w:val="0"/>
        <w:overflowPunct/>
        <w:topLinePunct/>
        <w:autoSpaceDE w:val="0"/>
        <w:autoSpaceDN w:val="0"/>
        <w:bidi w:val="0"/>
        <w:adjustRightInd w:val="0"/>
        <w:snapToGrid w:val="0"/>
        <w:spacing w:line="255" w:lineRule="auto"/>
        <w:textAlignment w:val="baseline"/>
        <w:rPr>
          <w:rFonts w:hint="eastAsia" w:ascii="宋体" w:hAnsi="宋体" w:eastAsia="宋体" w:cs="宋体"/>
          <w:color w:val="000000" w:themeColor="text1"/>
          <w:highlight w:val="none"/>
          <w14:textFill>
            <w14:solidFill>
              <w14:schemeClr w14:val="tx1"/>
            </w14:solidFill>
          </w14:textFill>
        </w:rPr>
      </w:pPr>
    </w:p>
    <w:p w14:paraId="67A0AC60">
      <w:pPr>
        <w:pStyle w:val="5"/>
        <w:keepNext w:val="0"/>
        <w:keepLines w:val="0"/>
        <w:pageBreakBefore w:val="0"/>
        <w:widowControl w:val="0"/>
        <w:kinsoku/>
        <w:wordWrap w:val="0"/>
        <w:overflowPunct/>
        <w:topLinePunct/>
        <w:autoSpaceDE w:val="0"/>
        <w:autoSpaceDN w:val="0"/>
        <w:bidi w:val="0"/>
        <w:adjustRightInd w:val="0"/>
        <w:snapToGrid w:val="0"/>
        <w:spacing w:line="255" w:lineRule="auto"/>
        <w:textAlignment w:val="baseline"/>
        <w:rPr>
          <w:rFonts w:hint="eastAsia" w:ascii="宋体" w:hAnsi="宋体" w:eastAsia="宋体" w:cs="宋体"/>
          <w:color w:val="000000" w:themeColor="text1"/>
          <w:highlight w:val="none"/>
          <w14:textFill>
            <w14:solidFill>
              <w14:schemeClr w14:val="tx1"/>
            </w14:solidFill>
          </w14:textFill>
        </w:rPr>
      </w:pPr>
    </w:p>
    <w:p w14:paraId="0951D301">
      <w:pPr>
        <w:keepNext w:val="0"/>
        <w:keepLines w:val="0"/>
        <w:pageBreakBefore w:val="0"/>
        <w:widowControl w:val="0"/>
        <w:kinsoku/>
        <w:wordWrap w:val="0"/>
        <w:overflowPunct/>
        <w:topLinePunct/>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000000" w:themeColor="text1"/>
          <w:sz w:val="24"/>
          <w:szCs w:val="24"/>
          <w:highlight w:val="none"/>
          <w14:textFill>
            <w14:solidFill>
              <w14:schemeClr w14:val="tx1"/>
            </w14:solidFill>
          </w14:textFill>
        </w:rPr>
      </w:pPr>
      <w:bookmarkStart w:id="198" w:name="_Toc9200"/>
      <w:bookmarkStart w:id="199" w:name="_Toc5916"/>
      <w:r>
        <w:rPr>
          <w:rFonts w:hint="eastAsia" w:ascii="宋体" w:hAnsi="宋体" w:eastAsia="宋体" w:cs="宋体"/>
          <w:b/>
          <w:bCs/>
          <w:color w:val="000000" w:themeColor="text1"/>
          <w:spacing w:val="-8"/>
          <w:sz w:val="24"/>
          <w:szCs w:val="24"/>
          <w:highlight w:val="none"/>
          <w:lang w:val="en-US" w:eastAsia="zh-CN"/>
          <w14:textFill>
            <w14:solidFill>
              <w14:schemeClr w14:val="tx1"/>
            </w14:solidFill>
          </w14:textFill>
        </w:rPr>
        <w:t>2</w:t>
      </w:r>
      <w:r>
        <w:rPr>
          <w:rFonts w:hint="eastAsia" w:ascii="宋体" w:hAnsi="宋体" w:eastAsia="宋体" w:cs="宋体"/>
          <w:b/>
          <w:bCs/>
          <w:color w:val="000000" w:themeColor="text1"/>
          <w:spacing w:val="-8"/>
          <w:sz w:val="24"/>
          <w:szCs w:val="24"/>
          <w:highlight w:val="none"/>
          <w14:textFill>
            <w14:solidFill>
              <w14:schemeClr w14:val="tx1"/>
            </w14:solidFill>
          </w14:textFill>
        </w:rPr>
        <w:t>．备查要求</w:t>
      </w:r>
      <w:bookmarkEnd w:id="198"/>
      <w:bookmarkEnd w:id="199"/>
    </w:p>
    <w:p w14:paraId="23A8DBBA">
      <w:pPr>
        <w:keepNext w:val="0"/>
        <w:keepLines w:val="0"/>
        <w:pageBreakBefore w:val="0"/>
        <w:widowControl w:val="0"/>
        <w:kinsoku/>
        <w:wordWrap w:val="0"/>
        <w:overflowPunct/>
        <w:topLinePunct/>
        <w:autoSpaceDE w:val="0"/>
        <w:autoSpaceDN w:val="0"/>
        <w:bidi w:val="0"/>
        <w:adjustRightInd w:val="0"/>
        <w:snapToGrid w:val="0"/>
        <w:spacing w:before="155" w:line="324" w:lineRule="auto"/>
        <w:ind w:right="81" w:firstLine="561"/>
        <w:jc w:val="both"/>
        <w:textAlignment w:val="baseline"/>
        <w:rPr>
          <w:rFonts w:hint="eastAsia" w:ascii="宋体" w:hAnsi="宋体" w:eastAsia="宋体" w:cs="宋体"/>
          <w:color w:val="000000" w:themeColor="text1"/>
          <w:highlight w:val="none"/>
          <w14:textFill>
            <w14:solidFill>
              <w14:schemeClr w14:val="tx1"/>
            </w14:solidFill>
          </w14:textFill>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000000" w:themeColor="text1"/>
          <w:spacing w:val="3"/>
          <w:sz w:val="24"/>
          <w:szCs w:val="24"/>
          <w:highlight w:val="none"/>
          <w14:textFill>
            <w14:solidFill>
              <w14:schemeClr w14:val="tx1"/>
            </w14:solidFill>
          </w14:textFill>
        </w:rPr>
        <w:t>承包人必须在施工现场准备至少一套上述规范，发包人和监理单位可</w:t>
      </w:r>
      <w:r>
        <w:rPr>
          <w:rFonts w:hint="eastAsia" w:ascii="宋体" w:hAnsi="宋体" w:eastAsia="宋体" w:cs="宋体"/>
          <w:color w:val="000000" w:themeColor="text1"/>
          <w:spacing w:val="2"/>
          <w:sz w:val="24"/>
          <w:szCs w:val="24"/>
          <w:highlight w:val="none"/>
          <w14:textFill>
            <w14:solidFill>
              <w14:schemeClr w14:val="tx1"/>
            </w14:solidFill>
          </w14:textFill>
        </w:rPr>
        <w:t>随时检查承</w:t>
      </w:r>
      <w:r>
        <w:rPr>
          <w:rFonts w:hint="eastAsia" w:ascii="宋体" w:hAnsi="宋体" w:eastAsia="宋体" w:cs="宋体"/>
          <w:color w:val="000000" w:themeColor="text1"/>
          <w:spacing w:val="-1"/>
          <w:sz w:val="24"/>
          <w:szCs w:val="24"/>
          <w:highlight w:val="none"/>
          <w14:textFill>
            <w14:solidFill>
              <w14:schemeClr w14:val="tx1"/>
            </w14:solidFill>
          </w14:textFill>
        </w:rPr>
        <w:t>包人的上述规范，并监督承包人按规范要求执行。</w:t>
      </w:r>
    </w:p>
    <w:p w14:paraId="4D150E67">
      <w:pPr>
        <w:pageBreakBefore w:val="0"/>
        <w:kinsoku/>
        <w:wordWrap w:val="0"/>
        <w:overflowPunct/>
        <w:topLinePunct/>
        <w:bidi w:val="0"/>
        <w:spacing w:before="78" w:line="219" w:lineRule="auto"/>
        <w:jc w:val="center"/>
        <w:outlineLvl w:val="0"/>
        <w:rPr>
          <w:rFonts w:hint="eastAsia" w:ascii="宋体" w:hAnsi="宋体" w:eastAsia="宋体" w:cs="宋体"/>
          <w:color w:val="000000" w:themeColor="text1"/>
          <w:sz w:val="24"/>
          <w:szCs w:val="24"/>
          <w:highlight w:val="none"/>
          <w14:textFill>
            <w14:solidFill>
              <w14:schemeClr w14:val="tx1"/>
            </w14:solidFill>
          </w14:textFill>
        </w:rPr>
      </w:pPr>
      <w:bookmarkStart w:id="200" w:name="bookmark100"/>
      <w:bookmarkEnd w:id="200"/>
      <w:bookmarkStart w:id="201" w:name="bookmark146"/>
      <w:bookmarkEnd w:id="201"/>
      <w:bookmarkStart w:id="202" w:name="_Toc11208"/>
      <w:r>
        <w:rPr>
          <w:rFonts w:hint="eastAsia" w:ascii="宋体" w:hAnsi="宋体" w:eastAsia="宋体" w:cs="宋体"/>
          <w:b/>
          <w:bCs/>
          <w:color w:val="000000" w:themeColor="text1"/>
          <w:spacing w:val="-5"/>
          <w:sz w:val="24"/>
          <w:szCs w:val="24"/>
          <w:highlight w:val="none"/>
          <w14:textFill>
            <w14:solidFill>
              <w14:schemeClr w14:val="tx1"/>
            </w14:solidFill>
          </w14:textFill>
        </w:rPr>
        <w:t>第五章</w:t>
      </w:r>
      <w:r>
        <w:rPr>
          <w:rFonts w:hint="eastAsia" w:ascii="宋体" w:hAnsi="宋体" w:eastAsia="宋体" w:cs="宋体"/>
          <w:color w:val="000000" w:themeColor="text1"/>
          <w:spacing w:val="3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5"/>
          <w:sz w:val="24"/>
          <w:szCs w:val="24"/>
          <w:highlight w:val="none"/>
          <w14:textFill>
            <w14:solidFill>
              <w14:schemeClr w14:val="tx1"/>
            </w14:solidFill>
          </w14:textFill>
        </w:rPr>
        <w:t>图纸和招标工程量清单</w:t>
      </w:r>
      <w:bookmarkEnd w:id="202"/>
    </w:p>
    <w:p w14:paraId="0BAAE482">
      <w:pPr>
        <w:pStyle w:val="5"/>
        <w:pageBreakBefore w:val="0"/>
        <w:kinsoku/>
        <w:wordWrap w:val="0"/>
        <w:overflowPunct/>
        <w:topLinePunct/>
        <w:bidi w:val="0"/>
        <w:spacing w:line="283" w:lineRule="auto"/>
        <w:rPr>
          <w:rFonts w:hint="eastAsia" w:ascii="宋体" w:hAnsi="宋体" w:eastAsia="宋体" w:cs="宋体"/>
          <w:color w:val="000000" w:themeColor="text1"/>
          <w:highlight w:val="none"/>
          <w14:textFill>
            <w14:solidFill>
              <w14:schemeClr w14:val="tx1"/>
            </w14:solidFill>
          </w14:textFill>
        </w:rPr>
      </w:pPr>
    </w:p>
    <w:p w14:paraId="58B82FC7">
      <w:pPr>
        <w:pStyle w:val="5"/>
        <w:pageBreakBefore w:val="0"/>
        <w:kinsoku/>
        <w:wordWrap w:val="0"/>
        <w:overflowPunct/>
        <w:topLinePunct/>
        <w:bidi w:val="0"/>
        <w:spacing w:line="284" w:lineRule="auto"/>
        <w:rPr>
          <w:rFonts w:hint="eastAsia" w:ascii="宋体" w:hAnsi="宋体" w:eastAsia="宋体" w:cs="宋体"/>
          <w:color w:val="000000" w:themeColor="text1"/>
          <w:highlight w:val="none"/>
          <w14:textFill>
            <w14:solidFill>
              <w14:schemeClr w14:val="tx1"/>
            </w14:solidFill>
          </w14:textFill>
        </w:rPr>
      </w:pPr>
    </w:p>
    <w:p w14:paraId="11CD327F">
      <w:pPr>
        <w:pageBreakBefore w:val="0"/>
        <w:kinsoku/>
        <w:wordWrap w:val="0"/>
        <w:overflowPunct/>
        <w:topLinePunct/>
        <w:bidi w:val="0"/>
        <w:spacing w:before="78" w:line="219" w:lineRule="auto"/>
        <w:ind w:left="106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 xml:space="preserve">□有，另附复印件        </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6"/>
          <w:sz w:val="24"/>
          <w:szCs w:val="24"/>
          <w:highlight w:val="none"/>
          <w14:textFill>
            <w14:solidFill>
              <w14:schemeClr w14:val="tx1"/>
            </w14:solidFill>
          </w14:textFill>
        </w:rPr>
        <w:t>有，自行网上下载(浏览)           □无</w:t>
      </w:r>
    </w:p>
    <w:p w14:paraId="0571C37B">
      <w:pPr>
        <w:pStyle w:val="5"/>
        <w:pageBreakBefore w:val="0"/>
        <w:kinsoku/>
        <w:wordWrap w:val="0"/>
        <w:overflowPunct/>
        <w:topLinePunct/>
        <w:bidi w:val="0"/>
        <w:spacing w:line="265" w:lineRule="auto"/>
        <w:rPr>
          <w:rFonts w:hint="eastAsia" w:ascii="宋体" w:hAnsi="宋体" w:eastAsia="宋体" w:cs="宋体"/>
          <w:color w:val="000000" w:themeColor="text1"/>
          <w:highlight w:val="none"/>
          <w14:textFill>
            <w14:solidFill>
              <w14:schemeClr w14:val="tx1"/>
            </w14:solidFill>
          </w14:textFill>
        </w:rPr>
      </w:pPr>
    </w:p>
    <w:p w14:paraId="658971A7">
      <w:pPr>
        <w:pageBreakBefore w:val="0"/>
        <w:kinsoku/>
        <w:wordWrap w:val="0"/>
        <w:overflowPunct/>
        <w:topLinePunct/>
        <w:bidi w:val="0"/>
        <w:spacing w:before="151" w:line="222" w:lineRule="auto"/>
        <w:ind w:left="715"/>
        <w:outlineLvl w:val="2"/>
        <w:rPr>
          <w:rFonts w:hint="eastAsia" w:ascii="宋体" w:hAnsi="宋体" w:eastAsia="宋体" w:cs="宋体"/>
          <w:color w:val="000000" w:themeColor="text1"/>
          <w:sz w:val="24"/>
          <w:szCs w:val="24"/>
          <w:highlight w:val="none"/>
          <w14:textFill>
            <w14:solidFill>
              <w14:schemeClr w14:val="tx1"/>
            </w14:solidFill>
          </w14:textFill>
        </w:rPr>
      </w:pPr>
      <w:bookmarkStart w:id="203" w:name="_Toc24446"/>
      <w:bookmarkStart w:id="204" w:name="_Toc13003"/>
      <w:r>
        <w:rPr>
          <w:rFonts w:hint="eastAsia" w:ascii="宋体" w:hAnsi="宋体" w:eastAsia="宋体" w:cs="宋体"/>
          <w:b/>
          <w:bCs/>
          <w:color w:val="000000" w:themeColor="text1"/>
          <w:spacing w:val="-14"/>
          <w:sz w:val="24"/>
          <w:szCs w:val="24"/>
          <w:highlight w:val="none"/>
          <w14:textFill>
            <w14:solidFill>
              <w14:schemeClr w14:val="tx1"/>
            </w14:solidFill>
          </w14:textFill>
        </w:rPr>
        <w:t>1</w:t>
      </w:r>
      <w:r>
        <w:rPr>
          <w:rFonts w:hint="eastAsia" w:ascii="宋体" w:hAnsi="宋体" w:eastAsia="宋体" w:cs="宋体"/>
          <w:b/>
          <w:bCs/>
          <w:color w:val="000000" w:themeColor="text1"/>
          <w:spacing w:val="-27"/>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4"/>
          <w:sz w:val="24"/>
          <w:szCs w:val="24"/>
          <w:highlight w:val="none"/>
          <w14:textFill>
            <w14:solidFill>
              <w14:schemeClr w14:val="tx1"/>
            </w14:solidFill>
          </w14:textFill>
        </w:rPr>
        <w:t>．图纸</w:t>
      </w:r>
      <w:bookmarkEnd w:id="203"/>
      <w:bookmarkEnd w:id="204"/>
    </w:p>
    <w:p w14:paraId="48364A54">
      <w:pPr>
        <w:pageBreakBefore w:val="0"/>
        <w:kinsoku/>
        <w:wordWrap w:val="0"/>
        <w:overflowPunct/>
        <w:topLinePunct/>
        <w:bidi w:val="0"/>
        <w:spacing w:before="150" w:line="330" w:lineRule="auto"/>
        <w:ind w:left="230" w:firstLine="48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本招标文件随文另附施工图（电子文件）一套。</w:t>
      </w:r>
    </w:p>
    <w:p w14:paraId="4C5045ED">
      <w:pPr>
        <w:pStyle w:val="5"/>
        <w:pageBreakBefore w:val="0"/>
        <w:kinsoku/>
        <w:wordWrap w:val="0"/>
        <w:overflowPunct/>
        <w:topLinePunct/>
        <w:bidi w:val="0"/>
        <w:spacing w:line="253" w:lineRule="auto"/>
        <w:rPr>
          <w:rFonts w:hint="eastAsia" w:ascii="宋体" w:hAnsi="宋体" w:eastAsia="宋体" w:cs="宋体"/>
          <w:color w:val="000000" w:themeColor="text1"/>
          <w:highlight w:val="none"/>
          <w14:textFill>
            <w14:solidFill>
              <w14:schemeClr w14:val="tx1"/>
            </w14:solidFill>
          </w14:textFill>
        </w:rPr>
      </w:pPr>
    </w:p>
    <w:p w14:paraId="486ECC0E">
      <w:pPr>
        <w:pageBreakBefore w:val="0"/>
        <w:kinsoku/>
        <w:wordWrap w:val="0"/>
        <w:overflowPunct/>
        <w:topLinePunct/>
        <w:bidi w:val="0"/>
        <w:spacing w:before="79" w:line="221" w:lineRule="auto"/>
        <w:ind w:left="705"/>
        <w:outlineLvl w:val="2"/>
        <w:rPr>
          <w:rFonts w:hint="eastAsia" w:ascii="宋体" w:hAnsi="宋体" w:eastAsia="宋体" w:cs="宋体"/>
          <w:color w:val="000000" w:themeColor="text1"/>
          <w:sz w:val="24"/>
          <w:szCs w:val="24"/>
          <w:highlight w:val="none"/>
          <w14:textFill>
            <w14:solidFill>
              <w14:schemeClr w14:val="tx1"/>
            </w14:solidFill>
          </w14:textFill>
        </w:rPr>
      </w:pPr>
      <w:bookmarkStart w:id="205" w:name="_Toc20257"/>
      <w:bookmarkStart w:id="206" w:name="_Toc9064"/>
      <w:r>
        <w:rPr>
          <w:rFonts w:hint="eastAsia" w:ascii="宋体" w:hAnsi="宋体" w:eastAsia="宋体" w:cs="宋体"/>
          <w:b/>
          <w:bCs/>
          <w:color w:val="000000" w:themeColor="text1"/>
          <w:spacing w:val="-6"/>
          <w:sz w:val="24"/>
          <w:szCs w:val="24"/>
          <w:highlight w:val="none"/>
          <w14:textFill>
            <w14:solidFill>
              <w14:schemeClr w14:val="tx1"/>
            </w14:solidFill>
          </w14:textFill>
        </w:rPr>
        <w:t>2</w:t>
      </w:r>
      <w:r>
        <w:rPr>
          <w:rFonts w:hint="eastAsia" w:ascii="宋体" w:hAnsi="宋体" w:eastAsia="宋体" w:cs="宋体"/>
          <w:b/>
          <w:bCs/>
          <w:color w:val="000000" w:themeColor="text1"/>
          <w:spacing w:val="-26"/>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6"/>
          <w:sz w:val="24"/>
          <w:szCs w:val="24"/>
          <w:highlight w:val="none"/>
          <w14:textFill>
            <w14:solidFill>
              <w14:schemeClr w14:val="tx1"/>
            </w14:solidFill>
          </w14:textFill>
        </w:rPr>
        <w:t>．招标工程量清单</w:t>
      </w:r>
      <w:bookmarkEnd w:id="205"/>
      <w:bookmarkEnd w:id="206"/>
    </w:p>
    <w:p w14:paraId="54C54EF1">
      <w:pPr>
        <w:pageBreakBefore w:val="0"/>
        <w:kinsoku/>
        <w:wordWrap w:val="0"/>
        <w:overflowPunct/>
        <w:topLinePunct/>
        <w:bidi w:val="0"/>
        <w:spacing w:before="117" w:line="312" w:lineRule="auto"/>
        <w:ind w:left="231" w:firstLine="47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 xml:space="preserve">2.1 </w:t>
      </w:r>
      <w:r>
        <w:rPr>
          <w:rFonts w:hint="eastAsia" w:ascii="宋体" w:hAnsi="宋体" w:eastAsia="宋体" w:cs="宋体"/>
          <w:b w:val="0"/>
          <w:bCs w:val="0"/>
          <w:color w:val="000000" w:themeColor="text1"/>
          <w:spacing w:val="-3"/>
          <w:sz w:val="24"/>
          <w:szCs w:val="24"/>
          <w:highlight w:val="none"/>
          <w14:textFill>
            <w14:solidFill>
              <w14:schemeClr w14:val="tx1"/>
            </w14:solidFill>
          </w14:textFill>
        </w:rPr>
        <w:t>本招标文件随文另附招标工程量清单的PDF版/EXCEL版电子文件一套。</w:t>
      </w:r>
    </w:p>
    <w:p w14:paraId="18451F89">
      <w:pPr>
        <w:pageBreakBefore w:val="0"/>
        <w:kinsoku/>
        <w:wordWrap w:val="0"/>
        <w:overflowPunct/>
        <w:topLinePunct/>
        <w:bidi w:val="0"/>
        <w:spacing w:before="78" w:line="219" w:lineRule="auto"/>
        <w:ind w:left="478" w:firstLine="239" w:firstLineChars="100"/>
        <w:rPr>
          <w:rFonts w:hint="eastAsia" w:ascii="宋体" w:hAnsi="宋体" w:eastAsia="宋体" w:cs="宋体"/>
          <w:color w:val="000000" w:themeColor="text1"/>
          <w:sz w:val="24"/>
          <w:szCs w:val="24"/>
          <w:highlight w:val="none"/>
          <w14:textFill>
            <w14:solidFill>
              <w14:schemeClr w14:val="tx1"/>
            </w14:solidFill>
          </w14:textFill>
        </w:rPr>
      </w:pPr>
      <w:bookmarkStart w:id="207" w:name="bookmark147"/>
      <w:bookmarkEnd w:id="207"/>
      <w:r>
        <w:rPr>
          <w:rFonts w:hint="eastAsia" w:ascii="宋体" w:hAnsi="宋体" w:eastAsia="宋体" w:cs="宋体"/>
          <w:b/>
          <w:bCs/>
          <w:color w:val="000000" w:themeColor="text1"/>
          <w:spacing w:val="-1"/>
          <w:sz w:val="24"/>
          <w:szCs w:val="24"/>
          <w:highlight w:val="none"/>
          <w14:textFill>
            <w14:solidFill>
              <w14:schemeClr w14:val="tx1"/>
            </w14:solidFill>
          </w14:textFill>
        </w:rPr>
        <w:t xml:space="preserve">2.2 </w:t>
      </w:r>
      <w:r>
        <w:rPr>
          <w:rFonts w:hint="eastAsia" w:ascii="宋体" w:hAnsi="宋体" w:eastAsia="宋体" w:cs="宋体"/>
          <w:color w:val="000000" w:themeColor="text1"/>
          <w:spacing w:val="-1"/>
          <w:sz w:val="24"/>
          <w:szCs w:val="24"/>
          <w:highlight w:val="none"/>
          <w14:textFill>
            <w14:solidFill>
              <w14:schemeClr w14:val="tx1"/>
            </w14:solidFill>
          </w14:textFill>
        </w:rPr>
        <w:t>本工程按照以下依据编制</w:t>
      </w:r>
      <w:r>
        <w:rPr>
          <w:rFonts w:hint="eastAsia" w:ascii="宋体" w:hAnsi="宋体" w:eastAsia="宋体" w:cs="宋体"/>
          <w:color w:val="000000" w:themeColor="text1"/>
          <w:spacing w:val="-1"/>
          <w:sz w:val="24"/>
          <w:szCs w:val="24"/>
          <w:highlight w:val="none"/>
          <w:u w:val="single"/>
          <w14:textFill>
            <w14:solidFill>
              <w14:schemeClr w14:val="tx1"/>
            </w14:solidFill>
          </w14:textFill>
        </w:rPr>
        <w:t>招标工程量清单</w:t>
      </w:r>
      <w:r>
        <w:rPr>
          <w:rFonts w:hint="eastAsia" w:ascii="宋体" w:hAnsi="宋体" w:eastAsia="宋体" w:cs="宋体"/>
          <w:color w:val="000000" w:themeColor="text1"/>
          <w:spacing w:val="-1"/>
          <w:sz w:val="24"/>
          <w:szCs w:val="24"/>
          <w:highlight w:val="none"/>
          <w14:textFill>
            <w14:solidFill>
              <w14:schemeClr w14:val="tx1"/>
            </w14:solidFill>
          </w14:textFill>
        </w:rPr>
        <w:t>：</w:t>
      </w:r>
    </w:p>
    <w:p w14:paraId="793A46AA">
      <w:pPr>
        <w:pageBreakBefore w:val="0"/>
        <w:kinsoku/>
        <w:wordWrap w:val="0"/>
        <w:overflowPunct/>
        <w:topLinePunct/>
        <w:bidi w:val="0"/>
        <w:spacing w:before="123" w:line="219"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（1）《建设工程工程量清单计价</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1"/>
          <w:sz w:val="24"/>
          <w:szCs w:val="24"/>
          <w:highlight w:val="none"/>
          <w14:textFill>
            <w14:solidFill>
              <w14:schemeClr w14:val="tx1"/>
            </w14:solidFill>
          </w14:textFill>
        </w:rPr>
        <w:t>》（GB50500—20</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4"/>
          <w:sz w:val="24"/>
          <w:szCs w:val="24"/>
          <w:highlight w:val="none"/>
          <w14:textFill>
            <w14:solidFill>
              <w14:schemeClr w14:val="tx1"/>
            </w14:solidFill>
          </w14:textFill>
        </w:rPr>
        <w:t>）；</w:t>
      </w:r>
    </w:p>
    <w:p w14:paraId="64461BF9">
      <w:pPr>
        <w:pageBreakBefore w:val="0"/>
        <w:kinsoku/>
        <w:wordWrap w:val="0"/>
        <w:overflowPunct/>
        <w:topLinePunct/>
        <w:bidi w:val="0"/>
        <w:spacing w:before="115" w:line="299" w:lineRule="auto"/>
        <w:ind w:firstLine="493"/>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（2）投标人应对招标人提供的工程量清单进行认真细致的复核。这种复核包括对</w:t>
      </w:r>
      <w:r>
        <w:rPr>
          <w:rFonts w:hint="eastAsia" w:ascii="宋体" w:hAnsi="宋体" w:eastAsia="宋体" w:cs="宋体"/>
          <w:color w:val="000000" w:themeColor="text1"/>
          <w:spacing w:val="-1"/>
          <w:sz w:val="24"/>
          <w:szCs w:val="24"/>
          <w:highlight w:val="none"/>
          <w14:textFill>
            <w14:solidFill>
              <w14:schemeClr w14:val="tx1"/>
            </w14:solidFill>
          </w14:textFill>
        </w:rPr>
        <w:t>招标人提供的工程量清单中的子目编码、子目名称、子</w:t>
      </w:r>
      <w:r>
        <w:rPr>
          <w:rFonts w:hint="eastAsia" w:ascii="宋体" w:hAnsi="宋体" w:eastAsia="宋体" w:cs="宋体"/>
          <w:color w:val="000000" w:themeColor="text1"/>
          <w:spacing w:val="-2"/>
          <w:sz w:val="24"/>
          <w:szCs w:val="24"/>
          <w:highlight w:val="none"/>
          <w14:textFill>
            <w14:solidFill>
              <w14:schemeClr w14:val="tx1"/>
            </w14:solidFill>
          </w14:textFill>
        </w:rPr>
        <w:t>目特征描述、计量单位、工程量</w:t>
      </w:r>
      <w:r>
        <w:rPr>
          <w:rFonts w:hint="eastAsia" w:ascii="宋体" w:hAnsi="宋体" w:eastAsia="宋体" w:cs="宋体"/>
          <w:color w:val="000000" w:themeColor="text1"/>
          <w:spacing w:val="-1"/>
          <w:sz w:val="24"/>
          <w:szCs w:val="24"/>
          <w:highlight w:val="none"/>
          <w14:textFill>
            <w14:solidFill>
              <w14:schemeClr w14:val="tx1"/>
            </w14:solidFill>
          </w14:textFill>
        </w:rPr>
        <w:t>的准确性以及可能存在的任何书写、打印错误进行检查</w:t>
      </w:r>
      <w:r>
        <w:rPr>
          <w:rFonts w:hint="eastAsia" w:ascii="宋体" w:hAnsi="宋体" w:eastAsia="宋体" w:cs="宋体"/>
          <w:color w:val="000000" w:themeColor="text1"/>
          <w:spacing w:val="-2"/>
          <w:sz w:val="24"/>
          <w:szCs w:val="24"/>
          <w:highlight w:val="none"/>
          <w14:textFill>
            <w14:solidFill>
              <w14:schemeClr w14:val="tx1"/>
            </w14:solidFill>
          </w14:textFill>
        </w:rPr>
        <w:t>和复核，特别是对“分部分项工</w:t>
      </w:r>
      <w:r>
        <w:rPr>
          <w:rFonts w:hint="eastAsia" w:ascii="宋体" w:hAnsi="宋体" w:eastAsia="宋体" w:cs="宋体"/>
          <w:color w:val="000000" w:themeColor="text1"/>
          <w:spacing w:val="-1"/>
          <w:sz w:val="24"/>
          <w:szCs w:val="24"/>
          <w:highlight w:val="none"/>
          <w14:textFill>
            <w14:solidFill>
              <w14:schemeClr w14:val="tx1"/>
            </w14:solidFill>
          </w14:textFill>
        </w:rPr>
        <w:t>程量清单与计价表”中每个工作子目的工程量进</w:t>
      </w:r>
      <w:r>
        <w:rPr>
          <w:rFonts w:hint="eastAsia" w:ascii="宋体" w:hAnsi="宋体" w:eastAsia="宋体" w:cs="宋体"/>
          <w:color w:val="000000" w:themeColor="text1"/>
          <w:spacing w:val="-2"/>
          <w:sz w:val="24"/>
          <w:szCs w:val="24"/>
          <w:highlight w:val="none"/>
          <w14:textFill>
            <w14:solidFill>
              <w14:schemeClr w14:val="tx1"/>
            </w14:solidFill>
          </w14:textFill>
        </w:rPr>
        <w:t>行重新计算和校核。如果投标人经过检</w:t>
      </w:r>
      <w:r>
        <w:rPr>
          <w:rFonts w:hint="eastAsia" w:ascii="宋体" w:hAnsi="宋体" w:eastAsia="宋体" w:cs="宋体"/>
          <w:color w:val="000000" w:themeColor="text1"/>
          <w:spacing w:val="-1"/>
          <w:sz w:val="24"/>
          <w:szCs w:val="24"/>
          <w:highlight w:val="none"/>
          <w14:textFill>
            <w14:solidFill>
              <w14:schemeClr w14:val="tx1"/>
            </w14:solidFill>
          </w14:textFill>
        </w:rPr>
        <w:t>查和复核以后认为招标人提供的工程量清单存在</w:t>
      </w:r>
      <w:r>
        <w:rPr>
          <w:rFonts w:hint="eastAsia" w:ascii="宋体" w:hAnsi="宋体" w:eastAsia="宋体" w:cs="宋体"/>
          <w:color w:val="000000" w:themeColor="text1"/>
          <w:spacing w:val="-2"/>
          <w:sz w:val="24"/>
          <w:szCs w:val="24"/>
          <w:highlight w:val="none"/>
          <w14:textFill>
            <w14:solidFill>
              <w14:schemeClr w14:val="tx1"/>
            </w14:solidFill>
          </w14:textFill>
        </w:rPr>
        <w:t>差异，则投标人应将此类差异的详细情</w:t>
      </w:r>
      <w:r>
        <w:rPr>
          <w:rFonts w:hint="eastAsia" w:ascii="宋体" w:hAnsi="宋体" w:eastAsia="宋体" w:cs="宋体"/>
          <w:color w:val="000000" w:themeColor="text1"/>
          <w:spacing w:val="-8"/>
          <w:sz w:val="24"/>
          <w:szCs w:val="24"/>
          <w:highlight w:val="none"/>
          <w14:textFill>
            <w14:solidFill>
              <w14:schemeClr w14:val="tx1"/>
            </w14:solidFill>
          </w14:textFill>
        </w:rPr>
        <w:t>况连同按“投标须知”规定提交的要求招标人澄清的其他</w:t>
      </w:r>
      <w:r>
        <w:rPr>
          <w:rFonts w:hint="eastAsia" w:ascii="宋体" w:hAnsi="宋体" w:eastAsia="宋体" w:cs="宋体"/>
          <w:color w:val="000000" w:themeColor="text1"/>
          <w:spacing w:val="-9"/>
          <w:sz w:val="24"/>
          <w:szCs w:val="24"/>
          <w:highlight w:val="none"/>
          <w14:textFill>
            <w14:solidFill>
              <w14:schemeClr w14:val="tx1"/>
            </w14:solidFill>
          </w14:textFill>
        </w:rPr>
        <w:t>问题一起提交给招标人，招标人</w:t>
      </w:r>
      <w:r>
        <w:rPr>
          <w:rFonts w:hint="eastAsia" w:ascii="宋体" w:hAnsi="宋体" w:eastAsia="宋体" w:cs="宋体"/>
          <w:color w:val="000000" w:themeColor="text1"/>
          <w:spacing w:val="-2"/>
          <w:sz w:val="24"/>
          <w:szCs w:val="24"/>
          <w:highlight w:val="none"/>
          <w14:textFill>
            <w14:solidFill>
              <w14:schemeClr w14:val="tx1"/>
            </w14:solidFill>
          </w14:textFill>
        </w:rPr>
        <w:t>将根据实际情况决定是否颁发</w:t>
      </w:r>
      <w:r>
        <w:rPr>
          <w:rFonts w:hint="eastAsia" w:ascii="宋体" w:hAnsi="宋体" w:eastAsia="宋体" w:cs="宋体"/>
          <w:color w:val="000000" w:themeColor="text1"/>
          <w:spacing w:val="-2"/>
          <w:sz w:val="24"/>
          <w:szCs w:val="24"/>
          <w:highlight w:val="none"/>
          <w:u w:val="single"/>
          <w14:textFill>
            <w14:solidFill>
              <w14:schemeClr w14:val="tx1"/>
            </w14:solidFill>
          </w14:textFill>
        </w:rPr>
        <w:t>工程量清单</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最高投标限价</w:t>
      </w:r>
      <w:r>
        <w:rPr>
          <w:rFonts w:hint="eastAsia" w:ascii="宋体" w:hAnsi="宋体" w:eastAsia="宋体" w:cs="宋体"/>
          <w:color w:val="000000" w:themeColor="text1"/>
          <w:spacing w:val="-8"/>
          <w:sz w:val="24"/>
          <w:szCs w:val="24"/>
          <w:highlight w:val="none"/>
          <w14:textFill>
            <w14:solidFill>
              <w14:schemeClr w14:val="tx1"/>
            </w14:solidFill>
          </w14:textFill>
        </w:rPr>
        <w:t>的</w:t>
      </w:r>
      <w:r>
        <w:rPr>
          <w:rFonts w:hint="eastAsia" w:ascii="宋体" w:hAnsi="宋体" w:eastAsia="宋体" w:cs="宋体"/>
          <w:color w:val="000000" w:themeColor="text1"/>
          <w:spacing w:val="-2"/>
          <w:sz w:val="24"/>
          <w:szCs w:val="24"/>
          <w:highlight w:val="none"/>
          <w14:textFill>
            <w14:solidFill>
              <w14:schemeClr w14:val="tx1"/>
            </w14:solidFill>
          </w14:textFill>
        </w:rPr>
        <w:t>补充和(或)修改文件。</w:t>
      </w:r>
    </w:p>
    <w:p w14:paraId="270544F0">
      <w:pPr>
        <w:pageBreakBefore w:val="0"/>
        <w:kinsoku/>
        <w:wordWrap w:val="0"/>
        <w:overflowPunct/>
        <w:topLinePunct/>
        <w:bidi w:val="0"/>
        <w:spacing w:before="79" w:line="263" w:lineRule="auto"/>
        <w:ind w:left="2" w:right="2" w:firstLine="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（3）本招标工程量清单措施项目中的</w:t>
      </w:r>
      <w:r>
        <w:rPr>
          <w:rFonts w:hint="eastAsia" w:ascii="宋体" w:hAnsi="宋体" w:eastAsia="宋体" w:cs="宋体"/>
          <w:b/>
          <w:bCs/>
          <w:color w:val="000000" w:themeColor="text1"/>
          <w:spacing w:val="-6"/>
          <w:sz w:val="24"/>
          <w:szCs w:val="24"/>
          <w:highlight w:val="none"/>
          <w:u w:val="single"/>
          <w14:textFill>
            <w14:solidFill>
              <w14:schemeClr w14:val="tx1"/>
            </w14:solidFill>
          </w14:textFill>
        </w:rPr>
        <w:t>暂列金额、暂估价</w:t>
      </w:r>
      <w:r>
        <w:rPr>
          <w:rFonts w:hint="eastAsia" w:ascii="宋体" w:hAnsi="宋体" w:eastAsia="宋体" w:cs="宋体"/>
          <w:color w:val="000000" w:themeColor="text1"/>
          <w:spacing w:val="-2"/>
          <w:sz w:val="24"/>
          <w:szCs w:val="24"/>
          <w:highlight w:val="none"/>
          <w14:textFill>
            <w14:solidFill>
              <w14:schemeClr w14:val="tx1"/>
            </w14:solidFill>
          </w14:textFill>
        </w:rPr>
        <w:t>不得作为竞争性费用，投标报价必须按本招标工程量清</w:t>
      </w:r>
      <w:r>
        <w:rPr>
          <w:rFonts w:hint="eastAsia" w:ascii="宋体" w:hAnsi="宋体" w:eastAsia="宋体" w:cs="宋体"/>
          <w:color w:val="000000" w:themeColor="text1"/>
          <w:spacing w:val="-3"/>
          <w:sz w:val="24"/>
          <w:szCs w:val="24"/>
          <w:highlight w:val="none"/>
          <w14:textFill>
            <w14:solidFill>
              <w14:schemeClr w14:val="tx1"/>
            </w14:solidFill>
          </w14:textFill>
        </w:rPr>
        <w:t>单规定</w:t>
      </w:r>
      <w:r>
        <w:rPr>
          <w:rFonts w:hint="eastAsia" w:ascii="宋体" w:hAnsi="宋体" w:eastAsia="宋体" w:cs="宋体"/>
          <w:color w:val="000000" w:themeColor="text1"/>
          <w:spacing w:val="-2"/>
          <w:sz w:val="24"/>
          <w:szCs w:val="24"/>
          <w:highlight w:val="none"/>
          <w14:textFill>
            <w14:solidFill>
              <w14:schemeClr w14:val="tx1"/>
            </w14:solidFill>
          </w14:textFill>
        </w:rPr>
        <w:t>的金额填</w:t>
      </w:r>
      <w:r>
        <w:rPr>
          <w:rFonts w:hint="eastAsia" w:ascii="宋体" w:hAnsi="宋体" w:eastAsia="宋体" w:cs="宋体"/>
          <w:color w:val="000000" w:themeColor="text1"/>
          <w:spacing w:val="-3"/>
          <w:sz w:val="24"/>
          <w:szCs w:val="24"/>
          <w:highlight w:val="none"/>
          <w14:textFill>
            <w14:solidFill>
              <w14:schemeClr w14:val="tx1"/>
            </w14:solidFill>
          </w14:textFill>
        </w:rPr>
        <w:t>报。</w:t>
      </w:r>
    </w:p>
    <w:p w14:paraId="6D5F4061">
      <w:pPr>
        <w:pageBreakBefore w:val="0"/>
        <w:kinsoku/>
        <w:wordWrap w:val="0"/>
        <w:overflowPunct/>
        <w:topLinePunct/>
        <w:bidi w:val="0"/>
        <w:spacing w:before="118" w:line="265" w:lineRule="auto"/>
        <w:ind w:left="7" w:right="4" w:firstLine="48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（4）投标报价使用的表格格式须按照GB50500-20</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24</w:t>
      </w:r>
      <w:r>
        <w:rPr>
          <w:rFonts w:hint="eastAsia" w:ascii="宋体" w:hAnsi="宋体" w:eastAsia="宋体" w:cs="宋体"/>
          <w:color w:val="000000" w:themeColor="text1"/>
          <w:spacing w:val="-2"/>
          <w:sz w:val="24"/>
          <w:szCs w:val="24"/>
          <w:highlight w:val="none"/>
          <w14:textFill>
            <w14:solidFill>
              <w14:schemeClr w14:val="tx1"/>
            </w14:solidFill>
          </w14:textFill>
        </w:rPr>
        <w:t>《建设工程工程量清单计价</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标准</w:t>
      </w:r>
      <w:r>
        <w:rPr>
          <w:rFonts w:hint="eastAsia" w:ascii="宋体" w:hAnsi="宋体" w:eastAsia="宋体" w:cs="宋体"/>
          <w:color w:val="000000" w:themeColor="text1"/>
          <w:spacing w:val="-6"/>
          <w:sz w:val="24"/>
          <w:szCs w:val="24"/>
          <w:highlight w:val="none"/>
          <w14:textFill>
            <w14:solidFill>
              <w14:schemeClr w14:val="tx1"/>
            </w14:solidFill>
          </w14:textFill>
        </w:rPr>
        <w:t>》。</w:t>
      </w:r>
    </w:p>
    <w:p w14:paraId="4C12C1C3">
      <w:pPr>
        <w:pageBreakBefore w:val="0"/>
        <w:kinsoku/>
        <w:wordWrap w:val="0"/>
        <w:overflowPunct/>
        <w:topLinePunct/>
        <w:bidi w:val="0"/>
        <w:spacing w:before="107" w:line="286" w:lineRule="auto"/>
        <w:ind w:right="4" w:firstLine="492"/>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D960EDD">
      <w:pPr>
        <w:pageBreakBefore w:val="0"/>
        <w:kinsoku/>
        <w:wordWrap w:val="0"/>
        <w:overflowPunct/>
        <w:topLinePunct/>
        <w:bidi w:val="0"/>
        <w:spacing w:before="146" w:line="221"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（6）施工图及相关资料；</w:t>
      </w:r>
    </w:p>
    <w:p w14:paraId="088BDF32">
      <w:pPr>
        <w:pageBreakBefore w:val="0"/>
        <w:kinsoku/>
        <w:wordWrap w:val="0"/>
        <w:overflowPunct/>
        <w:topLinePunct/>
        <w:bidi w:val="0"/>
        <w:spacing w:before="153" w:line="220"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（7）招标文件；</w:t>
      </w:r>
    </w:p>
    <w:p w14:paraId="36E13A2B">
      <w:pPr>
        <w:pageBreakBefore w:val="0"/>
        <w:kinsoku/>
        <w:wordWrap w:val="0"/>
        <w:overflowPunct/>
        <w:topLinePunct/>
        <w:bidi w:val="0"/>
        <w:spacing w:before="155" w:line="220"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（8）施工现场情况、地勘水文资料、工程特点及常规施工方案；</w:t>
      </w:r>
    </w:p>
    <w:p w14:paraId="686131D0">
      <w:pPr>
        <w:pageBreakBefore w:val="0"/>
        <w:kinsoku/>
        <w:wordWrap w:val="0"/>
        <w:overflowPunct/>
        <w:topLinePunct/>
        <w:bidi w:val="0"/>
        <w:spacing w:before="153" w:line="219" w:lineRule="auto"/>
        <w:ind w:left="49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（9）与建设工程有关的标准、规范、技术资料、材料设备信息价或市场价格等</w:t>
      </w:r>
      <w:r>
        <w:rPr>
          <w:rFonts w:hint="eastAsia" w:ascii="宋体" w:hAnsi="宋体" w:eastAsia="宋体" w:cs="宋体"/>
          <w:color w:val="000000" w:themeColor="text1"/>
          <w:spacing w:val="-2"/>
          <w:sz w:val="24"/>
          <w:szCs w:val="24"/>
          <w:highlight w:val="none"/>
          <w14:textFill>
            <w14:solidFill>
              <w14:schemeClr w14:val="tx1"/>
            </w14:solidFill>
          </w14:textFill>
        </w:rPr>
        <w:t>。</w:t>
      </w:r>
    </w:p>
    <w:p w14:paraId="1D37A453">
      <w:pPr>
        <w:pageBreakBefore w:val="0"/>
        <w:kinsoku/>
        <w:wordWrap w:val="0"/>
        <w:overflowPunct/>
        <w:topLinePunct/>
        <w:bidi w:val="0"/>
        <w:spacing w:line="219"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54F1823">
      <w:pPr>
        <w:pStyle w:val="5"/>
        <w:pageBreakBefore w:val="0"/>
        <w:kinsoku/>
        <w:wordWrap w:val="0"/>
        <w:overflowPunct/>
        <w:topLinePunct/>
        <w:bidi w:val="0"/>
        <w:spacing w:line="304" w:lineRule="auto"/>
        <w:rPr>
          <w:rFonts w:hint="eastAsia" w:ascii="宋体" w:hAnsi="宋体" w:eastAsia="宋体" w:cs="宋体"/>
          <w:color w:val="000000" w:themeColor="text1"/>
          <w:highlight w:val="none"/>
          <w14:textFill>
            <w14:solidFill>
              <w14:schemeClr w14:val="tx1"/>
            </w14:solidFill>
          </w14:textFill>
        </w:rPr>
      </w:pPr>
    </w:p>
    <w:p w14:paraId="0C4A2BF9">
      <w:pPr>
        <w:pageBreakBefore w:val="0"/>
        <w:kinsoku/>
        <w:wordWrap w:val="0"/>
        <w:overflowPunct/>
        <w:topLinePunct/>
        <w:bidi w:val="0"/>
        <w:spacing w:before="78" w:line="219" w:lineRule="auto"/>
        <w:ind w:left="3357"/>
        <w:outlineLvl w:val="0"/>
        <w:rPr>
          <w:rFonts w:hint="eastAsia" w:ascii="宋体" w:hAnsi="宋体" w:eastAsia="宋体" w:cs="宋体"/>
          <w:color w:val="000000" w:themeColor="text1"/>
          <w:sz w:val="24"/>
          <w:szCs w:val="24"/>
          <w:highlight w:val="none"/>
          <w14:textFill>
            <w14:solidFill>
              <w14:schemeClr w14:val="tx1"/>
            </w14:solidFill>
          </w14:textFill>
        </w:rPr>
      </w:pPr>
      <w:bookmarkStart w:id="208" w:name="_Toc9390"/>
      <w:r>
        <w:rPr>
          <w:rFonts w:hint="eastAsia" w:ascii="宋体" w:hAnsi="宋体" w:eastAsia="宋体" w:cs="宋体"/>
          <w:b/>
          <w:bCs/>
          <w:color w:val="000000" w:themeColor="text1"/>
          <w:spacing w:val="-3"/>
          <w:sz w:val="24"/>
          <w:szCs w:val="24"/>
          <w:highlight w:val="none"/>
          <w14:textFill>
            <w14:solidFill>
              <w14:schemeClr w14:val="tx1"/>
            </w14:solidFill>
          </w14:textFill>
        </w:rPr>
        <w:t>第六章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投标文件格式</w:t>
      </w:r>
      <w:bookmarkEnd w:id="208"/>
    </w:p>
    <w:p w14:paraId="38590799">
      <w:pPr>
        <w:pStyle w:val="5"/>
        <w:pageBreakBefore w:val="0"/>
        <w:kinsoku/>
        <w:wordWrap w:val="0"/>
        <w:overflowPunct/>
        <w:topLinePunct/>
        <w:bidi w:val="0"/>
        <w:spacing w:line="302" w:lineRule="auto"/>
        <w:jc w:val="right"/>
        <w:rPr>
          <w:rFonts w:hint="eastAsia" w:ascii="宋体" w:hAnsi="宋体" w:eastAsia="宋体" w:cs="宋体"/>
          <w:color w:val="000000" w:themeColor="text1"/>
          <w:highlight w:val="none"/>
          <w14:textFill>
            <w14:solidFill>
              <w14:schemeClr w14:val="tx1"/>
            </w14:solidFill>
          </w14:textFill>
        </w:rPr>
      </w:pPr>
    </w:p>
    <w:p w14:paraId="08E84F56">
      <w:pPr>
        <w:pageBreakBefore w:val="0"/>
        <w:kinsoku/>
        <w:wordWrap w:val="0"/>
        <w:overflowPunct/>
        <w:topLinePunct/>
        <w:bidi w:val="0"/>
        <w:spacing w:before="78" w:line="220" w:lineRule="auto"/>
        <w:outlineLvl w:val="2"/>
        <w:rPr>
          <w:rFonts w:hint="eastAsia" w:ascii="宋体" w:hAnsi="宋体" w:eastAsia="宋体" w:cs="宋体"/>
          <w:color w:val="000000" w:themeColor="text1"/>
          <w:sz w:val="24"/>
          <w:szCs w:val="24"/>
          <w:highlight w:val="none"/>
          <w14:textFill>
            <w14:solidFill>
              <w14:schemeClr w14:val="tx1"/>
            </w14:solidFill>
          </w14:textFill>
        </w:rPr>
      </w:pPr>
      <w:bookmarkStart w:id="209" w:name="_Toc10312"/>
      <w:r>
        <w:rPr>
          <w:rFonts w:hint="eastAsia" w:ascii="宋体" w:hAnsi="宋体" w:eastAsia="宋体" w:cs="宋体"/>
          <w:b/>
          <w:bCs/>
          <w:color w:val="000000" w:themeColor="text1"/>
          <w:spacing w:val="-4"/>
          <w:sz w:val="24"/>
          <w:szCs w:val="24"/>
          <w:highlight w:val="none"/>
          <w14:textFill>
            <w14:solidFill>
              <w14:schemeClr w14:val="tx1"/>
            </w14:solidFill>
          </w14:textFill>
        </w:rPr>
        <w:t>格式一</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封面</w:t>
      </w:r>
      <w:bookmarkEnd w:id="209"/>
    </w:p>
    <w:p w14:paraId="786D29D7">
      <w:pPr>
        <w:pStyle w:val="5"/>
        <w:pageBreakBefore w:val="0"/>
        <w:kinsoku/>
        <w:wordWrap w:val="0"/>
        <w:overflowPunct/>
        <w:topLinePunct/>
        <w:bidi w:val="0"/>
        <w:spacing w:line="258" w:lineRule="auto"/>
        <w:rPr>
          <w:rFonts w:hint="eastAsia" w:ascii="宋体" w:hAnsi="宋体" w:eastAsia="宋体" w:cs="宋体"/>
          <w:color w:val="000000" w:themeColor="text1"/>
          <w:highlight w:val="none"/>
          <w14:textFill>
            <w14:solidFill>
              <w14:schemeClr w14:val="tx1"/>
            </w14:solidFill>
          </w14:textFill>
        </w:rPr>
      </w:pPr>
    </w:p>
    <w:p w14:paraId="788527CC">
      <w:pPr>
        <w:pStyle w:val="5"/>
        <w:pageBreakBefore w:val="0"/>
        <w:kinsoku/>
        <w:wordWrap w:val="0"/>
        <w:overflowPunct/>
        <w:topLinePunct/>
        <w:bidi w:val="0"/>
        <w:spacing w:line="259" w:lineRule="auto"/>
        <w:rPr>
          <w:rFonts w:hint="eastAsia" w:ascii="宋体" w:hAnsi="宋体" w:eastAsia="宋体" w:cs="宋体"/>
          <w:color w:val="000000" w:themeColor="text1"/>
          <w:highlight w:val="none"/>
          <w14:textFill>
            <w14:solidFill>
              <w14:schemeClr w14:val="tx1"/>
            </w14:solidFill>
          </w14:textFill>
        </w:rPr>
      </w:pPr>
    </w:p>
    <w:p w14:paraId="793A225B">
      <w:pPr>
        <w:pStyle w:val="5"/>
        <w:pageBreakBefore w:val="0"/>
        <w:kinsoku/>
        <w:wordWrap w:val="0"/>
        <w:overflowPunct/>
        <w:topLinePunct/>
        <w:bidi w:val="0"/>
        <w:spacing w:line="259" w:lineRule="auto"/>
        <w:rPr>
          <w:rFonts w:hint="eastAsia" w:ascii="宋体" w:hAnsi="宋体" w:eastAsia="宋体" w:cs="宋体"/>
          <w:color w:val="000000" w:themeColor="text1"/>
          <w:highlight w:val="none"/>
          <w14:textFill>
            <w14:solidFill>
              <w14:schemeClr w14:val="tx1"/>
            </w14:solidFill>
          </w14:textFill>
        </w:rPr>
      </w:pPr>
    </w:p>
    <w:p w14:paraId="6AE647CA">
      <w:pPr>
        <w:pageBreakBefore w:val="0"/>
        <w:kinsoku/>
        <w:wordWrap w:val="0"/>
        <w:overflowPunct/>
        <w:topLinePunct/>
        <w:bidi w:val="0"/>
        <w:spacing w:before="153" w:line="225" w:lineRule="auto"/>
        <w:ind w:left="-1" w:leftChars="0" w:firstLine="0" w:firstLineChars="0"/>
        <w:jc w:val="center"/>
        <w:rPr>
          <w:rFonts w:hint="eastAsia" w:ascii="宋体" w:hAnsi="宋体" w:eastAsia="宋体" w:cs="宋体"/>
          <w:color w:val="000000" w:themeColor="text1"/>
          <w:sz w:val="47"/>
          <w:szCs w:val="47"/>
          <w:highlight w:val="none"/>
          <w14:textFill>
            <w14:solidFill>
              <w14:schemeClr w14:val="tx1"/>
            </w14:solidFill>
          </w14:textFill>
        </w:rPr>
      </w:pPr>
      <w:r>
        <w:rPr>
          <w:rFonts w:hint="eastAsia" w:ascii="宋体" w:hAnsi="宋体" w:eastAsia="宋体" w:cs="宋体"/>
          <w:b/>
          <w:bCs/>
          <w:color w:val="000000" w:themeColor="text1"/>
          <w:spacing w:val="8"/>
          <w:sz w:val="47"/>
          <w:szCs w:val="47"/>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pacing w:val="8"/>
          <w:sz w:val="47"/>
          <w:szCs w:val="47"/>
          <w:highlight w:val="none"/>
          <w:u w:val="single"/>
          <w14:textFill>
            <w14:solidFill>
              <w14:schemeClr w14:val="tx1"/>
            </w14:solidFill>
          </w14:textFill>
        </w:rPr>
        <w:t>（项目名称</w:t>
      </w:r>
      <w:r>
        <w:rPr>
          <w:rFonts w:hint="eastAsia" w:ascii="宋体" w:hAnsi="宋体" w:eastAsia="宋体" w:cs="宋体"/>
          <w:b/>
          <w:bCs/>
          <w:color w:val="000000" w:themeColor="text1"/>
          <w:spacing w:val="-32"/>
          <w:sz w:val="47"/>
          <w:szCs w:val="47"/>
          <w:highlight w:val="none"/>
          <w:u w:val="single"/>
          <w14:textFill>
            <w14:solidFill>
              <w14:schemeClr w14:val="tx1"/>
            </w14:solidFill>
          </w14:textFill>
        </w:rPr>
        <w:t>）</w:t>
      </w:r>
      <w:r>
        <w:rPr>
          <w:rFonts w:hint="eastAsia" w:ascii="宋体" w:hAnsi="宋体" w:eastAsia="宋体" w:cs="宋体"/>
          <w:b/>
          <w:bCs/>
          <w:color w:val="000000" w:themeColor="text1"/>
          <w:spacing w:val="8"/>
          <w:sz w:val="47"/>
          <w:szCs w:val="47"/>
          <w:highlight w:val="none"/>
          <w14:textFill>
            <w14:solidFill>
              <w14:schemeClr w14:val="tx1"/>
            </w14:solidFill>
          </w14:textFill>
        </w:rPr>
        <w:t>招标</w:t>
      </w:r>
    </w:p>
    <w:p w14:paraId="74A76F0C">
      <w:pPr>
        <w:pStyle w:val="5"/>
        <w:pageBreakBefore w:val="0"/>
        <w:kinsoku/>
        <w:wordWrap w:val="0"/>
        <w:overflowPunct/>
        <w:topLinePunct/>
        <w:bidi w:val="0"/>
        <w:spacing w:line="247" w:lineRule="auto"/>
        <w:rPr>
          <w:rFonts w:hint="eastAsia" w:ascii="宋体" w:hAnsi="宋体" w:eastAsia="宋体" w:cs="宋体"/>
          <w:color w:val="000000" w:themeColor="text1"/>
          <w:highlight w:val="none"/>
          <w14:textFill>
            <w14:solidFill>
              <w14:schemeClr w14:val="tx1"/>
            </w14:solidFill>
          </w14:textFill>
        </w:rPr>
      </w:pPr>
    </w:p>
    <w:p w14:paraId="75352F6D">
      <w:pPr>
        <w:pStyle w:val="5"/>
        <w:pageBreakBefore w:val="0"/>
        <w:kinsoku/>
        <w:wordWrap w:val="0"/>
        <w:overflowPunct/>
        <w:topLinePunct/>
        <w:bidi w:val="0"/>
        <w:spacing w:line="247" w:lineRule="auto"/>
        <w:rPr>
          <w:rFonts w:hint="eastAsia" w:ascii="宋体" w:hAnsi="宋体" w:eastAsia="宋体" w:cs="宋体"/>
          <w:color w:val="000000" w:themeColor="text1"/>
          <w:highlight w:val="none"/>
          <w14:textFill>
            <w14:solidFill>
              <w14:schemeClr w14:val="tx1"/>
            </w14:solidFill>
          </w14:textFill>
        </w:rPr>
      </w:pPr>
    </w:p>
    <w:p w14:paraId="5C51C840">
      <w:pPr>
        <w:pStyle w:val="5"/>
        <w:pageBreakBefore w:val="0"/>
        <w:kinsoku/>
        <w:wordWrap w:val="0"/>
        <w:overflowPunct/>
        <w:topLinePunct/>
        <w:bidi w:val="0"/>
        <w:spacing w:line="247" w:lineRule="auto"/>
        <w:rPr>
          <w:rFonts w:hint="eastAsia" w:ascii="宋体" w:hAnsi="宋体" w:eastAsia="宋体" w:cs="宋体"/>
          <w:color w:val="000000" w:themeColor="text1"/>
          <w:highlight w:val="none"/>
          <w14:textFill>
            <w14:solidFill>
              <w14:schemeClr w14:val="tx1"/>
            </w14:solidFill>
          </w14:textFill>
        </w:rPr>
      </w:pPr>
    </w:p>
    <w:p w14:paraId="13B017A2">
      <w:pPr>
        <w:pStyle w:val="5"/>
        <w:pageBreakBefore w:val="0"/>
        <w:kinsoku/>
        <w:wordWrap w:val="0"/>
        <w:overflowPunct/>
        <w:topLinePunct/>
        <w:bidi w:val="0"/>
        <w:spacing w:line="247" w:lineRule="auto"/>
        <w:rPr>
          <w:rFonts w:hint="eastAsia" w:ascii="宋体" w:hAnsi="宋体" w:eastAsia="宋体" w:cs="宋体"/>
          <w:color w:val="000000" w:themeColor="text1"/>
          <w:highlight w:val="none"/>
          <w14:textFill>
            <w14:solidFill>
              <w14:schemeClr w14:val="tx1"/>
            </w14:solidFill>
          </w14:textFill>
        </w:rPr>
      </w:pPr>
    </w:p>
    <w:p w14:paraId="5C46A9D3">
      <w:pPr>
        <w:pStyle w:val="5"/>
        <w:pageBreakBefore w:val="0"/>
        <w:kinsoku/>
        <w:wordWrap w:val="0"/>
        <w:overflowPunct/>
        <w:topLinePunct/>
        <w:bidi w:val="0"/>
        <w:spacing w:line="248" w:lineRule="auto"/>
        <w:rPr>
          <w:rFonts w:hint="eastAsia" w:ascii="宋体" w:hAnsi="宋体" w:eastAsia="宋体" w:cs="宋体"/>
          <w:color w:val="000000" w:themeColor="text1"/>
          <w:highlight w:val="none"/>
          <w14:textFill>
            <w14:solidFill>
              <w14:schemeClr w14:val="tx1"/>
            </w14:solidFill>
          </w14:textFill>
        </w:rPr>
      </w:pPr>
    </w:p>
    <w:p w14:paraId="4A93648D">
      <w:pPr>
        <w:pageBreakBefore w:val="0"/>
        <w:kinsoku/>
        <w:wordWrap w:val="0"/>
        <w:overflowPunct/>
        <w:topLinePunct/>
        <w:bidi w:val="0"/>
        <w:spacing w:before="231" w:line="223" w:lineRule="auto"/>
        <w:jc w:val="center"/>
        <w:rPr>
          <w:rFonts w:hint="eastAsia" w:ascii="宋体" w:hAnsi="宋体" w:eastAsia="宋体" w:cs="宋体"/>
          <w:color w:val="000000" w:themeColor="text1"/>
          <w:sz w:val="71"/>
          <w:szCs w:val="71"/>
          <w:highlight w:val="none"/>
          <w14:textFill>
            <w14:solidFill>
              <w14:schemeClr w14:val="tx1"/>
            </w14:solidFill>
          </w14:textFill>
        </w:rPr>
      </w:pPr>
      <w:r>
        <w:rPr>
          <w:rFonts w:hint="eastAsia" w:ascii="宋体" w:hAnsi="宋体" w:eastAsia="宋体" w:cs="宋体"/>
          <w:b/>
          <w:bCs/>
          <w:color w:val="000000" w:themeColor="text1"/>
          <w:spacing w:val="-26"/>
          <w:sz w:val="71"/>
          <w:szCs w:val="71"/>
          <w:highlight w:val="none"/>
          <w14:textFill>
            <w14:solidFill>
              <w14:schemeClr w14:val="tx1"/>
            </w14:solidFill>
          </w14:textFill>
        </w:rPr>
        <w:t>投</w:t>
      </w:r>
      <w:r>
        <w:rPr>
          <w:rFonts w:hint="eastAsia" w:ascii="宋体" w:hAnsi="宋体" w:eastAsia="宋体" w:cs="宋体"/>
          <w:color w:val="000000" w:themeColor="text1"/>
          <w:spacing w:val="22"/>
          <w:sz w:val="71"/>
          <w:szCs w:val="71"/>
          <w:highlight w:val="none"/>
          <w14:textFill>
            <w14:solidFill>
              <w14:schemeClr w14:val="tx1"/>
            </w14:solidFill>
          </w14:textFill>
        </w:rPr>
        <w:t xml:space="preserve">  </w:t>
      </w:r>
      <w:r>
        <w:rPr>
          <w:rFonts w:hint="eastAsia" w:ascii="宋体" w:hAnsi="宋体" w:eastAsia="宋体" w:cs="宋体"/>
          <w:b/>
          <w:bCs/>
          <w:color w:val="000000" w:themeColor="text1"/>
          <w:spacing w:val="-26"/>
          <w:sz w:val="71"/>
          <w:szCs w:val="71"/>
          <w:highlight w:val="none"/>
          <w14:textFill>
            <w14:solidFill>
              <w14:schemeClr w14:val="tx1"/>
            </w14:solidFill>
          </w14:textFill>
        </w:rPr>
        <w:t>标</w:t>
      </w:r>
      <w:r>
        <w:rPr>
          <w:rFonts w:hint="eastAsia" w:ascii="宋体" w:hAnsi="宋体" w:eastAsia="宋体" w:cs="宋体"/>
          <w:color w:val="000000" w:themeColor="text1"/>
          <w:spacing w:val="23"/>
          <w:sz w:val="71"/>
          <w:szCs w:val="71"/>
          <w:highlight w:val="none"/>
          <w14:textFill>
            <w14:solidFill>
              <w14:schemeClr w14:val="tx1"/>
            </w14:solidFill>
          </w14:textFill>
        </w:rPr>
        <w:t xml:space="preserve">  </w:t>
      </w:r>
      <w:r>
        <w:rPr>
          <w:rFonts w:hint="eastAsia" w:ascii="宋体" w:hAnsi="宋体" w:eastAsia="宋体" w:cs="宋体"/>
          <w:b/>
          <w:bCs/>
          <w:color w:val="000000" w:themeColor="text1"/>
          <w:spacing w:val="-26"/>
          <w:sz w:val="71"/>
          <w:szCs w:val="71"/>
          <w:highlight w:val="none"/>
          <w14:textFill>
            <w14:solidFill>
              <w14:schemeClr w14:val="tx1"/>
            </w14:solidFill>
          </w14:textFill>
        </w:rPr>
        <w:t>文</w:t>
      </w:r>
      <w:r>
        <w:rPr>
          <w:rFonts w:hint="eastAsia" w:ascii="宋体" w:hAnsi="宋体" w:eastAsia="宋体" w:cs="宋体"/>
          <w:color w:val="000000" w:themeColor="text1"/>
          <w:spacing w:val="19"/>
          <w:sz w:val="71"/>
          <w:szCs w:val="71"/>
          <w:highlight w:val="none"/>
          <w14:textFill>
            <w14:solidFill>
              <w14:schemeClr w14:val="tx1"/>
            </w14:solidFill>
          </w14:textFill>
        </w:rPr>
        <w:t xml:space="preserve">  </w:t>
      </w:r>
      <w:r>
        <w:rPr>
          <w:rFonts w:hint="eastAsia" w:ascii="宋体" w:hAnsi="宋体" w:eastAsia="宋体" w:cs="宋体"/>
          <w:b/>
          <w:bCs/>
          <w:color w:val="000000" w:themeColor="text1"/>
          <w:spacing w:val="-26"/>
          <w:sz w:val="71"/>
          <w:szCs w:val="71"/>
          <w:highlight w:val="none"/>
          <w14:textFill>
            <w14:solidFill>
              <w14:schemeClr w14:val="tx1"/>
            </w14:solidFill>
          </w14:textFill>
        </w:rPr>
        <w:t>件</w:t>
      </w:r>
    </w:p>
    <w:p w14:paraId="2E119CD9">
      <w:pPr>
        <w:pStyle w:val="5"/>
        <w:pageBreakBefore w:val="0"/>
        <w:kinsoku/>
        <w:wordWrap w:val="0"/>
        <w:overflowPunct/>
        <w:topLinePunct/>
        <w:bidi w:val="0"/>
        <w:spacing w:line="293" w:lineRule="auto"/>
        <w:rPr>
          <w:rFonts w:hint="eastAsia" w:ascii="宋体" w:hAnsi="宋体" w:eastAsia="宋体" w:cs="宋体"/>
          <w:color w:val="000000" w:themeColor="text1"/>
          <w:highlight w:val="none"/>
          <w14:textFill>
            <w14:solidFill>
              <w14:schemeClr w14:val="tx1"/>
            </w14:solidFill>
          </w14:textFill>
        </w:rPr>
      </w:pPr>
    </w:p>
    <w:p w14:paraId="054D3EE4">
      <w:pPr>
        <w:pStyle w:val="5"/>
        <w:pageBreakBefore w:val="0"/>
        <w:kinsoku/>
        <w:wordWrap w:val="0"/>
        <w:overflowPunct/>
        <w:topLinePunct/>
        <w:bidi w:val="0"/>
        <w:spacing w:line="293" w:lineRule="auto"/>
        <w:rPr>
          <w:rFonts w:hint="eastAsia" w:ascii="宋体" w:hAnsi="宋体" w:eastAsia="宋体" w:cs="宋体"/>
          <w:color w:val="000000" w:themeColor="text1"/>
          <w:highlight w:val="none"/>
          <w14:textFill>
            <w14:solidFill>
              <w14:schemeClr w14:val="tx1"/>
            </w14:solidFill>
          </w14:textFill>
        </w:rPr>
      </w:pPr>
    </w:p>
    <w:p w14:paraId="30458102">
      <w:pPr>
        <w:pageBreakBefore w:val="0"/>
        <w:kinsoku/>
        <w:wordWrap w:val="0"/>
        <w:overflowPunct/>
        <w:topLinePunct/>
        <w:bidi w:val="0"/>
        <w:spacing w:before="152" w:line="223" w:lineRule="auto"/>
        <w:jc w:val="center"/>
        <w:rPr>
          <w:rFonts w:hint="eastAsia" w:ascii="宋体" w:hAnsi="宋体" w:eastAsia="宋体" w:cs="宋体"/>
          <w:b/>
          <w:bCs/>
          <w:color w:val="000000" w:themeColor="text1"/>
          <w:spacing w:val="2"/>
          <w:sz w:val="40"/>
          <w:szCs w:val="40"/>
          <w:highlight w:val="none"/>
          <w14:textFill>
            <w14:solidFill>
              <w14:schemeClr w14:val="tx1"/>
            </w14:solidFill>
          </w14:textFill>
        </w:rPr>
      </w:pPr>
      <w:bookmarkStart w:id="210" w:name="bookmark105"/>
      <w:bookmarkEnd w:id="210"/>
      <w:r>
        <w:rPr>
          <w:rFonts w:hint="eastAsia" w:ascii="宋体" w:hAnsi="宋体" w:eastAsia="宋体" w:cs="宋体"/>
          <w:b/>
          <w:bCs/>
          <w:color w:val="000000" w:themeColor="text1"/>
          <w:spacing w:val="2"/>
          <w:sz w:val="40"/>
          <w:szCs w:val="40"/>
          <w:highlight w:val="none"/>
          <w14:textFill>
            <w14:solidFill>
              <w14:schemeClr w14:val="tx1"/>
            </w14:solidFill>
          </w14:textFill>
        </w:rPr>
        <w:t>（商务标书／经济标书／施工组织设计</w:t>
      </w:r>
      <w:r>
        <w:rPr>
          <w:rFonts w:hint="eastAsia" w:ascii="宋体" w:hAnsi="宋体" w:eastAsia="宋体" w:cs="宋体"/>
          <w:b/>
          <w:bCs/>
          <w:color w:val="000000" w:themeColor="text1"/>
          <w:spacing w:val="2"/>
          <w:sz w:val="40"/>
          <w:szCs w:val="40"/>
          <w:highlight w:val="none"/>
          <w:lang w:val="en-US" w:eastAsia="zh-CN"/>
          <w14:textFill>
            <w14:solidFill>
              <w14:schemeClr w14:val="tx1"/>
            </w14:solidFill>
          </w14:textFill>
        </w:rPr>
        <w:t>/定标文件</w:t>
      </w:r>
      <w:r>
        <w:rPr>
          <w:rFonts w:hint="eastAsia" w:ascii="宋体" w:hAnsi="宋体" w:eastAsia="宋体" w:cs="宋体"/>
          <w:b/>
          <w:bCs/>
          <w:color w:val="000000" w:themeColor="text1"/>
          <w:spacing w:val="2"/>
          <w:sz w:val="40"/>
          <w:szCs w:val="40"/>
          <w:highlight w:val="none"/>
          <w14:textFill>
            <w14:solidFill>
              <w14:schemeClr w14:val="tx1"/>
            </w14:solidFill>
          </w14:textFill>
        </w:rPr>
        <w:t>）</w:t>
      </w:r>
    </w:p>
    <w:p w14:paraId="00793CDB">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709CC8B8">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684D7881">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2E566CA4">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1F292C84">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6378C7AB">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77F1129D">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00EF3005">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652FF3A3">
      <w:pPr>
        <w:pStyle w:val="39"/>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r>
        <w:rPr>
          <w:rFonts w:hint="eastAsia" w:ascii="宋体" w:hAnsi="宋体" w:eastAsia="宋体" w:cs="宋体"/>
          <w:bCs/>
          <w:snapToGrid w:val="0"/>
          <w:color w:val="000000" w:themeColor="text1"/>
          <w:sz w:val="32"/>
          <w:highlight w:val="none"/>
          <w14:textFill>
            <w14:solidFill>
              <w14:schemeClr w14:val="tx1"/>
            </w14:solidFill>
          </w14:textFill>
        </w:rPr>
        <w:t>投标人：</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（盖单位章）</w:t>
      </w:r>
    </w:p>
    <w:p w14:paraId="4537478B">
      <w:pPr>
        <w:pStyle w:val="39"/>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p>
    <w:p w14:paraId="781A6D78">
      <w:pPr>
        <w:pStyle w:val="39"/>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p>
    <w:p w14:paraId="66C9161C">
      <w:pPr>
        <w:pStyle w:val="39"/>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r>
        <w:rPr>
          <w:rFonts w:hint="eastAsia" w:ascii="宋体" w:hAnsi="宋体" w:eastAsia="宋体" w:cs="宋体"/>
          <w:bCs/>
          <w:snapToGrid w:val="0"/>
          <w:color w:val="000000" w:themeColor="text1"/>
          <w:sz w:val="32"/>
          <w:highlight w:val="none"/>
          <w14:textFill>
            <w14:solidFill>
              <w14:schemeClr w14:val="tx1"/>
            </w14:solidFill>
          </w14:textFill>
        </w:rPr>
        <w:t>法定代表人或其委托代理人：</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（签字或盖章）</w:t>
      </w:r>
    </w:p>
    <w:p w14:paraId="1800D2E6">
      <w:pPr>
        <w:pStyle w:val="39"/>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14:textFill>
            <w14:solidFill>
              <w14:schemeClr w14:val="tx1"/>
            </w14:solidFill>
          </w14:textFill>
        </w:rPr>
      </w:pPr>
    </w:p>
    <w:p w14:paraId="660F4558">
      <w:pPr>
        <w:pStyle w:val="39"/>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Cs/>
          <w:snapToGrid w:val="0"/>
          <w:color w:val="000000" w:themeColor="text1"/>
          <w:sz w:val="32"/>
          <w:highlight w:val="none"/>
          <w:u w:val="single"/>
          <w14:textFill>
            <w14:solidFill>
              <w14:schemeClr w14:val="tx1"/>
            </w14:solidFill>
          </w14:textFill>
        </w:rPr>
      </w:pPr>
    </w:p>
    <w:p w14:paraId="2F55B30F">
      <w:pPr>
        <w:pStyle w:val="39"/>
        <w:pageBreakBefore w:val="0"/>
        <w:widowControl w:val="0"/>
        <w:kinsoku/>
        <w:wordWrap w:val="0"/>
        <w:overflowPunct/>
        <w:topLinePunct/>
        <w:bidi w:val="0"/>
        <w:adjustRightInd w:val="0"/>
        <w:snapToGrid w:val="0"/>
        <w:spacing w:line="360" w:lineRule="auto"/>
        <w:ind w:firstLine="0"/>
        <w:jc w:val="center"/>
        <w:rPr>
          <w:rFonts w:hint="eastAsia" w:ascii="宋体" w:hAnsi="宋体" w:eastAsia="宋体" w:cs="宋体"/>
          <w:b/>
          <w:snapToGrid w:val="0"/>
          <w:color w:val="000000" w:themeColor="text1"/>
          <w:highlight w:val="none"/>
          <w14:textFill>
            <w14:solidFill>
              <w14:schemeClr w14:val="tx1"/>
            </w14:solidFill>
          </w14:textFill>
        </w:rPr>
      </w:pP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年</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月</w:t>
      </w:r>
      <w:r>
        <w:rPr>
          <w:rFonts w:hint="eastAsia" w:ascii="宋体" w:hAnsi="宋体" w:eastAsia="宋体" w:cs="宋体"/>
          <w:bCs/>
          <w:snapToGrid w:val="0"/>
          <w:color w:val="000000" w:themeColor="text1"/>
          <w:sz w:val="32"/>
          <w:highlight w:val="none"/>
          <w:u w:val="single"/>
          <w14:textFill>
            <w14:solidFill>
              <w14:schemeClr w14:val="tx1"/>
            </w14:solidFill>
          </w14:textFill>
        </w:rPr>
        <w:t xml:space="preserve">      </w:t>
      </w:r>
      <w:r>
        <w:rPr>
          <w:rFonts w:hint="eastAsia" w:ascii="宋体" w:hAnsi="宋体" w:eastAsia="宋体" w:cs="宋体"/>
          <w:bCs/>
          <w:snapToGrid w:val="0"/>
          <w:color w:val="000000" w:themeColor="text1"/>
          <w:sz w:val="32"/>
          <w:highlight w:val="none"/>
          <w14:textFill>
            <w14:solidFill>
              <w14:schemeClr w14:val="tx1"/>
            </w14:solidFill>
          </w14:textFill>
        </w:rPr>
        <w:t>日</w:t>
      </w:r>
    </w:p>
    <w:p w14:paraId="687A859F">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6E11E50C">
      <w:pPr>
        <w:pageBreakBefore w:val="0"/>
        <w:kinsoku/>
        <w:wordWrap w:val="0"/>
        <w:overflowPunct/>
        <w:topLinePunct/>
        <w:bidi w:val="0"/>
        <w:outlineLvl w:val="9"/>
        <w:rPr>
          <w:rFonts w:hint="eastAsia" w:ascii="宋体" w:hAnsi="宋体" w:eastAsia="宋体" w:cs="宋体"/>
          <w:color w:val="000000" w:themeColor="text1"/>
          <w:highlight w:val="none"/>
          <w14:textFill>
            <w14:solidFill>
              <w14:schemeClr w14:val="tx1"/>
            </w14:solidFill>
          </w14:textFill>
        </w:rPr>
      </w:pPr>
    </w:p>
    <w:p w14:paraId="1823E067">
      <w:pPr>
        <w:pageBreakBefore w:val="0"/>
        <w:kinsoku/>
        <w:wordWrap w:val="0"/>
        <w:overflowPunct/>
        <w:topLinePunct/>
        <w:bidi w:val="0"/>
        <w:spacing w:line="223" w:lineRule="auto"/>
        <w:rPr>
          <w:rFonts w:hint="eastAsia" w:ascii="宋体" w:hAnsi="宋体" w:eastAsia="宋体" w:cs="宋体"/>
          <w:color w:val="000000" w:themeColor="text1"/>
          <w:sz w:val="47"/>
          <w:szCs w:val="47"/>
          <w:highlight w:val="none"/>
          <w14:textFill>
            <w14:solidFill>
              <w14:schemeClr w14:val="tx1"/>
            </w14:solidFill>
          </w14:textFill>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9F2D659">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11" w:name="_Toc17645"/>
      <w:r>
        <w:rPr>
          <w:rFonts w:hint="eastAsia" w:ascii="宋体" w:hAnsi="宋体" w:eastAsia="宋体" w:cs="宋体"/>
          <w:b/>
          <w:bCs/>
          <w:color w:val="000000" w:themeColor="text1"/>
          <w:spacing w:val="-4"/>
          <w:sz w:val="24"/>
          <w:szCs w:val="24"/>
          <w:highlight w:val="none"/>
          <w14:textFill>
            <w14:solidFill>
              <w14:schemeClr w14:val="tx1"/>
            </w14:solidFill>
          </w14:textFill>
        </w:rPr>
        <w:t>格式二 投标函</w:t>
      </w:r>
      <w:bookmarkEnd w:id="211"/>
    </w:p>
    <w:p w14:paraId="0F9BFFB1">
      <w:pPr>
        <w:pStyle w:val="5"/>
        <w:pageBreakBefore w:val="0"/>
        <w:kinsoku/>
        <w:wordWrap w:val="0"/>
        <w:overflowPunct/>
        <w:topLinePunct/>
        <w:bidi w:val="0"/>
        <w:spacing w:line="261" w:lineRule="auto"/>
        <w:rPr>
          <w:rFonts w:hint="eastAsia" w:ascii="宋体" w:hAnsi="宋体" w:eastAsia="宋体" w:cs="宋体"/>
          <w:color w:val="000000" w:themeColor="text1"/>
          <w:highlight w:val="none"/>
          <w14:textFill>
            <w14:solidFill>
              <w14:schemeClr w14:val="tx1"/>
            </w14:solidFill>
          </w14:textFill>
        </w:rPr>
      </w:pPr>
    </w:p>
    <w:p w14:paraId="770B9E6F">
      <w:pPr>
        <w:pageBreakBefore w:val="0"/>
        <w:kinsoku/>
        <w:wordWrap w:val="0"/>
        <w:overflowPunct/>
        <w:topLinePunct/>
        <w:bidi w:val="0"/>
        <w:spacing w:before="97" w:line="221" w:lineRule="auto"/>
        <w:ind w:left="3799"/>
        <w:outlineLvl w:val="9"/>
        <w:rPr>
          <w:rFonts w:hint="eastAsia" w:ascii="宋体" w:hAnsi="宋体" w:eastAsia="宋体" w:cs="宋体"/>
          <w:color w:val="000000" w:themeColor="text1"/>
          <w:sz w:val="30"/>
          <w:szCs w:val="30"/>
          <w:highlight w:val="none"/>
          <w14:textFill>
            <w14:solidFill>
              <w14:schemeClr w14:val="tx1"/>
            </w14:solidFill>
          </w14:textFill>
        </w:rPr>
      </w:pPr>
      <w:bookmarkStart w:id="212" w:name="bookmark148"/>
      <w:bookmarkEnd w:id="212"/>
      <w:bookmarkStart w:id="213" w:name="_Toc27397"/>
      <w:bookmarkStart w:id="214" w:name="_Toc297"/>
      <w:bookmarkStart w:id="215" w:name="_Toc317"/>
      <w:r>
        <w:rPr>
          <w:rFonts w:hint="eastAsia" w:ascii="宋体" w:hAnsi="宋体" w:eastAsia="宋体" w:cs="宋体"/>
          <w:b/>
          <w:bCs/>
          <w:color w:val="000000" w:themeColor="text1"/>
          <w:spacing w:val="-13"/>
          <w:sz w:val="30"/>
          <w:szCs w:val="30"/>
          <w:highlight w:val="none"/>
          <w14:textFill>
            <w14:solidFill>
              <w14:schemeClr w14:val="tx1"/>
            </w14:solidFill>
          </w14:textFill>
        </w:rPr>
        <w:t>投</w:t>
      </w:r>
      <w:r>
        <w:rPr>
          <w:rFonts w:hint="eastAsia" w:ascii="宋体" w:hAnsi="宋体" w:eastAsia="宋体" w:cs="宋体"/>
          <w:color w:val="000000" w:themeColor="text1"/>
          <w:spacing w:val="6"/>
          <w:sz w:val="30"/>
          <w:szCs w:val="30"/>
          <w:highlight w:val="none"/>
          <w14:textFill>
            <w14:solidFill>
              <w14:schemeClr w14:val="tx1"/>
            </w14:solidFill>
          </w14:textFill>
        </w:rPr>
        <w:t xml:space="preserve">  </w:t>
      </w:r>
      <w:r>
        <w:rPr>
          <w:rFonts w:hint="eastAsia" w:ascii="宋体" w:hAnsi="宋体" w:eastAsia="宋体" w:cs="宋体"/>
          <w:b/>
          <w:bCs/>
          <w:color w:val="000000" w:themeColor="text1"/>
          <w:spacing w:val="-13"/>
          <w:sz w:val="30"/>
          <w:szCs w:val="30"/>
          <w:highlight w:val="none"/>
          <w14:textFill>
            <w14:solidFill>
              <w14:schemeClr w14:val="tx1"/>
            </w14:solidFill>
          </w14:textFill>
        </w:rPr>
        <w:t>标</w:t>
      </w:r>
      <w:r>
        <w:rPr>
          <w:rFonts w:hint="eastAsia" w:ascii="宋体" w:hAnsi="宋体" w:eastAsia="宋体" w:cs="宋体"/>
          <w:color w:val="000000" w:themeColor="text1"/>
          <w:spacing w:val="17"/>
          <w:sz w:val="30"/>
          <w:szCs w:val="30"/>
          <w:highlight w:val="none"/>
          <w14:textFill>
            <w14:solidFill>
              <w14:schemeClr w14:val="tx1"/>
            </w14:solidFill>
          </w14:textFill>
        </w:rPr>
        <w:t xml:space="preserve">  </w:t>
      </w:r>
      <w:r>
        <w:rPr>
          <w:rFonts w:hint="eastAsia" w:ascii="宋体" w:hAnsi="宋体" w:eastAsia="宋体" w:cs="宋体"/>
          <w:b/>
          <w:bCs/>
          <w:color w:val="000000" w:themeColor="text1"/>
          <w:spacing w:val="-13"/>
          <w:sz w:val="30"/>
          <w:szCs w:val="30"/>
          <w:highlight w:val="none"/>
          <w14:textFill>
            <w14:solidFill>
              <w14:schemeClr w14:val="tx1"/>
            </w14:solidFill>
          </w14:textFill>
        </w:rPr>
        <w:t>函</w:t>
      </w:r>
      <w:bookmarkEnd w:id="213"/>
      <w:bookmarkEnd w:id="214"/>
      <w:bookmarkEnd w:id="215"/>
    </w:p>
    <w:p w14:paraId="54EFDA5C">
      <w:pPr>
        <w:pStyle w:val="5"/>
        <w:pageBreakBefore w:val="0"/>
        <w:kinsoku/>
        <w:wordWrap w:val="0"/>
        <w:overflowPunct/>
        <w:topLinePunct/>
        <w:bidi w:val="0"/>
        <w:spacing w:line="249" w:lineRule="auto"/>
        <w:rPr>
          <w:rFonts w:hint="eastAsia" w:ascii="宋体" w:hAnsi="宋体" w:eastAsia="宋体" w:cs="宋体"/>
          <w:color w:val="000000" w:themeColor="text1"/>
          <w:highlight w:val="none"/>
          <w14:textFill>
            <w14:solidFill>
              <w14:schemeClr w14:val="tx1"/>
            </w14:solidFill>
          </w14:textFill>
        </w:rPr>
      </w:pPr>
    </w:p>
    <w:p w14:paraId="218066A3">
      <w:pPr>
        <w:pStyle w:val="5"/>
        <w:pageBreakBefore w:val="0"/>
        <w:kinsoku/>
        <w:wordWrap w:val="0"/>
        <w:overflowPunct/>
        <w:topLinePunct/>
        <w:bidi w:val="0"/>
        <w:spacing w:line="250" w:lineRule="auto"/>
        <w:rPr>
          <w:rFonts w:hint="eastAsia" w:ascii="宋体" w:hAnsi="宋体" w:eastAsia="宋体" w:cs="宋体"/>
          <w:color w:val="000000" w:themeColor="text1"/>
          <w:highlight w:val="none"/>
          <w14:textFill>
            <w14:solidFill>
              <w14:schemeClr w14:val="tx1"/>
            </w14:solidFill>
          </w14:textFill>
        </w:rPr>
      </w:pPr>
    </w:p>
    <w:p w14:paraId="124A2FF1">
      <w:pPr>
        <w:pStyle w:val="5"/>
        <w:pageBreakBefore w:val="0"/>
        <w:kinsoku/>
        <w:wordWrap w:val="0"/>
        <w:overflowPunct/>
        <w:topLinePunct/>
        <w:bidi w:val="0"/>
        <w:spacing w:line="250" w:lineRule="auto"/>
        <w:rPr>
          <w:rFonts w:hint="eastAsia" w:ascii="宋体" w:hAnsi="宋体" w:eastAsia="宋体" w:cs="宋体"/>
          <w:color w:val="000000" w:themeColor="text1"/>
          <w:highlight w:val="none"/>
          <w14:textFill>
            <w14:solidFill>
              <w14:schemeClr w14:val="tx1"/>
            </w14:solidFill>
          </w14:textFill>
        </w:rPr>
      </w:pPr>
    </w:p>
    <w:p w14:paraId="7462FDA5">
      <w:pPr>
        <w:pageBreakBefore w:val="0"/>
        <w:kinsoku/>
        <w:wordWrap w:val="0"/>
        <w:overflowPunct/>
        <w:topLinePunct/>
        <w:bidi w:val="0"/>
        <w:spacing w:before="78" w:line="221" w:lineRule="auto"/>
        <w:ind w:left="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致</w:t>
      </w:r>
      <w:r>
        <w:rPr>
          <w:rFonts w:hint="eastAsia" w:ascii="宋体" w:hAnsi="宋体" w:eastAsia="宋体" w:cs="宋体"/>
          <w:color w:val="000000" w:themeColor="text1"/>
          <w:spacing w:val="-30"/>
          <w:sz w:val="24"/>
          <w:szCs w:val="24"/>
          <w:highlight w:val="none"/>
          <w14:textFill>
            <w14:solidFill>
              <w14:schemeClr w14:val="tx1"/>
            </w14:solidFill>
          </w14:textFill>
        </w:rPr>
        <w:t>：</w:t>
      </w:r>
      <w:r>
        <w:rPr>
          <w:rFonts w:hint="eastAsia" w:ascii="宋体" w:hAnsi="宋体" w:eastAsia="宋体" w:cs="宋体"/>
          <w:color w:val="000000" w:themeColor="text1"/>
          <w:spacing w:val="-3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30"/>
          <w:sz w:val="24"/>
          <w:szCs w:val="24"/>
          <w:highlight w:val="none"/>
          <w14:textFill>
            <w14:solidFill>
              <w14:schemeClr w14:val="tx1"/>
            </w14:solidFill>
          </w14:textFill>
        </w:rPr>
        <w:t>（</w:t>
      </w:r>
      <w:r>
        <w:rPr>
          <w:rFonts w:hint="eastAsia" w:ascii="宋体" w:hAnsi="宋体" w:eastAsia="宋体" w:cs="宋体"/>
          <w:color w:val="000000" w:themeColor="text1"/>
          <w:spacing w:val="7"/>
          <w:sz w:val="24"/>
          <w:szCs w:val="24"/>
          <w:highlight w:val="none"/>
          <w14:textFill>
            <w14:solidFill>
              <w14:schemeClr w14:val="tx1"/>
            </w14:solidFill>
          </w14:textFill>
        </w:rPr>
        <w:t>招标人名称）</w:t>
      </w:r>
    </w:p>
    <w:p w14:paraId="167DBEEB">
      <w:pPr>
        <w:pStyle w:val="5"/>
        <w:pageBreakBefore w:val="0"/>
        <w:kinsoku/>
        <w:wordWrap w:val="0"/>
        <w:overflowPunct/>
        <w:topLinePunct/>
        <w:bidi w:val="0"/>
        <w:spacing w:before="156" w:line="328" w:lineRule="auto"/>
        <w:ind w:left="9" w:right="142" w:firstLine="589"/>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  我方考察现场并充分研究</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（项目名称</w:t>
      </w:r>
      <w:r>
        <w:rPr>
          <w:rFonts w:hint="eastAsia" w:ascii="宋体" w:hAnsi="宋体" w:eastAsia="宋体" w:cs="宋体"/>
          <w:color w:val="000000" w:themeColor="text1"/>
          <w:spacing w:val="-1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以下简称“本项目</w:t>
      </w:r>
      <w:r>
        <w:rPr>
          <w:rFonts w:hint="eastAsia" w:ascii="宋体" w:hAnsi="宋体" w:eastAsia="宋体" w:cs="宋体"/>
          <w:color w:val="000000" w:themeColor="text1"/>
          <w:spacing w:val="-85"/>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”）招标文件</w:t>
      </w:r>
      <w:r>
        <w:rPr>
          <w:rFonts w:hint="eastAsia" w:ascii="宋体" w:hAnsi="宋体" w:eastAsia="宋体" w:cs="宋体"/>
          <w:color w:val="000000" w:themeColor="text1"/>
          <w:spacing w:val="-2"/>
          <w:sz w:val="24"/>
          <w:szCs w:val="24"/>
          <w:highlight w:val="none"/>
          <w14:textFill>
            <w14:solidFill>
              <w14:schemeClr w14:val="tx1"/>
            </w14:solidFill>
          </w14:textFill>
        </w:rPr>
        <w:t>所有内容后，结合自身资质、能力和特点，愿意接受招标文件的全部内容和条件，兹以</w:t>
      </w:r>
      <w:r>
        <w:rPr>
          <w:rFonts w:hint="eastAsia" w:ascii="宋体" w:hAnsi="宋体" w:eastAsia="宋体" w:cs="宋体"/>
          <w:color w:val="000000" w:themeColor="text1"/>
          <w:spacing w:val="-5"/>
          <w:sz w:val="24"/>
          <w:szCs w:val="24"/>
          <w:highlight w:val="none"/>
          <w14:textFill>
            <w14:solidFill>
              <w14:schemeClr w14:val="tx1"/>
            </w14:solidFill>
          </w14:textFill>
        </w:rPr>
        <w:t>人民币（大写</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w:t>
      </w:r>
      <w:r>
        <w:rPr>
          <w:rFonts w:hint="eastAsia" w:ascii="宋体" w:hAnsi="宋体" w:eastAsia="宋体" w:cs="宋体"/>
          <w:color w:val="000000" w:themeColor="text1"/>
          <w:spacing w:val="-6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w:t>
      </w:r>
      <w:r>
        <w:rPr>
          <w:rFonts w:hint="eastAsia" w:ascii="宋体" w:hAnsi="宋体" w:eastAsia="宋体" w:cs="宋体"/>
          <w:color w:val="000000" w:themeColor="text1"/>
          <w:spacing w:val="4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的投标总价竞投本项目施工。</w:t>
      </w:r>
    </w:p>
    <w:p w14:paraId="71758EBD">
      <w:pPr>
        <w:pageBreakBefore w:val="0"/>
        <w:kinsoku/>
        <w:wordWrap w:val="0"/>
        <w:overflowPunct/>
        <w:topLinePunct/>
        <w:bidi w:val="0"/>
        <w:spacing w:before="39" w:line="323" w:lineRule="auto"/>
        <w:ind w:right="142" w:firstLine="57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在我方的上述投标总价中，包括：</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安全生产措施费</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u w:val="none"/>
          <w:lang w:eastAsia="zh-CN"/>
          <w14:textFill>
            <w14:solidFill>
              <w14:schemeClr w14:val="tx1"/>
            </w14:solidFill>
          </w14:textFill>
        </w:rPr>
        <w:t>；暂列金额</w:t>
      </w:r>
      <w:r>
        <w:rPr>
          <w:rFonts w:hint="eastAsia" w:ascii="宋体" w:hAnsi="宋体" w:eastAsia="宋体" w:cs="宋体"/>
          <w:color w:val="000000" w:themeColor="text1"/>
          <w:spacing w:val="-2"/>
          <w:sz w:val="24"/>
          <w:szCs w:val="24"/>
          <w:highlight w:val="none"/>
          <w:u w:val="none"/>
          <w14:textFill>
            <w14:solidFill>
              <w14:schemeClr w14:val="tx1"/>
            </w14:solidFill>
          </w14:textFill>
        </w:rPr>
        <w:t>¥</w:t>
      </w:r>
      <w:r>
        <w:rPr>
          <w:rFonts w:hint="eastAsia" w:ascii="宋体" w:hAnsi="宋体" w:eastAsia="宋体" w:cs="宋体"/>
          <w:color w:val="000000" w:themeColor="text1"/>
          <w:spacing w:val="-3"/>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u w:val="none"/>
          <w:lang w:eastAsia="zh-CN"/>
          <w14:textFill>
            <w14:solidFill>
              <w14:schemeClr w14:val="tx1"/>
            </w14:solidFill>
          </w14:textFill>
        </w:rPr>
        <w:t>；暂估价</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w:t>
      </w:r>
    </w:p>
    <w:p w14:paraId="2334044E">
      <w:pPr>
        <w:pageBreakBefore w:val="0"/>
        <w:kinsoku/>
        <w:wordWrap w:val="0"/>
        <w:overflowPunct/>
        <w:topLinePunct/>
        <w:bidi w:val="0"/>
        <w:spacing w:before="38" w:line="280" w:lineRule="auto"/>
        <w:ind w:left="13" w:right="142" w:firstLine="56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  如果我方中标，我方保证按照合同约定的开工日期开始本项目的施工</w:t>
      </w:r>
      <w:r>
        <w:rPr>
          <w:rFonts w:hint="eastAsia" w:ascii="宋体" w:hAnsi="宋体" w:eastAsia="宋体" w:cs="宋体"/>
          <w:color w:val="000000" w:themeColor="text1"/>
          <w:sz w:val="24"/>
          <w:szCs w:val="24"/>
          <w:highlight w:val="none"/>
          <w14:textFill>
            <w14:solidFill>
              <w14:schemeClr w14:val="tx1"/>
            </w14:solidFill>
          </w14:textFill>
        </w:rPr>
        <w:t>，</w:t>
      </w:r>
      <w:bookmarkStart w:id="216" w:name="OLE_LINK34"/>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bookmarkEnd w:id="216"/>
      <w:r>
        <w:rPr>
          <w:rFonts w:hint="eastAsia" w:ascii="宋体" w:hAnsi="宋体" w:eastAsia="宋体" w:cs="宋体"/>
          <w:color w:val="000000" w:themeColor="text1"/>
          <w:sz w:val="24"/>
          <w:szCs w:val="24"/>
          <w:highlight w:val="none"/>
          <w14:textFill>
            <w14:solidFill>
              <w14:schemeClr w14:val="tx1"/>
            </w14:solidFill>
          </w14:textFill>
        </w:rPr>
        <w:t>个日历</w:t>
      </w:r>
      <w:r>
        <w:rPr>
          <w:rFonts w:hint="eastAsia" w:ascii="宋体" w:hAnsi="宋体" w:eastAsia="宋体" w:cs="宋体"/>
          <w:color w:val="000000" w:themeColor="text1"/>
          <w:spacing w:val="-1"/>
          <w:sz w:val="24"/>
          <w:szCs w:val="24"/>
          <w:highlight w:val="none"/>
          <w14:textFill>
            <w14:solidFill>
              <w14:schemeClr w14:val="tx1"/>
            </w14:solidFill>
          </w14:textFill>
        </w:rPr>
        <w:t>天内竣工，并确保工程质量达到</w:t>
      </w:r>
      <w:r>
        <w:rPr>
          <w:rFonts w:hint="eastAsia" w:ascii="宋体" w:hAnsi="宋体" w:eastAsia="宋体" w:cs="宋体"/>
          <w:color w:val="000000" w:themeColor="text1"/>
          <w:spacing w:val="-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标准和维修其中的任何缺陷。</w:t>
      </w:r>
    </w:p>
    <w:p w14:paraId="4216E027">
      <w:pPr>
        <w:pageBreakBefore w:val="0"/>
        <w:kinsoku/>
        <w:wordWrap w:val="0"/>
        <w:overflowPunct/>
        <w:topLinePunct/>
        <w:bidi w:val="0"/>
        <w:spacing w:before="152" w:line="279" w:lineRule="auto"/>
        <w:ind w:left="11" w:right="142" w:firstLine="56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  本投标函在你方接收我方递交的投标文件之日起、到招标</w:t>
      </w:r>
      <w:r>
        <w:rPr>
          <w:rFonts w:hint="eastAsia" w:ascii="宋体" w:hAnsi="宋体" w:eastAsia="宋体" w:cs="宋体"/>
          <w:color w:val="000000" w:themeColor="text1"/>
          <w:sz w:val="24"/>
          <w:szCs w:val="24"/>
          <w:highlight w:val="none"/>
          <w14:textFill>
            <w14:solidFill>
              <w14:schemeClr w14:val="tx1"/>
            </w14:solidFill>
          </w14:textFill>
        </w:rPr>
        <w:t>文件规定的投标有效</w:t>
      </w:r>
      <w:r>
        <w:rPr>
          <w:rFonts w:hint="eastAsia" w:ascii="宋体" w:hAnsi="宋体" w:eastAsia="宋体" w:cs="宋体"/>
          <w:color w:val="000000" w:themeColor="text1"/>
          <w:spacing w:val="-1"/>
          <w:sz w:val="24"/>
          <w:szCs w:val="24"/>
          <w:highlight w:val="none"/>
          <w14:textFill>
            <w14:solidFill>
              <w14:schemeClr w14:val="tx1"/>
            </w14:solidFill>
          </w14:textFill>
        </w:rPr>
        <w:t>期期满前对我方具有约束力。我方随时准备接受你方发出的中标通知书。</w:t>
      </w:r>
    </w:p>
    <w:p w14:paraId="11BFCC34">
      <w:pPr>
        <w:pageBreakBefore w:val="0"/>
        <w:kinsoku/>
        <w:wordWrap w:val="0"/>
        <w:overflowPunct/>
        <w:topLinePunct/>
        <w:bidi w:val="0"/>
        <w:spacing w:before="156" w:line="279" w:lineRule="auto"/>
        <w:ind w:left="11" w:right="61" w:firstLine="56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r>
        <w:rPr>
          <w:rFonts w:hint="eastAsia" w:ascii="宋体" w:hAnsi="宋体" w:eastAsia="宋体" w:cs="宋体"/>
          <w:color w:val="000000" w:themeColor="text1"/>
          <w:spacing w:val="-2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．我方在此声明，我方不存在本项目招标</w:t>
      </w:r>
      <w:r>
        <w:rPr>
          <w:rFonts w:hint="eastAsia" w:ascii="宋体" w:hAnsi="宋体" w:eastAsia="宋体" w:cs="宋体"/>
          <w:color w:val="000000" w:themeColor="text1"/>
          <w:spacing w:val="-1"/>
          <w:sz w:val="24"/>
          <w:szCs w:val="24"/>
          <w:highlight w:val="none"/>
          <w14:textFill>
            <w14:solidFill>
              <w14:schemeClr w14:val="tx1"/>
            </w14:solidFill>
          </w14:textFill>
        </w:rPr>
        <w:t>文件第一章第三节第</w:t>
      </w:r>
      <w:r>
        <w:rPr>
          <w:rFonts w:hint="eastAsia" w:ascii="宋体" w:hAnsi="宋体" w:eastAsia="宋体" w:cs="宋体"/>
          <w:color w:val="000000" w:themeColor="text1"/>
          <w:spacing w:val="-55"/>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1"/>
          <w:sz w:val="24"/>
          <w:szCs w:val="24"/>
          <w:highlight w:val="none"/>
          <w14:textFill>
            <w14:solidFill>
              <w14:schemeClr w14:val="tx1"/>
            </w14:solidFill>
          </w14:textFill>
        </w:rPr>
        <w:t>2.4</w:t>
      </w:r>
      <w:r>
        <w:rPr>
          <w:rFonts w:hint="eastAsia" w:ascii="宋体" w:hAnsi="宋体" w:eastAsia="宋体" w:cs="宋体"/>
          <w:b/>
          <w:bCs/>
          <w:color w:val="000000" w:themeColor="text1"/>
          <w:spacing w:val="16"/>
          <w:w w:val="10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条“禁止投标</w:t>
      </w:r>
      <w:r>
        <w:rPr>
          <w:rFonts w:hint="eastAsia" w:ascii="宋体" w:hAnsi="宋体" w:eastAsia="宋体" w:cs="宋体"/>
          <w:color w:val="000000" w:themeColor="text1"/>
          <w:spacing w:val="-6"/>
          <w:sz w:val="24"/>
          <w:szCs w:val="24"/>
          <w:highlight w:val="none"/>
          <w14:textFill>
            <w14:solidFill>
              <w14:schemeClr w14:val="tx1"/>
            </w14:solidFill>
          </w14:textFill>
        </w:rPr>
        <w:t>条款</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”所列出的任何一种情形，并愿意承担因我</w:t>
      </w:r>
      <w:r>
        <w:rPr>
          <w:rFonts w:hint="eastAsia" w:ascii="宋体" w:hAnsi="宋体" w:eastAsia="宋体" w:cs="宋体"/>
          <w:color w:val="000000" w:themeColor="text1"/>
          <w:spacing w:val="-7"/>
          <w:sz w:val="24"/>
          <w:szCs w:val="24"/>
          <w:highlight w:val="none"/>
          <w14:textFill>
            <w14:solidFill>
              <w14:schemeClr w14:val="tx1"/>
            </w14:solidFill>
          </w14:textFill>
        </w:rPr>
        <w:t>方就此弄虚作假所引起的一切法律后果。</w:t>
      </w:r>
    </w:p>
    <w:p w14:paraId="5ACE9C4D">
      <w:pPr>
        <w:pageBreakBefore w:val="0"/>
        <w:kinsoku/>
        <w:wordWrap w:val="0"/>
        <w:overflowPunct/>
        <w:topLinePunct/>
        <w:bidi w:val="0"/>
        <w:spacing w:before="153" w:line="280" w:lineRule="auto"/>
        <w:ind w:left="9" w:right="142" w:firstLine="57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w:t>
      </w:r>
      <w:r>
        <w:rPr>
          <w:rFonts w:hint="eastAsia" w:ascii="宋体" w:hAnsi="宋体" w:eastAsia="宋体" w:cs="宋体"/>
          <w:color w:val="000000" w:themeColor="text1"/>
          <w:spacing w:val="-2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．我方在此承诺，所递交投标文件的全部内容均为真实、有效、准确的，并愿意承担因我方就此弄虚作假所引起的一切法律后果，同时理解和同意有可能被要求提供更</w:t>
      </w:r>
    </w:p>
    <w:p w14:paraId="518885D6">
      <w:pPr>
        <w:pageBreakBefore w:val="0"/>
        <w:kinsoku/>
        <w:wordWrap w:val="0"/>
        <w:overflowPunct/>
        <w:topLinePunct/>
        <w:bidi w:val="0"/>
        <w:spacing w:before="153" w:line="221" w:lineRule="auto"/>
        <w:ind w:left="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多的资料。</w:t>
      </w:r>
    </w:p>
    <w:p w14:paraId="2C2046F2">
      <w:pPr>
        <w:pageBreakBefore w:val="0"/>
        <w:kinsoku/>
        <w:wordWrap w:val="0"/>
        <w:overflowPunct/>
        <w:topLinePunct/>
        <w:bidi w:val="0"/>
        <w:spacing w:before="153" w:line="326" w:lineRule="auto"/>
        <w:ind w:left="13" w:firstLine="5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6.  我方理解你方不一定要接纳收到的最低投标总价或任何投标总价的投标人中标，</w:t>
      </w:r>
      <w:r>
        <w:rPr>
          <w:rFonts w:hint="eastAsia" w:ascii="宋体" w:hAnsi="宋体" w:eastAsia="宋体" w:cs="宋体"/>
          <w:color w:val="000000" w:themeColor="text1"/>
          <w:spacing w:val="-1"/>
          <w:sz w:val="24"/>
          <w:szCs w:val="24"/>
          <w:highlight w:val="none"/>
          <w14:textFill>
            <w14:solidFill>
              <w14:schemeClr w14:val="tx1"/>
            </w14:solidFill>
          </w14:textFill>
        </w:rPr>
        <w:t>也不要求你方解释我方是否中标的原因。</w:t>
      </w:r>
    </w:p>
    <w:p w14:paraId="391D8D7A">
      <w:pPr>
        <w:pStyle w:val="5"/>
        <w:pageBreakBefore w:val="0"/>
        <w:kinsoku/>
        <w:wordWrap w:val="0"/>
        <w:overflowPunct/>
        <w:topLinePunct/>
        <w:bidi w:val="0"/>
        <w:spacing w:line="276" w:lineRule="auto"/>
        <w:rPr>
          <w:rFonts w:hint="eastAsia" w:ascii="宋体" w:hAnsi="宋体" w:eastAsia="宋体" w:cs="宋体"/>
          <w:color w:val="000000" w:themeColor="text1"/>
          <w:highlight w:val="none"/>
          <w14:textFill>
            <w14:solidFill>
              <w14:schemeClr w14:val="tx1"/>
            </w14:solidFill>
          </w14:textFill>
        </w:rPr>
      </w:pPr>
    </w:p>
    <w:p w14:paraId="36171FA4">
      <w:pPr>
        <w:pStyle w:val="5"/>
        <w:pageBreakBefore w:val="0"/>
        <w:kinsoku/>
        <w:wordWrap w:val="0"/>
        <w:overflowPunct/>
        <w:topLinePunct/>
        <w:bidi w:val="0"/>
        <w:spacing w:line="277" w:lineRule="auto"/>
        <w:rPr>
          <w:rFonts w:hint="eastAsia" w:ascii="宋体" w:hAnsi="宋体" w:eastAsia="宋体" w:cs="宋体"/>
          <w:color w:val="000000" w:themeColor="text1"/>
          <w:highlight w:val="none"/>
          <w14:textFill>
            <w14:solidFill>
              <w14:schemeClr w14:val="tx1"/>
            </w14:solidFill>
          </w14:textFill>
        </w:rPr>
      </w:pPr>
    </w:p>
    <w:p w14:paraId="04C29FCC">
      <w:pPr>
        <w:pStyle w:val="5"/>
        <w:pageBreakBefore w:val="0"/>
        <w:kinsoku/>
        <w:wordWrap w:val="0"/>
        <w:overflowPunct/>
        <w:topLinePunct/>
        <w:bidi w:val="0"/>
        <w:spacing w:line="277" w:lineRule="auto"/>
        <w:rPr>
          <w:rFonts w:hint="eastAsia" w:ascii="宋体" w:hAnsi="宋体" w:eastAsia="宋体" w:cs="宋体"/>
          <w:color w:val="000000" w:themeColor="text1"/>
          <w:highlight w:val="none"/>
          <w14:textFill>
            <w14:solidFill>
              <w14:schemeClr w14:val="tx1"/>
            </w14:solidFill>
          </w14:textFill>
        </w:rPr>
      </w:pPr>
    </w:p>
    <w:p w14:paraId="4185CE25">
      <w:pPr>
        <w:pageBreakBefore w:val="0"/>
        <w:kinsoku/>
        <w:wordWrap w:val="0"/>
        <w:overflowPunct/>
        <w:topLinePunct/>
        <w:bidi w:val="0"/>
        <w:spacing w:before="79" w:line="219" w:lineRule="auto"/>
        <w:ind w:firstLine="5856" w:firstLineChars="240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盖单位章）</w:t>
      </w:r>
    </w:p>
    <w:p w14:paraId="7E3D3945">
      <w:pPr>
        <w:pStyle w:val="5"/>
        <w:pageBreakBefore w:val="0"/>
        <w:kinsoku/>
        <w:wordWrap w:val="0"/>
        <w:overflowPunct/>
        <w:topLinePunct/>
        <w:bidi w:val="0"/>
        <w:spacing w:line="256" w:lineRule="auto"/>
        <w:jc w:val="right"/>
        <w:rPr>
          <w:rFonts w:hint="eastAsia" w:ascii="宋体" w:hAnsi="宋体" w:eastAsia="宋体" w:cs="宋体"/>
          <w:color w:val="000000" w:themeColor="text1"/>
          <w:highlight w:val="none"/>
          <w14:textFill>
            <w14:solidFill>
              <w14:schemeClr w14:val="tx1"/>
            </w14:solidFill>
          </w14:textFill>
        </w:rPr>
      </w:pPr>
    </w:p>
    <w:p w14:paraId="507D380B">
      <w:pPr>
        <w:pStyle w:val="5"/>
        <w:pageBreakBefore w:val="0"/>
        <w:kinsoku/>
        <w:wordWrap w:val="0"/>
        <w:overflowPunct/>
        <w:topLinePunct/>
        <w:bidi w:val="0"/>
        <w:spacing w:line="256" w:lineRule="auto"/>
        <w:jc w:val="right"/>
        <w:rPr>
          <w:rFonts w:hint="eastAsia" w:ascii="宋体" w:hAnsi="宋体" w:eastAsia="宋体" w:cs="宋体"/>
          <w:color w:val="000000" w:themeColor="text1"/>
          <w:highlight w:val="none"/>
          <w14:textFill>
            <w14:solidFill>
              <w14:schemeClr w14:val="tx1"/>
            </w14:solidFill>
          </w14:textFill>
        </w:rPr>
      </w:pPr>
    </w:p>
    <w:p w14:paraId="7E8CAD59">
      <w:pPr>
        <w:pageBreakBefore w:val="0"/>
        <w:kinsoku/>
        <w:wordWrap w:val="0"/>
        <w:overflowPunct/>
        <w:topLinePunct/>
        <w:bidi w:val="0"/>
        <w:spacing w:before="78" w:line="219" w:lineRule="auto"/>
        <w:ind w:left="3922"/>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签字或盖章）</w:t>
      </w:r>
    </w:p>
    <w:p w14:paraId="7A85F8B1">
      <w:pPr>
        <w:pStyle w:val="5"/>
        <w:pageBreakBefore w:val="0"/>
        <w:kinsoku/>
        <w:wordWrap w:val="0"/>
        <w:overflowPunct/>
        <w:topLinePunct/>
        <w:bidi w:val="0"/>
        <w:spacing w:line="257" w:lineRule="auto"/>
        <w:rPr>
          <w:rFonts w:hint="eastAsia" w:ascii="宋体" w:hAnsi="宋体" w:eastAsia="宋体" w:cs="宋体"/>
          <w:color w:val="000000" w:themeColor="text1"/>
          <w:highlight w:val="none"/>
          <w14:textFill>
            <w14:solidFill>
              <w14:schemeClr w14:val="tx1"/>
            </w14:solidFill>
          </w14:textFill>
        </w:rPr>
      </w:pPr>
    </w:p>
    <w:p w14:paraId="1B05791D">
      <w:pPr>
        <w:pStyle w:val="5"/>
        <w:pageBreakBefore w:val="0"/>
        <w:kinsoku/>
        <w:wordWrap w:val="0"/>
        <w:overflowPunct/>
        <w:topLinePunct/>
        <w:bidi w:val="0"/>
        <w:spacing w:line="257" w:lineRule="auto"/>
        <w:rPr>
          <w:rFonts w:hint="eastAsia" w:ascii="宋体" w:hAnsi="宋体" w:eastAsia="宋体" w:cs="宋体"/>
          <w:color w:val="000000" w:themeColor="text1"/>
          <w:highlight w:val="none"/>
          <w14:textFill>
            <w14:solidFill>
              <w14:schemeClr w14:val="tx1"/>
            </w14:solidFill>
          </w14:textFill>
        </w:rPr>
      </w:pPr>
    </w:p>
    <w:p w14:paraId="6095B11C">
      <w:pPr>
        <w:pageBreakBefore w:val="0"/>
        <w:kinsoku/>
        <w:wordWrap w:val="0"/>
        <w:overflowPunct/>
        <w:topLinePunct/>
        <w:bidi w:val="0"/>
        <w:spacing w:before="79" w:line="220" w:lineRule="auto"/>
        <w:ind w:left="697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日</w:t>
      </w:r>
    </w:p>
    <w:p w14:paraId="3B4D8E51">
      <w:pPr>
        <w:pageBreakBefore w:val="0"/>
        <w:kinsoku/>
        <w:wordWrap w:val="0"/>
        <w:overflowPunct/>
        <w:topLinePunct/>
        <w:bidi w:val="0"/>
        <w:spacing w:line="220"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09A49B0">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17" w:name="_Toc7191"/>
      <w:r>
        <w:rPr>
          <w:rFonts w:hint="eastAsia" w:ascii="宋体" w:hAnsi="宋体" w:eastAsia="宋体" w:cs="宋体"/>
          <w:b/>
          <w:bCs/>
          <w:color w:val="000000" w:themeColor="text1"/>
          <w:spacing w:val="-4"/>
          <w:sz w:val="24"/>
          <w:szCs w:val="24"/>
          <w:highlight w:val="none"/>
          <w14:textFill>
            <w14:solidFill>
              <w14:schemeClr w14:val="tx1"/>
            </w14:solidFill>
          </w14:textFill>
        </w:rPr>
        <w:t>格式三 各项承诺一览表</w:t>
      </w:r>
      <w:bookmarkEnd w:id="217"/>
    </w:p>
    <w:p w14:paraId="53709257">
      <w:pPr>
        <w:pStyle w:val="5"/>
        <w:pageBreakBefore w:val="0"/>
        <w:kinsoku/>
        <w:wordWrap w:val="0"/>
        <w:overflowPunct/>
        <w:topLinePunct/>
        <w:bidi w:val="0"/>
        <w:spacing w:line="254" w:lineRule="auto"/>
        <w:rPr>
          <w:rFonts w:hint="eastAsia" w:ascii="宋体" w:hAnsi="宋体" w:eastAsia="宋体" w:cs="宋体"/>
          <w:color w:val="000000" w:themeColor="text1"/>
          <w:highlight w:val="none"/>
          <w14:textFill>
            <w14:solidFill>
              <w14:schemeClr w14:val="tx1"/>
            </w14:solidFill>
          </w14:textFill>
        </w:rPr>
      </w:pPr>
    </w:p>
    <w:p w14:paraId="538F999E">
      <w:pPr>
        <w:pageBreakBefore w:val="0"/>
        <w:kinsoku/>
        <w:wordWrap w:val="0"/>
        <w:overflowPunct/>
        <w:topLinePunct/>
        <w:bidi w:val="0"/>
        <w:spacing w:before="98" w:line="220" w:lineRule="auto"/>
        <w:ind w:left="3581"/>
        <w:outlineLvl w:val="9"/>
        <w:rPr>
          <w:rFonts w:hint="eastAsia" w:ascii="宋体" w:hAnsi="宋体" w:eastAsia="宋体" w:cs="宋体"/>
          <w:color w:val="000000" w:themeColor="text1"/>
          <w:sz w:val="30"/>
          <w:szCs w:val="30"/>
          <w:highlight w:val="none"/>
          <w14:textFill>
            <w14:solidFill>
              <w14:schemeClr w14:val="tx1"/>
            </w14:solidFill>
          </w14:textFill>
        </w:rPr>
      </w:pPr>
      <w:bookmarkStart w:id="218" w:name="bookmark149"/>
      <w:bookmarkEnd w:id="218"/>
      <w:bookmarkStart w:id="219" w:name="_Toc10326"/>
      <w:bookmarkStart w:id="220" w:name="_Toc2936"/>
      <w:bookmarkStart w:id="221" w:name="_Toc4767"/>
      <w:r>
        <w:rPr>
          <w:rFonts w:hint="eastAsia" w:ascii="宋体" w:hAnsi="宋体" w:eastAsia="宋体" w:cs="宋体"/>
          <w:b/>
          <w:bCs/>
          <w:color w:val="000000" w:themeColor="text1"/>
          <w:spacing w:val="-5"/>
          <w:sz w:val="30"/>
          <w:szCs w:val="30"/>
          <w:highlight w:val="none"/>
          <w14:textFill>
            <w14:solidFill>
              <w14:schemeClr w14:val="tx1"/>
            </w14:solidFill>
          </w14:textFill>
        </w:rPr>
        <w:t>各项承诺一览表</w:t>
      </w:r>
      <w:bookmarkEnd w:id="219"/>
      <w:bookmarkEnd w:id="220"/>
      <w:bookmarkEnd w:id="221"/>
    </w:p>
    <w:p w14:paraId="734BAEAD">
      <w:pPr>
        <w:pageBreakBefore w:val="0"/>
        <w:kinsoku/>
        <w:wordWrap w:val="0"/>
        <w:overflowPunct/>
        <w:topLinePunct/>
        <w:bidi w:val="0"/>
        <w:spacing w:before="6"/>
        <w:rPr>
          <w:rFonts w:hint="eastAsia" w:ascii="宋体" w:hAnsi="宋体" w:eastAsia="宋体" w:cs="宋体"/>
          <w:color w:val="000000" w:themeColor="text1"/>
          <w:highlight w:val="none"/>
          <w14:textFill>
            <w14:solidFill>
              <w14:schemeClr w14:val="tx1"/>
            </w14:solidFill>
          </w14:textFill>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854"/>
        <w:gridCol w:w="2433"/>
        <w:gridCol w:w="4767"/>
      </w:tblGrid>
      <w:tr w14:paraId="3BD26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D777FA6">
            <w:pPr>
              <w:keepNext w:val="0"/>
              <w:keepLines w:val="0"/>
              <w:pageBreakBefore w:val="0"/>
              <w:widowControl/>
              <w:kinsoku/>
              <w:wordWrap w:val="0"/>
              <w:overflowPunct/>
              <w:topLinePunct/>
              <w:autoSpaceDE w:val="0"/>
              <w:autoSpaceDN w:val="0"/>
              <w:bidi w:val="0"/>
              <w:adjustRightInd w:val="0"/>
              <w:snapToGrid w:val="0"/>
              <w:spacing w:before="209" w:line="288" w:lineRule="auto"/>
              <w:ind w:left="12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1854" w:type="dxa"/>
            <w:vAlign w:val="top"/>
          </w:tcPr>
          <w:p w14:paraId="72C28735">
            <w:pPr>
              <w:keepNext w:val="0"/>
              <w:keepLines w:val="0"/>
              <w:pageBreakBefore w:val="0"/>
              <w:widowControl/>
              <w:kinsoku/>
              <w:wordWrap w:val="0"/>
              <w:overflowPunct/>
              <w:topLinePunct/>
              <w:autoSpaceDE w:val="0"/>
              <w:autoSpaceDN w:val="0"/>
              <w:bidi w:val="0"/>
              <w:adjustRightInd w:val="0"/>
              <w:snapToGrid w:val="0"/>
              <w:spacing w:before="208" w:line="288" w:lineRule="auto"/>
              <w:ind w:left="31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承诺事项</w:t>
            </w:r>
          </w:p>
        </w:tc>
        <w:tc>
          <w:tcPr>
            <w:tcW w:w="2433" w:type="dxa"/>
            <w:vAlign w:val="top"/>
          </w:tcPr>
          <w:p w14:paraId="0B5F27F1">
            <w:pPr>
              <w:keepNext w:val="0"/>
              <w:keepLines w:val="0"/>
              <w:pageBreakBefore w:val="0"/>
              <w:widowControl/>
              <w:kinsoku/>
              <w:wordWrap w:val="0"/>
              <w:overflowPunct/>
              <w:topLinePunct/>
              <w:autoSpaceDE w:val="0"/>
              <w:autoSpaceDN w:val="0"/>
              <w:bidi w:val="0"/>
              <w:adjustRightInd w:val="0"/>
              <w:snapToGrid w:val="0"/>
              <w:spacing w:before="209" w:line="288" w:lineRule="auto"/>
              <w:ind w:left="98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承诺内容</w:t>
            </w:r>
          </w:p>
        </w:tc>
        <w:tc>
          <w:tcPr>
            <w:tcW w:w="4767" w:type="dxa"/>
            <w:vAlign w:val="top"/>
          </w:tcPr>
          <w:p w14:paraId="335B2FBA">
            <w:pPr>
              <w:keepNext w:val="0"/>
              <w:keepLines w:val="0"/>
              <w:pageBreakBefore w:val="0"/>
              <w:widowControl/>
              <w:kinsoku/>
              <w:wordWrap w:val="0"/>
              <w:overflowPunct/>
              <w:topLinePunct/>
              <w:autoSpaceDE w:val="0"/>
              <w:autoSpaceDN w:val="0"/>
              <w:bidi w:val="0"/>
              <w:adjustRightInd w:val="0"/>
              <w:snapToGrid w:val="0"/>
              <w:spacing w:before="209" w:line="288" w:lineRule="auto"/>
              <w:ind w:left="153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违约承诺</w:t>
            </w:r>
          </w:p>
        </w:tc>
      </w:tr>
      <w:tr w14:paraId="3378C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0F4361C">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2F802E2">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B0FAF06">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E723D56">
            <w:pPr>
              <w:keepNext w:val="0"/>
              <w:keepLines w:val="0"/>
              <w:pageBreakBefore w:val="0"/>
              <w:widowControl/>
              <w:kinsoku/>
              <w:wordWrap w:val="0"/>
              <w:overflowPunct/>
              <w:topLinePunct/>
              <w:autoSpaceDE w:val="0"/>
              <w:autoSpaceDN w:val="0"/>
              <w:bidi w:val="0"/>
              <w:adjustRightInd w:val="0"/>
              <w:snapToGrid w:val="0"/>
              <w:spacing w:before="58" w:line="288" w:lineRule="auto"/>
              <w:ind w:left="32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854" w:type="dxa"/>
            <w:vAlign w:val="center"/>
          </w:tcPr>
          <w:p w14:paraId="4FA0998C">
            <w:pPr>
              <w:keepNext w:val="0"/>
              <w:keepLines w:val="0"/>
              <w:pageBreakBefore w:val="0"/>
              <w:widowControl/>
              <w:kinsoku/>
              <w:wordWrap w:val="0"/>
              <w:overflowPunct/>
              <w:topLinePunct/>
              <w:autoSpaceDE w:val="0"/>
              <w:autoSpaceDN w:val="0"/>
              <w:bidi w:val="0"/>
              <w:adjustRightInd w:val="0"/>
              <w:snapToGrid w:val="0"/>
              <w:spacing w:before="65" w:line="288" w:lineRule="auto"/>
              <w:ind w:left="57" w:right="50" w:firstLine="135"/>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自愿接受招标</w:t>
            </w:r>
            <w:r>
              <w:rPr>
                <w:rFonts w:hint="eastAsia" w:ascii="宋体" w:hAnsi="宋体" w:eastAsia="宋体" w:cs="宋体"/>
                <w:color w:val="000000" w:themeColor="text1"/>
                <w:spacing w:val="8"/>
                <w:sz w:val="24"/>
                <w:szCs w:val="24"/>
                <w:highlight w:val="none"/>
                <w14:textFill>
                  <w14:solidFill>
                    <w14:schemeClr w14:val="tx1"/>
                  </w14:solidFill>
                </w14:textFill>
              </w:rPr>
              <w:t>文件条款的承诺</w:t>
            </w:r>
          </w:p>
        </w:tc>
        <w:tc>
          <w:tcPr>
            <w:tcW w:w="2433" w:type="dxa"/>
            <w:vAlign w:val="center"/>
          </w:tcPr>
          <w:p w14:paraId="7AF794FA">
            <w:pPr>
              <w:keepNext w:val="0"/>
              <w:keepLines w:val="0"/>
              <w:pageBreakBefore w:val="0"/>
              <w:widowControl/>
              <w:kinsoku/>
              <w:wordWrap w:val="0"/>
              <w:overflowPunct/>
              <w:topLinePunct/>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5"/>
                <w:sz w:val="24"/>
                <w:szCs w:val="24"/>
                <w:highlight w:val="none"/>
                <w14:textFill>
                  <w14:solidFill>
                    <w14:schemeClr w14:val="tx1"/>
                  </w14:solidFill>
                </w14:textFill>
              </w:rPr>
              <w:t>我方自愿接受招标文件的</w:t>
            </w:r>
            <w:r>
              <w:rPr>
                <w:rFonts w:hint="eastAsia" w:ascii="宋体" w:hAnsi="宋体" w:eastAsia="宋体" w:cs="宋体"/>
                <w:color w:val="000000" w:themeColor="text1"/>
                <w:spacing w:val="7"/>
                <w:sz w:val="24"/>
                <w:szCs w:val="24"/>
                <w:highlight w:val="none"/>
                <w14:textFill>
                  <w14:solidFill>
                    <w14:schemeClr w14:val="tx1"/>
                  </w14:solidFill>
                </w14:textFill>
              </w:rPr>
              <w:t>所有条款，所递交的投标文件已</w:t>
            </w:r>
            <w:r>
              <w:rPr>
                <w:rFonts w:hint="eastAsia" w:ascii="宋体" w:hAnsi="宋体" w:eastAsia="宋体" w:cs="宋体"/>
                <w:color w:val="000000" w:themeColor="text1"/>
                <w:spacing w:val="23"/>
                <w:sz w:val="24"/>
                <w:szCs w:val="24"/>
                <w:highlight w:val="none"/>
                <w14:textFill>
                  <w14:solidFill>
                    <w14:schemeClr w14:val="tx1"/>
                  </w14:solidFill>
                </w14:textFill>
              </w:rPr>
              <w:t>经充分响应招标文件的实质性</w:t>
            </w:r>
            <w:r>
              <w:rPr>
                <w:rFonts w:hint="eastAsia" w:ascii="宋体" w:hAnsi="宋体" w:eastAsia="宋体" w:cs="宋体"/>
                <w:color w:val="000000" w:themeColor="text1"/>
                <w:spacing w:val="3"/>
                <w:sz w:val="24"/>
                <w:szCs w:val="24"/>
                <w:highlight w:val="none"/>
                <w14:textFill>
                  <w14:solidFill>
                    <w14:schemeClr w14:val="tx1"/>
                  </w14:solidFill>
                </w14:textFill>
              </w:rPr>
              <w:t>要求。</w:t>
            </w:r>
          </w:p>
        </w:tc>
        <w:tc>
          <w:tcPr>
            <w:tcW w:w="4767" w:type="dxa"/>
            <w:vAlign w:val="center"/>
          </w:tcPr>
          <w:p w14:paraId="127ADFE5">
            <w:pPr>
              <w:keepNext w:val="0"/>
              <w:keepLines w:val="0"/>
              <w:pageBreakBefore w:val="0"/>
              <w:widowControl/>
              <w:kinsoku/>
              <w:wordWrap w:val="0"/>
              <w:overflowPunct/>
              <w:topLinePunct/>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0"/>
                <w:sz w:val="24"/>
                <w:szCs w:val="24"/>
                <w:highlight w:val="none"/>
                <w14:textFill>
                  <w14:solidFill>
                    <w14:schemeClr w14:val="tx1"/>
                  </w14:solidFill>
                </w14:textFill>
              </w:rPr>
              <w:t>如果我方的投标文件未响应、违反、偏离招标文件的实质性要求，我方接受招标人或其授权的招标代理机构或其组建的评标委员会依据招标文件作出的相应处理，包括否</w:t>
            </w:r>
            <w:r>
              <w:rPr>
                <w:rFonts w:hint="eastAsia" w:ascii="宋体" w:hAnsi="宋体" w:eastAsia="宋体" w:cs="宋体"/>
                <w:color w:val="000000" w:themeColor="text1"/>
                <w:spacing w:val="4"/>
                <w:sz w:val="24"/>
                <w:szCs w:val="24"/>
                <w:highlight w:val="none"/>
                <w14:textFill>
                  <w14:solidFill>
                    <w14:schemeClr w14:val="tx1"/>
                  </w14:solidFill>
                </w14:textFill>
              </w:rPr>
              <w:t>决投标。</w:t>
            </w:r>
          </w:p>
        </w:tc>
      </w:tr>
      <w:tr w14:paraId="062D8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C41514D">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2BA6FC8">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12461B8">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C9BC9FD">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AD9902F">
            <w:pPr>
              <w:keepNext w:val="0"/>
              <w:keepLines w:val="0"/>
              <w:pageBreakBefore w:val="0"/>
              <w:widowControl/>
              <w:kinsoku/>
              <w:wordWrap w:val="0"/>
              <w:overflowPunct/>
              <w:topLinePunct/>
              <w:autoSpaceDE w:val="0"/>
              <w:autoSpaceDN w:val="0"/>
              <w:bidi w:val="0"/>
              <w:adjustRightInd w:val="0"/>
              <w:snapToGrid w:val="0"/>
              <w:spacing w:before="58" w:line="288" w:lineRule="auto"/>
              <w:ind w:left="30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854" w:type="dxa"/>
            <w:vAlign w:val="center"/>
          </w:tcPr>
          <w:p w14:paraId="5400FA5C">
            <w:pPr>
              <w:keepNext w:val="0"/>
              <w:keepLines w:val="0"/>
              <w:pageBreakBefore w:val="0"/>
              <w:widowControl/>
              <w:kinsoku/>
              <w:wordWrap w:val="0"/>
              <w:overflowPunct/>
              <w:topLinePunct/>
              <w:autoSpaceDE w:val="0"/>
              <w:autoSpaceDN w:val="0"/>
              <w:bidi w:val="0"/>
              <w:adjustRightInd w:val="0"/>
              <w:snapToGrid w:val="0"/>
              <w:spacing w:before="65" w:line="288" w:lineRule="auto"/>
              <w:ind w:left="262" w:right="261" w:firstLine="3"/>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无禁止投标</w:t>
            </w:r>
            <w:r>
              <w:rPr>
                <w:rFonts w:hint="eastAsia" w:ascii="宋体" w:hAnsi="宋体" w:eastAsia="宋体" w:cs="宋体"/>
                <w:color w:val="000000" w:themeColor="text1"/>
                <w:spacing w:val="8"/>
                <w:sz w:val="24"/>
                <w:szCs w:val="24"/>
                <w:highlight w:val="none"/>
                <w14:textFill>
                  <w14:solidFill>
                    <w14:schemeClr w14:val="tx1"/>
                  </w14:solidFill>
                </w14:textFill>
              </w:rPr>
              <w:t>情形的承诺</w:t>
            </w:r>
          </w:p>
        </w:tc>
        <w:tc>
          <w:tcPr>
            <w:tcW w:w="2433" w:type="dxa"/>
            <w:vAlign w:val="center"/>
          </w:tcPr>
          <w:p w14:paraId="576B3961">
            <w:pPr>
              <w:keepNext w:val="0"/>
              <w:keepLines w:val="0"/>
              <w:pageBreakBefore w:val="0"/>
              <w:widowControl/>
              <w:kinsoku/>
              <w:wordWrap w:val="0"/>
              <w:overflowPunct/>
              <w:topLinePunct/>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5"/>
                <w:sz w:val="24"/>
                <w:szCs w:val="24"/>
                <w:highlight w:val="none"/>
                <w14:textFill>
                  <w14:solidFill>
                    <w14:schemeClr w14:val="tx1"/>
                  </w14:solidFill>
                </w14:textFill>
              </w:rPr>
              <w:t>我方不存在招标文件第一</w:t>
            </w:r>
            <w:r>
              <w:rPr>
                <w:rFonts w:hint="eastAsia" w:ascii="宋体" w:hAnsi="宋体" w:eastAsia="宋体" w:cs="宋体"/>
                <w:color w:val="000000" w:themeColor="text1"/>
                <w:spacing w:val="8"/>
                <w:sz w:val="24"/>
                <w:szCs w:val="24"/>
                <w:highlight w:val="none"/>
                <w14:textFill>
                  <w14:solidFill>
                    <w14:schemeClr w14:val="tx1"/>
                  </w14:solidFill>
                </w14:textFill>
              </w:rPr>
              <w:t>章第三节第</w:t>
            </w:r>
            <w:r>
              <w:rPr>
                <w:rFonts w:hint="eastAsia" w:ascii="宋体" w:hAnsi="宋体" w:eastAsia="宋体" w:cs="宋体"/>
                <w:b/>
                <w:bCs/>
                <w:color w:val="000000" w:themeColor="text1"/>
                <w:spacing w:val="8"/>
                <w:sz w:val="24"/>
                <w:szCs w:val="24"/>
                <w:highlight w:val="none"/>
                <w14:textFill>
                  <w14:solidFill>
                    <w14:schemeClr w14:val="tx1"/>
                  </w14:solidFill>
                </w14:textFill>
              </w:rPr>
              <w:t>2.4</w:t>
            </w:r>
            <w:r>
              <w:rPr>
                <w:rFonts w:hint="eastAsia" w:ascii="宋体" w:hAnsi="宋体" w:eastAsia="宋体" w:cs="宋体"/>
                <w:color w:val="000000" w:themeColor="text1"/>
                <w:spacing w:val="8"/>
                <w:sz w:val="24"/>
                <w:szCs w:val="24"/>
                <w:highlight w:val="none"/>
                <w14:textFill>
                  <w14:solidFill>
                    <w14:schemeClr w14:val="tx1"/>
                  </w14:solidFill>
                </w14:textFill>
              </w:rPr>
              <w:t>条“禁止投标条</w:t>
            </w:r>
            <w:r>
              <w:rPr>
                <w:rFonts w:hint="eastAsia" w:ascii="宋体" w:hAnsi="宋体" w:eastAsia="宋体" w:cs="宋体"/>
                <w:color w:val="000000" w:themeColor="text1"/>
                <w:spacing w:val="6"/>
                <w:sz w:val="24"/>
                <w:szCs w:val="24"/>
                <w:highlight w:val="none"/>
                <w14:textFill>
                  <w14:solidFill>
                    <w14:schemeClr w14:val="tx1"/>
                  </w14:solidFill>
                </w14:textFill>
              </w:rPr>
              <w:t>款”规定的任何一种情形。</w:t>
            </w:r>
          </w:p>
        </w:tc>
        <w:tc>
          <w:tcPr>
            <w:tcW w:w="4767" w:type="dxa"/>
            <w:vAlign w:val="center"/>
          </w:tcPr>
          <w:p w14:paraId="29B508FE">
            <w:pPr>
              <w:keepNext w:val="0"/>
              <w:keepLines w:val="0"/>
              <w:pageBreakBefore w:val="0"/>
              <w:widowControl/>
              <w:kinsoku/>
              <w:wordWrap w:val="0"/>
              <w:overflowPunct/>
              <w:topLinePunct/>
              <w:autoSpaceDE w:val="0"/>
              <w:autoSpaceDN w:val="0"/>
              <w:bidi w:val="0"/>
              <w:adjustRightInd w:val="0"/>
              <w:snapToGrid w:val="0"/>
              <w:spacing w:before="122" w:line="288" w:lineRule="auto"/>
              <w:ind w:left="9" w:firstLine="421"/>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如果我方有招标文件第一章第三节第</w:t>
            </w:r>
            <w:r>
              <w:rPr>
                <w:rFonts w:hint="eastAsia" w:ascii="宋体" w:hAnsi="宋体" w:eastAsia="宋体" w:cs="宋体"/>
                <w:b/>
                <w:bCs/>
                <w:color w:val="000000" w:themeColor="text1"/>
                <w:spacing w:val="6"/>
                <w:sz w:val="24"/>
                <w:szCs w:val="24"/>
                <w:highlight w:val="none"/>
                <w14:textFill>
                  <w14:solidFill>
                    <w14:schemeClr w14:val="tx1"/>
                  </w14:solidFill>
                </w14:textFill>
              </w:rPr>
              <w:t>2.</w:t>
            </w:r>
            <w:r>
              <w:rPr>
                <w:rFonts w:hint="eastAsia" w:ascii="宋体" w:hAnsi="宋体" w:eastAsia="宋体" w:cs="宋体"/>
                <w:b/>
                <w:bCs/>
                <w:color w:val="000000" w:themeColor="text1"/>
                <w:spacing w:val="1"/>
                <w:sz w:val="24"/>
                <w:szCs w:val="24"/>
                <w:highlight w:val="none"/>
                <w14:textFill>
                  <w14:solidFill>
                    <w14:schemeClr w14:val="tx1"/>
                  </w14:solidFill>
                </w14:textFill>
              </w:rPr>
              <w:t>4</w:t>
            </w:r>
            <w:r>
              <w:rPr>
                <w:rFonts w:hint="eastAsia" w:ascii="宋体" w:hAnsi="宋体" w:eastAsia="宋体" w:cs="宋体"/>
                <w:color w:val="000000" w:themeColor="text1"/>
                <w:spacing w:val="1"/>
                <w:sz w:val="24"/>
                <w:szCs w:val="24"/>
                <w:highlight w:val="none"/>
                <w14:textFill>
                  <w14:solidFill>
                    <w14:schemeClr w14:val="tx1"/>
                  </w14:solidFill>
                </w14:textFill>
              </w:rPr>
              <w:t>条“禁止投标条款”规定的任何一种情形，</w:t>
            </w:r>
            <w:r>
              <w:rPr>
                <w:rFonts w:hint="eastAsia" w:ascii="宋体" w:hAnsi="宋体" w:eastAsia="宋体" w:cs="宋体"/>
                <w:color w:val="000000" w:themeColor="text1"/>
                <w:spacing w:val="8"/>
                <w:sz w:val="24"/>
                <w:szCs w:val="24"/>
                <w:highlight w:val="none"/>
                <w14:textFill>
                  <w14:solidFill>
                    <w14:schemeClr w14:val="tx1"/>
                  </w14:solidFill>
                </w14:textFill>
              </w:rPr>
              <w:t>我方接受招标人或其授权的招标代理机构或其组建的评标委员会依据招标文件作出的相应处理以及有关监督部门作出的行政处罚，</w:t>
            </w:r>
            <w:r>
              <w:rPr>
                <w:rFonts w:hint="eastAsia" w:ascii="宋体" w:hAnsi="宋体" w:eastAsia="宋体" w:cs="宋体"/>
                <w:color w:val="000000" w:themeColor="text1"/>
                <w:spacing w:val="6"/>
                <w:sz w:val="24"/>
                <w:szCs w:val="24"/>
                <w:highlight w:val="none"/>
                <w14:textFill>
                  <w14:solidFill>
                    <w14:schemeClr w14:val="tx1"/>
                  </w14:solidFill>
                </w14:textFill>
              </w:rPr>
              <w:t>并承担由此引起的一切法律后果。</w:t>
            </w:r>
          </w:p>
        </w:tc>
      </w:tr>
      <w:tr w14:paraId="4AE30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A44BB87">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398E3B9">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F880EDD">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818301B">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9F300D6">
            <w:pPr>
              <w:keepNext w:val="0"/>
              <w:keepLines w:val="0"/>
              <w:pageBreakBefore w:val="0"/>
              <w:widowControl/>
              <w:kinsoku/>
              <w:wordWrap w:val="0"/>
              <w:overflowPunct/>
              <w:topLinePunct/>
              <w:autoSpaceDE w:val="0"/>
              <w:autoSpaceDN w:val="0"/>
              <w:bidi w:val="0"/>
              <w:adjustRightInd w:val="0"/>
              <w:snapToGrid w:val="0"/>
              <w:spacing w:before="57" w:line="288" w:lineRule="auto"/>
              <w:ind w:left="31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854" w:type="dxa"/>
            <w:vAlign w:val="center"/>
          </w:tcPr>
          <w:p w14:paraId="4610FFFF">
            <w:pPr>
              <w:keepNext w:val="0"/>
              <w:keepLines w:val="0"/>
              <w:pageBreakBefore w:val="0"/>
              <w:widowControl/>
              <w:kinsoku/>
              <w:wordWrap w:val="0"/>
              <w:overflowPunct/>
              <w:topLinePunct/>
              <w:autoSpaceDE w:val="0"/>
              <w:autoSpaceDN w:val="0"/>
              <w:bidi w:val="0"/>
              <w:adjustRightInd w:val="0"/>
              <w:snapToGrid w:val="0"/>
              <w:spacing w:before="65" w:line="288" w:lineRule="auto"/>
              <w:ind w:left="193"/>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自觉抵制围标</w:t>
            </w:r>
            <w:r>
              <w:rPr>
                <w:rFonts w:hint="eastAsia" w:ascii="宋体" w:hAnsi="宋体" w:eastAsia="宋体" w:cs="宋体"/>
                <w:color w:val="000000" w:themeColor="text1"/>
                <w:spacing w:val="4"/>
                <w:sz w:val="24"/>
                <w:szCs w:val="24"/>
                <w:highlight w:val="none"/>
                <w14:textFill>
                  <w14:solidFill>
                    <w14:schemeClr w14:val="tx1"/>
                  </w14:solidFill>
                </w14:textFill>
              </w:rPr>
              <w:t>串标和弄虚</w:t>
            </w:r>
            <w:r>
              <w:rPr>
                <w:rFonts w:hint="eastAsia" w:ascii="宋体" w:hAnsi="宋体" w:eastAsia="宋体" w:cs="宋体"/>
                <w:color w:val="000000" w:themeColor="text1"/>
                <w:spacing w:val="8"/>
                <w:sz w:val="24"/>
                <w:szCs w:val="24"/>
                <w:highlight w:val="none"/>
                <w14:textFill>
                  <w14:solidFill>
                    <w14:schemeClr w14:val="tx1"/>
                  </w14:solidFill>
                </w14:textFill>
              </w:rPr>
              <w:t>作假行为的承诺</w:t>
            </w:r>
          </w:p>
        </w:tc>
        <w:tc>
          <w:tcPr>
            <w:tcW w:w="2433" w:type="dxa"/>
            <w:vAlign w:val="center"/>
          </w:tcPr>
          <w:p w14:paraId="7EFDCB6D">
            <w:pPr>
              <w:keepNext w:val="0"/>
              <w:keepLines w:val="0"/>
              <w:pageBreakBefore w:val="0"/>
              <w:widowControl/>
              <w:kinsoku/>
              <w:wordWrap w:val="0"/>
              <w:overflowPunct/>
              <w:topLinePunct/>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我方合法正当、诚实守信地</w:t>
            </w:r>
            <w:r>
              <w:rPr>
                <w:rFonts w:hint="eastAsia" w:ascii="宋体" w:hAnsi="宋体" w:eastAsia="宋体" w:cs="宋体"/>
                <w:color w:val="000000" w:themeColor="text1"/>
                <w:spacing w:val="7"/>
                <w:sz w:val="24"/>
                <w:szCs w:val="24"/>
                <w:highlight w:val="none"/>
                <w14:textFill>
                  <w14:solidFill>
                    <w14:schemeClr w14:val="tx1"/>
                  </w14:solidFill>
                </w14:textFill>
              </w:rPr>
              <w:t>参与投标，不组织、不参加围标串标违法行为，不通过弄虚作假</w:t>
            </w:r>
            <w:r>
              <w:rPr>
                <w:rFonts w:hint="eastAsia" w:ascii="宋体" w:hAnsi="宋体" w:eastAsia="宋体" w:cs="宋体"/>
                <w:color w:val="000000" w:themeColor="text1"/>
                <w:spacing w:val="6"/>
                <w:sz w:val="24"/>
                <w:szCs w:val="24"/>
                <w:highlight w:val="none"/>
                <w14:textFill>
                  <w14:solidFill>
                    <w14:schemeClr w14:val="tx1"/>
                  </w14:solidFill>
                </w14:textFill>
              </w:rPr>
              <w:t>行为骗取中标。</w:t>
            </w:r>
          </w:p>
        </w:tc>
        <w:tc>
          <w:tcPr>
            <w:tcW w:w="4767" w:type="dxa"/>
            <w:vAlign w:val="center"/>
          </w:tcPr>
          <w:p w14:paraId="49F621BB">
            <w:pPr>
              <w:keepNext w:val="0"/>
              <w:keepLines w:val="0"/>
              <w:pageBreakBefore w:val="0"/>
              <w:widowControl/>
              <w:kinsoku/>
              <w:wordWrap w:val="0"/>
              <w:overflowPunct/>
              <w:topLinePunct/>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0"/>
                <w:sz w:val="24"/>
                <w:szCs w:val="24"/>
                <w:highlight w:val="none"/>
                <w14:textFill>
                  <w14:solidFill>
                    <w14:schemeClr w14:val="tx1"/>
                  </w14:solidFill>
                </w14:textFill>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000000" w:themeColor="text1"/>
                <w:spacing w:val="7"/>
                <w:sz w:val="24"/>
                <w:szCs w:val="24"/>
                <w:highlight w:val="none"/>
                <w14:textFill>
                  <w14:solidFill>
                    <w14:schemeClr w14:val="tx1"/>
                  </w14:solidFill>
                </w14:textFill>
              </w:rPr>
              <w:t>引起的一切法律后果。</w:t>
            </w:r>
          </w:p>
        </w:tc>
      </w:tr>
      <w:tr w14:paraId="3DA88A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19C869B">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A12FD2E">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B01298C">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5833F83">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1B074C3B">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714797F">
            <w:pPr>
              <w:keepNext w:val="0"/>
              <w:keepLines w:val="0"/>
              <w:pageBreakBefore w:val="0"/>
              <w:widowControl/>
              <w:kinsoku/>
              <w:wordWrap w:val="0"/>
              <w:overflowPunct/>
              <w:topLinePunct/>
              <w:autoSpaceDE w:val="0"/>
              <w:autoSpaceDN w:val="0"/>
              <w:bidi w:val="0"/>
              <w:adjustRightInd w:val="0"/>
              <w:snapToGrid w:val="0"/>
              <w:spacing w:before="58" w:line="288" w:lineRule="auto"/>
              <w:ind w:left="30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w:t>
            </w:r>
          </w:p>
        </w:tc>
        <w:tc>
          <w:tcPr>
            <w:tcW w:w="1854" w:type="dxa"/>
            <w:vAlign w:val="center"/>
          </w:tcPr>
          <w:p w14:paraId="7F0AD732">
            <w:pPr>
              <w:keepNext w:val="0"/>
              <w:keepLines w:val="0"/>
              <w:pageBreakBefore w:val="0"/>
              <w:widowControl/>
              <w:kinsoku/>
              <w:wordWrap w:val="0"/>
              <w:overflowPunct/>
              <w:topLinePunct/>
              <w:autoSpaceDE w:val="0"/>
              <w:autoSpaceDN w:val="0"/>
              <w:bidi w:val="0"/>
              <w:adjustRightInd w:val="0"/>
              <w:snapToGrid w:val="0"/>
              <w:spacing w:before="65" w:line="288" w:lineRule="auto"/>
              <w:ind w:left="369" w:right="367" w:firstLine="4"/>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项目经理</w:t>
            </w:r>
            <w:r>
              <w:rPr>
                <w:rFonts w:hint="eastAsia" w:ascii="宋体" w:hAnsi="宋体" w:eastAsia="宋体" w:cs="宋体"/>
                <w:color w:val="000000" w:themeColor="text1"/>
                <w:spacing w:val="7"/>
                <w:sz w:val="24"/>
                <w:szCs w:val="24"/>
                <w:highlight w:val="none"/>
                <w14:textFill>
                  <w14:solidFill>
                    <w14:schemeClr w14:val="tx1"/>
                  </w14:solidFill>
                </w14:textFill>
              </w:rPr>
              <w:t>任职承诺</w:t>
            </w:r>
          </w:p>
        </w:tc>
        <w:tc>
          <w:tcPr>
            <w:tcW w:w="2433" w:type="dxa"/>
            <w:vAlign w:val="center"/>
          </w:tcPr>
          <w:p w14:paraId="41D86BFC">
            <w:pPr>
              <w:keepNext w:val="0"/>
              <w:keepLines w:val="0"/>
              <w:pageBreakBefore w:val="0"/>
              <w:widowControl/>
              <w:kinsoku/>
              <w:wordWrap w:val="0"/>
              <w:overflowPunct/>
              <w:topLinePunct/>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sz w:val="24"/>
                <w:szCs w:val="24"/>
                <w:highlight w:val="none"/>
                <w14:textFill>
                  <w14:solidFill>
                    <w14:schemeClr w14:val="tx1"/>
                  </w14:solidFill>
                </w14:textFill>
              </w:rPr>
              <w:t>我方拟派项目经理现阶段</w:t>
            </w:r>
            <w:r>
              <w:rPr>
                <w:rFonts w:hint="eastAsia" w:ascii="宋体" w:hAnsi="宋体" w:eastAsia="宋体" w:cs="宋体"/>
                <w:color w:val="000000" w:themeColor="text1"/>
                <w:spacing w:val="7"/>
                <w:sz w:val="24"/>
                <w:szCs w:val="24"/>
                <w:highlight w:val="none"/>
                <w14:textFill>
                  <w14:solidFill>
                    <w14:schemeClr w14:val="tx1"/>
                  </w14:solidFill>
                </w14:textFill>
              </w:rPr>
              <w:t>没有担任任何在施（包括已中标未开工、已开工未竣工）建设工程项目的项目经理。</w:t>
            </w:r>
          </w:p>
        </w:tc>
        <w:tc>
          <w:tcPr>
            <w:tcW w:w="4767" w:type="dxa"/>
            <w:vAlign w:val="center"/>
          </w:tcPr>
          <w:p w14:paraId="039D4862">
            <w:pPr>
              <w:keepNext w:val="0"/>
              <w:keepLines w:val="0"/>
              <w:pageBreakBefore w:val="0"/>
              <w:widowControl/>
              <w:kinsoku/>
              <w:wordWrap w:val="0"/>
              <w:overflowPunct/>
              <w:topLinePunct/>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w:t>
            </w:r>
            <w:r>
              <w:rPr>
                <w:rFonts w:hint="eastAsia" w:ascii="宋体" w:hAnsi="宋体" w:eastAsia="宋体" w:cs="宋体"/>
                <w:color w:val="000000" w:themeColor="text1"/>
                <w:sz w:val="24"/>
                <w:szCs w:val="24"/>
                <w:highlight w:val="none"/>
                <w14:textFill>
                  <w14:solidFill>
                    <w14:schemeClr w14:val="tx1"/>
                  </w14:solidFill>
                </w14:textFill>
              </w:rPr>
              <w:t>行政处罚，并承担由此引起的一切法律后果。</w:t>
            </w:r>
          </w:p>
        </w:tc>
      </w:tr>
      <w:tr w14:paraId="3CD53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D9DE1F5">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4098FBA">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1F796E8">
            <w:pPr>
              <w:keepNext w:val="0"/>
              <w:keepLines w:val="0"/>
              <w:pageBreakBefore w:val="0"/>
              <w:widowControl/>
              <w:kinsoku/>
              <w:wordWrap w:val="0"/>
              <w:overflowPunct/>
              <w:topLinePunct/>
              <w:autoSpaceDE w:val="0"/>
              <w:autoSpaceDN w:val="0"/>
              <w:bidi w:val="0"/>
              <w:adjustRightInd w:val="0"/>
              <w:snapToGrid w:val="0"/>
              <w:spacing w:before="58" w:line="288" w:lineRule="auto"/>
              <w:ind w:left="31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854" w:type="dxa"/>
            <w:vAlign w:val="center"/>
          </w:tcPr>
          <w:p w14:paraId="5E4646D1">
            <w:pPr>
              <w:keepNext w:val="0"/>
              <w:keepLines w:val="0"/>
              <w:pageBreakBefore w:val="0"/>
              <w:widowControl/>
              <w:kinsoku/>
              <w:wordWrap w:val="0"/>
              <w:overflowPunct/>
              <w:topLinePunct/>
              <w:autoSpaceDE w:val="0"/>
              <w:autoSpaceDN w:val="0"/>
              <w:bidi w:val="0"/>
              <w:adjustRightInd w:val="0"/>
              <w:snapToGrid w:val="0"/>
              <w:spacing w:before="65" w:line="288" w:lineRule="auto"/>
              <w:ind w:left="267" w:right="261" w:firstLine="105"/>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投标文件</w:t>
            </w:r>
            <w:r>
              <w:rPr>
                <w:rFonts w:hint="eastAsia" w:ascii="宋体" w:hAnsi="宋体" w:eastAsia="宋体" w:cs="宋体"/>
                <w:color w:val="000000" w:themeColor="text1"/>
                <w:spacing w:val="7"/>
                <w:sz w:val="24"/>
                <w:szCs w:val="24"/>
                <w:highlight w:val="none"/>
                <w14:textFill>
                  <w14:solidFill>
                    <w14:schemeClr w14:val="tx1"/>
                  </w14:solidFill>
                </w14:textFill>
              </w:rPr>
              <w:t>真实性承诺</w:t>
            </w:r>
          </w:p>
        </w:tc>
        <w:tc>
          <w:tcPr>
            <w:tcW w:w="2433" w:type="dxa"/>
            <w:vAlign w:val="center"/>
          </w:tcPr>
          <w:p w14:paraId="4D6E5109">
            <w:pPr>
              <w:keepNext w:val="0"/>
              <w:keepLines w:val="0"/>
              <w:pageBreakBefore w:val="0"/>
              <w:widowControl/>
              <w:kinsoku/>
              <w:wordWrap w:val="0"/>
              <w:overflowPunct/>
              <w:topLinePunct/>
              <w:autoSpaceDE w:val="0"/>
              <w:autoSpaceDN w:val="0"/>
              <w:bidi w:val="0"/>
              <w:adjustRightInd w:val="0"/>
              <w:snapToGrid w:val="0"/>
              <w:spacing w:before="65" w:line="288" w:lineRule="auto"/>
              <w:ind w:left="12" w:firstLine="409"/>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0"/>
                <w:sz w:val="24"/>
                <w:szCs w:val="24"/>
                <w:highlight w:val="none"/>
                <w14:textFill>
                  <w14:solidFill>
                    <w14:schemeClr w14:val="tx1"/>
                  </w14:solidFill>
                </w14:textFill>
              </w:rPr>
              <w:t>我方所递交投标文件的全</w:t>
            </w:r>
            <w:r>
              <w:rPr>
                <w:rFonts w:hint="eastAsia" w:ascii="宋体" w:hAnsi="宋体" w:eastAsia="宋体" w:cs="宋体"/>
                <w:color w:val="000000" w:themeColor="text1"/>
                <w:spacing w:val="-7"/>
                <w:sz w:val="24"/>
                <w:szCs w:val="24"/>
                <w:highlight w:val="none"/>
                <w14:textFill>
                  <w14:solidFill>
                    <w14:schemeClr w14:val="tx1"/>
                  </w14:solidFill>
                </w14:textFill>
              </w:rPr>
              <w:t>部内容均为真实、有效、准确的。</w:t>
            </w:r>
          </w:p>
        </w:tc>
        <w:tc>
          <w:tcPr>
            <w:tcW w:w="4767" w:type="dxa"/>
            <w:vAlign w:val="center"/>
          </w:tcPr>
          <w:p w14:paraId="7CF052BF">
            <w:pPr>
              <w:keepNext w:val="0"/>
              <w:keepLines w:val="0"/>
              <w:pageBreakBefore w:val="0"/>
              <w:widowControl/>
              <w:kinsoku/>
              <w:wordWrap w:val="0"/>
              <w:overflowPunct/>
              <w:topLinePunct/>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如果我方递交的投标文件任何内容不真实或无效或不准确，我方接受招标人或其授权的招标代理机构或其组建的评标委员会依</w:t>
            </w:r>
            <w:r>
              <w:rPr>
                <w:rFonts w:hint="eastAsia" w:ascii="宋体" w:hAnsi="宋体" w:eastAsia="宋体" w:cs="宋体"/>
                <w:color w:val="000000" w:themeColor="text1"/>
                <w:sz w:val="24"/>
                <w:szCs w:val="24"/>
                <w:highlight w:val="none"/>
                <w14:textFill>
                  <w14:solidFill>
                    <w14:schemeClr w14:val="tx1"/>
                  </w14:solidFill>
                </w14:textFill>
              </w:rPr>
              <w:t>据招标文件作出的相应处理，包括否决投标。</w:t>
            </w:r>
          </w:p>
        </w:tc>
      </w:tr>
      <w:tr w14:paraId="5A352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6" w:hRule="atLeast"/>
        </w:trPr>
        <w:tc>
          <w:tcPr>
            <w:tcW w:w="764" w:type="dxa"/>
            <w:vAlign w:val="top"/>
          </w:tcPr>
          <w:p w14:paraId="34447118">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726D533">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C7CE87D">
            <w:pPr>
              <w:keepNext w:val="0"/>
              <w:keepLines w:val="0"/>
              <w:pageBreakBefore w:val="0"/>
              <w:widowControl/>
              <w:kinsoku/>
              <w:wordWrap w:val="0"/>
              <w:overflowPunct/>
              <w:topLinePunct/>
              <w:autoSpaceDE w:val="0"/>
              <w:autoSpaceDN w:val="0"/>
              <w:bidi w:val="0"/>
              <w:adjustRightInd w:val="0"/>
              <w:snapToGrid w:val="0"/>
              <w:spacing w:before="58" w:line="288" w:lineRule="auto"/>
              <w:ind w:left="31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p w14:paraId="3835FBD2">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1"/>
                          <a:stretch>
                            <a:fillRect/>
                          </a:stretch>
                        </pic:blipFill>
                        <pic:spPr>
                          <a:xfrm>
                            <a:off x="0" y="0"/>
                            <a:ext cx="6350" cy="241300"/>
                          </a:xfrm>
                          <a:prstGeom prst="rect">
                            <a:avLst/>
                          </a:prstGeom>
                          <a:noFill/>
                          <a:ln>
                            <a:noFill/>
                          </a:ln>
                        </pic:spPr>
                      </pic:pic>
                    </a:graphicData>
                  </a:graphic>
                </wp:anchor>
              </w:drawing>
            </w:r>
          </w:p>
        </w:tc>
        <w:tc>
          <w:tcPr>
            <w:tcW w:w="1854" w:type="dxa"/>
            <w:vAlign w:val="center"/>
          </w:tcPr>
          <w:p w14:paraId="0854BCEC">
            <w:pPr>
              <w:keepNext w:val="0"/>
              <w:keepLines w:val="0"/>
              <w:pageBreakBefore w:val="0"/>
              <w:widowControl/>
              <w:kinsoku/>
              <w:wordWrap w:val="0"/>
              <w:overflowPunct/>
              <w:topLinePunct/>
              <w:autoSpaceDE w:val="0"/>
              <w:autoSpaceDN w:val="0"/>
              <w:bidi w:val="0"/>
              <w:adjustRightInd w:val="0"/>
              <w:snapToGrid w:val="0"/>
              <w:spacing w:line="288" w:lineRule="auto"/>
              <w:ind w:left="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投标文件</w:t>
            </w:r>
          </w:p>
          <w:p w14:paraId="122AD354">
            <w:pPr>
              <w:keepNext w:val="0"/>
              <w:keepLines w:val="0"/>
              <w:pageBreakBefore w:val="0"/>
              <w:widowControl/>
              <w:kinsoku/>
              <w:wordWrap w:val="0"/>
              <w:overflowPunct/>
              <w:topLinePunct/>
              <w:autoSpaceDE w:val="0"/>
              <w:autoSpaceDN w:val="0"/>
              <w:bidi w:val="0"/>
              <w:adjustRightInd w:val="0"/>
              <w:snapToGrid w:val="0"/>
              <w:spacing w:line="288" w:lineRule="auto"/>
              <w:ind w:left="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信息公开承诺</w:t>
            </w:r>
          </w:p>
        </w:tc>
        <w:tc>
          <w:tcPr>
            <w:tcW w:w="2433" w:type="dxa"/>
            <w:vAlign w:val="center"/>
          </w:tcPr>
          <w:p w14:paraId="4761D40B">
            <w:pPr>
              <w:keepNext w:val="0"/>
              <w:keepLines w:val="0"/>
              <w:pageBreakBefore w:val="0"/>
              <w:widowControl/>
              <w:kinsoku/>
              <w:wordWrap w:val="0"/>
              <w:overflowPunct/>
              <w:topLinePunct/>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我方提供完整的文件。如果</w:t>
            </w:r>
            <w:r>
              <w:rPr>
                <w:rFonts w:hint="eastAsia" w:ascii="宋体" w:hAnsi="宋体" w:eastAsia="宋体" w:cs="宋体"/>
                <w:color w:val="000000" w:themeColor="text1"/>
                <w:spacing w:val="7"/>
                <w:sz w:val="24"/>
                <w:szCs w:val="24"/>
                <w:highlight w:val="none"/>
                <w14:textFill>
                  <w14:solidFill>
                    <w14:schemeClr w14:val="tx1"/>
                  </w14:solidFill>
                </w14:textFill>
              </w:rPr>
              <w:t>我方成为本项目中标候选人，我</w:t>
            </w:r>
            <w:r>
              <w:rPr>
                <w:rFonts w:hint="eastAsia" w:ascii="宋体" w:hAnsi="宋体" w:eastAsia="宋体" w:cs="宋体"/>
                <w:color w:val="000000" w:themeColor="text1"/>
                <w:spacing w:val="23"/>
                <w:sz w:val="24"/>
                <w:szCs w:val="24"/>
                <w:highlight w:val="none"/>
                <w14:textFill>
                  <w14:solidFill>
                    <w14:schemeClr w14:val="tx1"/>
                  </w14:solidFill>
                </w14:textFill>
              </w:rPr>
              <w:t>方同意并授权招标人在评标结果公示期内公开我方商务标书</w:t>
            </w:r>
            <w:r>
              <w:rPr>
                <w:rFonts w:hint="eastAsia" w:ascii="宋体" w:hAnsi="宋体" w:eastAsia="宋体" w:cs="宋体"/>
                <w:color w:val="000000" w:themeColor="text1"/>
                <w:spacing w:val="3"/>
                <w:sz w:val="24"/>
                <w:szCs w:val="24"/>
                <w:highlight w:val="none"/>
                <w14:textFill>
                  <w14:solidFill>
                    <w14:schemeClr w14:val="tx1"/>
                  </w14:solidFill>
                </w14:textFill>
              </w:rPr>
              <w:t>的全部内容。</w:t>
            </w:r>
          </w:p>
        </w:tc>
        <w:tc>
          <w:tcPr>
            <w:tcW w:w="4767" w:type="dxa"/>
            <w:vAlign w:val="center"/>
          </w:tcPr>
          <w:p w14:paraId="0F1832B6">
            <w:pPr>
              <w:pStyle w:val="21"/>
              <w:keepNext w:val="0"/>
              <w:keepLines w:val="0"/>
              <w:pageBreakBefore w:val="0"/>
              <w:widowControl/>
              <w:kinsoku/>
              <w:wordWrap w:val="0"/>
              <w:overflowPunct/>
              <w:topLinePunct/>
              <w:autoSpaceDE w:val="0"/>
              <w:autoSpaceDN w:val="0"/>
              <w:bidi w:val="0"/>
              <w:adjustRightInd w:val="0"/>
              <w:snapToGrid w:val="0"/>
              <w:spacing w:line="288"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KAkGu1QAAAAcBAAAPAAAAAAAAAAEAIAAAACIAAABkcnMvZG93bnJldi54&#10;bWxQSwECFAAUAAAACACHTuJAXpFIZP0BAADQAwAADgAAAAAAAAABACAAAAAkAQAAZHJzL2Uyb0Rv&#10;Yy54bWxQSwUGAAAAAAYABgBZAQAAkwUAAAAA&#10;">
                      <v:fill on="f" focussize="0,0"/>
                      <v:stroke weight="1pt" color="#000000 [3213]" miterlimit="8" joinstyle="miter"/>
                      <v:imagedata o:title=""/>
                      <o:lock v:ext="edit" aspectratio="f"/>
                    </v:line>
                  </w:pict>
                </mc:Fallback>
              </mc:AlternateContent>
            </w:r>
          </w:p>
          <w:p w14:paraId="086C73C6">
            <w:pPr>
              <w:pStyle w:val="21"/>
              <w:keepNext w:val="0"/>
              <w:keepLines w:val="0"/>
              <w:pageBreakBefore w:val="0"/>
              <w:widowControl/>
              <w:kinsoku/>
              <w:wordWrap w:val="0"/>
              <w:overflowPunct/>
              <w:topLinePunct/>
              <w:autoSpaceDE w:val="0"/>
              <w:autoSpaceDN w:val="0"/>
              <w:bidi w:val="0"/>
              <w:adjustRightInd w:val="0"/>
              <w:snapToGrid w:val="0"/>
              <w:spacing w:line="288"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CA02E1D">
            <w:pPr>
              <w:keepNext w:val="0"/>
              <w:keepLines w:val="0"/>
              <w:pageBreakBefore w:val="0"/>
              <w:widowControl/>
              <w:kinsoku/>
              <w:wordWrap w:val="0"/>
              <w:overflowPunct/>
              <w:topLinePunct/>
              <w:autoSpaceDE w:val="0"/>
              <w:autoSpaceDN w:val="0"/>
              <w:bidi w:val="0"/>
              <w:adjustRightInd w:val="0"/>
              <w:snapToGrid w:val="0"/>
              <w:spacing w:before="58" w:line="288" w:lineRule="auto"/>
              <w:ind w:left="1979"/>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tc>
      </w:tr>
      <w:tr w14:paraId="7F37C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3E879CA9">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0614F0E">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3F901CB">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7B18805A">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09015DFF">
            <w:pPr>
              <w:keepNext w:val="0"/>
              <w:keepLines w:val="0"/>
              <w:pageBreakBefore w:val="0"/>
              <w:widowControl/>
              <w:kinsoku/>
              <w:wordWrap w:val="0"/>
              <w:overflowPunct/>
              <w:topLinePunct/>
              <w:autoSpaceDE w:val="0"/>
              <w:autoSpaceDN w:val="0"/>
              <w:bidi w:val="0"/>
              <w:adjustRightInd w:val="0"/>
              <w:snapToGrid w:val="0"/>
              <w:spacing w:before="57" w:line="288" w:lineRule="auto"/>
              <w:ind w:left="31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854" w:type="dxa"/>
            <w:vAlign w:val="center"/>
          </w:tcPr>
          <w:p w14:paraId="435FFFEE">
            <w:pPr>
              <w:keepNext w:val="0"/>
              <w:keepLines w:val="0"/>
              <w:pageBreakBefore w:val="0"/>
              <w:widowControl/>
              <w:kinsoku/>
              <w:wordWrap w:val="0"/>
              <w:overflowPunct/>
              <w:topLinePunct/>
              <w:autoSpaceDE w:val="0"/>
              <w:autoSpaceDN w:val="0"/>
              <w:bidi w:val="0"/>
              <w:adjustRightInd w:val="0"/>
              <w:snapToGrid w:val="0"/>
              <w:spacing w:line="288" w:lineRule="auto"/>
              <w:ind w:left="0" w:right="0" w:firstLine="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对不正常报价</w:t>
            </w:r>
            <w:r>
              <w:rPr>
                <w:rFonts w:hint="eastAsia" w:ascii="宋体" w:hAnsi="宋体" w:eastAsia="宋体" w:cs="宋体"/>
                <w:color w:val="000000" w:themeColor="text1"/>
                <w:spacing w:val="4"/>
                <w:sz w:val="24"/>
                <w:szCs w:val="24"/>
                <w:highlight w:val="none"/>
                <w14:textFill>
                  <w14:solidFill>
                    <w14:schemeClr w14:val="tx1"/>
                  </w14:solidFill>
                </w14:textFill>
              </w:rPr>
              <w:t>的确认承诺</w:t>
            </w:r>
          </w:p>
        </w:tc>
        <w:tc>
          <w:tcPr>
            <w:tcW w:w="2433" w:type="dxa"/>
            <w:vAlign w:val="center"/>
          </w:tcPr>
          <w:p w14:paraId="709BD6AE">
            <w:pPr>
              <w:keepNext w:val="0"/>
              <w:keepLines w:val="0"/>
              <w:pageBreakBefore w:val="0"/>
              <w:widowControl/>
              <w:kinsoku/>
              <w:wordWrap w:val="0"/>
              <w:overflowPunct/>
              <w:topLinePunct/>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如果我方中标，我方接受招</w:t>
            </w:r>
            <w:r>
              <w:rPr>
                <w:rFonts w:hint="eastAsia" w:ascii="宋体" w:hAnsi="宋体" w:eastAsia="宋体" w:cs="宋体"/>
                <w:color w:val="000000" w:themeColor="text1"/>
                <w:spacing w:val="23"/>
                <w:sz w:val="24"/>
                <w:szCs w:val="24"/>
                <w:highlight w:val="none"/>
                <w14:textFill>
                  <w14:solidFill>
                    <w14:schemeClr w14:val="tx1"/>
                  </w14:solidFill>
                </w14:textFill>
              </w:rPr>
              <w:t>标人在合同订立期间依据招标文件有关条款约定对我方已标价工程量清单中不正常报价的</w:t>
            </w:r>
            <w:r>
              <w:rPr>
                <w:rFonts w:hint="eastAsia" w:ascii="宋体" w:hAnsi="宋体" w:eastAsia="宋体" w:cs="宋体"/>
                <w:color w:val="000000" w:themeColor="text1"/>
                <w:spacing w:val="7"/>
                <w:sz w:val="24"/>
                <w:szCs w:val="24"/>
                <w:highlight w:val="none"/>
                <w14:textFill>
                  <w14:solidFill>
                    <w14:schemeClr w14:val="tx1"/>
                  </w14:solidFill>
                </w14:textFill>
              </w:rPr>
              <w:t>修正或认定，并按要求签署《不</w:t>
            </w:r>
            <w:r>
              <w:rPr>
                <w:rFonts w:hint="eastAsia" w:ascii="宋体" w:hAnsi="宋体" w:eastAsia="宋体" w:cs="宋体"/>
                <w:color w:val="000000" w:themeColor="text1"/>
                <w:spacing w:val="8"/>
                <w:sz w:val="24"/>
                <w:szCs w:val="24"/>
                <w:highlight w:val="none"/>
                <w14:textFill>
                  <w14:solidFill>
                    <w14:schemeClr w14:val="tx1"/>
                  </w14:solidFill>
                </w14:textFill>
              </w:rPr>
              <w:t>正常报价清单》加以确认。</w:t>
            </w:r>
          </w:p>
        </w:tc>
        <w:tc>
          <w:tcPr>
            <w:tcW w:w="4767" w:type="dxa"/>
            <w:vAlign w:val="center"/>
          </w:tcPr>
          <w:p w14:paraId="081BF212">
            <w:pPr>
              <w:pStyle w:val="21"/>
              <w:keepNext w:val="0"/>
              <w:keepLines w:val="0"/>
              <w:pageBreakBefore w:val="0"/>
              <w:widowControl/>
              <w:kinsoku/>
              <w:wordWrap w:val="0"/>
              <w:overflowPunct/>
              <w:topLinePunct/>
              <w:autoSpaceDE w:val="0"/>
              <w:autoSpaceDN w:val="0"/>
              <w:bidi w:val="0"/>
              <w:adjustRightInd w:val="0"/>
              <w:snapToGrid w:val="0"/>
              <w:spacing w:line="288"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w2Jsm1AAAAAcBAAAPAAAAAAAAAAEAIAAAACIAAABkcnMvZG93bnJldi54&#10;bWxQSwECFAAUAAAACACHTuJAmtdksv4BAADQAwAADgAAAAAAAAABACAAAAAjAQAAZHJzL2Uyb0Rv&#10;Yy54bWxQSwUGAAAAAAYABgBZAQAAkwUAAAAA&#10;">
                      <v:fill on="f" focussize="0,0"/>
                      <v:stroke weight="1pt" color="#000000 [3213]" miterlimit="8" joinstyle="miter"/>
                      <v:imagedata o:title=""/>
                      <o:lock v:ext="edit" aspectratio="f"/>
                    </v:line>
                  </w:pict>
                </mc:Fallback>
              </mc:AlternateContent>
            </w:r>
          </w:p>
          <w:p w14:paraId="6897830B">
            <w:pPr>
              <w:pStyle w:val="21"/>
              <w:keepNext w:val="0"/>
              <w:keepLines w:val="0"/>
              <w:pageBreakBefore w:val="0"/>
              <w:widowControl/>
              <w:kinsoku/>
              <w:wordWrap w:val="0"/>
              <w:overflowPunct/>
              <w:topLinePunct/>
              <w:autoSpaceDE w:val="0"/>
              <w:autoSpaceDN w:val="0"/>
              <w:bidi w:val="0"/>
              <w:adjustRightInd w:val="0"/>
              <w:snapToGrid w:val="0"/>
              <w:spacing w:line="288"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817D727">
            <w:pPr>
              <w:pStyle w:val="21"/>
              <w:keepNext w:val="0"/>
              <w:keepLines w:val="0"/>
              <w:pageBreakBefore w:val="0"/>
              <w:widowControl/>
              <w:kinsoku/>
              <w:wordWrap w:val="0"/>
              <w:overflowPunct/>
              <w:topLinePunct/>
              <w:autoSpaceDE w:val="0"/>
              <w:autoSpaceDN w:val="0"/>
              <w:bidi w:val="0"/>
              <w:adjustRightInd w:val="0"/>
              <w:snapToGrid w:val="0"/>
              <w:spacing w:line="288" w:lineRule="auto"/>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60ACACAD">
            <w:pPr>
              <w:keepNext w:val="0"/>
              <w:keepLines w:val="0"/>
              <w:pageBreakBefore w:val="0"/>
              <w:widowControl/>
              <w:kinsoku/>
              <w:wordWrap w:val="0"/>
              <w:overflowPunct/>
              <w:topLinePunct/>
              <w:autoSpaceDE w:val="0"/>
              <w:autoSpaceDN w:val="0"/>
              <w:bidi w:val="0"/>
              <w:adjustRightInd w:val="0"/>
              <w:snapToGrid w:val="0"/>
              <w:spacing w:before="57" w:line="288" w:lineRule="auto"/>
              <w:ind w:left="1979"/>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p>
        </w:tc>
      </w:tr>
      <w:tr w14:paraId="7DB7C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183892D">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32B311F">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DA7F456">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B02C6FE">
            <w:pPr>
              <w:keepNext w:val="0"/>
              <w:keepLines w:val="0"/>
              <w:pageBreakBefore w:val="0"/>
              <w:widowControl/>
              <w:kinsoku/>
              <w:wordWrap w:val="0"/>
              <w:overflowPunct/>
              <w:topLinePunct/>
              <w:autoSpaceDE w:val="0"/>
              <w:autoSpaceDN w:val="0"/>
              <w:bidi w:val="0"/>
              <w:adjustRightInd w:val="0"/>
              <w:snapToGrid w:val="0"/>
              <w:spacing w:before="58" w:line="288" w:lineRule="auto"/>
              <w:ind w:left="31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p>
        </w:tc>
        <w:tc>
          <w:tcPr>
            <w:tcW w:w="1854" w:type="dxa"/>
            <w:vAlign w:val="center"/>
          </w:tcPr>
          <w:p w14:paraId="1A5FF47C">
            <w:pPr>
              <w:keepNext w:val="0"/>
              <w:keepLines w:val="0"/>
              <w:pageBreakBefore w:val="0"/>
              <w:widowControl/>
              <w:kinsoku/>
              <w:wordWrap w:val="0"/>
              <w:overflowPunct/>
              <w:topLinePunct/>
              <w:autoSpaceDE w:val="0"/>
              <w:autoSpaceDN w:val="0"/>
              <w:bidi w:val="0"/>
              <w:adjustRightInd w:val="0"/>
              <w:snapToGrid w:val="0"/>
              <w:spacing w:line="288" w:lineRule="auto"/>
              <w:ind w:left="0" w:right="0" w:firstLine="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按时提交履约保证的承诺</w:t>
            </w:r>
          </w:p>
        </w:tc>
        <w:tc>
          <w:tcPr>
            <w:tcW w:w="2433" w:type="dxa"/>
            <w:vAlign w:val="center"/>
          </w:tcPr>
          <w:p w14:paraId="2F7BCC59">
            <w:pPr>
              <w:keepNext w:val="0"/>
              <w:keepLines w:val="0"/>
              <w:pageBreakBefore w:val="0"/>
              <w:widowControl/>
              <w:kinsoku/>
              <w:wordWrap w:val="0"/>
              <w:overflowPunct/>
              <w:topLinePunct/>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如果我方中标，我方保证在</w:t>
            </w:r>
            <w:r>
              <w:rPr>
                <w:rFonts w:hint="eastAsia" w:ascii="宋体" w:hAnsi="宋体" w:eastAsia="宋体" w:cs="宋体"/>
                <w:color w:val="000000" w:themeColor="text1"/>
                <w:spacing w:val="23"/>
                <w:sz w:val="24"/>
                <w:szCs w:val="24"/>
                <w:highlight w:val="none"/>
                <w14:textFill>
                  <w14:solidFill>
                    <w14:schemeClr w14:val="tx1"/>
                  </w14:solidFill>
                </w14:textFill>
              </w:rPr>
              <w:t>招标文件规定的时限内全额提</w:t>
            </w:r>
            <w:r>
              <w:rPr>
                <w:rFonts w:hint="eastAsia" w:ascii="宋体" w:hAnsi="宋体" w:eastAsia="宋体" w:cs="宋体"/>
                <w:color w:val="000000" w:themeColor="text1"/>
                <w:spacing w:val="6"/>
                <w:sz w:val="24"/>
                <w:szCs w:val="24"/>
                <w:highlight w:val="none"/>
                <w14:textFill>
                  <w14:solidFill>
                    <w14:schemeClr w14:val="tx1"/>
                  </w14:solidFill>
                </w14:textFill>
              </w:rPr>
              <w:t>交履约保证。</w:t>
            </w:r>
          </w:p>
        </w:tc>
        <w:tc>
          <w:tcPr>
            <w:tcW w:w="4767" w:type="dxa"/>
            <w:vAlign w:val="center"/>
          </w:tcPr>
          <w:p w14:paraId="1F92F640">
            <w:pPr>
              <w:keepNext w:val="0"/>
              <w:keepLines w:val="0"/>
              <w:pageBreakBefore w:val="0"/>
              <w:widowControl/>
              <w:kinsoku/>
              <w:wordWrap w:val="0"/>
              <w:overflowPunct/>
              <w:topLinePunct/>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如果我方未在招标文件规定的时限内全额提交履约保证，我方接受招标人依据招标文件作出的相应处理以及有关监督部门作出的行政处罚，并承担由此引起的一切法律后</w:t>
            </w:r>
            <w:r>
              <w:rPr>
                <w:rFonts w:hint="eastAsia" w:ascii="宋体" w:hAnsi="宋体" w:eastAsia="宋体" w:cs="宋体"/>
                <w:color w:val="000000" w:themeColor="text1"/>
                <w:sz w:val="24"/>
                <w:szCs w:val="24"/>
                <w:highlight w:val="none"/>
                <w14:textFill>
                  <w14:solidFill>
                    <w14:schemeClr w14:val="tx1"/>
                  </w14:solidFill>
                </w14:textFill>
              </w:rPr>
              <w:t>果。</w:t>
            </w:r>
          </w:p>
        </w:tc>
      </w:tr>
      <w:tr w14:paraId="793E4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8187227">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568ED382">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A0A6938">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4F411F99">
            <w:pPr>
              <w:pStyle w:val="21"/>
              <w:keepNext w:val="0"/>
              <w:keepLines w:val="0"/>
              <w:pageBreakBefore w:val="0"/>
              <w:widowControl/>
              <w:kinsoku/>
              <w:wordWrap w:val="0"/>
              <w:overflowPunct/>
              <w:topLinePunct/>
              <w:autoSpaceDE w:val="0"/>
              <w:autoSpaceDN w:val="0"/>
              <w:bidi w:val="0"/>
              <w:adjustRightInd w:val="0"/>
              <w:snapToGrid w:val="0"/>
              <w:spacing w:line="288"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3BCF7F1F">
            <w:pPr>
              <w:keepNext w:val="0"/>
              <w:keepLines w:val="0"/>
              <w:pageBreakBefore w:val="0"/>
              <w:widowControl/>
              <w:kinsoku/>
              <w:wordWrap w:val="0"/>
              <w:overflowPunct/>
              <w:topLinePunct/>
              <w:autoSpaceDE w:val="0"/>
              <w:autoSpaceDN w:val="0"/>
              <w:bidi w:val="0"/>
              <w:adjustRightInd w:val="0"/>
              <w:snapToGrid w:val="0"/>
              <w:spacing w:before="58" w:line="288" w:lineRule="auto"/>
              <w:ind w:left="31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w:t>
            </w:r>
          </w:p>
        </w:tc>
        <w:tc>
          <w:tcPr>
            <w:tcW w:w="1854" w:type="dxa"/>
            <w:vAlign w:val="center"/>
          </w:tcPr>
          <w:p w14:paraId="74E25EEF">
            <w:pPr>
              <w:keepNext w:val="0"/>
              <w:keepLines w:val="0"/>
              <w:pageBreakBefore w:val="0"/>
              <w:widowControl/>
              <w:kinsoku/>
              <w:wordWrap w:val="0"/>
              <w:overflowPunct/>
              <w:topLinePunct/>
              <w:autoSpaceDE w:val="0"/>
              <w:autoSpaceDN w:val="0"/>
              <w:bidi w:val="0"/>
              <w:adjustRightInd w:val="0"/>
              <w:snapToGrid w:val="0"/>
              <w:spacing w:line="288" w:lineRule="auto"/>
              <w:ind w:left="0" w:right="0" w:firstLine="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按时签订合同</w:t>
            </w:r>
            <w:r>
              <w:rPr>
                <w:rFonts w:hint="eastAsia" w:ascii="宋体" w:hAnsi="宋体" w:eastAsia="宋体" w:cs="宋体"/>
                <w:color w:val="000000" w:themeColor="text1"/>
                <w:spacing w:val="1"/>
                <w:sz w:val="24"/>
                <w:szCs w:val="24"/>
                <w:highlight w:val="none"/>
                <w14:textFill>
                  <w14:solidFill>
                    <w14:schemeClr w14:val="tx1"/>
                  </w14:solidFill>
                </w14:textFill>
              </w:rPr>
              <w:t>的承诺</w:t>
            </w:r>
          </w:p>
        </w:tc>
        <w:tc>
          <w:tcPr>
            <w:tcW w:w="2433" w:type="dxa"/>
            <w:vAlign w:val="center"/>
          </w:tcPr>
          <w:p w14:paraId="1E0ADA00">
            <w:pPr>
              <w:keepNext w:val="0"/>
              <w:keepLines w:val="0"/>
              <w:pageBreakBefore w:val="0"/>
              <w:widowControl/>
              <w:kinsoku/>
              <w:wordWrap w:val="0"/>
              <w:overflowPunct/>
              <w:topLinePunct/>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如果我方中标，我方保证在</w:t>
            </w:r>
            <w:r>
              <w:rPr>
                <w:rFonts w:hint="eastAsia" w:ascii="宋体" w:hAnsi="宋体" w:eastAsia="宋体" w:cs="宋体"/>
                <w:color w:val="000000" w:themeColor="text1"/>
                <w:spacing w:val="23"/>
                <w:sz w:val="24"/>
                <w:szCs w:val="24"/>
                <w:highlight w:val="none"/>
                <w14:textFill>
                  <w14:solidFill>
                    <w14:schemeClr w14:val="tx1"/>
                  </w14:solidFill>
                </w14:textFill>
              </w:rPr>
              <w:t>招标文件规定的时限内与招标</w:t>
            </w:r>
            <w:r>
              <w:rPr>
                <w:rFonts w:hint="eastAsia" w:ascii="宋体" w:hAnsi="宋体" w:eastAsia="宋体" w:cs="宋体"/>
                <w:color w:val="000000" w:themeColor="text1"/>
                <w:spacing w:val="7"/>
                <w:sz w:val="24"/>
                <w:szCs w:val="24"/>
                <w:highlight w:val="none"/>
                <w14:textFill>
                  <w14:solidFill>
                    <w14:schemeClr w14:val="tx1"/>
                  </w14:solidFill>
                </w14:textFill>
              </w:rPr>
              <w:t>人签订合同，不提出违背或超出</w:t>
            </w:r>
            <w:r>
              <w:rPr>
                <w:rFonts w:hint="eastAsia" w:ascii="宋体" w:hAnsi="宋体" w:eastAsia="宋体" w:cs="宋体"/>
                <w:color w:val="000000" w:themeColor="text1"/>
                <w:spacing w:val="8"/>
                <w:sz w:val="24"/>
                <w:szCs w:val="24"/>
                <w:highlight w:val="none"/>
                <w14:textFill>
                  <w14:solidFill>
                    <w14:schemeClr w14:val="tx1"/>
                  </w14:solidFill>
                </w14:textFill>
              </w:rPr>
              <w:t>招标文件、中标文件的要求。</w:t>
            </w:r>
          </w:p>
        </w:tc>
        <w:tc>
          <w:tcPr>
            <w:tcW w:w="4767" w:type="dxa"/>
            <w:vAlign w:val="center"/>
          </w:tcPr>
          <w:p w14:paraId="1BBA06E8">
            <w:pPr>
              <w:keepNext w:val="0"/>
              <w:keepLines w:val="0"/>
              <w:pageBreakBefore w:val="0"/>
              <w:widowControl/>
              <w:kinsoku/>
              <w:wordWrap w:val="0"/>
              <w:overflowPunct/>
              <w:topLinePunct/>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如果我方未在招标文件规定的时限内与招标人签订合同，或我方在签订合同过程中</w:t>
            </w:r>
            <w:r>
              <w:rPr>
                <w:rFonts w:hint="eastAsia" w:ascii="宋体" w:hAnsi="宋体" w:eastAsia="宋体" w:cs="宋体"/>
                <w:color w:val="000000" w:themeColor="text1"/>
                <w:sz w:val="24"/>
                <w:szCs w:val="24"/>
                <w:highlight w:val="none"/>
                <w14:textFill>
                  <w14:solidFill>
                    <w14:schemeClr w14:val="tx1"/>
                  </w14:solidFill>
                </w14:textFill>
              </w:rPr>
              <w:t>提出违背或超出招标文件、中标文件的要求。</w:t>
            </w:r>
            <w:r>
              <w:rPr>
                <w:rFonts w:hint="eastAsia" w:ascii="宋体" w:hAnsi="宋体" w:eastAsia="宋体" w:cs="宋体"/>
                <w:color w:val="000000" w:themeColor="text1"/>
                <w:spacing w:val="7"/>
                <w:sz w:val="24"/>
                <w:szCs w:val="24"/>
                <w:highlight w:val="none"/>
                <w14:textFill>
                  <w14:solidFill>
                    <w14:schemeClr w14:val="tx1"/>
                  </w14:solidFill>
                </w14:textFill>
              </w:rPr>
              <w:t>我方接受招标人依据招标文件作出的相应处理以及有关监督部门作出的行政处罚，并承</w:t>
            </w:r>
            <w:r>
              <w:rPr>
                <w:rFonts w:hint="eastAsia" w:ascii="宋体" w:hAnsi="宋体" w:eastAsia="宋体" w:cs="宋体"/>
                <w:color w:val="000000" w:themeColor="text1"/>
                <w:spacing w:val="5"/>
                <w:sz w:val="24"/>
                <w:szCs w:val="24"/>
                <w:highlight w:val="none"/>
                <w14:textFill>
                  <w14:solidFill>
                    <w14:schemeClr w14:val="tx1"/>
                  </w14:solidFill>
                </w14:textFill>
              </w:rPr>
              <w:t>担由此引起的一切法律后果。</w:t>
            </w:r>
          </w:p>
        </w:tc>
      </w:tr>
    </w:tbl>
    <w:p w14:paraId="55AB2048">
      <w:pPr>
        <w:pageBreakBefore w:val="0"/>
        <w:kinsoku/>
        <w:wordWrap w:val="0"/>
        <w:overflowPunct/>
        <w:topLinePunct/>
        <w:bidi w:val="0"/>
        <w:spacing w:before="78" w:line="219" w:lineRule="auto"/>
        <w:ind w:firstLine="6832" w:firstLineChars="2800"/>
        <w:jc w:val="both"/>
        <w:rPr>
          <w:rFonts w:hint="eastAsia" w:ascii="宋体" w:hAnsi="宋体" w:eastAsia="宋体" w:cs="宋体"/>
          <w:color w:val="000000" w:themeColor="text1"/>
          <w:spacing w:val="2"/>
          <w:sz w:val="24"/>
          <w:szCs w:val="24"/>
          <w:highlight w:val="none"/>
          <w14:textFill>
            <w14:solidFill>
              <w14:schemeClr w14:val="tx1"/>
            </w14:solidFill>
          </w14:textFill>
        </w:rPr>
      </w:pPr>
    </w:p>
    <w:p w14:paraId="19882C61">
      <w:pPr>
        <w:pageBreakBefore w:val="0"/>
        <w:kinsoku/>
        <w:wordWrap w:val="0"/>
        <w:overflowPunct/>
        <w:topLinePunct/>
        <w:bidi w:val="0"/>
        <w:spacing w:before="78" w:line="219" w:lineRule="auto"/>
        <w:ind w:firstLine="6832" w:firstLineChars="280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盖单位章）</w:t>
      </w:r>
    </w:p>
    <w:p w14:paraId="47E73398">
      <w:pPr>
        <w:pStyle w:val="5"/>
        <w:pageBreakBefore w:val="0"/>
        <w:kinsoku/>
        <w:wordWrap w:val="0"/>
        <w:overflowPunct/>
        <w:topLinePunct/>
        <w:bidi w:val="0"/>
        <w:spacing w:line="297" w:lineRule="auto"/>
        <w:jc w:val="right"/>
        <w:rPr>
          <w:rFonts w:hint="eastAsia" w:ascii="宋体" w:hAnsi="宋体" w:eastAsia="宋体" w:cs="宋体"/>
          <w:color w:val="000000" w:themeColor="text1"/>
          <w:highlight w:val="none"/>
          <w14:textFill>
            <w14:solidFill>
              <w14:schemeClr w14:val="tx1"/>
            </w14:solidFill>
          </w14:textFill>
        </w:rPr>
      </w:pPr>
    </w:p>
    <w:p w14:paraId="614130AE">
      <w:pPr>
        <w:pageBreakBefore w:val="0"/>
        <w:kinsoku/>
        <w:wordWrap w:val="0"/>
        <w:overflowPunct/>
        <w:topLinePunct/>
        <w:bidi w:val="0"/>
        <w:spacing w:before="78" w:line="219" w:lineRule="auto"/>
        <w:ind w:left="4366"/>
        <w:jc w:val="right"/>
        <w:rPr>
          <w:rFonts w:hint="eastAsia" w:ascii="宋体" w:hAnsi="宋体" w:eastAsia="宋体" w:cs="宋体"/>
          <w:color w:val="000000" w:themeColor="text1"/>
          <w:spacing w:val="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签字或盖章）</w:t>
      </w:r>
    </w:p>
    <w:p w14:paraId="1B3CCEC0">
      <w:pPr>
        <w:pageBreakBefore w:val="0"/>
        <w:kinsoku/>
        <w:wordWrap w:val="0"/>
        <w:overflowPunct/>
        <w:topLinePunct/>
        <w:bidi w:val="0"/>
        <w:outlineLvl w:val="9"/>
        <w:rPr>
          <w:rFonts w:hint="eastAsia" w:ascii="宋体" w:hAnsi="宋体" w:eastAsia="宋体" w:cs="宋体"/>
          <w:color w:val="000000" w:themeColor="text1"/>
          <w:highlight w:val="none"/>
          <w14:textFill>
            <w14:solidFill>
              <w14:schemeClr w14:val="tx1"/>
            </w14:solidFill>
          </w14:textFill>
        </w:rPr>
      </w:pPr>
    </w:p>
    <w:p w14:paraId="3258ADF1">
      <w:pPr>
        <w:pageBreakBefore w:val="0"/>
        <w:kinsoku/>
        <w:wordWrap w:val="0"/>
        <w:overflowPunct/>
        <w:topLinePunct/>
        <w:bidi w:val="0"/>
        <w:spacing w:before="78" w:line="220" w:lineRule="auto"/>
        <w:ind w:left="673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7082A73F">
      <w:pPr>
        <w:pageBreakBefore w:val="0"/>
        <w:kinsoku/>
        <w:wordWrap w:val="0"/>
        <w:overflowPunct/>
        <w:topLinePunct/>
        <w:bidi w:val="0"/>
        <w:spacing w:line="220" w:lineRule="auto"/>
        <w:jc w:val="right"/>
        <w:rPr>
          <w:rFonts w:hint="eastAsia" w:ascii="宋体" w:hAnsi="宋体" w:eastAsia="宋体" w:cs="宋体"/>
          <w:color w:val="000000" w:themeColor="text1"/>
          <w:sz w:val="24"/>
          <w:szCs w:val="24"/>
          <w:highlight w:val="none"/>
          <w14:textFill>
            <w14:solidFill>
              <w14:schemeClr w14:val="tx1"/>
            </w14:solidFill>
          </w14:textFill>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DF3D7AC">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22" w:name="_Toc25852"/>
      <w:r>
        <w:rPr>
          <w:rFonts w:hint="eastAsia" w:ascii="宋体" w:hAnsi="宋体" w:eastAsia="宋体" w:cs="宋体"/>
          <w:b/>
          <w:bCs/>
          <w:color w:val="000000" w:themeColor="text1"/>
          <w:spacing w:val="-4"/>
          <w:sz w:val="24"/>
          <w:szCs w:val="24"/>
          <w:highlight w:val="none"/>
          <w14:textFill>
            <w14:solidFill>
              <w14:schemeClr w14:val="tx1"/>
            </w14:solidFill>
          </w14:textFill>
        </w:rPr>
        <w:t>格式四 授权委托书</w:t>
      </w:r>
      <w:bookmarkEnd w:id="222"/>
    </w:p>
    <w:p w14:paraId="74B58EC2">
      <w:pPr>
        <w:pStyle w:val="5"/>
        <w:pageBreakBefore w:val="0"/>
        <w:kinsoku/>
        <w:wordWrap w:val="0"/>
        <w:overflowPunct/>
        <w:topLinePunct/>
        <w:bidi w:val="0"/>
        <w:spacing w:line="351" w:lineRule="auto"/>
        <w:rPr>
          <w:rFonts w:hint="eastAsia" w:ascii="宋体" w:hAnsi="宋体" w:eastAsia="宋体" w:cs="宋体"/>
          <w:color w:val="000000" w:themeColor="text1"/>
          <w:highlight w:val="none"/>
          <w14:textFill>
            <w14:solidFill>
              <w14:schemeClr w14:val="tx1"/>
            </w14:solidFill>
          </w14:textFill>
        </w:rPr>
      </w:pPr>
    </w:p>
    <w:p w14:paraId="2FB94032">
      <w:pPr>
        <w:pStyle w:val="5"/>
        <w:pageBreakBefore w:val="0"/>
        <w:kinsoku/>
        <w:wordWrap w:val="0"/>
        <w:overflowPunct/>
        <w:topLinePunct/>
        <w:bidi w:val="0"/>
        <w:spacing w:line="351" w:lineRule="auto"/>
        <w:rPr>
          <w:rFonts w:hint="eastAsia" w:ascii="宋体" w:hAnsi="宋体" w:eastAsia="宋体" w:cs="宋体"/>
          <w:color w:val="000000" w:themeColor="text1"/>
          <w:highlight w:val="none"/>
          <w14:textFill>
            <w14:solidFill>
              <w14:schemeClr w14:val="tx1"/>
            </w14:solidFill>
          </w14:textFill>
        </w:rPr>
      </w:pPr>
    </w:p>
    <w:p w14:paraId="089BA80F">
      <w:pPr>
        <w:pageBreakBefore w:val="0"/>
        <w:kinsoku/>
        <w:wordWrap w:val="0"/>
        <w:overflowPunct/>
        <w:topLinePunct/>
        <w:bidi w:val="0"/>
        <w:spacing w:before="97" w:line="219" w:lineRule="auto"/>
        <w:ind w:left="3786"/>
        <w:rPr>
          <w:rFonts w:hint="eastAsia" w:ascii="宋体" w:hAnsi="宋体" w:eastAsia="宋体" w:cs="宋体"/>
          <w:color w:val="000000" w:themeColor="text1"/>
          <w:sz w:val="30"/>
          <w:szCs w:val="30"/>
          <w:highlight w:val="none"/>
          <w14:textFill>
            <w14:solidFill>
              <w14:schemeClr w14:val="tx1"/>
            </w14:solidFill>
          </w14:textFill>
        </w:rPr>
      </w:pPr>
      <w:bookmarkStart w:id="223" w:name="bookmark151"/>
      <w:bookmarkEnd w:id="223"/>
      <w:r>
        <w:rPr>
          <w:rFonts w:hint="eastAsia" w:ascii="宋体" w:hAnsi="宋体" w:eastAsia="宋体" w:cs="宋体"/>
          <w:b/>
          <w:bCs/>
          <w:color w:val="000000" w:themeColor="text1"/>
          <w:spacing w:val="-5"/>
          <w:sz w:val="30"/>
          <w:szCs w:val="30"/>
          <w:highlight w:val="none"/>
          <w14:textFill>
            <w14:solidFill>
              <w14:schemeClr w14:val="tx1"/>
            </w14:solidFill>
          </w14:textFill>
        </w:rPr>
        <w:t>授权委托书</w:t>
      </w:r>
    </w:p>
    <w:p w14:paraId="6B8E9D21">
      <w:pPr>
        <w:pStyle w:val="5"/>
        <w:pageBreakBefore w:val="0"/>
        <w:kinsoku/>
        <w:wordWrap w:val="0"/>
        <w:overflowPunct/>
        <w:topLinePunct/>
        <w:bidi w:val="0"/>
        <w:spacing w:line="250" w:lineRule="auto"/>
        <w:rPr>
          <w:rFonts w:hint="eastAsia" w:ascii="宋体" w:hAnsi="宋体" w:eastAsia="宋体" w:cs="宋体"/>
          <w:color w:val="000000" w:themeColor="text1"/>
          <w:highlight w:val="none"/>
          <w14:textFill>
            <w14:solidFill>
              <w14:schemeClr w14:val="tx1"/>
            </w14:solidFill>
          </w14:textFill>
        </w:rPr>
      </w:pPr>
    </w:p>
    <w:p w14:paraId="7BF74308">
      <w:pPr>
        <w:pStyle w:val="5"/>
        <w:pageBreakBefore w:val="0"/>
        <w:kinsoku/>
        <w:wordWrap w:val="0"/>
        <w:overflowPunct/>
        <w:topLinePunct/>
        <w:bidi w:val="0"/>
        <w:spacing w:line="250" w:lineRule="auto"/>
        <w:rPr>
          <w:rFonts w:hint="eastAsia" w:ascii="宋体" w:hAnsi="宋体" w:eastAsia="宋体" w:cs="宋体"/>
          <w:color w:val="000000" w:themeColor="text1"/>
          <w:highlight w:val="none"/>
          <w14:textFill>
            <w14:solidFill>
              <w14:schemeClr w14:val="tx1"/>
            </w14:solidFill>
          </w14:textFill>
        </w:rPr>
      </w:pPr>
    </w:p>
    <w:p w14:paraId="04E931F0">
      <w:pPr>
        <w:pStyle w:val="5"/>
        <w:pageBreakBefore w:val="0"/>
        <w:kinsoku/>
        <w:wordWrap w:val="0"/>
        <w:overflowPunct/>
        <w:topLinePunct/>
        <w:bidi w:val="0"/>
        <w:spacing w:line="251" w:lineRule="auto"/>
        <w:rPr>
          <w:rFonts w:hint="eastAsia" w:ascii="宋体" w:hAnsi="宋体" w:eastAsia="宋体" w:cs="宋体"/>
          <w:color w:val="000000" w:themeColor="text1"/>
          <w:highlight w:val="none"/>
          <w14:textFill>
            <w14:solidFill>
              <w14:schemeClr w14:val="tx1"/>
            </w14:solidFill>
          </w14:textFill>
        </w:rPr>
      </w:pPr>
    </w:p>
    <w:p w14:paraId="38C7BC3A">
      <w:pPr>
        <w:pageBreakBefore w:val="0"/>
        <w:kinsoku/>
        <w:wordWrap w:val="0"/>
        <w:overflowPunct/>
        <w:topLinePunct/>
        <w:bidi w:val="0"/>
        <w:spacing w:before="78" w:line="330" w:lineRule="auto"/>
        <w:ind w:firstLine="48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本人</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（姓名）系</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（投标人名称）的法定代表人，现委托</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（姓名）为我方代理人。代理人根据授权，以我方名义签署、澄清、说明、补正、递交、撤回、修改</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 w:val="24"/>
          <w:szCs w:val="28"/>
          <w:highlight w:val="none"/>
          <w:u w:val="single"/>
          <w:lang w:eastAsia="zh-CN"/>
          <w14:textFill>
            <w14:solidFill>
              <w14:schemeClr w14:val="tx1"/>
            </w14:solidFill>
          </w14:textFill>
        </w:rPr>
        <w:t>（项目名称）</w:t>
      </w:r>
      <w:r>
        <w:rPr>
          <w:rFonts w:hint="eastAsia" w:ascii="宋体" w:hAnsi="宋体" w:eastAsia="宋体" w:cs="宋体"/>
          <w:snapToGrid w:val="0"/>
          <w:color w:val="000000" w:themeColor="text1"/>
          <w:kern w:val="0"/>
          <w:sz w:val="24"/>
          <w:szCs w:val="28"/>
          <w:highlight w:val="none"/>
          <w:lang w:eastAsia="zh-CN"/>
          <w14:textFill>
            <w14:solidFill>
              <w14:schemeClr w14:val="tx1"/>
            </w14:solidFill>
          </w14:textFill>
        </w:rPr>
        <w:t xml:space="preserve"> 投标文件、签订合同和处理有关事宜，其法律后果由我方承担。</w:t>
      </w:r>
    </w:p>
    <w:p w14:paraId="2CFBE4D1">
      <w:pPr>
        <w:pageBreakBefore w:val="0"/>
        <w:kinsoku/>
        <w:wordWrap w:val="0"/>
        <w:overflowPunct/>
        <w:topLinePunct/>
        <w:bidi w:val="0"/>
        <w:spacing w:before="32" w:line="320" w:lineRule="auto"/>
        <w:ind w:left="480" w:right="497"/>
        <w:rPr>
          <w:rFonts w:hint="eastAsia" w:ascii="宋体" w:hAnsi="宋体" w:eastAsia="宋体" w:cs="宋体"/>
          <w:color w:val="000000" w:themeColor="text1"/>
          <w:spacing w:val="15"/>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委托期限：至</w:t>
      </w:r>
      <w:r>
        <w:rPr>
          <w:rFonts w:hint="eastAsia" w:ascii="宋体" w:hAnsi="宋体" w:eastAsia="宋体" w:cs="宋体"/>
          <w:color w:val="000000" w:themeColor="text1"/>
          <w:spacing w:val="-9"/>
          <w:sz w:val="24"/>
          <w:szCs w:val="24"/>
          <w:highlight w:val="none"/>
          <w:u w:val="single"/>
          <w14:textFill>
            <w14:solidFill>
              <w14:schemeClr w14:val="tx1"/>
            </w14:solidFill>
          </w14:textFill>
        </w:rPr>
        <w:t xml:space="preserve">     年   月    日</w:t>
      </w:r>
      <w:r>
        <w:rPr>
          <w:rFonts w:hint="eastAsia" w:ascii="宋体" w:hAnsi="宋体" w:eastAsia="宋体" w:cs="宋体"/>
          <w:i/>
          <w:iCs/>
          <w:color w:val="000000" w:themeColor="text1"/>
          <w:spacing w:val="-9"/>
          <w:sz w:val="25"/>
          <w:szCs w:val="25"/>
          <w:highlight w:val="none"/>
          <w:u w:val="single"/>
          <w14:textFill>
            <w14:solidFill>
              <w14:schemeClr w14:val="tx1"/>
            </w14:solidFill>
          </w14:textFill>
        </w:rPr>
        <w:t>（不得短于招标文件规定的投标有效期）</w:t>
      </w:r>
      <w:r>
        <w:rPr>
          <w:rFonts w:hint="eastAsia" w:ascii="宋体" w:hAnsi="宋体" w:eastAsia="宋体" w:cs="宋体"/>
          <w:color w:val="000000" w:themeColor="text1"/>
          <w:spacing w:val="-9"/>
          <w:sz w:val="25"/>
          <w:szCs w:val="25"/>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w:t>
      </w:r>
      <w:r>
        <w:rPr>
          <w:rFonts w:hint="eastAsia" w:ascii="宋体" w:hAnsi="宋体" w:eastAsia="宋体" w:cs="宋体"/>
          <w:color w:val="000000" w:themeColor="text1"/>
          <w:spacing w:val="15"/>
          <w:sz w:val="24"/>
          <w:szCs w:val="24"/>
          <w:highlight w:val="none"/>
          <w14:textFill>
            <w14:solidFill>
              <w14:schemeClr w14:val="tx1"/>
            </w14:solidFill>
          </w14:textFill>
        </w:rPr>
        <w:t xml:space="preserve"> </w:t>
      </w:r>
    </w:p>
    <w:p w14:paraId="6866C7D4">
      <w:pPr>
        <w:pageBreakBefore w:val="0"/>
        <w:kinsoku/>
        <w:wordWrap w:val="0"/>
        <w:overflowPunct/>
        <w:topLinePunct/>
        <w:bidi w:val="0"/>
        <w:spacing w:before="32" w:line="320" w:lineRule="auto"/>
        <w:ind w:left="480" w:right="4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代理人无转委托权。</w:t>
      </w:r>
    </w:p>
    <w:p w14:paraId="042EFE61">
      <w:pPr>
        <w:pStyle w:val="5"/>
        <w:pageBreakBefore w:val="0"/>
        <w:kinsoku/>
        <w:wordWrap w:val="0"/>
        <w:overflowPunct/>
        <w:topLinePunct/>
        <w:bidi w:val="0"/>
        <w:spacing w:line="276" w:lineRule="auto"/>
        <w:rPr>
          <w:rFonts w:hint="eastAsia" w:ascii="宋体" w:hAnsi="宋体" w:eastAsia="宋体" w:cs="宋体"/>
          <w:color w:val="000000" w:themeColor="text1"/>
          <w:highlight w:val="none"/>
          <w14:textFill>
            <w14:solidFill>
              <w14:schemeClr w14:val="tx1"/>
            </w14:solidFill>
          </w14:textFill>
        </w:rPr>
      </w:pPr>
    </w:p>
    <w:p w14:paraId="65E61057">
      <w:pPr>
        <w:pStyle w:val="5"/>
        <w:pageBreakBefore w:val="0"/>
        <w:kinsoku/>
        <w:wordWrap w:val="0"/>
        <w:overflowPunct/>
        <w:topLinePunct/>
        <w:bidi w:val="0"/>
        <w:spacing w:line="277" w:lineRule="auto"/>
        <w:rPr>
          <w:rFonts w:hint="eastAsia" w:ascii="宋体" w:hAnsi="宋体" w:eastAsia="宋体" w:cs="宋体"/>
          <w:color w:val="000000" w:themeColor="text1"/>
          <w:highlight w:val="none"/>
          <w14:textFill>
            <w14:solidFill>
              <w14:schemeClr w14:val="tx1"/>
            </w14:solidFill>
          </w14:textFill>
        </w:rPr>
      </w:pPr>
    </w:p>
    <w:p w14:paraId="3FCF739F">
      <w:pPr>
        <w:pStyle w:val="5"/>
        <w:pageBreakBefore w:val="0"/>
        <w:kinsoku/>
        <w:wordWrap w:val="0"/>
        <w:overflowPunct/>
        <w:topLinePunct/>
        <w:bidi w:val="0"/>
        <w:spacing w:line="277" w:lineRule="auto"/>
        <w:rPr>
          <w:rFonts w:hint="eastAsia" w:ascii="宋体" w:hAnsi="宋体" w:eastAsia="宋体" w:cs="宋体"/>
          <w:color w:val="000000" w:themeColor="text1"/>
          <w:highlight w:val="none"/>
          <w14:textFill>
            <w14:solidFill>
              <w14:schemeClr w14:val="tx1"/>
            </w14:solidFill>
          </w14:textFill>
        </w:rPr>
      </w:pPr>
    </w:p>
    <w:p w14:paraId="0C7397A3">
      <w:pPr>
        <w:pageBreakBefore w:val="0"/>
        <w:kinsoku/>
        <w:wordWrap w:val="0"/>
        <w:overflowPunct/>
        <w:topLinePunct/>
        <w:bidi w:val="0"/>
        <w:spacing w:before="78" w:line="219" w:lineRule="auto"/>
        <w:ind w:left="3123"/>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投  标  人</w:t>
      </w:r>
      <w:r>
        <w:rPr>
          <w:rFonts w:hint="eastAsia" w:ascii="宋体" w:hAnsi="宋体" w:eastAsia="宋体" w:cs="宋体"/>
          <w:color w:val="000000" w:themeColor="text1"/>
          <w:spacing w:val="-3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31"/>
          <w:sz w:val="24"/>
          <w:szCs w:val="24"/>
          <w:highlight w:val="none"/>
          <w14:textFill>
            <w14:solidFill>
              <w14:schemeClr w14:val="tx1"/>
            </w14:solidFill>
          </w14:textFill>
        </w:rPr>
        <w:t>（</w:t>
      </w:r>
      <w:r>
        <w:rPr>
          <w:rFonts w:hint="eastAsia" w:ascii="宋体" w:hAnsi="宋体" w:eastAsia="宋体" w:cs="宋体"/>
          <w:color w:val="000000" w:themeColor="text1"/>
          <w:spacing w:val="4"/>
          <w:sz w:val="24"/>
          <w:szCs w:val="24"/>
          <w:highlight w:val="none"/>
          <w14:textFill>
            <w14:solidFill>
              <w14:schemeClr w14:val="tx1"/>
            </w14:solidFill>
          </w14:textFill>
        </w:rPr>
        <w:t>盖单位章）</w:t>
      </w:r>
    </w:p>
    <w:p w14:paraId="6F3C36B4">
      <w:pPr>
        <w:pStyle w:val="5"/>
        <w:pageBreakBefore w:val="0"/>
        <w:kinsoku/>
        <w:wordWrap w:val="0"/>
        <w:overflowPunct/>
        <w:topLinePunct/>
        <w:bidi w:val="0"/>
        <w:spacing w:line="317" w:lineRule="auto"/>
        <w:jc w:val="right"/>
        <w:rPr>
          <w:rFonts w:hint="eastAsia" w:ascii="宋体" w:hAnsi="宋体" w:eastAsia="宋体" w:cs="宋体"/>
          <w:color w:val="000000" w:themeColor="text1"/>
          <w:highlight w:val="none"/>
          <w14:textFill>
            <w14:solidFill>
              <w14:schemeClr w14:val="tx1"/>
            </w14:solidFill>
          </w14:textFill>
        </w:rPr>
      </w:pPr>
    </w:p>
    <w:p w14:paraId="23ED0070">
      <w:pPr>
        <w:pStyle w:val="5"/>
        <w:pageBreakBefore w:val="0"/>
        <w:kinsoku/>
        <w:wordWrap w:val="0"/>
        <w:overflowPunct/>
        <w:topLinePunct/>
        <w:bidi w:val="0"/>
        <w:spacing w:line="317" w:lineRule="auto"/>
        <w:jc w:val="right"/>
        <w:rPr>
          <w:rFonts w:hint="eastAsia" w:ascii="宋体" w:hAnsi="宋体" w:eastAsia="宋体" w:cs="宋体"/>
          <w:color w:val="000000" w:themeColor="text1"/>
          <w:highlight w:val="none"/>
          <w14:textFill>
            <w14:solidFill>
              <w14:schemeClr w14:val="tx1"/>
            </w14:solidFill>
          </w14:textFill>
        </w:rPr>
      </w:pPr>
    </w:p>
    <w:p w14:paraId="374404E7">
      <w:pPr>
        <w:pStyle w:val="5"/>
        <w:pageBreakBefore w:val="0"/>
        <w:kinsoku/>
        <w:wordWrap w:val="0"/>
        <w:overflowPunct/>
        <w:topLinePunct/>
        <w:bidi w:val="0"/>
        <w:spacing w:line="317" w:lineRule="auto"/>
        <w:jc w:val="right"/>
        <w:rPr>
          <w:rFonts w:hint="eastAsia" w:ascii="宋体" w:hAnsi="宋体" w:eastAsia="宋体" w:cs="宋体"/>
          <w:color w:val="000000" w:themeColor="text1"/>
          <w:highlight w:val="none"/>
          <w14:textFill>
            <w14:solidFill>
              <w14:schemeClr w14:val="tx1"/>
            </w14:solidFill>
          </w14:textFill>
        </w:rPr>
      </w:pPr>
    </w:p>
    <w:p w14:paraId="38331304">
      <w:pPr>
        <w:pageBreakBefore w:val="0"/>
        <w:kinsoku/>
        <w:wordWrap w:val="0"/>
        <w:overflowPunct/>
        <w:topLinePunct/>
        <w:bidi w:val="0"/>
        <w:spacing w:before="79" w:line="219" w:lineRule="auto"/>
        <w:ind w:left="3121"/>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法定代表人</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签字或盖章）</w:t>
      </w:r>
    </w:p>
    <w:p w14:paraId="24A830C7">
      <w:pPr>
        <w:pStyle w:val="5"/>
        <w:pageBreakBefore w:val="0"/>
        <w:kinsoku/>
        <w:wordWrap w:val="0"/>
        <w:overflowPunct/>
        <w:topLinePunct/>
        <w:bidi w:val="0"/>
        <w:spacing w:line="317" w:lineRule="auto"/>
        <w:jc w:val="right"/>
        <w:rPr>
          <w:rFonts w:hint="eastAsia" w:ascii="宋体" w:hAnsi="宋体" w:eastAsia="宋体" w:cs="宋体"/>
          <w:color w:val="000000" w:themeColor="text1"/>
          <w:highlight w:val="none"/>
          <w14:textFill>
            <w14:solidFill>
              <w14:schemeClr w14:val="tx1"/>
            </w14:solidFill>
          </w14:textFill>
        </w:rPr>
      </w:pPr>
    </w:p>
    <w:p w14:paraId="783DD60C">
      <w:pPr>
        <w:pStyle w:val="5"/>
        <w:pageBreakBefore w:val="0"/>
        <w:kinsoku/>
        <w:wordWrap w:val="0"/>
        <w:overflowPunct/>
        <w:topLinePunct/>
        <w:bidi w:val="0"/>
        <w:spacing w:line="317" w:lineRule="auto"/>
        <w:jc w:val="right"/>
        <w:rPr>
          <w:rFonts w:hint="eastAsia" w:ascii="宋体" w:hAnsi="宋体" w:eastAsia="宋体" w:cs="宋体"/>
          <w:color w:val="000000" w:themeColor="text1"/>
          <w:highlight w:val="none"/>
          <w14:textFill>
            <w14:solidFill>
              <w14:schemeClr w14:val="tx1"/>
            </w14:solidFill>
          </w14:textFill>
        </w:rPr>
      </w:pPr>
    </w:p>
    <w:p w14:paraId="5F5AD308">
      <w:pPr>
        <w:pStyle w:val="5"/>
        <w:pageBreakBefore w:val="0"/>
        <w:kinsoku/>
        <w:wordWrap w:val="0"/>
        <w:overflowPunct/>
        <w:topLinePunct/>
        <w:bidi w:val="0"/>
        <w:spacing w:line="317" w:lineRule="auto"/>
        <w:jc w:val="right"/>
        <w:rPr>
          <w:rFonts w:hint="eastAsia" w:ascii="宋体" w:hAnsi="宋体" w:eastAsia="宋体" w:cs="宋体"/>
          <w:color w:val="000000" w:themeColor="text1"/>
          <w:highlight w:val="none"/>
          <w14:textFill>
            <w14:solidFill>
              <w14:schemeClr w14:val="tx1"/>
            </w14:solidFill>
          </w14:textFill>
        </w:rPr>
      </w:pPr>
    </w:p>
    <w:p w14:paraId="7D7206CA">
      <w:pPr>
        <w:pageBreakBefore w:val="0"/>
        <w:kinsoku/>
        <w:wordWrap w:val="0"/>
        <w:overflowPunct/>
        <w:topLinePunct/>
        <w:bidi w:val="0"/>
        <w:spacing w:before="78" w:line="219" w:lineRule="auto"/>
        <w:ind w:left="288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委托代理人</w:t>
      </w:r>
      <w:r>
        <w:rPr>
          <w:rFonts w:hint="eastAsia" w:ascii="宋体" w:hAnsi="宋体" w:eastAsia="宋体" w:cs="宋体"/>
          <w:color w:val="000000" w:themeColor="text1"/>
          <w:spacing w:val="-16"/>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6"/>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签字或盖章）</w:t>
      </w:r>
    </w:p>
    <w:p w14:paraId="3B630ADA">
      <w:pPr>
        <w:pStyle w:val="5"/>
        <w:pageBreakBefore w:val="0"/>
        <w:kinsoku/>
        <w:wordWrap w:val="0"/>
        <w:overflowPunct/>
        <w:topLinePunct/>
        <w:bidi w:val="0"/>
        <w:spacing w:line="256" w:lineRule="auto"/>
        <w:jc w:val="right"/>
        <w:rPr>
          <w:rFonts w:hint="eastAsia" w:ascii="宋体" w:hAnsi="宋体" w:eastAsia="宋体" w:cs="宋体"/>
          <w:color w:val="000000" w:themeColor="text1"/>
          <w:highlight w:val="none"/>
          <w14:textFill>
            <w14:solidFill>
              <w14:schemeClr w14:val="tx1"/>
            </w14:solidFill>
          </w14:textFill>
        </w:rPr>
      </w:pPr>
    </w:p>
    <w:p w14:paraId="241205FE">
      <w:pPr>
        <w:pStyle w:val="5"/>
        <w:pageBreakBefore w:val="0"/>
        <w:kinsoku/>
        <w:wordWrap w:val="0"/>
        <w:overflowPunct/>
        <w:topLinePunct/>
        <w:bidi w:val="0"/>
        <w:spacing w:line="256" w:lineRule="auto"/>
        <w:jc w:val="right"/>
        <w:rPr>
          <w:rFonts w:hint="eastAsia" w:ascii="宋体" w:hAnsi="宋体" w:eastAsia="宋体" w:cs="宋体"/>
          <w:color w:val="000000" w:themeColor="text1"/>
          <w:highlight w:val="none"/>
          <w14:textFill>
            <w14:solidFill>
              <w14:schemeClr w14:val="tx1"/>
            </w14:solidFill>
          </w14:textFill>
        </w:rPr>
      </w:pPr>
    </w:p>
    <w:p w14:paraId="3E5B6D4F">
      <w:pPr>
        <w:pageBreakBefore w:val="0"/>
        <w:kinsoku/>
        <w:wordWrap w:val="0"/>
        <w:overflowPunct/>
        <w:topLinePunct/>
        <w:bidi w:val="0"/>
        <w:spacing w:before="78" w:line="220" w:lineRule="auto"/>
        <w:ind w:left="673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38A59A19">
      <w:pPr>
        <w:pageBreakBefore w:val="0"/>
        <w:kinsoku/>
        <w:wordWrap w:val="0"/>
        <w:overflowPunct/>
        <w:topLinePunct/>
        <w:bidi w:val="0"/>
        <w:spacing w:before="78" w:line="220" w:lineRule="auto"/>
        <w:ind w:left="4201"/>
        <w:jc w:val="right"/>
        <w:rPr>
          <w:rFonts w:hint="eastAsia" w:ascii="宋体" w:hAnsi="宋体" w:eastAsia="宋体" w:cs="宋体"/>
          <w:color w:val="000000" w:themeColor="text1"/>
          <w:sz w:val="24"/>
          <w:szCs w:val="24"/>
          <w:highlight w:val="none"/>
          <w14:textFill>
            <w14:solidFill>
              <w14:schemeClr w14:val="tx1"/>
            </w14:solidFill>
          </w14:textFill>
        </w:rPr>
      </w:pPr>
    </w:p>
    <w:p w14:paraId="6D962C77">
      <w:pPr>
        <w:pageBreakBefore w:val="0"/>
        <w:kinsoku/>
        <w:wordWrap w:val="0"/>
        <w:overflowPunct/>
        <w:topLinePunct/>
        <w:bidi w:val="0"/>
        <w:spacing w:before="69"/>
        <w:rPr>
          <w:rFonts w:hint="eastAsia" w:ascii="宋体" w:hAnsi="宋体" w:eastAsia="宋体" w:cs="宋体"/>
          <w:color w:val="000000" w:themeColor="text1"/>
          <w:highlight w:val="none"/>
          <w14:textFill>
            <w14:solidFill>
              <w14:schemeClr w14:val="tx1"/>
            </w14:solidFill>
          </w14:textFill>
        </w:rPr>
      </w:pPr>
    </w:p>
    <w:p w14:paraId="49CA4DC9">
      <w:pPr>
        <w:pageBreakBefore w:val="0"/>
        <w:kinsoku/>
        <w:wordWrap w:val="0"/>
        <w:overflowPunct/>
        <w:topLinePunct/>
        <w:bidi w:val="0"/>
        <w:spacing w:before="69"/>
        <w:rPr>
          <w:rFonts w:hint="eastAsia" w:ascii="宋体" w:hAnsi="宋体" w:eastAsia="宋体" w:cs="宋体"/>
          <w:color w:val="000000" w:themeColor="text1"/>
          <w:highlight w:val="none"/>
          <w14:textFill>
            <w14:solidFill>
              <w14:schemeClr w14:val="tx1"/>
            </w14:solidFill>
          </w14:textFill>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6AB0EA8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2F9FD5EA">
            <w:pPr>
              <w:pStyle w:val="21"/>
              <w:pageBreakBefore w:val="0"/>
              <w:kinsoku/>
              <w:wordWrap w:val="0"/>
              <w:overflowPunct/>
              <w:topLinePunct/>
              <w:bidi w:val="0"/>
              <w:spacing w:line="245" w:lineRule="auto"/>
              <w:rPr>
                <w:rFonts w:hint="eastAsia" w:ascii="宋体" w:hAnsi="宋体" w:eastAsia="宋体" w:cs="宋体"/>
                <w:color w:val="000000" w:themeColor="text1"/>
                <w:highlight w:val="none"/>
                <w14:textFill>
                  <w14:solidFill>
                    <w14:schemeClr w14:val="tx1"/>
                  </w14:solidFill>
                </w14:textFill>
              </w:rPr>
            </w:pPr>
          </w:p>
          <w:p w14:paraId="4F5B3248">
            <w:pPr>
              <w:pStyle w:val="21"/>
              <w:pageBreakBefore w:val="0"/>
              <w:kinsoku/>
              <w:wordWrap w:val="0"/>
              <w:overflowPunct/>
              <w:topLinePunct/>
              <w:bidi w:val="0"/>
              <w:spacing w:line="245" w:lineRule="auto"/>
              <w:rPr>
                <w:rFonts w:hint="eastAsia" w:ascii="宋体" w:hAnsi="宋体" w:eastAsia="宋体" w:cs="宋体"/>
                <w:color w:val="000000" w:themeColor="text1"/>
                <w:highlight w:val="none"/>
                <w14:textFill>
                  <w14:solidFill>
                    <w14:schemeClr w14:val="tx1"/>
                  </w14:solidFill>
                </w14:textFill>
              </w:rPr>
            </w:pPr>
          </w:p>
          <w:p w14:paraId="0ECAB0DD">
            <w:pPr>
              <w:pStyle w:val="21"/>
              <w:pageBreakBefore w:val="0"/>
              <w:kinsoku/>
              <w:wordWrap w:val="0"/>
              <w:overflowPunct/>
              <w:topLinePunct/>
              <w:bidi w:val="0"/>
              <w:spacing w:line="245" w:lineRule="auto"/>
              <w:rPr>
                <w:rFonts w:hint="eastAsia" w:ascii="宋体" w:hAnsi="宋体" w:eastAsia="宋体" w:cs="宋体"/>
                <w:color w:val="000000" w:themeColor="text1"/>
                <w:highlight w:val="none"/>
                <w14:textFill>
                  <w14:solidFill>
                    <w14:schemeClr w14:val="tx1"/>
                  </w14:solidFill>
                </w14:textFill>
              </w:rPr>
            </w:pPr>
          </w:p>
          <w:p w14:paraId="5D261720">
            <w:pPr>
              <w:pStyle w:val="21"/>
              <w:pageBreakBefore w:val="0"/>
              <w:kinsoku/>
              <w:wordWrap w:val="0"/>
              <w:overflowPunct/>
              <w:topLinePunct/>
              <w:bidi w:val="0"/>
              <w:spacing w:line="245" w:lineRule="auto"/>
              <w:rPr>
                <w:rFonts w:hint="eastAsia" w:ascii="宋体" w:hAnsi="宋体" w:eastAsia="宋体" w:cs="宋体"/>
                <w:color w:val="000000" w:themeColor="text1"/>
                <w:highlight w:val="none"/>
                <w14:textFill>
                  <w14:solidFill>
                    <w14:schemeClr w14:val="tx1"/>
                  </w14:solidFill>
                </w14:textFill>
              </w:rPr>
            </w:pPr>
          </w:p>
          <w:p w14:paraId="230BC4D3">
            <w:pPr>
              <w:pStyle w:val="21"/>
              <w:pageBreakBefore w:val="0"/>
              <w:kinsoku/>
              <w:wordWrap w:val="0"/>
              <w:overflowPunct/>
              <w:topLinePunct/>
              <w:bidi w:val="0"/>
              <w:spacing w:line="245" w:lineRule="auto"/>
              <w:rPr>
                <w:rFonts w:hint="eastAsia" w:ascii="宋体" w:hAnsi="宋体" w:eastAsia="宋体" w:cs="宋体"/>
                <w:color w:val="000000" w:themeColor="text1"/>
                <w:highlight w:val="none"/>
                <w14:textFill>
                  <w14:solidFill>
                    <w14:schemeClr w14:val="tx1"/>
                  </w14:solidFill>
                </w14:textFill>
              </w:rPr>
            </w:pPr>
          </w:p>
          <w:p w14:paraId="17B7F7B3">
            <w:pPr>
              <w:pStyle w:val="21"/>
              <w:pageBreakBefore w:val="0"/>
              <w:kinsoku/>
              <w:wordWrap w:val="0"/>
              <w:overflowPunct/>
              <w:topLinePunct/>
              <w:bidi w:val="0"/>
              <w:spacing w:line="245" w:lineRule="auto"/>
              <w:rPr>
                <w:rFonts w:hint="eastAsia" w:ascii="宋体" w:hAnsi="宋体" w:eastAsia="宋体" w:cs="宋体"/>
                <w:color w:val="000000" w:themeColor="text1"/>
                <w:highlight w:val="none"/>
                <w14:textFill>
                  <w14:solidFill>
                    <w14:schemeClr w14:val="tx1"/>
                  </w14:solidFill>
                </w14:textFill>
              </w:rPr>
            </w:pPr>
          </w:p>
          <w:p w14:paraId="7B5403DA">
            <w:pPr>
              <w:pStyle w:val="21"/>
              <w:pageBreakBefore w:val="0"/>
              <w:kinsoku/>
              <w:wordWrap w:val="0"/>
              <w:overflowPunct/>
              <w:topLinePunct/>
              <w:bidi w:val="0"/>
              <w:spacing w:line="246" w:lineRule="auto"/>
              <w:rPr>
                <w:rFonts w:hint="eastAsia" w:ascii="宋体" w:hAnsi="宋体" w:eastAsia="宋体" w:cs="宋体"/>
                <w:color w:val="000000" w:themeColor="text1"/>
                <w:highlight w:val="none"/>
                <w14:textFill>
                  <w14:solidFill>
                    <w14:schemeClr w14:val="tx1"/>
                  </w14:solidFill>
                </w14:textFill>
              </w:rPr>
            </w:pPr>
          </w:p>
          <w:p w14:paraId="50D53D19">
            <w:pPr>
              <w:pageBreakBefore w:val="0"/>
              <w:kinsoku/>
              <w:wordWrap w:val="0"/>
              <w:overflowPunct/>
              <w:topLinePunct/>
              <w:bidi w:val="0"/>
              <w:spacing w:before="78" w:line="220" w:lineRule="auto"/>
              <w:ind w:left="71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委托代理人身份证</w:t>
            </w:r>
            <w:r>
              <w:rPr>
                <w:rFonts w:hint="eastAsia" w:ascii="宋体" w:hAnsi="宋体" w:eastAsia="宋体" w:cs="宋体"/>
                <w:color w:val="000000" w:themeColor="text1"/>
                <w:spacing w:val="-1"/>
                <w:sz w:val="24"/>
                <w:szCs w:val="24"/>
                <w:highlight w:val="none"/>
                <w:lang w:val="en-US" w:eastAsia="zh-CN"/>
                <w14:textFill>
                  <w14:solidFill>
                    <w14:schemeClr w14:val="tx1"/>
                  </w14:solidFill>
                </w14:textFill>
              </w:rPr>
              <w:t>彩色扫描件</w:t>
            </w:r>
            <w:r>
              <w:rPr>
                <w:rFonts w:hint="eastAsia" w:ascii="宋体" w:hAnsi="宋体" w:eastAsia="宋体" w:cs="宋体"/>
                <w:color w:val="000000" w:themeColor="text1"/>
                <w:spacing w:val="-1"/>
                <w:sz w:val="24"/>
                <w:szCs w:val="24"/>
                <w:highlight w:val="none"/>
                <w14:textFill>
                  <w14:solidFill>
                    <w14:schemeClr w14:val="tx1"/>
                  </w14:solidFill>
                </w14:textFill>
              </w:rPr>
              <w:t>正、反面</w:t>
            </w:r>
          </w:p>
        </w:tc>
      </w:tr>
    </w:tbl>
    <w:p w14:paraId="4EB3EEB6">
      <w:pPr>
        <w:pStyle w:val="5"/>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17206559">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EA9743A">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24" w:name="_Toc24083"/>
      <w:r>
        <w:rPr>
          <w:rFonts w:hint="eastAsia" w:ascii="宋体" w:hAnsi="宋体" w:eastAsia="宋体" w:cs="宋体"/>
          <w:b/>
          <w:bCs/>
          <w:color w:val="000000" w:themeColor="text1"/>
          <w:spacing w:val="-4"/>
          <w:sz w:val="24"/>
          <w:szCs w:val="24"/>
          <w:highlight w:val="none"/>
          <w14:textFill>
            <w14:solidFill>
              <w14:schemeClr w14:val="tx1"/>
            </w14:solidFill>
          </w14:textFill>
        </w:rPr>
        <w:t>格式五 法定代表人身份证明</w:t>
      </w:r>
      <w:bookmarkEnd w:id="224"/>
    </w:p>
    <w:p w14:paraId="17DEE691">
      <w:pPr>
        <w:pStyle w:val="5"/>
        <w:pageBreakBefore w:val="0"/>
        <w:kinsoku/>
        <w:wordWrap w:val="0"/>
        <w:overflowPunct/>
        <w:topLinePunct/>
        <w:bidi w:val="0"/>
        <w:spacing w:line="350" w:lineRule="auto"/>
        <w:rPr>
          <w:rFonts w:hint="eastAsia" w:ascii="宋体" w:hAnsi="宋体" w:eastAsia="宋体" w:cs="宋体"/>
          <w:color w:val="000000" w:themeColor="text1"/>
          <w:highlight w:val="none"/>
          <w14:textFill>
            <w14:solidFill>
              <w14:schemeClr w14:val="tx1"/>
            </w14:solidFill>
          </w14:textFill>
        </w:rPr>
      </w:pPr>
    </w:p>
    <w:p w14:paraId="5EE14533">
      <w:pPr>
        <w:pStyle w:val="5"/>
        <w:pageBreakBefore w:val="0"/>
        <w:kinsoku/>
        <w:wordWrap w:val="0"/>
        <w:overflowPunct/>
        <w:topLinePunct/>
        <w:bidi w:val="0"/>
        <w:spacing w:line="350" w:lineRule="auto"/>
        <w:rPr>
          <w:rFonts w:hint="eastAsia" w:ascii="宋体" w:hAnsi="宋体" w:eastAsia="宋体" w:cs="宋体"/>
          <w:color w:val="000000" w:themeColor="text1"/>
          <w:highlight w:val="none"/>
          <w14:textFill>
            <w14:solidFill>
              <w14:schemeClr w14:val="tx1"/>
            </w14:solidFill>
          </w14:textFill>
        </w:rPr>
      </w:pPr>
    </w:p>
    <w:p w14:paraId="3512F90D">
      <w:pPr>
        <w:pageBreakBefore w:val="0"/>
        <w:kinsoku/>
        <w:wordWrap w:val="0"/>
        <w:overflowPunct/>
        <w:topLinePunct/>
        <w:bidi w:val="0"/>
        <w:spacing w:before="98" w:line="220" w:lineRule="auto"/>
        <w:ind w:left="3183"/>
        <w:rPr>
          <w:rFonts w:hint="eastAsia" w:ascii="宋体" w:hAnsi="宋体" w:eastAsia="宋体" w:cs="宋体"/>
          <w:color w:val="000000" w:themeColor="text1"/>
          <w:sz w:val="30"/>
          <w:szCs w:val="30"/>
          <w:highlight w:val="none"/>
          <w14:textFill>
            <w14:solidFill>
              <w14:schemeClr w14:val="tx1"/>
            </w14:solidFill>
          </w14:textFill>
        </w:rPr>
      </w:pPr>
      <w:bookmarkStart w:id="225" w:name="bookmark152"/>
      <w:bookmarkEnd w:id="225"/>
      <w:r>
        <w:rPr>
          <w:rFonts w:hint="eastAsia" w:ascii="宋体" w:hAnsi="宋体" w:eastAsia="宋体" w:cs="宋体"/>
          <w:b/>
          <w:bCs/>
          <w:color w:val="000000" w:themeColor="text1"/>
          <w:spacing w:val="-4"/>
          <w:sz w:val="30"/>
          <w:szCs w:val="30"/>
          <w:highlight w:val="none"/>
          <w14:textFill>
            <w14:solidFill>
              <w14:schemeClr w14:val="tx1"/>
            </w14:solidFill>
          </w14:textFill>
        </w:rPr>
        <w:t>法定代表人身份证明</w:t>
      </w:r>
    </w:p>
    <w:p w14:paraId="13E2B334">
      <w:pPr>
        <w:pStyle w:val="5"/>
        <w:pageBreakBefore w:val="0"/>
        <w:kinsoku/>
        <w:wordWrap w:val="0"/>
        <w:overflowPunct/>
        <w:topLinePunct/>
        <w:bidi w:val="0"/>
        <w:spacing w:line="250" w:lineRule="auto"/>
        <w:rPr>
          <w:rFonts w:hint="eastAsia" w:ascii="宋体" w:hAnsi="宋体" w:eastAsia="宋体" w:cs="宋体"/>
          <w:color w:val="000000" w:themeColor="text1"/>
          <w:highlight w:val="none"/>
          <w14:textFill>
            <w14:solidFill>
              <w14:schemeClr w14:val="tx1"/>
            </w14:solidFill>
          </w14:textFill>
        </w:rPr>
      </w:pPr>
    </w:p>
    <w:p w14:paraId="20029A54">
      <w:pPr>
        <w:pStyle w:val="5"/>
        <w:pageBreakBefore w:val="0"/>
        <w:kinsoku/>
        <w:wordWrap w:val="0"/>
        <w:overflowPunct/>
        <w:topLinePunct/>
        <w:bidi w:val="0"/>
        <w:spacing w:line="250" w:lineRule="auto"/>
        <w:rPr>
          <w:rFonts w:hint="eastAsia" w:ascii="宋体" w:hAnsi="宋体" w:eastAsia="宋体" w:cs="宋体"/>
          <w:color w:val="000000" w:themeColor="text1"/>
          <w:highlight w:val="none"/>
          <w14:textFill>
            <w14:solidFill>
              <w14:schemeClr w14:val="tx1"/>
            </w14:solidFill>
          </w14:textFill>
        </w:rPr>
      </w:pPr>
    </w:p>
    <w:p w14:paraId="1C75FC26">
      <w:pPr>
        <w:pStyle w:val="5"/>
        <w:pageBreakBefore w:val="0"/>
        <w:kinsoku/>
        <w:wordWrap w:val="0"/>
        <w:overflowPunct/>
        <w:topLinePunct/>
        <w:bidi w:val="0"/>
        <w:spacing w:line="251" w:lineRule="auto"/>
        <w:rPr>
          <w:rFonts w:hint="eastAsia" w:ascii="宋体" w:hAnsi="宋体" w:eastAsia="宋体" w:cs="宋体"/>
          <w:color w:val="000000" w:themeColor="text1"/>
          <w:highlight w:val="none"/>
          <w14:textFill>
            <w14:solidFill>
              <w14:schemeClr w14:val="tx1"/>
            </w14:solidFill>
          </w14:textFill>
        </w:rPr>
      </w:pPr>
    </w:p>
    <w:p w14:paraId="65903AF1">
      <w:pPr>
        <w:pageBreakBefore w:val="0"/>
        <w:kinsoku/>
        <w:wordWrap w:val="0"/>
        <w:overflowPunct/>
        <w:topLinePunct/>
        <w:bidi w:val="0"/>
        <w:adjustRightInd w:val="0"/>
        <w:snapToGrid w:val="0"/>
        <w:spacing w:line="440" w:lineRule="exact"/>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投标人名称：</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p>
    <w:p w14:paraId="656D7821">
      <w:pPr>
        <w:pageBreakBefore w:val="0"/>
        <w:kinsoku/>
        <w:wordWrap w:val="0"/>
        <w:overflowPunct/>
        <w:topLinePunct/>
        <w:bidi w:val="0"/>
        <w:adjustRightInd w:val="0"/>
        <w:snapToGrid w:val="0"/>
        <w:spacing w:line="440" w:lineRule="exact"/>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姓名：</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性别：</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年龄：</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职务：</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p>
    <w:p w14:paraId="5C73D1BE">
      <w:pPr>
        <w:pageBreakBefore w:val="0"/>
        <w:kinsoku/>
        <w:wordWrap w:val="0"/>
        <w:overflowPunct/>
        <w:topLinePunct/>
        <w:bidi w:val="0"/>
        <w:adjustRightInd w:val="0"/>
        <w:snapToGrid w:val="0"/>
        <w:spacing w:line="440" w:lineRule="exact"/>
        <w:rPr>
          <w:rFonts w:hint="eastAsia" w:ascii="宋体" w:hAnsi="宋体" w:eastAsia="宋体" w:cs="宋体"/>
          <w:snapToGrid w:val="0"/>
          <w:color w:val="000000" w:themeColor="text1"/>
          <w:kern w:val="0"/>
          <w:sz w:val="24"/>
          <w:szCs w:val="24"/>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系</w:t>
      </w:r>
      <w:r>
        <w:rPr>
          <w:rFonts w:hint="eastAsia" w:ascii="宋体" w:hAnsi="宋体" w:eastAsia="宋体" w:cs="宋体"/>
          <w:snapToGrid w:val="0"/>
          <w:color w:val="000000" w:themeColor="text1"/>
          <w:kern w:val="0"/>
          <w:sz w:val="24"/>
          <w:szCs w:val="24"/>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 w:val="24"/>
          <w:szCs w:val="24"/>
          <w:highlight w:val="none"/>
          <w14:textFill>
            <w14:solidFill>
              <w14:schemeClr w14:val="tx1"/>
            </w14:solidFill>
          </w14:textFill>
        </w:rPr>
        <w:t>（投标人名称）的法定代表人。</w:t>
      </w:r>
    </w:p>
    <w:p w14:paraId="6B5C66C6">
      <w:pPr>
        <w:pageBreakBefore w:val="0"/>
        <w:kinsoku/>
        <w:wordWrap w:val="0"/>
        <w:overflowPunct/>
        <w:topLinePunct/>
        <w:bidi w:val="0"/>
        <w:adjustRightInd w:val="0"/>
        <w:snapToGrid w:val="0"/>
        <w:rPr>
          <w:rFonts w:hint="eastAsia" w:ascii="宋体" w:hAnsi="宋体" w:eastAsia="宋体" w:cs="宋体"/>
          <w:snapToGrid w:val="0"/>
          <w:color w:val="000000" w:themeColor="text1"/>
          <w:kern w:val="0"/>
          <w:szCs w:val="21"/>
          <w:highlight w:val="none"/>
          <w14:textFill>
            <w14:solidFill>
              <w14:schemeClr w14:val="tx1"/>
            </w14:solidFill>
          </w14:textFill>
        </w:rPr>
      </w:pPr>
      <w:r>
        <w:rPr>
          <w:rFonts w:hint="eastAsia" w:ascii="宋体" w:hAnsi="宋体" w:eastAsia="宋体" w:cs="宋体"/>
          <w:snapToGrid w:val="0"/>
          <w:color w:val="000000" w:themeColor="text1"/>
          <w:kern w:val="0"/>
          <w:sz w:val="24"/>
          <w:szCs w:val="24"/>
          <w:highlight w:val="none"/>
          <w14:textFill>
            <w14:solidFill>
              <w14:schemeClr w14:val="tx1"/>
            </w14:solidFill>
          </w14:textFill>
        </w:rPr>
        <w:t xml:space="preserve">    特此证明。</w:t>
      </w:r>
    </w:p>
    <w:p w14:paraId="10A342CE">
      <w:pPr>
        <w:pStyle w:val="5"/>
        <w:pageBreakBefore w:val="0"/>
        <w:kinsoku/>
        <w:wordWrap w:val="0"/>
        <w:overflowPunct/>
        <w:topLinePunct/>
        <w:bidi w:val="0"/>
        <w:spacing w:line="277" w:lineRule="auto"/>
        <w:rPr>
          <w:rFonts w:hint="eastAsia" w:ascii="宋体" w:hAnsi="宋体" w:eastAsia="宋体" w:cs="宋体"/>
          <w:color w:val="000000" w:themeColor="text1"/>
          <w:highlight w:val="none"/>
          <w14:textFill>
            <w14:solidFill>
              <w14:schemeClr w14:val="tx1"/>
            </w14:solidFill>
          </w14:textFill>
        </w:rPr>
      </w:pPr>
    </w:p>
    <w:p w14:paraId="62E441A0">
      <w:pPr>
        <w:pStyle w:val="5"/>
        <w:pageBreakBefore w:val="0"/>
        <w:kinsoku/>
        <w:wordWrap w:val="0"/>
        <w:overflowPunct/>
        <w:topLinePunct/>
        <w:bidi w:val="0"/>
        <w:spacing w:line="277" w:lineRule="auto"/>
        <w:rPr>
          <w:rFonts w:hint="eastAsia" w:ascii="宋体" w:hAnsi="宋体" w:eastAsia="宋体" w:cs="宋体"/>
          <w:color w:val="000000" w:themeColor="text1"/>
          <w:highlight w:val="none"/>
          <w14:textFill>
            <w14:solidFill>
              <w14:schemeClr w14:val="tx1"/>
            </w14:solidFill>
          </w14:textFill>
        </w:rPr>
      </w:pPr>
    </w:p>
    <w:p w14:paraId="0171FD32">
      <w:pPr>
        <w:pStyle w:val="5"/>
        <w:pageBreakBefore w:val="0"/>
        <w:kinsoku/>
        <w:wordWrap w:val="0"/>
        <w:overflowPunct/>
        <w:topLinePunct/>
        <w:bidi w:val="0"/>
        <w:spacing w:line="278" w:lineRule="auto"/>
        <w:rPr>
          <w:rFonts w:hint="eastAsia" w:ascii="宋体" w:hAnsi="宋体" w:eastAsia="宋体" w:cs="宋体"/>
          <w:color w:val="000000" w:themeColor="text1"/>
          <w:highlight w:val="none"/>
          <w14:textFill>
            <w14:solidFill>
              <w14:schemeClr w14:val="tx1"/>
            </w14:solidFill>
          </w14:textFill>
        </w:rPr>
      </w:pPr>
    </w:p>
    <w:p w14:paraId="278F3F92">
      <w:pPr>
        <w:pageBreakBefore w:val="0"/>
        <w:kinsoku/>
        <w:wordWrap w:val="0"/>
        <w:overflowPunct/>
        <w:topLinePunct/>
        <w:bidi w:val="0"/>
        <w:spacing w:before="78" w:line="219"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盖单位章）</w:t>
      </w:r>
    </w:p>
    <w:p w14:paraId="586BC09F">
      <w:pPr>
        <w:pStyle w:val="5"/>
        <w:pageBreakBefore w:val="0"/>
        <w:kinsoku/>
        <w:wordWrap w:val="0"/>
        <w:overflowPunct/>
        <w:topLinePunct/>
        <w:bidi w:val="0"/>
        <w:spacing w:line="317" w:lineRule="auto"/>
        <w:jc w:val="right"/>
        <w:rPr>
          <w:rFonts w:hint="eastAsia" w:ascii="宋体" w:hAnsi="宋体" w:eastAsia="宋体" w:cs="宋体"/>
          <w:color w:val="000000" w:themeColor="text1"/>
          <w:highlight w:val="none"/>
          <w14:textFill>
            <w14:solidFill>
              <w14:schemeClr w14:val="tx1"/>
            </w14:solidFill>
          </w14:textFill>
        </w:rPr>
      </w:pPr>
    </w:p>
    <w:p w14:paraId="3F0A3E57">
      <w:pPr>
        <w:pStyle w:val="5"/>
        <w:pageBreakBefore w:val="0"/>
        <w:kinsoku/>
        <w:wordWrap w:val="0"/>
        <w:overflowPunct/>
        <w:topLinePunct/>
        <w:bidi w:val="0"/>
        <w:spacing w:line="317" w:lineRule="auto"/>
        <w:jc w:val="right"/>
        <w:rPr>
          <w:rFonts w:hint="eastAsia" w:ascii="宋体" w:hAnsi="宋体" w:eastAsia="宋体" w:cs="宋体"/>
          <w:color w:val="000000" w:themeColor="text1"/>
          <w:highlight w:val="none"/>
          <w14:textFill>
            <w14:solidFill>
              <w14:schemeClr w14:val="tx1"/>
            </w14:solidFill>
          </w14:textFill>
        </w:rPr>
      </w:pPr>
    </w:p>
    <w:p w14:paraId="3D349E40">
      <w:pPr>
        <w:pStyle w:val="5"/>
        <w:pageBreakBefore w:val="0"/>
        <w:kinsoku/>
        <w:wordWrap w:val="0"/>
        <w:overflowPunct/>
        <w:topLinePunct/>
        <w:bidi w:val="0"/>
        <w:spacing w:line="317" w:lineRule="auto"/>
        <w:jc w:val="right"/>
        <w:rPr>
          <w:rFonts w:hint="eastAsia" w:ascii="宋体" w:hAnsi="宋体" w:eastAsia="宋体" w:cs="宋体"/>
          <w:color w:val="000000" w:themeColor="text1"/>
          <w:highlight w:val="none"/>
          <w14:textFill>
            <w14:solidFill>
              <w14:schemeClr w14:val="tx1"/>
            </w14:solidFill>
          </w14:textFill>
        </w:rPr>
      </w:pPr>
    </w:p>
    <w:p w14:paraId="5A6F0254">
      <w:pPr>
        <w:pageBreakBefore w:val="0"/>
        <w:kinsoku/>
        <w:wordWrap w:val="0"/>
        <w:overflowPunct/>
        <w:topLinePunct/>
        <w:bidi w:val="0"/>
        <w:spacing w:before="79" w:line="219"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签字或盖章）</w:t>
      </w:r>
    </w:p>
    <w:p w14:paraId="668040D1">
      <w:pPr>
        <w:pStyle w:val="5"/>
        <w:pageBreakBefore w:val="0"/>
        <w:kinsoku/>
        <w:wordWrap w:val="0"/>
        <w:overflowPunct/>
        <w:topLinePunct/>
        <w:bidi w:val="0"/>
        <w:spacing w:line="257" w:lineRule="auto"/>
        <w:jc w:val="right"/>
        <w:rPr>
          <w:rFonts w:hint="eastAsia" w:ascii="宋体" w:hAnsi="宋体" w:eastAsia="宋体" w:cs="宋体"/>
          <w:color w:val="000000" w:themeColor="text1"/>
          <w:highlight w:val="none"/>
          <w14:textFill>
            <w14:solidFill>
              <w14:schemeClr w14:val="tx1"/>
            </w14:solidFill>
          </w14:textFill>
        </w:rPr>
      </w:pPr>
    </w:p>
    <w:p w14:paraId="2A5A0771">
      <w:pPr>
        <w:pStyle w:val="5"/>
        <w:pageBreakBefore w:val="0"/>
        <w:kinsoku/>
        <w:wordWrap w:val="0"/>
        <w:overflowPunct/>
        <w:topLinePunct/>
        <w:bidi w:val="0"/>
        <w:spacing w:line="257" w:lineRule="auto"/>
        <w:jc w:val="right"/>
        <w:rPr>
          <w:rFonts w:hint="eastAsia" w:ascii="宋体" w:hAnsi="宋体" w:eastAsia="宋体" w:cs="宋体"/>
          <w:color w:val="000000" w:themeColor="text1"/>
          <w:highlight w:val="none"/>
          <w14:textFill>
            <w14:solidFill>
              <w14:schemeClr w14:val="tx1"/>
            </w14:solidFill>
          </w14:textFill>
        </w:rPr>
      </w:pPr>
    </w:p>
    <w:p w14:paraId="6B6CE29C">
      <w:pPr>
        <w:pStyle w:val="5"/>
        <w:pageBreakBefore w:val="0"/>
        <w:kinsoku/>
        <w:wordWrap w:val="0"/>
        <w:overflowPunct/>
        <w:topLinePunct/>
        <w:bidi w:val="0"/>
        <w:spacing w:line="254"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34B722EF">
      <w:pPr>
        <w:pStyle w:val="5"/>
        <w:pageBreakBefore w:val="0"/>
        <w:kinsoku/>
        <w:wordWrap w:val="0"/>
        <w:overflowPunct/>
        <w:topLinePunct/>
        <w:bidi w:val="0"/>
        <w:spacing w:line="254" w:lineRule="auto"/>
        <w:rPr>
          <w:rFonts w:hint="eastAsia" w:ascii="宋体" w:hAnsi="宋体" w:eastAsia="宋体" w:cs="宋体"/>
          <w:color w:val="000000" w:themeColor="text1"/>
          <w:highlight w:val="none"/>
          <w14:textFill>
            <w14:solidFill>
              <w14:schemeClr w14:val="tx1"/>
            </w14:solidFill>
          </w14:textFill>
        </w:rPr>
      </w:pPr>
    </w:p>
    <w:p w14:paraId="22F7D223">
      <w:pPr>
        <w:pStyle w:val="5"/>
        <w:pageBreakBefore w:val="0"/>
        <w:kinsoku/>
        <w:wordWrap w:val="0"/>
        <w:overflowPunct/>
        <w:topLinePunct/>
        <w:bidi w:val="0"/>
        <w:spacing w:line="254" w:lineRule="auto"/>
        <w:rPr>
          <w:rFonts w:hint="eastAsia" w:ascii="宋体" w:hAnsi="宋体" w:eastAsia="宋体" w:cs="宋体"/>
          <w:color w:val="000000" w:themeColor="text1"/>
          <w:highlight w:val="none"/>
          <w14:textFill>
            <w14:solidFill>
              <w14:schemeClr w14:val="tx1"/>
            </w14:solidFill>
          </w14:textFill>
        </w:rPr>
      </w:pPr>
    </w:p>
    <w:p w14:paraId="3406C484">
      <w:pPr>
        <w:pStyle w:val="5"/>
        <w:pageBreakBefore w:val="0"/>
        <w:kinsoku/>
        <w:wordWrap w:val="0"/>
        <w:overflowPunct/>
        <w:topLinePunct/>
        <w:bidi w:val="0"/>
        <w:spacing w:line="254" w:lineRule="auto"/>
        <w:rPr>
          <w:rFonts w:hint="eastAsia" w:ascii="宋体" w:hAnsi="宋体" w:eastAsia="宋体" w:cs="宋体"/>
          <w:color w:val="000000" w:themeColor="text1"/>
          <w:highlight w:val="none"/>
          <w14:textFill>
            <w14:solidFill>
              <w14:schemeClr w14:val="tx1"/>
            </w14:solidFill>
          </w14:textFill>
        </w:rPr>
      </w:pPr>
    </w:p>
    <w:p w14:paraId="49471004">
      <w:pPr>
        <w:pStyle w:val="5"/>
        <w:pageBreakBefore w:val="0"/>
        <w:kinsoku/>
        <w:wordWrap w:val="0"/>
        <w:overflowPunct/>
        <w:topLinePunct/>
        <w:bidi w:val="0"/>
        <w:spacing w:line="254" w:lineRule="auto"/>
        <w:rPr>
          <w:rFonts w:hint="eastAsia" w:ascii="宋体" w:hAnsi="宋体" w:eastAsia="宋体" w:cs="宋体"/>
          <w:color w:val="000000" w:themeColor="text1"/>
          <w:highlight w:val="none"/>
          <w14:textFill>
            <w14:solidFill>
              <w14:schemeClr w14:val="tx1"/>
            </w14:solidFill>
          </w14:textFill>
        </w:rPr>
      </w:pPr>
    </w:p>
    <w:p w14:paraId="453BAC85">
      <w:pPr>
        <w:pStyle w:val="5"/>
        <w:pageBreakBefore w:val="0"/>
        <w:kinsoku/>
        <w:wordWrap w:val="0"/>
        <w:overflowPunct/>
        <w:topLinePunct/>
        <w:bidi w:val="0"/>
        <w:spacing w:line="255" w:lineRule="auto"/>
        <w:rPr>
          <w:rFonts w:hint="eastAsia" w:ascii="宋体" w:hAnsi="宋体" w:eastAsia="宋体" w:cs="宋体"/>
          <w:color w:val="000000" w:themeColor="text1"/>
          <w:highlight w:val="none"/>
          <w14:textFill>
            <w14:solidFill>
              <w14:schemeClr w14:val="tx1"/>
            </w14:solidFill>
          </w14:textFill>
        </w:rPr>
      </w:pPr>
    </w:p>
    <w:p w14:paraId="7955BCB4">
      <w:pPr>
        <w:pStyle w:val="5"/>
        <w:pageBreakBefore w:val="0"/>
        <w:kinsoku/>
        <w:wordWrap w:val="0"/>
        <w:overflowPunct/>
        <w:topLinePunct/>
        <w:bidi w:val="0"/>
        <w:spacing w:line="255" w:lineRule="auto"/>
        <w:rPr>
          <w:rFonts w:hint="eastAsia" w:ascii="宋体" w:hAnsi="宋体" w:eastAsia="宋体" w:cs="宋体"/>
          <w:color w:val="000000" w:themeColor="text1"/>
          <w:highlight w:val="none"/>
          <w14:textFill>
            <w14:solidFill>
              <w14:schemeClr w14:val="tx1"/>
            </w14:solidFill>
          </w14:textFill>
        </w:rPr>
      </w:pPr>
    </w:p>
    <w:p w14:paraId="42CE63BB">
      <w:pPr>
        <w:pStyle w:val="5"/>
        <w:pageBreakBefore w:val="0"/>
        <w:kinsoku/>
        <w:wordWrap w:val="0"/>
        <w:overflowPunct/>
        <w:topLinePunct/>
        <w:bidi w:val="0"/>
        <w:spacing w:before="1" w:line="2510" w:lineRule="exact"/>
        <w:ind w:firstLine="253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position w:val="-50"/>
          <w:highlight w:val="none"/>
          <w14:textFill>
            <w14:solidFill>
              <w14:schemeClr w14:val="tx1"/>
            </w14:solidFill>
          </w14:textFill>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2"/>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410B4708">
                              <w:pPr>
                                <w:spacing w:line="249" w:lineRule="auto"/>
                              </w:pPr>
                            </w:p>
                            <w:p w14:paraId="3A1C336C">
                              <w:pPr>
                                <w:spacing w:line="249" w:lineRule="auto"/>
                              </w:pPr>
                            </w:p>
                            <w:p w14:paraId="6652909C">
                              <w:pPr>
                                <w:spacing w:line="249" w:lineRule="auto"/>
                              </w:pPr>
                            </w:p>
                            <w:p w14:paraId="03BD2E02">
                              <w:pPr>
                                <w:spacing w:line="249" w:lineRule="auto"/>
                              </w:pPr>
                            </w:p>
                            <w:p w14:paraId="297F4DBF">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2"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10B4708">
                        <w:pPr>
                          <w:spacing w:line="249" w:lineRule="auto"/>
                        </w:pPr>
                      </w:p>
                      <w:p w14:paraId="3A1C336C">
                        <w:pPr>
                          <w:spacing w:line="249" w:lineRule="auto"/>
                        </w:pPr>
                      </w:p>
                      <w:p w14:paraId="6652909C">
                        <w:pPr>
                          <w:spacing w:line="249" w:lineRule="auto"/>
                        </w:pPr>
                      </w:p>
                      <w:p w14:paraId="03BD2E02">
                        <w:pPr>
                          <w:spacing w:line="249" w:lineRule="auto"/>
                        </w:pPr>
                      </w:p>
                      <w:p w14:paraId="297F4DBF">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2C8EC8B2">
      <w:pPr>
        <w:pageBreakBefore w:val="0"/>
        <w:kinsoku/>
        <w:wordWrap w:val="0"/>
        <w:overflowPunct/>
        <w:topLinePunct/>
        <w:bidi w:val="0"/>
        <w:spacing w:line="2510" w:lineRule="exact"/>
        <w:rPr>
          <w:rFonts w:hint="eastAsia" w:ascii="宋体" w:hAnsi="宋体" w:eastAsia="宋体" w:cs="宋体"/>
          <w:color w:val="000000" w:themeColor="text1"/>
          <w:highlight w:val="none"/>
          <w14:textFill>
            <w14:solidFill>
              <w14:schemeClr w14:val="tx1"/>
            </w14:solidFill>
          </w14:textFill>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EA56267">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26" w:name="_Toc31401"/>
      <w:r>
        <w:rPr>
          <w:rFonts w:hint="eastAsia" w:ascii="宋体" w:hAnsi="宋体" w:eastAsia="宋体" w:cs="宋体"/>
          <w:b/>
          <w:bCs/>
          <w:color w:val="000000" w:themeColor="text1"/>
          <w:spacing w:val="-4"/>
          <w:sz w:val="24"/>
          <w:szCs w:val="24"/>
          <w:highlight w:val="none"/>
          <w14:textFill>
            <w14:solidFill>
              <w14:schemeClr w14:val="tx1"/>
            </w14:solidFill>
          </w14:textFill>
        </w:rPr>
        <w:t>格式六 联合体协议书</w:t>
      </w:r>
      <w:bookmarkEnd w:id="226"/>
    </w:p>
    <w:p w14:paraId="75EC6E11">
      <w:pPr>
        <w:pageBreakBefore w:val="0"/>
        <w:kinsoku/>
        <w:wordWrap w:val="0"/>
        <w:overflowPunct/>
        <w:topLinePunct/>
        <w:bidi w:val="0"/>
        <w:spacing w:before="98" w:line="219" w:lineRule="auto"/>
        <w:ind w:left="3638"/>
        <w:rPr>
          <w:rFonts w:hint="eastAsia" w:ascii="宋体" w:hAnsi="宋体" w:eastAsia="宋体" w:cs="宋体"/>
          <w:color w:val="000000" w:themeColor="text1"/>
          <w:sz w:val="30"/>
          <w:szCs w:val="30"/>
          <w:highlight w:val="none"/>
          <w14:textFill>
            <w14:solidFill>
              <w14:schemeClr w14:val="tx1"/>
            </w14:solidFill>
          </w14:textFill>
        </w:rPr>
      </w:pPr>
      <w:bookmarkStart w:id="227" w:name="bookmark153"/>
      <w:bookmarkEnd w:id="227"/>
      <w:r>
        <w:rPr>
          <w:rFonts w:hint="eastAsia" w:ascii="宋体" w:hAnsi="宋体" w:eastAsia="宋体" w:cs="宋体"/>
          <w:b/>
          <w:bCs/>
          <w:color w:val="000000" w:themeColor="text1"/>
          <w:spacing w:val="-5"/>
          <w:sz w:val="30"/>
          <w:szCs w:val="30"/>
          <w:highlight w:val="none"/>
          <w14:textFill>
            <w14:solidFill>
              <w14:schemeClr w14:val="tx1"/>
            </w14:solidFill>
          </w14:textFill>
        </w:rPr>
        <w:t>联合体协议书</w:t>
      </w:r>
    </w:p>
    <w:p w14:paraId="6EF7AB56">
      <w:pPr>
        <w:pStyle w:val="5"/>
        <w:keepNext w:val="0"/>
        <w:keepLines w:val="0"/>
        <w:pageBreakBefore w:val="0"/>
        <w:widowControl/>
        <w:kinsoku/>
        <w:wordWrap w:val="0"/>
        <w:overflowPunct/>
        <w:topLinePunct/>
        <w:autoSpaceDE w:val="0"/>
        <w:autoSpaceDN w:val="0"/>
        <w:bidi w:val="0"/>
        <w:adjustRightInd w:val="0"/>
        <w:snapToGrid w:val="0"/>
        <w:spacing w:line="264" w:lineRule="auto"/>
        <w:textAlignment w:val="baseline"/>
        <w:rPr>
          <w:rFonts w:hint="eastAsia" w:ascii="宋体" w:hAnsi="宋体" w:eastAsia="宋体" w:cs="宋体"/>
          <w:color w:val="000000" w:themeColor="text1"/>
          <w:highlight w:val="none"/>
          <w14:textFill>
            <w14:solidFill>
              <w14:schemeClr w14:val="tx1"/>
            </w14:solidFill>
          </w14:textFill>
        </w:rPr>
      </w:pPr>
    </w:p>
    <w:p w14:paraId="698345FE">
      <w:pPr>
        <w:keepNext w:val="0"/>
        <w:keepLines w:val="0"/>
        <w:pageBreakBefore w:val="0"/>
        <w:widowControl/>
        <w:kinsoku/>
        <w:wordWrap w:val="0"/>
        <w:overflowPunct/>
        <w:topLinePunct/>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牵头人名称：</w:t>
      </w:r>
      <w:r>
        <w:rPr>
          <w:rFonts w:hint="eastAsia" w:ascii="宋体" w:hAnsi="宋体" w:eastAsia="宋体" w:cs="宋体"/>
          <w:color w:val="000000" w:themeColor="text1"/>
          <w:spacing w:val="4"/>
          <w:sz w:val="24"/>
          <w:szCs w:val="24"/>
          <w:highlight w:val="none"/>
          <w14:textFill>
            <w14:solidFill>
              <w14:schemeClr w14:val="tx1"/>
            </w14:solidFill>
          </w14:textFill>
        </w:rPr>
        <w:t xml:space="preserve"> </w:t>
      </w:r>
    </w:p>
    <w:p w14:paraId="50E533C2">
      <w:pPr>
        <w:keepNext w:val="0"/>
        <w:keepLines w:val="0"/>
        <w:pageBreakBefore w:val="0"/>
        <w:widowControl/>
        <w:kinsoku/>
        <w:wordWrap w:val="0"/>
        <w:overflowPunct/>
        <w:topLinePunct/>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295DC7DB">
      <w:pPr>
        <w:keepNext w:val="0"/>
        <w:keepLines w:val="0"/>
        <w:pageBreakBefore w:val="0"/>
        <w:widowControl/>
        <w:kinsoku/>
        <w:wordWrap w:val="0"/>
        <w:overflowPunct/>
        <w:topLinePunct/>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000000" w:themeColor="text1"/>
          <w:spacing w:val="-3"/>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法定住所：</w:t>
      </w:r>
    </w:p>
    <w:p w14:paraId="72EE6902">
      <w:pPr>
        <w:pageBreakBefore w:val="0"/>
        <w:kinsoku/>
        <w:wordWrap w:val="0"/>
        <w:overflowPunct/>
        <w:topLinePunct/>
        <w:bidi w:val="0"/>
        <w:outlineLvl w:val="9"/>
        <w:rPr>
          <w:rFonts w:hint="eastAsia" w:ascii="宋体" w:hAnsi="宋体" w:eastAsia="宋体" w:cs="宋体"/>
          <w:color w:val="000000" w:themeColor="text1"/>
          <w:highlight w:val="none"/>
          <w14:textFill>
            <w14:solidFill>
              <w14:schemeClr w14:val="tx1"/>
            </w14:solidFill>
          </w14:textFill>
        </w:rPr>
      </w:pPr>
    </w:p>
    <w:p w14:paraId="025B6C6E">
      <w:pPr>
        <w:keepNext w:val="0"/>
        <w:keepLines w:val="0"/>
        <w:pageBreakBefore w:val="0"/>
        <w:widowControl/>
        <w:kinsoku/>
        <w:wordWrap w:val="0"/>
        <w:overflowPunct/>
        <w:topLinePunct/>
        <w:autoSpaceDE w:val="0"/>
        <w:autoSpaceDN w:val="0"/>
        <w:bidi w:val="0"/>
        <w:adjustRightInd w:val="0"/>
        <w:snapToGrid w:val="0"/>
        <w:spacing w:before="78" w:line="264" w:lineRule="auto"/>
        <w:ind w:left="421" w:right="727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成员二名称：</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223337A3">
      <w:pPr>
        <w:keepNext w:val="0"/>
        <w:keepLines w:val="0"/>
        <w:pageBreakBefore w:val="0"/>
        <w:widowControl/>
        <w:kinsoku/>
        <w:wordWrap w:val="0"/>
        <w:overflowPunct/>
        <w:topLinePunct/>
        <w:autoSpaceDE w:val="0"/>
        <w:autoSpaceDN w:val="0"/>
        <w:bidi w:val="0"/>
        <w:adjustRightInd w:val="0"/>
        <w:snapToGrid w:val="0"/>
        <w:spacing w:before="78" w:line="264" w:lineRule="auto"/>
        <w:ind w:left="421" w:right="727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法定代表人：</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507AFDB9">
      <w:pPr>
        <w:keepNext w:val="0"/>
        <w:keepLines w:val="0"/>
        <w:pageBreakBefore w:val="0"/>
        <w:widowControl/>
        <w:kinsoku/>
        <w:wordWrap w:val="0"/>
        <w:overflowPunct/>
        <w:topLinePunct/>
        <w:autoSpaceDE w:val="0"/>
        <w:autoSpaceDN w:val="0"/>
        <w:bidi w:val="0"/>
        <w:adjustRightInd w:val="0"/>
        <w:snapToGrid w:val="0"/>
        <w:spacing w:before="78" w:line="264" w:lineRule="auto"/>
        <w:ind w:left="421" w:right="7272"/>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法定住所：</w:t>
      </w:r>
    </w:p>
    <w:p w14:paraId="171EE61E">
      <w:pPr>
        <w:keepNext w:val="0"/>
        <w:keepLines w:val="0"/>
        <w:pageBreakBefore w:val="0"/>
        <w:widowControl/>
        <w:kinsoku/>
        <w:wordWrap w:val="0"/>
        <w:overflowPunct/>
        <w:topLinePunct/>
        <w:autoSpaceDE w:val="0"/>
        <w:autoSpaceDN w:val="0"/>
        <w:bidi w:val="0"/>
        <w:adjustRightInd w:val="0"/>
        <w:snapToGrid w:val="0"/>
        <w:spacing w:before="32" w:line="264" w:lineRule="auto"/>
        <w:ind w:left="436"/>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3"/>
          <w:position w:val="3"/>
          <w:sz w:val="24"/>
          <w:szCs w:val="24"/>
          <w:highlight w:val="none"/>
          <w14:textFill>
            <w14:solidFill>
              <w14:schemeClr w14:val="tx1"/>
            </w14:solidFill>
          </w14:textFill>
        </w:rPr>
        <w:t>……</w:t>
      </w:r>
    </w:p>
    <w:p w14:paraId="5B6AD546">
      <w:pPr>
        <w:keepNext w:val="0"/>
        <w:keepLines w:val="0"/>
        <w:pageBreakBefore w:val="0"/>
        <w:widowControl/>
        <w:kinsoku/>
        <w:wordWrap w:val="0"/>
        <w:overflowPunct/>
        <w:topLinePunct/>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上述各成员单位经过友好协商，自愿组成联合体，</w:t>
      </w:r>
      <w:r>
        <w:rPr>
          <w:rFonts w:hint="eastAsia" w:ascii="宋体" w:hAnsi="宋体" w:eastAsia="宋体" w:cs="宋体"/>
          <w:color w:val="000000" w:themeColor="text1"/>
          <w:sz w:val="24"/>
          <w:szCs w:val="24"/>
          <w:highlight w:val="none"/>
          <w14:textFill>
            <w14:solidFill>
              <w14:schemeClr w14:val="tx1"/>
            </w14:solidFill>
          </w14:textFill>
        </w:rPr>
        <w:t>共同参加（项目名称</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以下简</w:t>
      </w:r>
      <w:r>
        <w:rPr>
          <w:rFonts w:hint="eastAsia" w:ascii="宋体" w:hAnsi="宋体" w:eastAsia="宋体" w:cs="宋体"/>
          <w:color w:val="000000" w:themeColor="text1"/>
          <w:spacing w:val="-2"/>
          <w:sz w:val="24"/>
          <w:szCs w:val="24"/>
          <w:highlight w:val="none"/>
          <w14:textFill>
            <w14:solidFill>
              <w14:schemeClr w14:val="tx1"/>
            </w14:solidFill>
          </w14:textFill>
        </w:rPr>
        <w:t>称“本项目”）的施工投标并争取赢得本项目施工承包</w:t>
      </w:r>
      <w:r>
        <w:rPr>
          <w:rFonts w:hint="eastAsia" w:ascii="宋体" w:hAnsi="宋体" w:eastAsia="宋体" w:cs="宋体"/>
          <w:color w:val="000000" w:themeColor="text1"/>
          <w:spacing w:val="-3"/>
          <w:sz w:val="24"/>
          <w:szCs w:val="24"/>
          <w:highlight w:val="none"/>
          <w14:textFill>
            <w14:solidFill>
              <w14:schemeClr w14:val="tx1"/>
            </w14:solidFill>
          </w14:textFill>
        </w:rPr>
        <w:t>合同（以下简称合同）。现就联</w:t>
      </w:r>
      <w:r>
        <w:rPr>
          <w:rFonts w:hint="eastAsia" w:ascii="宋体" w:hAnsi="宋体" w:eastAsia="宋体" w:cs="宋体"/>
          <w:color w:val="000000" w:themeColor="text1"/>
          <w:spacing w:val="-1"/>
          <w:sz w:val="24"/>
          <w:szCs w:val="24"/>
          <w:highlight w:val="none"/>
          <w14:textFill>
            <w14:solidFill>
              <w14:schemeClr w14:val="tx1"/>
            </w14:solidFill>
          </w14:textFill>
        </w:rPr>
        <w:t>合体投标事宜订立如下协议：</w:t>
      </w:r>
    </w:p>
    <w:p w14:paraId="46025530">
      <w:pPr>
        <w:keepNext w:val="0"/>
        <w:keepLines w:val="0"/>
        <w:pageBreakBefore w:val="0"/>
        <w:widowControl/>
        <w:kinsoku/>
        <w:wordWrap w:val="0"/>
        <w:overflowPunct/>
        <w:topLinePunct/>
        <w:autoSpaceDE w:val="0"/>
        <w:autoSpaceDN w:val="0"/>
        <w:bidi w:val="0"/>
        <w:adjustRightInd w:val="0"/>
        <w:snapToGrid w:val="0"/>
        <w:spacing w:before="33" w:line="264" w:lineRule="auto"/>
        <w:ind w:left="499"/>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pacing w:val="-3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某成员单位名称）为联合体牵头人。</w:t>
      </w:r>
    </w:p>
    <w:p w14:paraId="777360B7">
      <w:pPr>
        <w:keepNext w:val="0"/>
        <w:keepLines w:val="0"/>
        <w:pageBreakBefore w:val="0"/>
        <w:widowControl/>
        <w:kinsoku/>
        <w:wordWrap w:val="0"/>
        <w:overflowPunct/>
        <w:topLinePunct/>
        <w:autoSpaceDE w:val="0"/>
        <w:autoSpaceDN w:val="0"/>
        <w:bidi w:val="0"/>
        <w:adjustRightInd w:val="0"/>
        <w:snapToGrid w:val="0"/>
        <w:spacing w:before="156" w:line="264" w:lineRule="auto"/>
        <w:ind w:left="1" w:firstLine="474"/>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2．在本项目投标阶段，联合体牵头人合法代表联合体各成员负责本项目投标</w:t>
      </w:r>
      <w:r>
        <w:rPr>
          <w:rFonts w:hint="eastAsia" w:ascii="宋体" w:hAnsi="宋体" w:eastAsia="宋体" w:cs="宋体"/>
          <w:color w:val="000000" w:themeColor="text1"/>
          <w:spacing w:val="-2"/>
          <w:sz w:val="24"/>
          <w:szCs w:val="24"/>
          <w:highlight w:val="none"/>
          <w14:textFill>
            <w14:solidFill>
              <w14:schemeClr w14:val="tx1"/>
            </w14:solidFill>
          </w14:textFill>
        </w:rPr>
        <w:t>文件编制活动，代表联合体提交和接收相关的资料、信息及指示，并处理与投标和中标有关的一切事务；联合体中标后，联合体牵头人负责合同订立和合同实施阶段的主办、组织和协调工作。</w:t>
      </w:r>
    </w:p>
    <w:p w14:paraId="1FAED37A">
      <w:pPr>
        <w:keepNext w:val="0"/>
        <w:keepLines w:val="0"/>
        <w:pageBreakBefore w:val="0"/>
        <w:widowControl/>
        <w:kinsoku/>
        <w:wordWrap w:val="0"/>
        <w:overflowPunct/>
        <w:topLinePunct/>
        <w:autoSpaceDE w:val="0"/>
        <w:autoSpaceDN w:val="0"/>
        <w:bidi w:val="0"/>
        <w:adjustRightInd w:val="0"/>
        <w:snapToGrid w:val="0"/>
        <w:spacing w:before="153" w:line="264" w:lineRule="auto"/>
        <w:ind w:left="2" w:firstLine="478"/>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3．联合体将严格按照招标文件的各项要求，递交投标文件，履行</w:t>
      </w:r>
      <w:r>
        <w:rPr>
          <w:rFonts w:hint="eastAsia" w:ascii="宋体" w:hAnsi="宋体" w:eastAsia="宋体" w:cs="宋体"/>
          <w:color w:val="000000" w:themeColor="text1"/>
          <w:spacing w:val="-2"/>
          <w:sz w:val="24"/>
          <w:szCs w:val="24"/>
          <w:highlight w:val="none"/>
          <w14:textFill>
            <w14:solidFill>
              <w14:schemeClr w14:val="tx1"/>
            </w14:solidFill>
          </w14:textFill>
        </w:rPr>
        <w:t>投标义务和中标后的合同，共同承担合同规定的一切义务和责任，联合体各成员单位按照内部职责的部</w:t>
      </w:r>
      <w:r>
        <w:rPr>
          <w:rFonts w:hint="eastAsia" w:ascii="宋体" w:hAnsi="宋体" w:eastAsia="宋体" w:cs="宋体"/>
          <w:color w:val="000000" w:themeColor="text1"/>
          <w:spacing w:val="-1"/>
          <w:sz w:val="24"/>
          <w:szCs w:val="24"/>
          <w:highlight w:val="none"/>
          <w14:textFill>
            <w14:solidFill>
              <w14:schemeClr w14:val="tx1"/>
            </w14:solidFill>
          </w14:textFill>
        </w:rPr>
        <w:t>分，承担各自所负的责任和风险，并向招标人承担连带责任。</w:t>
      </w:r>
    </w:p>
    <w:p w14:paraId="7F2E6E1C">
      <w:pPr>
        <w:keepNext w:val="0"/>
        <w:keepLines w:val="0"/>
        <w:pageBreakBefore w:val="0"/>
        <w:widowControl/>
        <w:kinsoku/>
        <w:wordWrap w:val="0"/>
        <w:overflowPunct/>
        <w:topLinePunct/>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000000" w:themeColor="text1"/>
          <w:sz w:val="24"/>
          <w:szCs w:val="24"/>
          <w:highlight w:val="none"/>
          <w14:textFill>
            <w14:solidFill>
              <w14:schemeClr w14:val="tx1"/>
            </w14:solidFill>
          </w14:textFill>
        </w:rPr>
      </w:pPr>
      <w:bookmarkStart w:id="228" w:name="_Toc32149"/>
      <w:bookmarkStart w:id="229" w:name="_Toc5365"/>
      <w:r>
        <w:rPr>
          <w:rFonts w:hint="eastAsia" w:ascii="宋体" w:hAnsi="宋体" w:eastAsia="宋体" w:cs="宋体"/>
          <w:color w:val="000000" w:themeColor="text1"/>
          <w:spacing w:val="-2"/>
          <w:sz w:val="24"/>
          <w:szCs w:val="24"/>
          <w:highlight w:val="none"/>
          <w14:textFill>
            <w14:solidFill>
              <w14:schemeClr w14:val="tx1"/>
            </w14:solidFill>
          </w14:textFill>
        </w:rPr>
        <w:t>4．联合体各成员单位内部的职责分工如下：</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w:t>
      </w:r>
      <w:bookmarkEnd w:id="228"/>
      <w:bookmarkEnd w:id="229"/>
    </w:p>
    <w:p w14:paraId="234E1BC7">
      <w:pPr>
        <w:keepNext w:val="0"/>
        <w:keepLines w:val="0"/>
        <w:pageBreakBefore w:val="0"/>
        <w:widowControl/>
        <w:kinsoku/>
        <w:wordWrap w:val="0"/>
        <w:overflowPunct/>
        <w:topLinePunct/>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5．投标工作和联合体在中标后工程实施过程中的有关费用按</w:t>
      </w:r>
      <w:r>
        <w:rPr>
          <w:rFonts w:hint="eastAsia" w:ascii="宋体" w:hAnsi="宋体" w:eastAsia="宋体" w:cs="宋体"/>
          <w:color w:val="000000" w:themeColor="text1"/>
          <w:spacing w:val="-2"/>
          <w:sz w:val="24"/>
          <w:szCs w:val="24"/>
          <w:highlight w:val="none"/>
          <w14:textFill>
            <w14:solidFill>
              <w14:schemeClr w14:val="tx1"/>
            </w14:solidFill>
          </w14:textFill>
        </w:rPr>
        <w:t>各自承担的工作量分</w:t>
      </w:r>
      <w:r>
        <w:rPr>
          <w:rFonts w:hint="eastAsia" w:ascii="宋体" w:hAnsi="宋体" w:eastAsia="宋体" w:cs="宋体"/>
          <w:color w:val="000000" w:themeColor="text1"/>
          <w:spacing w:val="-5"/>
          <w:sz w:val="24"/>
          <w:szCs w:val="24"/>
          <w:highlight w:val="none"/>
          <w14:textFill>
            <w14:solidFill>
              <w14:schemeClr w14:val="tx1"/>
            </w14:solidFill>
          </w14:textFill>
        </w:rPr>
        <w:t>摊。</w:t>
      </w:r>
    </w:p>
    <w:p w14:paraId="19824303">
      <w:pPr>
        <w:keepNext w:val="0"/>
        <w:keepLines w:val="0"/>
        <w:pageBreakBefore w:val="0"/>
        <w:widowControl/>
        <w:kinsoku/>
        <w:wordWrap w:val="0"/>
        <w:overflowPunct/>
        <w:topLinePunct/>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6．联合体中标后，本联合体协议是合同的附件，对联合体各成</w:t>
      </w:r>
      <w:r>
        <w:rPr>
          <w:rFonts w:hint="eastAsia" w:ascii="宋体" w:hAnsi="宋体" w:eastAsia="宋体" w:cs="宋体"/>
          <w:color w:val="000000" w:themeColor="text1"/>
          <w:spacing w:val="-2"/>
          <w:sz w:val="24"/>
          <w:szCs w:val="24"/>
          <w:highlight w:val="none"/>
          <w14:textFill>
            <w14:solidFill>
              <w14:schemeClr w14:val="tx1"/>
            </w14:solidFill>
          </w14:textFill>
        </w:rPr>
        <w:t>员单位有合同约束</w:t>
      </w:r>
      <w:r>
        <w:rPr>
          <w:rFonts w:hint="eastAsia" w:ascii="宋体" w:hAnsi="宋体" w:eastAsia="宋体" w:cs="宋体"/>
          <w:color w:val="000000" w:themeColor="text1"/>
          <w:spacing w:val="-7"/>
          <w:sz w:val="24"/>
          <w:szCs w:val="24"/>
          <w:highlight w:val="none"/>
          <w14:textFill>
            <w14:solidFill>
              <w14:schemeClr w14:val="tx1"/>
            </w14:solidFill>
          </w14:textFill>
        </w:rPr>
        <w:t>力。</w:t>
      </w:r>
    </w:p>
    <w:p w14:paraId="73163561">
      <w:pPr>
        <w:keepNext w:val="0"/>
        <w:keepLines w:val="0"/>
        <w:pageBreakBefore w:val="0"/>
        <w:widowControl/>
        <w:kinsoku/>
        <w:wordWrap w:val="0"/>
        <w:overflowPunct/>
        <w:topLinePunct/>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7．本协议书自签署之日起生效，联合体未中标或者中标时合同履行</w:t>
      </w:r>
      <w:r>
        <w:rPr>
          <w:rFonts w:hint="eastAsia" w:ascii="宋体" w:hAnsi="宋体" w:eastAsia="宋体" w:cs="宋体"/>
          <w:color w:val="000000" w:themeColor="text1"/>
          <w:spacing w:val="-2"/>
          <w:sz w:val="24"/>
          <w:szCs w:val="24"/>
          <w:highlight w:val="none"/>
          <w14:textFill>
            <w14:solidFill>
              <w14:schemeClr w14:val="tx1"/>
            </w14:solidFill>
          </w14:textFill>
        </w:rPr>
        <w:t>完毕后自动失</w:t>
      </w:r>
      <w:r>
        <w:rPr>
          <w:rFonts w:hint="eastAsia" w:ascii="宋体" w:hAnsi="宋体" w:eastAsia="宋体" w:cs="宋体"/>
          <w:color w:val="000000" w:themeColor="text1"/>
          <w:spacing w:val="-8"/>
          <w:sz w:val="24"/>
          <w:szCs w:val="24"/>
          <w:highlight w:val="none"/>
          <w14:textFill>
            <w14:solidFill>
              <w14:schemeClr w14:val="tx1"/>
            </w14:solidFill>
          </w14:textFill>
        </w:rPr>
        <w:t>效。</w:t>
      </w:r>
    </w:p>
    <w:p w14:paraId="2BF05FC1">
      <w:pPr>
        <w:keepNext w:val="0"/>
        <w:keepLines w:val="0"/>
        <w:pageBreakBefore w:val="0"/>
        <w:widowControl/>
        <w:kinsoku/>
        <w:wordWrap w:val="0"/>
        <w:overflowPunct/>
        <w:topLinePunct/>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000000" w:themeColor="text1"/>
          <w:sz w:val="24"/>
          <w:szCs w:val="24"/>
          <w:highlight w:val="none"/>
          <w14:textFill>
            <w14:solidFill>
              <w14:schemeClr w14:val="tx1"/>
            </w14:solidFill>
          </w14:textFill>
        </w:rPr>
      </w:pPr>
      <w:bookmarkStart w:id="230" w:name="_Toc22612"/>
      <w:bookmarkStart w:id="231" w:name="_Toc26708"/>
      <w:r>
        <w:rPr>
          <w:rFonts w:hint="eastAsia" w:ascii="宋体" w:hAnsi="宋体" w:eastAsia="宋体" w:cs="宋体"/>
          <w:color w:val="000000" w:themeColor="text1"/>
          <w:spacing w:val="-2"/>
          <w:sz w:val="24"/>
          <w:szCs w:val="24"/>
          <w:highlight w:val="none"/>
          <w14:textFill>
            <w14:solidFill>
              <w14:schemeClr w14:val="tx1"/>
            </w14:solidFill>
          </w14:textFill>
        </w:rPr>
        <w:t>8．本协议书一式份，联合体成员和招标人各执一份。</w:t>
      </w:r>
      <w:bookmarkEnd w:id="230"/>
      <w:bookmarkEnd w:id="231"/>
    </w:p>
    <w:p w14:paraId="13F7FF97">
      <w:pPr>
        <w:keepNext w:val="0"/>
        <w:keepLines w:val="0"/>
        <w:pageBreakBefore w:val="0"/>
        <w:widowControl/>
        <w:kinsoku/>
        <w:wordWrap w:val="0"/>
        <w:overflowPunct/>
        <w:topLinePunct/>
        <w:autoSpaceDE w:val="0"/>
        <w:autoSpaceDN w:val="0"/>
        <w:bidi w:val="0"/>
        <w:adjustRightInd w:val="0"/>
        <w:snapToGrid w:val="0"/>
        <w:spacing w:before="78" w:line="264" w:lineRule="auto"/>
        <w:jc w:val="right"/>
        <w:textAlignment w:val="baseline"/>
        <w:rPr>
          <w:rFonts w:hint="eastAsia" w:ascii="宋体" w:hAnsi="宋体" w:eastAsia="宋体" w:cs="宋体"/>
          <w:color w:val="000000" w:themeColor="text1"/>
          <w:sz w:val="24"/>
          <w:szCs w:val="24"/>
          <w:highlight w:val="none"/>
          <w14:textFill>
            <w14:solidFill>
              <w14:schemeClr w14:val="tx1"/>
            </w14:solidFill>
          </w14:textFill>
        </w:rPr>
      </w:pPr>
      <w:bookmarkStart w:id="232" w:name="bookmark154"/>
      <w:bookmarkEnd w:id="232"/>
      <w:r>
        <w:rPr>
          <w:rFonts w:hint="eastAsia" w:ascii="宋体" w:hAnsi="宋体" w:eastAsia="宋体" w:cs="宋体"/>
          <w:color w:val="000000" w:themeColor="text1"/>
          <w:sz w:val="24"/>
          <w:szCs w:val="24"/>
          <w:highlight w:val="none"/>
          <w14:textFill>
            <w14:solidFill>
              <w14:schemeClr w14:val="tx1"/>
            </w14:solidFill>
          </w14:textFill>
        </w:rPr>
        <w:t>牵头人名称</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盖单位章）</w:t>
      </w:r>
    </w:p>
    <w:p w14:paraId="0C0B9917">
      <w:pPr>
        <w:pStyle w:val="5"/>
        <w:keepNext w:val="0"/>
        <w:keepLines w:val="0"/>
        <w:pageBreakBefore w:val="0"/>
        <w:widowControl/>
        <w:kinsoku/>
        <w:wordWrap w:val="0"/>
        <w:overflowPunct/>
        <w:topLinePunct/>
        <w:autoSpaceDE w:val="0"/>
        <w:autoSpaceDN w:val="0"/>
        <w:bidi w:val="0"/>
        <w:adjustRightInd w:val="0"/>
        <w:snapToGrid w:val="0"/>
        <w:spacing w:line="264" w:lineRule="auto"/>
        <w:textAlignment w:val="baseline"/>
        <w:rPr>
          <w:rFonts w:hint="eastAsia" w:ascii="宋体" w:hAnsi="宋体" w:eastAsia="宋体" w:cs="宋体"/>
          <w:color w:val="000000" w:themeColor="text1"/>
          <w:highlight w:val="none"/>
          <w14:textFill>
            <w14:solidFill>
              <w14:schemeClr w14:val="tx1"/>
            </w14:solidFill>
          </w14:textFill>
        </w:rPr>
      </w:pPr>
    </w:p>
    <w:p w14:paraId="469714A7">
      <w:pPr>
        <w:keepNext w:val="0"/>
        <w:keepLines w:val="0"/>
        <w:pageBreakBefore w:val="0"/>
        <w:widowControl/>
        <w:kinsoku/>
        <w:wordWrap w:val="0"/>
        <w:overflowPunct/>
        <w:topLinePunct/>
        <w:autoSpaceDE w:val="0"/>
        <w:autoSpaceDN w:val="0"/>
        <w:bidi w:val="0"/>
        <w:adjustRightInd w:val="0"/>
        <w:snapToGrid w:val="0"/>
        <w:spacing w:before="78" w:line="264" w:lineRule="auto"/>
        <w:jc w:val="righ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签字或盖章）</w:t>
      </w:r>
    </w:p>
    <w:p w14:paraId="0A6F20DB">
      <w:pPr>
        <w:keepNext w:val="0"/>
        <w:keepLines w:val="0"/>
        <w:pageBreakBefore w:val="0"/>
        <w:widowControl/>
        <w:kinsoku/>
        <w:wordWrap w:val="0"/>
        <w:overflowPunct/>
        <w:topLinePunct/>
        <w:autoSpaceDE w:val="0"/>
        <w:autoSpaceDN w:val="0"/>
        <w:bidi w:val="0"/>
        <w:adjustRightInd w:val="0"/>
        <w:snapToGrid w:val="0"/>
        <w:spacing w:before="78" w:line="264" w:lineRule="auto"/>
        <w:jc w:val="righ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成员二名称</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盖单位章）</w:t>
      </w:r>
    </w:p>
    <w:p w14:paraId="47C1DDCC">
      <w:pPr>
        <w:pStyle w:val="5"/>
        <w:keepNext w:val="0"/>
        <w:keepLines w:val="0"/>
        <w:pageBreakBefore w:val="0"/>
        <w:widowControl/>
        <w:kinsoku/>
        <w:wordWrap w:val="0"/>
        <w:overflowPunct/>
        <w:topLinePunct/>
        <w:autoSpaceDE w:val="0"/>
        <w:autoSpaceDN w:val="0"/>
        <w:bidi w:val="0"/>
        <w:adjustRightInd w:val="0"/>
        <w:snapToGrid w:val="0"/>
        <w:spacing w:line="264" w:lineRule="auto"/>
        <w:textAlignment w:val="baseline"/>
        <w:rPr>
          <w:rFonts w:hint="eastAsia" w:ascii="宋体" w:hAnsi="宋体" w:eastAsia="宋体" w:cs="宋体"/>
          <w:color w:val="000000" w:themeColor="text1"/>
          <w:highlight w:val="none"/>
          <w14:textFill>
            <w14:solidFill>
              <w14:schemeClr w14:val="tx1"/>
            </w14:solidFill>
          </w14:textFill>
        </w:rPr>
      </w:pPr>
    </w:p>
    <w:p w14:paraId="0F5DA81B">
      <w:pPr>
        <w:keepNext w:val="0"/>
        <w:keepLines w:val="0"/>
        <w:pageBreakBefore w:val="0"/>
        <w:widowControl/>
        <w:kinsoku/>
        <w:wordWrap w:val="0"/>
        <w:overflowPunct/>
        <w:topLinePunct/>
        <w:autoSpaceDE w:val="0"/>
        <w:autoSpaceDN w:val="0"/>
        <w:bidi w:val="0"/>
        <w:adjustRightInd w:val="0"/>
        <w:snapToGrid w:val="0"/>
        <w:spacing w:before="78" w:line="264" w:lineRule="auto"/>
        <w:jc w:val="right"/>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 w:val="24"/>
          <w:szCs w:val="24"/>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签字或盖章）</w:t>
      </w:r>
    </w:p>
    <w:p w14:paraId="72B1623E">
      <w:pPr>
        <w:pageBreakBefore w:val="0"/>
        <w:kinsoku/>
        <w:wordWrap w:val="0"/>
        <w:overflowPunct/>
        <w:topLinePunct/>
        <w:bidi w:val="0"/>
        <w:spacing w:before="78" w:line="220" w:lineRule="auto"/>
        <w:ind w:left="673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1850631A">
      <w:pPr>
        <w:pStyle w:val="5"/>
        <w:keepNext w:val="0"/>
        <w:keepLines w:val="0"/>
        <w:pageBreakBefore w:val="0"/>
        <w:widowControl/>
        <w:kinsoku/>
        <w:wordWrap w:val="0"/>
        <w:overflowPunct/>
        <w:topLinePunct/>
        <w:autoSpaceDE w:val="0"/>
        <w:autoSpaceDN w:val="0"/>
        <w:bidi w:val="0"/>
        <w:adjustRightInd w:val="0"/>
        <w:snapToGrid w:val="0"/>
        <w:spacing w:line="264" w:lineRule="auto"/>
        <w:textAlignment w:val="baseline"/>
        <w:rPr>
          <w:rFonts w:hint="eastAsia" w:ascii="宋体" w:hAnsi="宋体" w:eastAsia="宋体" w:cs="宋体"/>
          <w:color w:val="000000" w:themeColor="text1"/>
          <w:highlight w:val="none"/>
          <w14:textFill>
            <w14:solidFill>
              <w14:schemeClr w14:val="tx1"/>
            </w14:solidFill>
          </w14:textFill>
        </w:rPr>
      </w:pPr>
    </w:p>
    <w:p w14:paraId="53CEED95">
      <w:pPr>
        <w:keepNext w:val="0"/>
        <w:keepLines w:val="0"/>
        <w:pageBreakBefore w:val="0"/>
        <w:widowControl/>
        <w:kinsoku/>
        <w:wordWrap w:val="0"/>
        <w:overflowPunct/>
        <w:topLinePunct/>
        <w:autoSpaceDE w:val="0"/>
        <w:autoSpaceDN w:val="0"/>
        <w:bidi w:val="0"/>
        <w:adjustRightInd w:val="0"/>
        <w:snapToGrid w:val="0"/>
        <w:spacing w:before="65" w:line="264" w:lineRule="auto"/>
        <w:ind w:right="22"/>
        <w:jc w:val="both"/>
        <w:textAlignment w:val="baseline"/>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pacing w:val="9"/>
          <w:sz w:val="20"/>
          <w:szCs w:val="20"/>
          <w:highlight w:val="none"/>
          <w14:textFill>
            <w14:solidFill>
              <w14:schemeClr w14:val="tx1"/>
            </w14:solidFill>
          </w14:textFill>
        </w:rPr>
        <w:t>说明：《联合体协议书》</w:t>
      </w:r>
      <w:r>
        <w:rPr>
          <w:rFonts w:hint="eastAsia" w:ascii="宋体" w:hAnsi="宋体" w:eastAsia="宋体" w:cs="宋体"/>
          <w:color w:val="000000" w:themeColor="text1"/>
          <w:spacing w:val="-55"/>
          <w:sz w:val="20"/>
          <w:szCs w:val="20"/>
          <w:highlight w:val="none"/>
          <w14:textFill>
            <w14:solidFill>
              <w14:schemeClr w14:val="tx1"/>
            </w14:solidFill>
          </w14:textFill>
        </w:rPr>
        <w:t xml:space="preserve"> </w:t>
      </w:r>
      <w:r>
        <w:rPr>
          <w:rFonts w:hint="eastAsia" w:ascii="宋体" w:hAnsi="宋体" w:eastAsia="宋体" w:cs="宋体"/>
          <w:color w:val="000000" w:themeColor="text1"/>
          <w:spacing w:val="9"/>
          <w:sz w:val="20"/>
          <w:szCs w:val="20"/>
          <w:highlight w:val="none"/>
          <w14:textFill>
            <w14:solidFill>
              <w14:schemeClr w14:val="tx1"/>
            </w14:solidFill>
          </w14:textFill>
        </w:rPr>
        <w:t>由委托代理人签字或盖章的，</w:t>
      </w:r>
      <w:r>
        <w:rPr>
          <w:rFonts w:hint="eastAsia" w:ascii="宋体" w:hAnsi="宋体" w:eastAsia="宋体" w:cs="宋体"/>
          <w:color w:val="000000" w:themeColor="text1"/>
          <w:spacing w:val="8"/>
          <w:sz w:val="20"/>
          <w:szCs w:val="20"/>
          <w:highlight w:val="none"/>
          <w14:textFill>
            <w14:solidFill>
              <w14:schemeClr w14:val="tx1"/>
            </w14:solidFill>
          </w14:textFill>
        </w:rPr>
        <w:t>应附法定代表人签字或盖章的授权委托</w:t>
      </w:r>
      <w:r>
        <w:rPr>
          <w:rFonts w:hint="eastAsia" w:ascii="宋体" w:hAnsi="宋体" w:eastAsia="宋体" w:cs="宋体"/>
          <w:color w:val="000000" w:themeColor="text1"/>
          <w:spacing w:val="-2"/>
          <w:sz w:val="20"/>
          <w:szCs w:val="20"/>
          <w:highlight w:val="none"/>
          <w14:textFill>
            <w14:solidFill>
              <w14:schemeClr w14:val="tx1"/>
            </w14:solidFill>
          </w14:textFill>
        </w:rPr>
        <w:t>书。</w:t>
      </w:r>
    </w:p>
    <w:p w14:paraId="175A7222">
      <w:pPr>
        <w:keepNext w:val="0"/>
        <w:keepLines w:val="0"/>
        <w:pageBreakBefore w:val="0"/>
        <w:widowControl/>
        <w:kinsoku/>
        <w:wordWrap w:val="0"/>
        <w:overflowPunct/>
        <w:topLinePunct/>
        <w:autoSpaceDE w:val="0"/>
        <w:autoSpaceDN w:val="0"/>
        <w:bidi w:val="0"/>
        <w:adjustRightInd w:val="0"/>
        <w:snapToGrid w:val="0"/>
        <w:spacing w:line="264" w:lineRule="auto"/>
        <w:textAlignment w:val="baseline"/>
        <w:rPr>
          <w:rFonts w:hint="eastAsia" w:ascii="宋体" w:hAnsi="宋体" w:eastAsia="宋体" w:cs="宋体"/>
          <w:color w:val="000000" w:themeColor="text1"/>
          <w:sz w:val="20"/>
          <w:szCs w:val="20"/>
          <w:highlight w:val="none"/>
          <w14:textFill>
            <w14:solidFill>
              <w14:schemeClr w14:val="tx1"/>
            </w14:solidFill>
          </w14:textFill>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BA5920F">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33" w:name="_Toc17352"/>
      <w:r>
        <w:rPr>
          <w:rFonts w:hint="eastAsia" w:ascii="宋体" w:hAnsi="宋体" w:eastAsia="宋体" w:cs="宋体"/>
          <w:b/>
          <w:bCs/>
          <w:color w:val="000000" w:themeColor="text1"/>
          <w:spacing w:val="-4"/>
          <w:sz w:val="24"/>
          <w:szCs w:val="24"/>
          <w:highlight w:val="none"/>
          <w14:textFill>
            <w14:solidFill>
              <w14:schemeClr w14:val="tx1"/>
            </w14:solidFill>
          </w14:textFill>
        </w:rPr>
        <w:t>格式七 投标人基本情况表</w:t>
      </w:r>
      <w:bookmarkEnd w:id="233"/>
    </w:p>
    <w:p w14:paraId="5BABD592">
      <w:pPr>
        <w:pageBreakBefore w:val="0"/>
        <w:kinsoku/>
        <w:wordWrap w:val="0"/>
        <w:overflowPunct/>
        <w:topLinePunct/>
        <w:bidi w:val="0"/>
        <w:spacing w:before="333" w:line="219" w:lineRule="auto"/>
        <w:ind w:left="3350"/>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pacing w:val="-5"/>
          <w:sz w:val="30"/>
          <w:szCs w:val="30"/>
          <w:highlight w:val="none"/>
          <w14:textFill>
            <w14:solidFill>
              <w14:schemeClr w14:val="tx1"/>
            </w14:solidFill>
          </w14:textFill>
        </w:rPr>
        <w:t>投标人基本情况表</w:t>
      </w:r>
    </w:p>
    <w:p w14:paraId="30668114">
      <w:pPr>
        <w:pageBreakBefore w:val="0"/>
        <w:kinsoku/>
        <w:wordWrap w:val="0"/>
        <w:overflowPunct/>
        <w:topLinePunct/>
        <w:bidi w:val="0"/>
        <w:spacing w:line="239" w:lineRule="exact"/>
        <w:rPr>
          <w:rFonts w:hint="eastAsia" w:ascii="宋体" w:hAnsi="宋体" w:eastAsia="宋体" w:cs="宋体"/>
          <w:color w:val="000000" w:themeColor="text1"/>
          <w:highlight w:val="none"/>
          <w14:textFill>
            <w14:solidFill>
              <w14:schemeClr w14:val="tx1"/>
            </w14:solidFill>
          </w14:textFill>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5AFE9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78CB35E7">
            <w:pPr>
              <w:pageBreakBefore w:val="0"/>
              <w:kinsoku/>
              <w:wordWrap w:val="0"/>
              <w:overflowPunct/>
              <w:topLinePunct/>
              <w:bidi w:val="0"/>
              <w:spacing w:before="149" w:line="229" w:lineRule="auto"/>
              <w:ind w:left="228"/>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投标人名称</w:t>
            </w:r>
          </w:p>
        </w:tc>
        <w:tc>
          <w:tcPr>
            <w:tcW w:w="7639" w:type="dxa"/>
            <w:gridSpan w:val="8"/>
            <w:vAlign w:val="top"/>
          </w:tcPr>
          <w:p w14:paraId="7440079E">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38BBD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5EA066EA">
            <w:pPr>
              <w:pageBreakBefore w:val="0"/>
              <w:kinsoku/>
              <w:wordWrap w:val="0"/>
              <w:overflowPunct/>
              <w:topLinePunct/>
              <w:bidi w:val="0"/>
              <w:spacing w:before="144" w:line="230" w:lineRule="auto"/>
              <w:ind w:left="3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注册地址</w:t>
            </w:r>
          </w:p>
        </w:tc>
        <w:tc>
          <w:tcPr>
            <w:tcW w:w="3684" w:type="dxa"/>
            <w:gridSpan w:val="3"/>
            <w:vAlign w:val="top"/>
          </w:tcPr>
          <w:p w14:paraId="1F3BBE7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54" w:type="dxa"/>
            <w:gridSpan w:val="2"/>
            <w:vAlign w:val="top"/>
          </w:tcPr>
          <w:p w14:paraId="2875C901">
            <w:pPr>
              <w:pageBreakBefore w:val="0"/>
              <w:kinsoku/>
              <w:wordWrap w:val="0"/>
              <w:overflowPunct/>
              <w:topLinePunct/>
              <w:bidi w:val="0"/>
              <w:spacing w:before="144" w:line="228" w:lineRule="auto"/>
              <w:ind w:left="22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邮政编码</w:t>
            </w:r>
          </w:p>
        </w:tc>
        <w:tc>
          <w:tcPr>
            <w:tcW w:w="2601" w:type="dxa"/>
            <w:gridSpan w:val="3"/>
            <w:vAlign w:val="top"/>
          </w:tcPr>
          <w:p w14:paraId="5B503F13">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48849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257638F3">
            <w:pPr>
              <w:pStyle w:val="21"/>
              <w:pageBreakBefore w:val="0"/>
              <w:kinsoku/>
              <w:wordWrap w:val="0"/>
              <w:overflowPunct/>
              <w:topLinePunct/>
              <w:bidi w:val="0"/>
              <w:spacing w:line="332" w:lineRule="auto"/>
              <w:rPr>
                <w:rFonts w:hint="eastAsia" w:ascii="宋体" w:hAnsi="宋体" w:eastAsia="宋体" w:cs="宋体"/>
                <w:color w:val="000000" w:themeColor="text1"/>
                <w:sz w:val="24"/>
                <w:szCs w:val="24"/>
                <w:highlight w:val="none"/>
                <w14:textFill>
                  <w14:solidFill>
                    <w14:schemeClr w14:val="tx1"/>
                  </w14:solidFill>
                </w14:textFill>
              </w:rPr>
            </w:pPr>
          </w:p>
          <w:p w14:paraId="688571C8">
            <w:pPr>
              <w:pageBreakBefore w:val="0"/>
              <w:kinsoku/>
              <w:wordWrap w:val="0"/>
              <w:overflowPunct/>
              <w:topLinePunct/>
              <w:bidi w:val="0"/>
              <w:spacing w:before="65" w:line="230" w:lineRule="auto"/>
              <w:ind w:left="32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联系方式</w:t>
            </w:r>
          </w:p>
        </w:tc>
        <w:tc>
          <w:tcPr>
            <w:tcW w:w="975" w:type="dxa"/>
            <w:vAlign w:val="top"/>
          </w:tcPr>
          <w:p w14:paraId="2FD2546D">
            <w:pPr>
              <w:pageBreakBefore w:val="0"/>
              <w:kinsoku/>
              <w:wordWrap w:val="0"/>
              <w:overflowPunct/>
              <w:topLinePunct/>
              <w:bidi w:val="0"/>
              <w:spacing w:before="145" w:line="231" w:lineRule="auto"/>
              <w:ind w:left="13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联系人</w:t>
            </w:r>
          </w:p>
        </w:tc>
        <w:tc>
          <w:tcPr>
            <w:tcW w:w="2709" w:type="dxa"/>
            <w:gridSpan w:val="2"/>
            <w:vAlign w:val="top"/>
          </w:tcPr>
          <w:p w14:paraId="223BAF2A">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54" w:type="dxa"/>
            <w:gridSpan w:val="2"/>
            <w:vAlign w:val="top"/>
          </w:tcPr>
          <w:p w14:paraId="10C99B0B">
            <w:pPr>
              <w:pageBreakBefore w:val="0"/>
              <w:kinsoku/>
              <w:wordWrap w:val="0"/>
              <w:overflowPunct/>
              <w:topLinePunct/>
              <w:bidi w:val="0"/>
              <w:spacing w:before="145" w:line="231" w:lineRule="auto"/>
              <w:ind w:left="3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电</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2"/>
                <w:sz w:val="24"/>
                <w:szCs w:val="24"/>
                <w:highlight w:val="none"/>
                <w14:textFill>
                  <w14:solidFill>
                    <w14:schemeClr w14:val="tx1"/>
                  </w14:solidFill>
                </w14:textFill>
              </w:rPr>
              <w:t>话</w:t>
            </w:r>
          </w:p>
        </w:tc>
        <w:tc>
          <w:tcPr>
            <w:tcW w:w="2601" w:type="dxa"/>
            <w:gridSpan w:val="3"/>
            <w:vAlign w:val="top"/>
          </w:tcPr>
          <w:p w14:paraId="0454800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21DD0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4E4C92F5">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975" w:type="dxa"/>
            <w:vAlign w:val="top"/>
          </w:tcPr>
          <w:p w14:paraId="6D225BD1">
            <w:pPr>
              <w:pageBreakBefore w:val="0"/>
              <w:kinsoku/>
              <w:wordWrap w:val="0"/>
              <w:overflowPunct/>
              <w:topLinePunct/>
              <w:bidi w:val="0"/>
              <w:spacing w:before="143" w:line="228" w:lineRule="auto"/>
              <w:ind w:left="13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传</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
                <w:sz w:val="24"/>
                <w:szCs w:val="24"/>
                <w:highlight w:val="none"/>
                <w14:textFill>
                  <w14:solidFill>
                    <w14:schemeClr w14:val="tx1"/>
                  </w14:solidFill>
                </w14:textFill>
              </w:rPr>
              <w:t>真</w:t>
            </w:r>
          </w:p>
        </w:tc>
        <w:tc>
          <w:tcPr>
            <w:tcW w:w="2709" w:type="dxa"/>
            <w:gridSpan w:val="2"/>
            <w:vAlign w:val="top"/>
          </w:tcPr>
          <w:p w14:paraId="0AC50E82">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54" w:type="dxa"/>
            <w:gridSpan w:val="2"/>
            <w:vAlign w:val="top"/>
          </w:tcPr>
          <w:p w14:paraId="28B238EA">
            <w:pPr>
              <w:pageBreakBefore w:val="0"/>
              <w:kinsoku/>
              <w:wordWrap w:val="0"/>
              <w:overflowPunct/>
              <w:topLinePunct/>
              <w:bidi w:val="0"/>
              <w:spacing w:before="144" w:line="229" w:lineRule="auto"/>
              <w:ind w:left="23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电子邮箱</w:t>
            </w:r>
          </w:p>
        </w:tc>
        <w:tc>
          <w:tcPr>
            <w:tcW w:w="2601" w:type="dxa"/>
            <w:gridSpan w:val="3"/>
            <w:vAlign w:val="top"/>
          </w:tcPr>
          <w:p w14:paraId="605FC990">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29887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533F47AC">
            <w:pPr>
              <w:pageBreakBefore w:val="0"/>
              <w:kinsoku/>
              <w:wordWrap w:val="0"/>
              <w:overflowPunct/>
              <w:topLinePunct/>
              <w:bidi w:val="0"/>
              <w:spacing w:before="145" w:line="229" w:lineRule="auto"/>
              <w:ind w:left="3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单位性质</w:t>
            </w:r>
          </w:p>
        </w:tc>
        <w:tc>
          <w:tcPr>
            <w:tcW w:w="7639" w:type="dxa"/>
            <w:gridSpan w:val="8"/>
            <w:vAlign w:val="top"/>
          </w:tcPr>
          <w:p w14:paraId="0B17F8C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0BA6A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0B9046DE">
            <w:pPr>
              <w:pageBreakBefore w:val="0"/>
              <w:kinsoku/>
              <w:wordWrap w:val="0"/>
              <w:overflowPunct/>
              <w:topLinePunct/>
              <w:bidi w:val="0"/>
              <w:spacing w:before="144" w:line="228" w:lineRule="auto"/>
              <w:ind w:left="22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法定代表人</w:t>
            </w:r>
          </w:p>
        </w:tc>
        <w:tc>
          <w:tcPr>
            <w:tcW w:w="975" w:type="dxa"/>
            <w:vAlign w:val="top"/>
          </w:tcPr>
          <w:p w14:paraId="6F678C6A">
            <w:pPr>
              <w:pageBreakBefore w:val="0"/>
              <w:kinsoku/>
              <w:wordWrap w:val="0"/>
              <w:overflowPunct/>
              <w:topLinePunct/>
              <w:bidi w:val="0"/>
              <w:spacing w:before="144" w:line="228" w:lineRule="auto"/>
              <w:ind w:left="2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姓名</w:t>
            </w:r>
          </w:p>
        </w:tc>
        <w:tc>
          <w:tcPr>
            <w:tcW w:w="1837" w:type="dxa"/>
            <w:vAlign w:val="top"/>
          </w:tcPr>
          <w:p w14:paraId="27368C2C">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Align w:val="top"/>
          </w:tcPr>
          <w:p w14:paraId="28993396">
            <w:pPr>
              <w:pageBreakBefore w:val="0"/>
              <w:kinsoku/>
              <w:wordWrap w:val="0"/>
              <w:overflowPunct/>
              <w:topLinePunct/>
              <w:bidi w:val="0"/>
              <w:spacing w:before="144" w:line="228" w:lineRule="auto"/>
              <w:ind w:left="1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技术职称</w:t>
            </w:r>
          </w:p>
        </w:tc>
        <w:tc>
          <w:tcPr>
            <w:tcW w:w="1326" w:type="dxa"/>
            <w:gridSpan w:val="2"/>
            <w:vAlign w:val="top"/>
          </w:tcPr>
          <w:p w14:paraId="04C70FE3">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770" w:type="dxa"/>
            <w:vAlign w:val="top"/>
          </w:tcPr>
          <w:p w14:paraId="4F97ABA8">
            <w:pPr>
              <w:pageBreakBefore w:val="0"/>
              <w:kinsoku/>
              <w:wordWrap w:val="0"/>
              <w:overflowPunct/>
              <w:topLinePunct/>
              <w:bidi w:val="0"/>
              <w:spacing w:before="143" w:line="231" w:lineRule="auto"/>
              <w:ind w:left="17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电话</w:t>
            </w:r>
          </w:p>
        </w:tc>
        <w:tc>
          <w:tcPr>
            <w:tcW w:w="1548" w:type="dxa"/>
            <w:vAlign w:val="top"/>
          </w:tcPr>
          <w:p w14:paraId="0DBD24CE">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0FF49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4793F17A">
            <w:pPr>
              <w:pageBreakBefore w:val="0"/>
              <w:kinsoku/>
              <w:wordWrap w:val="0"/>
              <w:overflowPunct/>
              <w:topLinePunct/>
              <w:bidi w:val="0"/>
              <w:spacing w:before="145" w:line="230" w:lineRule="auto"/>
              <w:ind w:left="3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成立时间</w:t>
            </w:r>
          </w:p>
        </w:tc>
        <w:tc>
          <w:tcPr>
            <w:tcW w:w="2812" w:type="dxa"/>
            <w:gridSpan w:val="2"/>
            <w:vAlign w:val="top"/>
          </w:tcPr>
          <w:p w14:paraId="00564440">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4827" w:type="dxa"/>
            <w:gridSpan w:val="6"/>
            <w:vAlign w:val="top"/>
          </w:tcPr>
          <w:p w14:paraId="7E5C0FF8">
            <w:pPr>
              <w:pageBreakBefore w:val="0"/>
              <w:kinsoku/>
              <w:wordWrap w:val="0"/>
              <w:overflowPunct/>
              <w:topLinePunct/>
              <w:bidi w:val="0"/>
              <w:spacing w:before="145" w:line="228" w:lineRule="auto"/>
              <w:ind w:left="12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员工总人数（个</w:t>
            </w:r>
            <w:r>
              <w:rPr>
                <w:rFonts w:hint="eastAsia" w:ascii="宋体" w:hAnsi="宋体" w:eastAsia="宋体" w:cs="宋体"/>
                <w:color w:val="000000" w:themeColor="text1"/>
                <w:sz w:val="24"/>
                <w:szCs w:val="24"/>
                <w:highlight w:val="none"/>
                <w14:textFill>
                  <w14:solidFill>
                    <w14:schemeClr w14:val="tx1"/>
                  </w14:solidFill>
                </w14:textFill>
              </w:rPr>
              <w:t>）：</w:t>
            </w:r>
          </w:p>
        </w:tc>
      </w:tr>
      <w:tr w14:paraId="4EBCF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D30597">
            <w:pPr>
              <w:pageBreakBefore w:val="0"/>
              <w:kinsoku/>
              <w:wordWrap w:val="0"/>
              <w:overflowPunct/>
              <w:topLinePunct/>
              <w:bidi w:val="0"/>
              <w:spacing w:before="61" w:line="262" w:lineRule="auto"/>
              <w:ind w:right="220"/>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企业资质</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类型和等级</w:t>
            </w:r>
          </w:p>
        </w:tc>
        <w:tc>
          <w:tcPr>
            <w:tcW w:w="2812" w:type="dxa"/>
            <w:gridSpan w:val="2"/>
            <w:vAlign w:val="top"/>
          </w:tcPr>
          <w:p w14:paraId="2DAC09BC">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restart"/>
            <w:tcBorders>
              <w:bottom w:val="nil"/>
            </w:tcBorders>
            <w:vAlign w:val="top"/>
          </w:tcPr>
          <w:p w14:paraId="0DBE6EC9">
            <w:pPr>
              <w:pStyle w:val="21"/>
              <w:pageBreakBefore w:val="0"/>
              <w:kinsoku/>
              <w:wordWrap w:val="0"/>
              <w:overflowPunct/>
              <w:topLinePunct/>
              <w:bidi w:val="0"/>
              <w:spacing w:line="254" w:lineRule="auto"/>
              <w:rPr>
                <w:rFonts w:hint="eastAsia" w:ascii="宋体" w:hAnsi="宋体" w:eastAsia="宋体" w:cs="宋体"/>
                <w:color w:val="000000" w:themeColor="text1"/>
                <w:sz w:val="24"/>
                <w:szCs w:val="24"/>
                <w:highlight w:val="none"/>
                <w14:textFill>
                  <w14:solidFill>
                    <w14:schemeClr w14:val="tx1"/>
                  </w14:solidFill>
                </w14:textFill>
              </w:rPr>
            </w:pPr>
          </w:p>
          <w:p w14:paraId="06E917A0">
            <w:pPr>
              <w:pStyle w:val="21"/>
              <w:pageBreakBefore w:val="0"/>
              <w:kinsoku/>
              <w:wordWrap w:val="0"/>
              <w:overflowPunct/>
              <w:topLinePunct/>
              <w:bidi w:val="0"/>
              <w:spacing w:line="254" w:lineRule="auto"/>
              <w:rPr>
                <w:rFonts w:hint="eastAsia" w:ascii="宋体" w:hAnsi="宋体" w:eastAsia="宋体" w:cs="宋体"/>
                <w:color w:val="000000" w:themeColor="text1"/>
                <w:sz w:val="24"/>
                <w:szCs w:val="24"/>
                <w:highlight w:val="none"/>
                <w14:textFill>
                  <w14:solidFill>
                    <w14:schemeClr w14:val="tx1"/>
                  </w14:solidFill>
                </w14:textFill>
              </w:rPr>
            </w:pPr>
          </w:p>
          <w:p w14:paraId="7A9D635A">
            <w:pPr>
              <w:pStyle w:val="21"/>
              <w:pageBreakBefore w:val="0"/>
              <w:kinsoku/>
              <w:wordWrap w:val="0"/>
              <w:overflowPunct/>
              <w:topLinePunct/>
              <w:bidi w:val="0"/>
              <w:spacing w:line="254" w:lineRule="auto"/>
              <w:rPr>
                <w:rFonts w:hint="eastAsia" w:ascii="宋体" w:hAnsi="宋体" w:eastAsia="宋体" w:cs="宋体"/>
                <w:color w:val="000000" w:themeColor="text1"/>
                <w:sz w:val="24"/>
                <w:szCs w:val="24"/>
                <w:highlight w:val="none"/>
                <w14:textFill>
                  <w14:solidFill>
                    <w14:schemeClr w14:val="tx1"/>
                  </w14:solidFill>
                </w14:textFill>
              </w:rPr>
            </w:pPr>
          </w:p>
          <w:p w14:paraId="7C0A571B">
            <w:pPr>
              <w:pStyle w:val="21"/>
              <w:pageBreakBefore w:val="0"/>
              <w:kinsoku/>
              <w:wordWrap w:val="0"/>
              <w:overflowPunct/>
              <w:topLinePunct/>
              <w:bidi w:val="0"/>
              <w:spacing w:line="254" w:lineRule="auto"/>
              <w:rPr>
                <w:rFonts w:hint="eastAsia" w:ascii="宋体" w:hAnsi="宋体" w:eastAsia="宋体" w:cs="宋体"/>
                <w:color w:val="000000" w:themeColor="text1"/>
                <w:sz w:val="24"/>
                <w:szCs w:val="24"/>
                <w:highlight w:val="none"/>
                <w14:textFill>
                  <w14:solidFill>
                    <w14:schemeClr w14:val="tx1"/>
                  </w14:solidFill>
                </w14:textFill>
              </w:rPr>
            </w:pPr>
          </w:p>
          <w:p w14:paraId="6862F764">
            <w:pPr>
              <w:pStyle w:val="21"/>
              <w:pageBreakBefore w:val="0"/>
              <w:kinsoku/>
              <w:wordWrap w:val="0"/>
              <w:overflowPunct/>
              <w:topLinePunct/>
              <w:bidi w:val="0"/>
              <w:spacing w:line="255" w:lineRule="auto"/>
              <w:rPr>
                <w:rFonts w:hint="eastAsia" w:ascii="宋体" w:hAnsi="宋体" w:eastAsia="宋体" w:cs="宋体"/>
                <w:color w:val="000000" w:themeColor="text1"/>
                <w:sz w:val="24"/>
                <w:szCs w:val="24"/>
                <w:highlight w:val="none"/>
                <w14:textFill>
                  <w14:solidFill>
                    <w14:schemeClr w14:val="tx1"/>
                  </w14:solidFill>
                </w14:textFill>
              </w:rPr>
            </w:pPr>
          </w:p>
          <w:p w14:paraId="266F68E4">
            <w:pPr>
              <w:pageBreakBefore w:val="0"/>
              <w:kinsoku/>
              <w:wordWrap w:val="0"/>
              <w:overflowPunct/>
              <w:topLinePunct/>
              <w:bidi w:val="0"/>
              <w:spacing w:before="65" w:line="229" w:lineRule="auto"/>
              <w:ind w:left="3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其中</w:t>
            </w:r>
          </w:p>
        </w:tc>
        <w:tc>
          <w:tcPr>
            <w:tcW w:w="2096" w:type="dxa"/>
            <w:gridSpan w:val="3"/>
            <w:vAlign w:val="top"/>
          </w:tcPr>
          <w:p w14:paraId="6FDE5D18">
            <w:pPr>
              <w:pageBreakBefore w:val="0"/>
              <w:kinsoku/>
              <w:wordWrap w:val="0"/>
              <w:overflowPunct/>
              <w:topLinePunct/>
              <w:bidi w:val="0"/>
              <w:spacing w:before="214" w:line="229" w:lineRule="auto"/>
              <w:ind w:left="55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项目经理</w:t>
            </w:r>
          </w:p>
        </w:tc>
        <w:tc>
          <w:tcPr>
            <w:tcW w:w="1548" w:type="dxa"/>
            <w:vAlign w:val="top"/>
          </w:tcPr>
          <w:p w14:paraId="3BAADDB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3ED4A4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767EC070">
            <w:pPr>
              <w:pageBreakBefore w:val="0"/>
              <w:kinsoku/>
              <w:wordWrap w:val="0"/>
              <w:overflowPunct/>
              <w:topLinePunct/>
              <w:bidi w:val="0"/>
              <w:spacing w:before="146" w:line="228" w:lineRule="auto"/>
              <w:ind w:left="23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营业执照号</w:t>
            </w:r>
          </w:p>
        </w:tc>
        <w:tc>
          <w:tcPr>
            <w:tcW w:w="2812" w:type="dxa"/>
            <w:gridSpan w:val="2"/>
            <w:vAlign w:val="top"/>
          </w:tcPr>
          <w:p w14:paraId="72A87ABC">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vAlign w:val="top"/>
          </w:tcPr>
          <w:p w14:paraId="36B694DF">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96" w:type="dxa"/>
            <w:gridSpan w:val="3"/>
            <w:vAlign w:val="top"/>
          </w:tcPr>
          <w:p w14:paraId="12F76270">
            <w:pPr>
              <w:pageBreakBefore w:val="0"/>
              <w:kinsoku/>
              <w:wordWrap w:val="0"/>
              <w:overflowPunct/>
              <w:topLinePunct/>
              <w:bidi w:val="0"/>
              <w:spacing w:before="146" w:line="228" w:lineRule="auto"/>
              <w:ind w:left="3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高级职称人员</w:t>
            </w:r>
          </w:p>
        </w:tc>
        <w:tc>
          <w:tcPr>
            <w:tcW w:w="1548" w:type="dxa"/>
            <w:vAlign w:val="top"/>
          </w:tcPr>
          <w:p w14:paraId="32BF8BBA">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17A79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46985813">
            <w:pPr>
              <w:pageBreakBefore w:val="0"/>
              <w:kinsoku/>
              <w:wordWrap w:val="0"/>
              <w:overflowPunct/>
              <w:topLinePunct/>
              <w:bidi w:val="0"/>
              <w:spacing w:before="146" w:line="230" w:lineRule="auto"/>
              <w:ind w:left="3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注册资金</w:t>
            </w:r>
          </w:p>
        </w:tc>
        <w:tc>
          <w:tcPr>
            <w:tcW w:w="2812" w:type="dxa"/>
            <w:gridSpan w:val="2"/>
            <w:vAlign w:val="top"/>
          </w:tcPr>
          <w:p w14:paraId="4D1977E2">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vAlign w:val="top"/>
          </w:tcPr>
          <w:p w14:paraId="76CDFB0C">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96" w:type="dxa"/>
            <w:gridSpan w:val="3"/>
            <w:vAlign w:val="top"/>
          </w:tcPr>
          <w:p w14:paraId="331C4921">
            <w:pPr>
              <w:pageBreakBefore w:val="0"/>
              <w:kinsoku/>
              <w:wordWrap w:val="0"/>
              <w:overflowPunct/>
              <w:topLinePunct/>
              <w:bidi w:val="0"/>
              <w:spacing w:before="147" w:line="229"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中级职称人员</w:t>
            </w:r>
          </w:p>
        </w:tc>
        <w:tc>
          <w:tcPr>
            <w:tcW w:w="1548" w:type="dxa"/>
            <w:vAlign w:val="top"/>
          </w:tcPr>
          <w:p w14:paraId="27CD0445">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5DC68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7040D7FF">
            <w:pPr>
              <w:pageBreakBefore w:val="0"/>
              <w:kinsoku/>
              <w:wordWrap w:val="0"/>
              <w:overflowPunct/>
              <w:topLinePunct/>
              <w:bidi w:val="0"/>
              <w:spacing w:before="62" w:line="241" w:lineRule="auto"/>
              <w:ind w:right="325"/>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基本账户</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开户银行</w:t>
            </w:r>
          </w:p>
        </w:tc>
        <w:tc>
          <w:tcPr>
            <w:tcW w:w="2812" w:type="dxa"/>
            <w:gridSpan w:val="2"/>
            <w:vAlign w:val="top"/>
          </w:tcPr>
          <w:p w14:paraId="402D42C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continue"/>
            <w:tcBorders>
              <w:top w:val="nil"/>
              <w:bottom w:val="nil"/>
            </w:tcBorders>
            <w:vAlign w:val="top"/>
          </w:tcPr>
          <w:p w14:paraId="49EA7AB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96" w:type="dxa"/>
            <w:gridSpan w:val="3"/>
            <w:vAlign w:val="top"/>
          </w:tcPr>
          <w:p w14:paraId="2A3EFC18">
            <w:pPr>
              <w:pageBreakBefore w:val="0"/>
              <w:kinsoku/>
              <w:wordWrap w:val="0"/>
              <w:overflowPunct/>
              <w:topLinePunct/>
              <w:bidi w:val="0"/>
              <w:spacing w:before="191" w:line="230" w:lineRule="auto"/>
              <w:ind w:left="3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初级职称人员</w:t>
            </w:r>
          </w:p>
        </w:tc>
        <w:tc>
          <w:tcPr>
            <w:tcW w:w="1548" w:type="dxa"/>
            <w:vAlign w:val="top"/>
          </w:tcPr>
          <w:p w14:paraId="49E6A8D2">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79C407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7CD41FFC">
            <w:pPr>
              <w:pageBreakBefore w:val="0"/>
              <w:kinsoku/>
              <w:wordWrap w:val="0"/>
              <w:overflowPunct/>
              <w:topLinePunct/>
              <w:bidi w:val="0"/>
              <w:spacing w:before="62" w:line="259" w:lineRule="auto"/>
              <w:ind w:right="325"/>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基本账户</w:t>
            </w: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7"/>
                <w:sz w:val="24"/>
                <w:szCs w:val="24"/>
                <w:highlight w:val="none"/>
                <w14:textFill>
                  <w14:solidFill>
                    <w14:schemeClr w14:val="tx1"/>
                  </w14:solidFill>
                </w14:textFill>
              </w:rPr>
              <w:t>银行账号</w:t>
            </w:r>
          </w:p>
        </w:tc>
        <w:tc>
          <w:tcPr>
            <w:tcW w:w="2812" w:type="dxa"/>
            <w:gridSpan w:val="2"/>
            <w:vAlign w:val="top"/>
          </w:tcPr>
          <w:p w14:paraId="7D3B445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gridSpan w:val="2"/>
            <w:vMerge w:val="continue"/>
            <w:tcBorders>
              <w:top w:val="nil"/>
            </w:tcBorders>
            <w:vAlign w:val="top"/>
          </w:tcPr>
          <w:p w14:paraId="607B6A5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96" w:type="dxa"/>
            <w:gridSpan w:val="3"/>
            <w:vAlign w:val="top"/>
          </w:tcPr>
          <w:p w14:paraId="3A040121">
            <w:pPr>
              <w:pageBreakBefore w:val="0"/>
              <w:kinsoku/>
              <w:wordWrap w:val="0"/>
              <w:overflowPunct/>
              <w:topLinePunct/>
              <w:bidi w:val="0"/>
              <w:spacing w:before="211" w:line="228" w:lineRule="auto"/>
              <w:ind w:left="6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技术员</w:t>
            </w:r>
          </w:p>
        </w:tc>
        <w:tc>
          <w:tcPr>
            <w:tcW w:w="1548" w:type="dxa"/>
            <w:vAlign w:val="top"/>
          </w:tcPr>
          <w:p w14:paraId="49360778">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60D37C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14EF846">
            <w:pPr>
              <w:pageBreakBefore w:val="0"/>
              <w:kinsoku/>
              <w:wordWrap w:val="0"/>
              <w:overflowPunct/>
              <w:topLinePunct/>
              <w:bidi w:val="0"/>
              <w:spacing w:before="65" w:line="229" w:lineRule="auto"/>
              <w:ind w:left="33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经营范围</w:t>
            </w:r>
          </w:p>
        </w:tc>
        <w:tc>
          <w:tcPr>
            <w:tcW w:w="7639" w:type="dxa"/>
            <w:gridSpan w:val="8"/>
            <w:vAlign w:val="top"/>
          </w:tcPr>
          <w:p w14:paraId="26709275">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316DC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D854CA5">
            <w:pPr>
              <w:pStyle w:val="21"/>
              <w:pageBreakBefore w:val="0"/>
              <w:kinsoku/>
              <w:wordWrap w:val="0"/>
              <w:overflowPunct/>
              <w:topLinePunct/>
              <w:bidi w:val="0"/>
              <w:spacing w:line="295" w:lineRule="auto"/>
              <w:rPr>
                <w:rFonts w:hint="eastAsia" w:ascii="宋体" w:hAnsi="宋体" w:eastAsia="宋体" w:cs="宋体"/>
                <w:color w:val="000000" w:themeColor="text1"/>
                <w:sz w:val="24"/>
                <w:szCs w:val="24"/>
                <w:highlight w:val="none"/>
                <w14:textFill>
                  <w14:solidFill>
                    <w14:schemeClr w14:val="tx1"/>
                  </w14:solidFill>
                </w14:textFill>
              </w:rPr>
            </w:pPr>
          </w:p>
          <w:p w14:paraId="15289990">
            <w:pPr>
              <w:pStyle w:val="21"/>
              <w:pageBreakBefore w:val="0"/>
              <w:kinsoku/>
              <w:wordWrap w:val="0"/>
              <w:overflowPunct/>
              <w:topLinePunct/>
              <w:bidi w:val="0"/>
              <w:spacing w:line="296" w:lineRule="auto"/>
              <w:rPr>
                <w:rFonts w:hint="eastAsia" w:ascii="宋体" w:hAnsi="宋体" w:eastAsia="宋体" w:cs="宋体"/>
                <w:color w:val="000000" w:themeColor="text1"/>
                <w:sz w:val="24"/>
                <w:szCs w:val="24"/>
                <w:highlight w:val="none"/>
                <w14:textFill>
                  <w14:solidFill>
                    <w14:schemeClr w14:val="tx1"/>
                  </w14:solidFill>
                </w14:textFill>
              </w:rPr>
            </w:pPr>
          </w:p>
          <w:p w14:paraId="2026BA35">
            <w:pPr>
              <w:pageBreakBefore w:val="0"/>
              <w:kinsoku/>
              <w:wordWrap w:val="0"/>
              <w:overflowPunct/>
              <w:topLinePunct/>
              <w:bidi w:val="0"/>
              <w:spacing w:before="65" w:line="229"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关联企业情况</w:t>
            </w:r>
          </w:p>
        </w:tc>
        <w:tc>
          <w:tcPr>
            <w:tcW w:w="7639" w:type="dxa"/>
            <w:gridSpan w:val="8"/>
            <w:vAlign w:val="top"/>
          </w:tcPr>
          <w:p w14:paraId="2EB95273">
            <w:pPr>
              <w:pageBreakBefore w:val="0"/>
              <w:kinsoku/>
              <w:wordWrap w:val="0"/>
              <w:overflowPunct/>
              <w:topLinePunct/>
              <w:bidi w:val="0"/>
              <w:spacing w:before="168" w:line="228" w:lineRule="auto"/>
              <w:ind w:left="11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包括但不限于与投标人存在以下关系的不同单位：</w:t>
            </w:r>
          </w:p>
          <w:p w14:paraId="219C7EAA">
            <w:pPr>
              <w:pageBreakBefore w:val="0"/>
              <w:kinsoku/>
              <w:wordWrap w:val="0"/>
              <w:overflowPunct/>
              <w:topLinePunct/>
              <w:bidi w:val="0"/>
              <w:spacing w:before="81" w:line="228" w:lineRule="auto"/>
              <w:ind w:left="1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1</w:t>
            </w:r>
            <w:r>
              <w:rPr>
                <w:rFonts w:hint="eastAsia" w:ascii="宋体" w:hAnsi="宋体" w:eastAsia="宋体" w:cs="宋体"/>
                <w:color w:val="000000" w:themeColor="text1"/>
                <w:spacing w:val="-1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．法定代表人为同一人的。</w:t>
            </w:r>
          </w:p>
          <w:p w14:paraId="1321E960">
            <w:pPr>
              <w:pageBreakBefore w:val="0"/>
              <w:kinsoku/>
              <w:wordWrap w:val="0"/>
              <w:overflowPunct/>
              <w:topLinePunct/>
              <w:bidi w:val="0"/>
              <w:spacing w:before="81" w:line="228" w:lineRule="auto"/>
              <w:ind w:left="10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2</w:t>
            </w:r>
            <w:r>
              <w:rPr>
                <w:rFonts w:hint="eastAsia" w:ascii="宋体" w:hAnsi="宋体" w:eastAsia="宋体" w:cs="宋体"/>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6"/>
                <w:sz w:val="24"/>
                <w:szCs w:val="24"/>
                <w:highlight w:val="none"/>
                <w14:textFill>
                  <w14:solidFill>
                    <w14:schemeClr w14:val="tx1"/>
                  </w14:solidFill>
                </w14:textFill>
              </w:rPr>
              <w:t>．存在控股、管理关系的。</w:t>
            </w:r>
          </w:p>
          <w:p w14:paraId="479B7510">
            <w:pPr>
              <w:pageBreakBefore w:val="0"/>
              <w:kinsoku/>
              <w:wordWrap w:val="0"/>
              <w:overflowPunct/>
              <w:topLinePunct/>
              <w:bidi w:val="0"/>
              <w:spacing w:before="81" w:line="228" w:lineRule="auto"/>
              <w:ind w:left="1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3</w:t>
            </w:r>
            <w:r>
              <w:rPr>
                <w:rFonts w:hint="eastAsia" w:ascii="宋体" w:hAnsi="宋体" w:eastAsia="宋体" w:cs="宋体"/>
                <w:color w:val="000000" w:themeColor="text1"/>
                <w:spacing w:val="-17"/>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．主要人员相互任职的。</w:t>
            </w:r>
          </w:p>
        </w:tc>
      </w:tr>
      <w:tr w14:paraId="795E4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3A2D0FC2">
            <w:pPr>
              <w:pageBreakBefore w:val="0"/>
              <w:kinsoku/>
              <w:wordWrap w:val="0"/>
              <w:overflowPunct/>
              <w:topLinePunct/>
              <w:bidi w:val="0"/>
              <w:spacing w:before="235" w:line="230" w:lineRule="auto"/>
              <w:ind w:left="54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备注</w:t>
            </w:r>
          </w:p>
        </w:tc>
        <w:tc>
          <w:tcPr>
            <w:tcW w:w="7639" w:type="dxa"/>
            <w:gridSpan w:val="8"/>
            <w:vAlign w:val="top"/>
          </w:tcPr>
          <w:p w14:paraId="6B13C72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bl>
    <w:p w14:paraId="7E4F91EA">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2"/>
          <w:sz w:val="21"/>
          <w:szCs w:val="21"/>
          <w:highlight w:val="none"/>
          <w14:textFill>
            <w14:solidFill>
              <w14:schemeClr w14:val="tx1"/>
            </w14:solidFill>
          </w14:textFill>
        </w:rPr>
      </w:pPr>
    </w:p>
    <w:p w14:paraId="63428BD8">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说明：</w:t>
      </w:r>
    </w:p>
    <w:p w14:paraId="6B78325B">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outlineLvl w:val="9"/>
        <w:rPr>
          <w:rFonts w:hint="eastAsia" w:ascii="宋体" w:hAnsi="宋体" w:eastAsia="宋体" w:cs="宋体"/>
          <w:color w:val="000000" w:themeColor="text1"/>
          <w:spacing w:val="4"/>
          <w:sz w:val="21"/>
          <w:szCs w:val="21"/>
          <w:highlight w:val="none"/>
          <w14:textFill>
            <w14:solidFill>
              <w14:schemeClr w14:val="tx1"/>
            </w14:solidFill>
          </w14:textFill>
        </w:rPr>
      </w:pPr>
      <w:bookmarkStart w:id="234" w:name="_Toc14048"/>
      <w:bookmarkStart w:id="235" w:name="_Toc5131"/>
      <w:r>
        <w:rPr>
          <w:rFonts w:hint="eastAsia" w:ascii="宋体" w:hAnsi="宋体" w:eastAsia="宋体" w:cs="宋体"/>
          <w:color w:val="000000" w:themeColor="text1"/>
          <w:spacing w:val="4"/>
          <w:sz w:val="21"/>
          <w:szCs w:val="21"/>
          <w:highlight w:val="none"/>
          <w14:textFill>
            <w14:solidFill>
              <w14:schemeClr w14:val="tx1"/>
            </w14:solidFill>
          </w14:textFill>
        </w:rPr>
        <w:t>1 ．《投标人基本情况表》后应附以下资料：</w:t>
      </w:r>
      <w:bookmarkEnd w:id="234"/>
      <w:bookmarkEnd w:id="235"/>
    </w:p>
    <w:p w14:paraId="39C16801">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6"/>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中华人民共和国住房和城乡建设部”进入“全国工程质量安全监管信息平台公共服务门户”版块，具体网址为：https：//zlaq.mohurd.gov.cn，进入后点击“安全生产许可证信息”，输入企业名称和统一社会信用代码即可查询。如中标后，投标单位安全生产许可证发生被暂扣情形，需双方另行协商）；</w:t>
      </w:r>
    </w:p>
    <w:p w14:paraId="7B6AC2C6">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（2）</w:t>
      </w:r>
      <w:r>
        <w:rPr>
          <w:rFonts w:hint="eastAsia" w:ascii="宋体" w:hAnsi="宋体" w:eastAsia="宋体" w:cs="宋体"/>
          <w:color w:val="000000" w:themeColor="text1"/>
          <w:spacing w:val="9"/>
          <w:sz w:val="21"/>
          <w:szCs w:val="21"/>
          <w:highlight w:val="none"/>
          <w14:textFill>
            <w14:solidFill>
              <w14:schemeClr w14:val="tx1"/>
            </w14:solidFill>
          </w14:textFill>
        </w:rPr>
        <w:t>“进粤企业和人员诚信信息登记平台</w:t>
      </w:r>
      <w:r>
        <w:rPr>
          <w:rFonts w:hint="eastAsia" w:ascii="宋体" w:hAnsi="宋体" w:eastAsia="宋体" w:cs="宋体"/>
          <w:color w:val="000000" w:themeColor="text1"/>
          <w:spacing w:val="8"/>
          <w:sz w:val="21"/>
          <w:szCs w:val="21"/>
          <w:highlight w:val="none"/>
          <w14:textFill>
            <w14:solidFill>
              <w14:schemeClr w14:val="tx1"/>
            </w14:solidFill>
          </w14:textFill>
        </w:rPr>
        <w:t>”企业信息情况打印页。（适用于省外建筑企业）</w:t>
      </w:r>
    </w:p>
    <w:p w14:paraId="24577953">
      <w:pPr>
        <w:keepNext w:val="0"/>
        <w:keepLines w:val="0"/>
        <w:pageBreakBefore w:val="0"/>
        <w:widowControl/>
        <w:kinsoku/>
        <w:wordWrap w:val="0"/>
        <w:overflowPunct/>
        <w:topLinePunct/>
        <w:autoSpaceDE w:val="0"/>
        <w:autoSpaceDN w:val="0"/>
        <w:bidi w:val="0"/>
        <w:adjustRightInd w:val="0"/>
        <w:snapToGrid w:val="0"/>
        <w:spacing w:line="240" w:lineRule="auto"/>
        <w:jc w:val="both"/>
        <w:textAlignment w:val="baseline"/>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8"/>
          <w:sz w:val="21"/>
          <w:szCs w:val="21"/>
          <w:highlight w:val="none"/>
          <w:lang w:eastAsia="zh-CN"/>
          <w14:textFill>
            <w14:solidFill>
              <w14:schemeClr w14:val="tx1"/>
            </w14:solidFill>
          </w14:textFill>
        </w:rPr>
        <w:t>（3）</w:t>
      </w:r>
      <w:r>
        <w:rPr>
          <w:rFonts w:hint="eastAsia" w:ascii="宋体" w:hAnsi="宋体" w:eastAsia="宋体" w:cs="宋体"/>
          <w:color w:val="000000" w:themeColor="text1"/>
          <w:spacing w:val="8"/>
          <w:sz w:val="21"/>
          <w:szCs w:val="21"/>
          <w:highlight w:val="none"/>
          <w14:textFill>
            <w14:solidFill>
              <w14:schemeClr w14:val="tx1"/>
            </w14:solidFill>
          </w14:textFill>
        </w:rPr>
        <w:t>《法人和非法人组织公共信用信息报告》（在“信用中国”网站企业查询界面</w:t>
      </w:r>
      <w:r>
        <w:rPr>
          <w:rFonts w:hint="eastAsia" w:ascii="宋体" w:hAnsi="宋体" w:eastAsia="宋体" w:cs="宋体"/>
          <w:color w:val="000000" w:themeColor="text1"/>
          <w:spacing w:val="7"/>
          <w:sz w:val="21"/>
          <w:szCs w:val="21"/>
          <w:highlight w:val="none"/>
          <w14:textFill>
            <w14:solidFill>
              <w14:schemeClr w14:val="tx1"/>
            </w14:solidFill>
          </w14:textFill>
        </w:rPr>
        <w:t>中下载）。</w:t>
      </w:r>
    </w:p>
    <w:p w14:paraId="5968C1AF">
      <w:pPr>
        <w:rPr>
          <w:rFonts w:hint="eastAsia" w:ascii="宋体" w:hAnsi="宋体" w:eastAsia="宋体" w:cs="宋体"/>
          <w:b/>
          <w:bCs/>
          <w:color w:val="000000" w:themeColor="text1"/>
          <w:spacing w:val="-4"/>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br w:type="page"/>
      </w:r>
    </w:p>
    <w:p w14:paraId="6CEA3939">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36" w:name="_Toc10364"/>
      <w:r>
        <w:rPr>
          <w:rFonts w:hint="eastAsia" w:ascii="宋体" w:hAnsi="宋体" w:eastAsia="宋体" w:cs="宋体"/>
          <w:b/>
          <w:bCs/>
          <w:color w:val="000000" w:themeColor="text1"/>
          <w:spacing w:val="-4"/>
          <w:sz w:val="24"/>
          <w:szCs w:val="24"/>
          <w:highlight w:val="none"/>
          <w14:textFill>
            <w14:solidFill>
              <w14:schemeClr w14:val="tx1"/>
            </w14:solidFill>
          </w14:textFill>
        </w:rPr>
        <w:t>格式八 项目经理简历表</w:t>
      </w:r>
      <w:bookmarkEnd w:id="236"/>
    </w:p>
    <w:p w14:paraId="52AAC829">
      <w:pPr>
        <w:pStyle w:val="5"/>
        <w:pageBreakBefore w:val="0"/>
        <w:kinsoku/>
        <w:wordWrap w:val="0"/>
        <w:overflowPunct/>
        <w:topLinePunct/>
        <w:bidi w:val="0"/>
        <w:spacing w:line="444" w:lineRule="auto"/>
        <w:rPr>
          <w:rFonts w:hint="eastAsia" w:ascii="宋体" w:hAnsi="宋体" w:eastAsia="宋体" w:cs="宋体"/>
          <w:color w:val="000000" w:themeColor="text1"/>
          <w:highlight w:val="none"/>
          <w14:textFill>
            <w14:solidFill>
              <w14:schemeClr w14:val="tx1"/>
            </w14:solidFill>
          </w14:textFill>
        </w:rPr>
      </w:pPr>
    </w:p>
    <w:p w14:paraId="7BF60BFC">
      <w:pPr>
        <w:pageBreakBefore w:val="0"/>
        <w:kinsoku/>
        <w:wordWrap w:val="0"/>
        <w:overflowPunct/>
        <w:topLinePunct/>
        <w:bidi w:val="0"/>
        <w:spacing w:before="97" w:line="219" w:lineRule="auto"/>
        <w:ind w:left="3538"/>
        <w:outlineLvl w:val="9"/>
        <w:rPr>
          <w:rFonts w:hint="eastAsia" w:ascii="宋体" w:hAnsi="宋体" w:eastAsia="宋体" w:cs="宋体"/>
          <w:color w:val="000000" w:themeColor="text1"/>
          <w:sz w:val="30"/>
          <w:szCs w:val="30"/>
          <w:highlight w:val="none"/>
          <w14:textFill>
            <w14:solidFill>
              <w14:schemeClr w14:val="tx1"/>
            </w14:solidFill>
          </w14:textFill>
        </w:rPr>
      </w:pPr>
      <w:bookmarkStart w:id="237" w:name="bookmark156"/>
      <w:bookmarkEnd w:id="237"/>
      <w:bookmarkStart w:id="238" w:name="bookmark89"/>
      <w:bookmarkEnd w:id="238"/>
      <w:bookmarkStart w:id="239" w:name="_Toc31533"/>
      <w:bookmarkStart w:id="240" w:name="_Toc24489"/>
      <w:r>
        <w:rPr>
          <w:rFonts w:hint="eastAsia" w:ascii="宋体" w:hAnsi="宋体" w:eastAsia="宋体" w:cs="宋体"/>
          <w:b/>
          <w:bCs/>
          <w:color w:val="000000" w:themeColor="text1"/>
          <w:spacing w:val="-5"/>
          <w:sz w:val="30"/>
          <w:szCs w:val="30"/>
          <w:highlight w:val="none"/>
          <w14:textFill>
            <w14:solidFill>
              <w14:schemeClr w14:val="tx1"/>
            </w14:solidFill>
          </w14:textFill>
        </w:rPr>
        <w:t>项目经理简历表</w:t>
      </w:r>
      <w:bookmarkEnd w:id="239"/>
      <w:bookmarkEnd w:id="240"/>
    </w:p>
    <w:p w14:paraId="1BDFDD25">
      <w:pPr>
        <w:pageBreakBefore w:val="0"/>
        <w:kinsoku/>
        <w:wordWrap w:val="0"/>
        <w:overflowPunct/>
        <w:topLinePunct/>
        <w:bidi w:val="0"/>
        <w:spacing w:line="240" w:lineRule="exact"/>
        <w:rPr>
          <w:rFonts w:hint="eastAsia" w:ascii="宋体" w:hAnsi="宋体" w:eastAsia="宋体" w:cs="宋体"/>
          <w:color w:val="000000" w:themeColor="text1"/>
          <w:highlight w:val="none"/>
          <w14:textFill>
            <w14:solidFill>
              <w14:schemeClr w14:val="tx1"/>
            </w14:solidFill>
          </w14:textFill>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DA13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5B653762">
            <w:pPr>
              <w:pageBreakBefore w:val="0"/>
              <w:kinsoku/>
              <w:wordWrap w:val="0"/>
              <w:overflowPunct/>
              <w:topLinePunct/>
              <w:bidi w:val="0"/>
              <w:spacing w:before="177" w:line="228" w:lineRule="auto"/>
              <w:ind w:left="50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姓</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名</w:t>
            </w:r>
          </w:p>
        </w:tc>
        <w:tc>
          <w:tcPr>
            <w:tcW w:w="1294" w:type="dxa"/>
            <w:gridSpan w:val="2"/>
            <w:vAlign w:val="top"/>
          </w:tcPr>
          <w:p w14:paraId="1EF7CA4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57" w:type="dxa"/>
            <w:vAlign w:val="top"/>
          </w:tcPr>
          <w:p w14:paraId="5D2A74FF">
            <w:pPr>
              <w:pageBreakBefore w:val="0"/>
              <w:kinsoku/>
              <w:wordWrap w:val="0"/>
              <w:overflowPunct/>
              <w:topLinePunct/>
              <w:bidi w:val="0"/>
              <w:spacing w:before="177" w:line="229" w:lineRule="auto"/>
              <w:ind w:left="33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性</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别</w:t>
            </w:r>
          </w:p>
        </w:tc>
        <w:tc>
          <w:tcPr>
            <w:tcW w:w="2062" w:type="dxa"/>
            <w:vAlign w:val="top"/>
          </w:tcPr>
          <w:p w14:paraId="0ADA9D5E">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7F58BF25">
            <w:pPr>
              <w:pageBreakBefore w:val="0"/>
              <w:kinsoku/>
              <w:wordWrap w:val="0"/>
              <w:overflowPunct/>
              <w:topLinePunct/>
              <w:bidi w:val="0"/>
              <w:spacing w:before="177" w:line="228" w:lineRule="auto"/>
              <w:ind w:left="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龄</w:t>
            </w:r>
          </w:p>
        </w:tc>
        <w:tc>
          <w:tcPr>
            <w:tcW w:w="1398" w:type="dxa"/>
            <w:vAlign w:val="top"/>
          </w:tcPr>
          <w:p w14:paraId="403C6C92">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26014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15C6892C">
            <w:pPr>
              <w:pageBreakBefore w:val="0"/>
              <w:kinsoku/>
              <w:wordWrap w:val="0"/>
              <w:overflowPunct/>
              <w:topLinePunct/>
              <w:bidi w:val="0"/>
              <w:spacing w:before="175" w:line="228" w:lineRule="auto"/>
              <w:ind w:left="50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务</w:t>
            </w:r>
          </w:p>
        </w:tc>
        <w:tc>
          <w:tcPr>
            <w:tcW w:w="1294" w:type="dxa"/>
            <w:gridSpan w:val="2"/>
            <w:vAlign w:val="top"/>
          </w:tcPr>
          <w:p w14:paraId="26CBF0F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57" w:type="dxa"/>
            <w:vAlign w:val="top"/>
          </w:tcPr>
          <w:p w14:paraId="3BF083C8">
            <w:pPr>
              <w:pageBreakBefore w:val="0"/>
              <w:kinsoku/>
              <w:wordWrap w:val="0"/>
              <w:overflowPunct/>
              <w:topLinePunct/>
              <w:bidi w:val="0"/>
              <w:spacing w:before="174" w:line="231" w:lineRule="auto"/>
              <w:ind w:left="33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称</w:t>
            </w:r>
          </w:p>
        </w:tc>
        <w:tc>
          <w:tcPr>
            <w:tcW w:w="2062" w:type="dxa"/>
            <w:vAlign w:val="top"/>
          </w:tcPr>
          <w:p w14:paraId="61029ECA">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79220ED2">
            <w:pPr>
              <w:pageBreakBefore w:val="0"/>
              <w:kinsoku/>
              <w:wordWrap w:val="0"/>
              <w:overflowPunct/>
              <w:topLinePunct/>
              <w:bidi w:val="0"/>
              <w:spacing w:before="175" w:line="230" w:lineRule="auto"/>
              <w:ind w:left="49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学</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历</w:t>
            </w:r>
          </w:p>
        </w:tc>
        <w:tc>
          <w:tcPr>
            <w:tcW w:w="1398" w:type="dxa"/>
            <w:vAlign w:val="top"/>
          </w:tcPr>
          <w:p w14:paraId="5F90E1D9">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03D02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45569546">
            <w:pPr>
              <w:pageBreakBefore w:val="0"/>
              <w:kinsoku/>
              <w:wordWrap w:val="0"/>
              <w:overflowPunct/>
              <w:topLinePunct/>
              <w:bidi w:val="0"/>
              <w:spacing w:before="175" w:line="229" w:lineRule="auto"/>
              <w:ind w:left="24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参加工作时间</w:t>
            </w:r>
          </w:p>
        </w:tc>
        <w:tc>
          <w:tcPr>
            <w:tcW w:w="2651" w:type="dxa"/>
            <w:gridSpan w:val="3"/>
            <w:vAlign w:val="top"/>
          </w:tcPr>
          <w:p w14:paraId="1A0128AF">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3860" w:type="dxa"/>
            <w:gridSpan w:val="2"/>
            <w:vAlign w:val="top"/>
          </w:tcPr>
          <w:p w14:paraId="3151B18B">
            <w:pPr>
              <w:pageBreakBefore w:val="0"/>
              <w:kinsoku/>
              <w:wordWrap w:val="0"/>
              <w:overflowPunct/>
              <w:topLinePunct/>
              <w:bidi w:val="0"/>
              <w:spacing w:before="176" w:line="228"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从事工程建设项目管理工作年限</w:t>
            </w:r>
          </w:p>
        </w:tc>
        <w:tc>
          <w:tcPr>
            <w:tcW w:w="1398" w:type="dxa"/>
            <w:vAlign w:val="top"/>
          </w:tcPr>
          <w:p w14:paraId="634C1846">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5EE6F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476624E8">
            <w:pPr>
              <w:pageBreakBefore w:val="0"/>
              <w:kinsoku/>
              <w:wordWrap w:val="0"/>
              <w:overflowPunct/>
              <w:topLinePunct/>
              <w:bidi w:val="0"/>
              <w:spacing w:before="176" w:line="228" w:lineRule="auto"/>
              <w:ind w:left="23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以项目经理身份参与过的主要业绩（已完工项目）</w:t>
            </w:r>
          </w:p>
        </w:tc>
      </w:tr>
      <w:tr w14:paraId="5B065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13D789C9">
            <w:pPr>
              <w:pageBreakBefore w:val="0"/>
              <w:kinsoku/>
              <w:wordWrap w:val="0"/>
              <w:overflowPunct/>
              <w:topLinePunct/>
              <w:bidi w:val="0"/>
              <w:spacing w:before="176" w:line="230" w:lineRule="auto"/>
              <w:ind w:left="18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1624" w:type="dxa"/>
            <w:gridSpan w:val="2"/>
            <w:vAlign w:val="top"/>
          </w:tcPr>
          <w:p w14:paraId="64BE592D">
            <w:pPr>
              <w:pageBreakBefore w:val="0"/>
              <w:kinsoku/>
              <w:wordWrap w:val="0"/>
              <w:overflowPunct/>
              <w:topLinePunct/>
              <w:bidi w:val="0"/>
              <w:spacing w:before="176" w:line="229"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项目名称</w:t>
            </w:r>
          </w:p>
        </w:tc>
        <w:tc>
          <w:tcPr>
            <w:tcW w:w="2037" w:type="dxa"/>
            <w:gridSpan w:val="2"/>
            <w:vAlign w:val="top"/>
          </w:tcPr>
          <w:p w14:paraId="45C3FEDD">
            <w:pPr>
              <w:pageBreakBefore w:val="0"/>
              <w:kinsoku/>
              <w:wordWrap w:val="0"/>
              <w:overflowPunct/>
              <w:topLinePunct/>
              <w:bidi w:val="0"/>
              <w:spacing w:before="176" w:line="229" w:lineRule="auto"/>
              <w:ind w:left="5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建设单位</w:t>
            </w:r>
          </w:p>
        </w:tc>
        <w:tc>
          <w:tcPr>
            <w:tcW w:w="2062" w:type="dxa"/>
            <w:vAlign w:val="top"/>
          </w:tcPr>
          <w:p w14:paraId="65CFB2E2">
            <w:pPr>
              <w:pageBreakBefore w:val="0"/>
              <w:kinsoku/>
              <w:wordWrap w:val="0"/>
              <w:overflowPunct/>
              <w:topLinePunct/>
              <w:bidi w:val="0"/>
              <w:spacing w:before="176" w:line="228" w:lineRule="auto"/>
              <w:ind w:left="26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建设内容和规模</w:t>
            </w:r>
          </w:p>
        </w:tc>
        <w:tc>
          <w:tcPr>
            <w:tcW w:w="1798" w:type="dxa"/>
            <w:vAlign w:val="top"/>
          </w:tcPr>
          <w:p w14:paraId="0C95DBC7">
            <w:pPr>
              <w:pageBreakBefore w:val="0"/>
              <w:kinsoku/>
              <w:wordWrap w:val="0"/>
              <w:overflowPunct/>
              <w:topLinePunct/>
              <w:bidi w:val="0"/>
              <w:spacing w:before="176" w:line="228" w:lineRule="auto"/>
              <w:ind w:left="2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开、竣工日期</w:t>
            </w:r>
          </w:p>
        </w:tc>
        <w:tc>
          <w:tcPr>
            <w:tcW w:w="1398" w:type="dxa"/>
            <w:vAlign w:val="top"/>
          </w:tcPr>
          <w:p w14:paraId="52ABCC7A">
            <w:pPr>
              <w:pageBreakBefore w:val="0"/>
              <w:kinsoku/>
              <w:wordWrap w:val="0"/>
              <w:overflowPunct/>
              <w:topLinePunct/>
              <w:bidi w:val="0"/>
              <w:spacing w:before="176" w:line="228" w:lineRule="auto"/>
              <w:ind w:left="25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质量等级</w:t>
            </w:r>
          </w:p>
        </w:tc>
      </w:tr>
      <w:tr w14:paraId="631C8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79E5ABE2">
            <w:pPr>
              <w:pageBreakBefore w:val="0"/>
              <w:kinsoku/>
              <w:wordWrap w:val="0"/>
              <w:overflowPunct/>
              <w:topLinePunct/>
              <w:bidi w:val="0"/>
              <w:spacing w:before="214" w:line="195"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624" w:type="dxa"/>
            <w:gridSpan w:val="2"/>
            <w:vAlign w:val="top"/>
          </w:tcPr>
          <w:p w14:paraId="0B07A99F">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37" w:type="dxa"/>
            <w:gridSpan w:val="2"/>
            <w:vAlign w:val="top"/>
          </w:tcPr>
          <w:p w14:paraId="35E7BF1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62" w:type="dxa"/>
            <w:vAlign w:val="top"/>
          </w:tcPr>
          <w:p w14:paraId="2D0AA7C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1D4E2B6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98" w:type="dxa"/>
            <w:vAlign w:val="top"/>
          </w:tcPr>
          <w:p w14:paraId="71CE67F9">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20B6F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08B9E146">
            <w:pPr>
              <w:pageBreakBefore w:val="0"/>
              <w:kinsoku/>
              <w:wordWrap w:val="0"/>
              <w:overflowPunct/>
              <w:topLinePunct/>
              <w:bidi w:val="0"/>
              <w:spacing w:before="213" w:line="195" w:lineRule="auto"/>
              <w:ind w:left="3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624" w:type="dxa"/>
            <w:gridSpan w:val="2"/>
            <w:vAlign w:val="top"/>
          </w:tcPr>
          <w:p w14:paraId="62BCA8A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37" w:type="dxa"/>
            <w:gridSpan w:val="2"/>
            <w:vAlign w:val="top"/>
          </w:tcPr>
          <w:p w14:paraId="604E34C9">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62" w:type="dxa"/>
            <w:vAlign w:val="top"/>
          </w:tcPr>
          <w:p w14:paraId="228AF815">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7AB9F63C">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98" w:type="dxa"/>
            <w:vAlign w:val="top"/>
          </w:tcPr>
          <w:p w14:paraId="2C688F1A">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375D4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6C553288">
            <w:pPr>
              <w:pageBreakBefore w:val="0"/>
              <w:kinsoku/>
              <w:wordWrap w:val="0"/>
              <w:overflowPunct/>
              <w:topLinePunct/>
              <w:bidi w:val="0"/>
              <w:spacing w:before="213" w:line="195" w:lineRule="auto"/>
              <w:ind w:left="34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1624" w:type="dxa"/>
            <w:gridSpan w:val="2"/>
            <w:vAlign w:val="top"/>
          </w:tcPr>
          <w:p w14:paraId="33B1F4F6">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37" w:type="dxa"/>
            <w:gridSpan w:val="2"/>
            <w:vAlign w:val="top"/>
          </w:tcPr>
          <w:p w14:paraId="20C468CE">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62" w:type="dxa"/>
            <w:vAlign w:val="top"/>
          </w:tcPr>
          <w:p w14:paraId="40C7E23E">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1280FCBF">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98" w:type="dxa"/>
            <w:vAlign w:val="top"/>
          </w:tcPr>
          <w:p w14:paraId="20F74ABC">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3F6AA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6D9D2FD3">
            <w:pPr>
              <w:pageBreakBefore w:val="0"/>
              <w:kinsoku/>
              <w:wordWrap w:val="0"/>
              <w:overflowPunct/>
              <w:topLinePunct/>
              <w:bidi w:val="0"/>
              <w:spacing w:before="177" w:line="325" w:lineRule="exact"/>
              <w:ind w:left="1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position w:val="3"/>
                <w:sz w:val="24"/>
                <w:szCs w:val="24"/>
                <w:highlight w:val="none"/>
                <w14:textFill>
                  <w14:solidFill>
                    <w14:schemeClr w14:val="tx1"/>
                  </w14:solidFill>
                </w14:textFill>
              </w:rPr>
              <w:t>……</w:t>
            </w:r>
          </w:p>
        </w:tc>
        <w:tc>
          <w:tcPr>
            <w:tcW w:w="1624" w:type="dxa"/>
            <w:gridSpan w:val="2"/>
            <w:vAlign w:val="top"/>
          </w:tcPr>
          <w:p w14:paraId="796FE6B2">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37" w:type="dxa"/>
            <w:gridSpan w:val="2"/>
            <w:vAlign w:val="top"/>
          </w:tcPr>
          <w:p w14:paraId="67956CC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62" w:type="dxa"/>
            <w:vAlign w:val="top"/>
          </w:tcPr>
          <w:p w14:paraId="152FC04B">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98" w:type="dxa"/>
            <w:vAlign w:val="top"/>
          </w:tcPr>
          <w:p w14:paraId="441AA4E8">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98" w:type="dxa"/>
            <w:vAlign w:val="top"/>
          </w:tcPr>
          <w:p w14:paraId="00599F5B">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bl>
    <w:p w14:paraId="0F31963F">
      <w:pPr>
        <w:pStyle w:val="5"/>
        <w:pageBreakBefore w:val="0"/>
        <w:kinsoku/>
        <w:wordWrap w:val="0"/>
        <w:overflowPunct/>
        <w:topLinePunct/>
        <w:bidi w:val="0"/>
        <w:spacing w:line="315" w:lineRule="auto"/>
        <w:rPr>
          <w:rFonts w:hint="eastAsia" w:ascii="宋体" w:hAnsi="宋体" w:eastAsia="宋体" w:cs="宋体"/>
          <w:color w:val="000000" w:themeColor="text1"/>
          <w:highlight w:val="none"/>
          <w14:textFill>
            <w14:solidFill>
              <w14:schemeClr w14:val="tx1"/>
            </w14:solidFill>
          </w14:textFill>
        </w:rPr>
      </w:pPr>
    </w:p>
    <w:p w14:paraId="0A8AFD75">
      <w:pPr>
        <w:pageBreakBefore w:val="0"/>
        <w:kinsoku/>
        <w:wordWrap w:val="0"/>
        <w:overflowPunct/>
        <w:topLinePunct/>
        <w:bidi w:val="0"/>
        <w:spacing w:before="78" w:line="220" w:lineRule="auto"/>
        <w:ind w:left="69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项目经理</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签字）</w:t>
      </w:r>
    </w:p>
    <w:p w14:paraId="1901795E">
      <w:pPr>
        <w:pStyle w:val="5"/>
        <w:pageBreakBefore w:val="0"/>
        <w:kinsoku/>
        <w:wordWrap w:val="0"/>
        <w:overflowPunct/>
        <w:topLinePunct/>
        <w:bidi w:val="0"/>
        <w:spacing w:line="256" w:lineRule="auto"/>
        <w:rPr>
          <w:rFonts w:hint="eastAsia" w:ascii="宋体" w:hAnsi="宋体" w:eastAsia="宋体" w:cs="宋体"/>
          <w:color w:val="000000" w:themeColor="text1"/>
          <w:highlight w:val="none"/>
          <w14:textFill>
            <w14:solidFill>
              <w14:schemeClr w14:val="tx1"/>
            </w14:solidFill>
          </w14:textFill>
        </w:rPr>
      </w:pPr>
    </w:p>
    <w:p w14:paraId="47CB3878">
      <w:pPr>
        <w:pStyle w:val="5"/>
        <w:pageBreakBefore w:val="0"/>
        <w:kinsoku/>
        <w:wordWrap w:val="0"/>
        <w:overflowPunct/>
        <w:topLinePunct/>
        <w:bidi w:val="0"/>
        <w:spacing w:line="254"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lang w:val="en-US" w:eastAsia="zh-CN"/>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78078B80">
      <w:pPr>
        <w:pageBreakBefore w:val="0"/>
        <w:kinsoku/>
        <w:wordWrap w:val="0"/>
        <w:overflowPunct/>
        <w:topLinePunct/>
        <w:bidi w:val="0"/>
        <w:spacing w:before="78" w:line="220" w:lineRule="auto"/>
        <w:ind w:left="4226"/>
        <w:jc w:val="center"/>
        <w:rPr>
          <w:rFonts w:hint="eastAsia" w:ascii="宋体" w:hAnsi="宋体" w:eastAsia="宋体" w:cs="宋体"/>
          <w:color w:val="000000" w:themeColor="text1"/>
          <w:highlight w:val="none"/>
          <w14:textFill>
            <w14:solidFill>
              <w14:schemeClr w14:val="tx1"/>
            </w14:solidFill>
          </w14:textFill>
        </w:rPr>
      </w:pPr>
    </w:p>
    <w:p w14:paraId="14546562">
      <w:pPr>
        <w:pStyle w:val="5"/>
        <w:pageBreakBefore w:val="0"/>
        <w:kinsoku/>
        <w:wordWrap w:val="0"/>
        <w:overflowPunct/>
        <w:topLinePunct/>
        <w:bidi w:val="0"/>
        <w:spacing w:line="241" w:lineRule="auto"/>
        <w:rPr>
          <w:rFonts w:hint="eastAsia" w:ascii="宋体" w:hAnsi="宋体" w:eastAsia="宋体" w:cs="宋体"/>
          <w:color w:val="000000" w:themeColor="text1"/>
          <w:highlight w:val="none"/>
          <w14:textFill>
            <w14:solidFill>
              <w14:schemeClr w14:val="tx1"/>
            </w14:solidFill>
          </w14:textFill>
        </w:rPr>
      </w:pPr>
    </w:p>
    <w:p w14:paraId="1D06612A">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说明：《项目经理简历表》后应附拟派项目经理以下资料：</w:t>
      </w:r>
    </w:p>
    <w:p w14:paraId="2F476A4B">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1"/>
          <w:szCs w:val="21"/>
          <w:highlight w:val="none"/>
          <w:lang w:eastAsia="zh-CN"/>
          <w14:textFill>
            <w14:solidFill>
              <w14:schemeClr w14:val="tx1"/>
            </w14:solidFill>
          </w14:textFill>
        </w:rPr>
      </w:pPr>
      <w:bookmarkStart w:id="241" w:name="_Toc1942"/>
      <w:bookmarkStart w:id="242" w:name="_Toc25271"/>
      <w:r>
        <w:rPr>
          <w:rFonts w:hint="eastAsia" w:ascii="宋体" w:hAnsi="宋体" w:eastAsia="宋体" w:cs="宋体"/>
          <w:color w:val="000000" w:themeColor="text1"/>
          <w:spacing w:val="9"/>
          <w:sz w:val="21"/>
          <w:szCs w:val="21"/>
          <w:highlight w:val="none"/>
          <w:lang w:eastAsia="zh-CN"/>
          <w14:textFill>
            <w14:solidFill>
              <w14:schemeClr w14:val="tx1"/>
            </w14:solidFill>
          </w14:textFill>
        </w:rPr>
        <w:t>1．身份证彩色扫描件；</w:t>
      </w:r>
      <w:bookmarkEnd w:id="241"/>
      <w:bookmarkEnd w:id="242"/>
    </w:p>
    <w:p w14:paraId="2D89ECB7">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2．建造师电子注册证书（在使用有效期内的有效电子证书）彩色扫描件；</w:t>
      </w:r>
    </w:p>
    <w:p w14:paraId="0CB5B7A0">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3．B类安全生产考核合格证书彩色扫描件或广东省建筑施工企业管理人员安全生产考核系统考核合格信息彩色扫描件；</w:t>
      </w:r>
    </w:p>
    <w:p w14:paraId="53C92C25">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4．在本单位缴纳社保的证明（至少</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个月，其中必须有2026年</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pacing w:val="9"/>
          <w:sz w:val="21"/>
          <w:szCs w:val="21"/>
          <w:highlight w:val="none"/>
          <w:lang w:eastAsia="zh-CN"/>
          <w14:textFill>
            <w14:solidFill>
              <w14:schemeClr w14:val="tx1"/>
            </w14:solidFill>
          </w14:textFill>
        </w:rPr>
        <w:t>月）彩色扫描件或打印件。拟派项目经理为退休返聘人员无法提供社保证明的，提供退休证和劳动合同彩色扫描件。</w:t>
      </w:r>
    </w:p>
    <w:p w14:paraId="6AC8E9AD">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eastAsia="zh-CN"/>
          <w14:textFill>
            <w14:solidFill>
              <w14:schemeClr w14:val="tx1"/>
            </w14:solidFill>
          </w14:textFill>
        </w:rPr>
        <w:t>5．“进粤企业和人员诚信信息登记平台”个人（项目经理等）信息情况截图。（适用于省外建筑企业）</w:t>
      </w:r>
    </w:p>
    <w:p w14:paraId="45914311">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1"/>
          <w:szCs w:val="21"/>
          <w:highlight w:val="none"/>
          <w:lang w:eastAsia="zh-CN"/>
          <w14:textFill>
            <w14:solidFill>
              <w14:schemeClr w14:val="tx1"/>
            </w14:solidFill>
          </w14:textFill>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6B3937">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43" w:name="_Toc9241"/>
      <w:r>
        <w:rPr>
          <w:rFonts w:hint="eastAsia" w:ascii="宋体" w:hAnsi="宋体" w:eastAsia="宋体" w:cs="宋体"/>
          <w:b/>
          <w:bCs/>
          <w:color w:val="000000" w:themeColor="text1"/>
          <w:spacing w:val="-4"/>
          <w:sz w:val="24"/>
          <w:szCs w:val="24"/>
          <w:highlight w:val="none"/>
          <w14:textFill>
            <w14:solidFill>
              <w14:schemeClr w14:val="tx1"/>
            </w14:solidFill>
          </w14:textFill>
        </w:rPr>
        <w:t>格式九 项目经理任职声明</w:t>
      </w:r>
      <w:bookmarkEnd w:id="243"/>
    </w:p>
    <w:p w14:paraId="572DA021">
      <w:pPr>
        <w:pStyle w:val="5"/>
        <w:pageBreakBefore w:val="0"/>
        <w:kinsoku/>
        <w:wordWrap w:val="0"/>
        <w:overflowPunct/>
        <w:topLinePunct/>
        <w:bidi w:val="0"/>
        <w:spacing w:line="350" w:lineRule="auto"/>
        <w:rPr>
          <w:rFonts w:hint="eastAsia" w:ascii="宋体" w:hAnsi="宋体" w:eastAsia="宋体" w:cs="宋体"/>
          <w:color w:val="000000" w:themeColor="text1"/>
          <w:highlight w:val="none"/>
          <w14:textFill>
            <w14:solidFill>
              <w14:schemeClr w14:val="tx1"/>
            </w14:solidFill>
          </w14:textFill>
        </w:rPr>
      </w:pPr>
    </w:p>
    <w:p w14:paraId="78223AB3">
      <w:pPr>
        <w:pStyle w:val="5"/>
        <w:pageBreakBefore w:val="0"/>
        <w:kinsoku/>
        <w:wordWrap w:val="0"/>
        <w:overflowPunct/>
        <w:topLinePunct/>
        <w:bidi w:val="0"/>
        <w:spacing w:line="350" w:lineRule="auto"/>
        <w:rPr>
          <w:rFonts w:hint="eastAsia" w:ascii="宋体" w:hAnsi="宋体" w:eastAsia="宋体" w:cs="宋体"/>
          <w:color w:val="000000" w:themeColor="text1"/>
          <w:highlight w:val="none"/>
          <w14:textFill>
            <w14:solidFill>
              <w14:schemeClr w14:val="tx1"/>
            </w14:solidFill>
          </w14:textFill>
        </w:rPr>
      </w:pPr>
    </w:p>
    <w:p w14:paraId="7CDEAFE6">
      <w:pPr>
        <w:pageBreakBefore w:val="0"/>
        <w:kinsoku/>
        <w:wordWrap w:val="0"/>
        <w:overflowPunct/>
        <w:topLinePunct/>
        <w:bidi w:val="0"/>
        <w:spacing w:before="98" w:line="220" w:lineRule="auto"/>
        <w:ind w:left="3338"/>
        <w:rPr>
          <w:rFonts w:hint="eastAsia" w:ascii="宋体" w:hAnsi="宋体" w:eastAsia="宋体" w:cs="宋体"/>
          <w:color w:val="000000" w:themeColor="text1"/>
          <w:sz w:val="30"/>
          <w:szCs w:val="30"/>
          <w:highlight w:val="none"/>
          <w14:textFill>
            <w14:solidFill>
              <w14:schemeClr w14:val="tx1"/>
            </w14:solidFill>
          </w14:textFill>
        </w:rPr>
      </w:pPr>
      <w:bookmarkStart w:id="244" w:name="bookmark157"/>
      <w:bookmarkEnd w:id="244"/>
      <w:r>
        <w:rPr>
          <w:rFonts w:hint="eastAsia" w:ascii="宋体" w:hAnsi="宋体" w:eastAsia="宋体" w:cs="宋体"/>
          <w:b/>
          <w:bCs/>
          <w:color w:val="000000" w:themeColor="text1"/>
          <w:spacing w:val="-5"/>
          <w:sz w:val="30"/>
          <w:szCs w:val="30"/>
          <w:highlight w:val="none"/>
          <w14:textFill>
            <w14:solidFill>
              <w14:schemeClr w14:val="tx1"/>
            </w14:solidFill>
          </w14:textFill>
        </w:rPr>
        <w:t>项目经理任职声明</w:t>
      </w:r>
    </w:p>
    <w:p w14:paraId="5DB3C156">
      <w:pPr>
        <w:pStyle w:val="5"/>
        <w:pageBreakBefore w:val="0"/>
        <w:kinsoku/>
        <w:wordWrap w:val="0"/>
        <w:overflowPunct/>
        <w:topLinePunct/>
        <w:bidi w:val="0"/>
        <w:spacing w:line="250" w:lineRule="auto"/>
        <w:rPr>
          <w:rFonts w:hint="eastAsia" w:ascii="宋体" w:hAnsi="宋体" w:eastAsia="宋体" w:cs="宋体"/>
          <w:color w:val="000000" w:themeColor="text1"/>
          <w:highlight w:val="none"/>
          <w14:textFill>
            <w14:solidFill>
              <w14:schemeClr w14:val="tx1"/>
            </w14:solidFill>
          </w14:textFill>
        </w:rPr>
      </w:pPr>
    </w:p>
    <w:p w14:paraId="328732A3">
      <w:pPr>
        <w:pStyle w:val="5"/>
        <w:pageBreakBefore w:val="0"/>
        <w:kinsoku/>
        <w:wordWrap w:val="0"/>
        <w:overflowPunct/>
        <w:topLinePunct/>
        <w:bidi w:val="0"/>
        <w:spacing w:line="250" w:lineRule="auto"/>
        <w:rPr>
          <w:rFonts w:hint="eastAsia" w:ascii="宋体" w:hAnsi="宋体" w:eastAsia="宋体" w:cs="宋体"/>
          <w:color w:val="000000" w:themeColor="text1"/>
          <w:highlight w:val="none"/>
          <w14:textFill>
            <w14:solidFill>
              <w14:schemeClr w14:val="tx1"/>
            </w14:solidFill>
          </w14:textFill>
        </w:rPr>
      </w:pPr>
    </w:p>
    <w:p w14:paraId="72737C04">
      <w:pPr>
        <w:pStyle w:val="5"/>
        <w:pageBreakBefore w:val="0"/>
        <w:kinsoku/>
        <w:wordWrap w:val="0"/>
        <w:overflowPunct/>
        <w:topLinePunct/>
        <w:bidi w:val="0"/>
        <w:spacing w:line="251" w:lineRule="auto"/>
        <w:rPr>
          <w:rFonts w:hint="eastAsia" w:ascii="宋体" w:hAnsi="宋体" w:eastAsia="宋体" w:cs="宋体"/>
          <w:color w:val="000000" w:themeColor="text1"/>
          <w:highlight w:val="none"/>
          <w14:textFill>
            <w14:solidFill>
              <w14:schemeClr w14:val="tx1"/>
            </w14:solidFill>
          </w14:textFill>
        </w:rPr>
      </w:pPr>
    </w:p>
    <w:p w14:paraId="375065A8">
      <w:pPr>
        <w:pageBreakBefore w:val="0"/>
        <w:kinsoku/>
        <w:wordWrap w:val="0"/>
        <w:overflowPunct/>
        <w:topLinePunct/>
        <w:bidi w:val="0"/>
        <w:spacing w:before="78" w:line="221"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致</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pacing w:val="-17"/>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17"/>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招标人名称</w:t>
      </w:r>
      <w:r>
        <w:rPr>
          <w:rFonts w:hint="eastAsia" w:ascii="宋体" w:hAnsi="宋体" w:eastAsia="宋体" w:cs="宋体"/>
          <w:color w:val="000000" w:themeColor="text1"/>
          <w:spacing w:val="-17"/>
          <w:sz w:val="24"/>
          <w:szCs w:val="24"/>
          <w:highlight w:val="none"/>
          <w14:textFill>
            <w14:solidFill>
              <w14:schemeClr w14:val="tx1"/>
            </w14:solidFill>
          </w14:textFill>
        </w:rPr>
        <w:t>）</w:t>
      </w:r>
    </w:p>
    <w:p w14:paraId="0E274873">
      <w:pPr>
        <w:pageBreakBefore w:val="0"/>
        <w:kinsoku/>
        <w:wordWrap w:val="0"/>
        <w:overflowPunct/>
        <w:topLinePunct/>
        <w:bidi w:val="0"/>
        <w:spacing w:before="155" w:line="324" w:lineRule="auto"/>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我方在此声明，我方拟派往</w:t>
      </w:r>
      <w:r>
        <w:rPr>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（项目名称）的项目经理</w:t>
      </w:r>
      <w:r>
        <w:rPr>
          <w:rFonts w:hint="eastAsia" w:ascii="宋体" w:hAnsi="宋体" w:eastAsia="宋体" w:cs="宋体"/>
          <w:color w:val="000000" w:themeColor="text1"/>
          <w:spacing w:val="-2"/>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（项目经理姓名）现阶段没有</w:t>
      </w:r>
      <w:r>
        <w:rPr>
          <w:rFonts w:hint="eastAsia" w:ascii="宋体" w:hAnsi="宋体" w:eastAsia="宋体" w:cs="宋体"/>
          <w:color w:val="000000" w:themeColor="text1"/>
          <w:sz w:val="24"/>
          <w:szCs w:val="24"/>
          <w:highlight w:val="none"/>
          <w14:textFill>
            <w14:solidFill>
              <w14:schemeClr w14:val="tx1"/>
            </w14:solidFill>
          </w14:textFill>
        </w:rPr>
        <w:t>担任任何在施（包括已中标未开工、已开工未竣工）</w:t>
      </w:r>
      <w:r>
        <w:rPr>
          <w:rFonts w:hint="eastAsia" w:ascii="宋体" w:hAnsi="宋体" w:eastAsia="宋体" w:cs="宋体"/>
          <w:color w:val="000000" w:themeColor="text1"/>
          <w:spacing w:val="-1"/>
          <w:sz w:val="24"/>
          <w:szCs w:val="24"/>
          <w:highlight w:val="none"/>
          <w14:textFill>
            <w14:solidFill>
              <w14:schemeClr w14:val="tx1"/>
            </w14:solidFill>
          </w14:textFill>
        </w:rPr>
        <w:t>建设工程项目的项目经理。</w:t>
      </w:r>
    </w:p>
    <w:p w14:paraId="176FF3B2">
      <w:pPr>
        <w:pageBreakBefore w:val="0"/>
        <w:kinsoku/>
        <w:wordWrap w:val="0"/>
        <w:overflowPunct/>
        <w:topLinePunct/>
        <w:bidi w:val="0"/>
        <w:spacing w:before="35" w:line="326" w:lineRule="auto"/>
        <w:ind w:firstLine="4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我方保证上述信息的真实和准确，并愿意承担因我方就此弄虚作假所引起的一切法</w:t>
      </w:r>
      <w:r>
        <w:rPr>
          <w:rFonts w:hint="eastAsia" w:ascii="宋体" w:hAnsi="宋体" w:eastAsia="宋体" w:cs="宋体"/>
          <w:color w:val="000000" w:themeColor="text1"/>
          <w:spacing w:val="-3"/>
          <w:sz w:val="24"/>
          <w:szCs w:val="24"/>
          <w:highlight w:val="none"/>
          <w14:textFill>
            <w14:solidFill>
              <w14:schemeClr w14:val="tx1"/>
            </w14:solidFill>
          </w14:textFill>
        </w:rPr>
        <w:t>律后果。</w:t>
      </w:r>
    </w:p>
    <w:p w14:paraId="5F56B086">
      <w:pPr>
        <w:pStyle w:val="5"/>
        <w:pageBreakBefore w:val="0"/>
        <w:kinsoku/>
        <w:wordWrap w:val="0"/>
        <w:overflowPunct/>
        <w:topLinePunct/>
        <w:bidi w:val="0"/>
        <w:spacing w:line="391" w:lineRule="auto"/>
        <w:rPr>
          <w:rFonts w:hint="eastAsia" w:ascii="宋体" w:hAnsi="宋体" w:eastAsia="宋体" w:cs="宋体"/>
          <w:color w:val="000000" w:themeColor="text1"/>
          <w:highlight w:val="none"/>
          <w14:textFill>
            <w14:solidFill>
              <w14:schemeClr w14:val="tx1"/>
            </w14:solidFill>
          </w14:textFill>
        </w:rPr>
      </w:pPr>
    </w:p>
    <w:p w14:paraId="16C339A8">
      <w:pPr>
        <w:pageBreakBefore w:val="0"/>
        <w:kinsoku/>
        <w:wordWrap w:val="0"/>
        <w:overflowPunct/>
        <w:topLinePunct/>
        <w:bidi w:val="0"/>
        <w:spacing w:before="78" w:line="220" w:lineRule="auto"/>
        <w:ind w:left="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特此承诺</w:t>
      </w:r>
    </w:p>
    <w:p w14:paraId="71077526">
      <w:pPr>
        <w:pStyle w:val="5"/>
        <w:pageBreakBefore w:val="0"/>
        <w:kinsoku/>
        <w:wordWrap w:val="0"/>
        <w:overflowPunct/>
        <w:topLinePunct/>
        <w:bidi w:val="0"/>
        <w:spacing w:line="316" w:lineRule="auto"/>
        <w:rPr>
          <w:rFonts w:hint="eastAsia" w:ascii="宋体" w:hAnsi="宋体" w:eastAsia="宋体" w:cs="宋体"/>
          <w:color w:val="000000" w:themeColor="text1"/>
          <w:highlight w:val="none"/>
          <w14:textFill>
            <w14:solidFill>
              <w14:schemeClr w14:val="tx1"/>
            </w14:solidFill>
          </w14:textFill>
        </w:rPr>
      </w:pPr>
    </w:p>
    <w:p w14:paraId="008AA532">
      <w:pPr>
        <w:pStyle w:val="5"/>
        <w:pageBreakBefore w:val="0"/>
        <w:kinsoku/>
        <w:wordWrap w:val="0"/>
        <w:overflowPunct/>
        <w:topLinePunct/>
        <w:bidi w:val="0"/>
        <w:spacing w:line="317" w:lineRule="auto"/>
        <w:rPr>
          <w:rFonts w:hint="eastAsia" w:ascii="宋体" w:hAnsi="宋体" w:eastAsia="宋体" w:cs="宋体"/>
          <w:color w:val="000000" w:themeColor="text1"/>
          <w:highlight w:val="none"/>
          <w14:textFill>
            <w14:solidFill>
              <w14:schemeClr w14:val="tx1"/>
            </w14:solidFill>
          </w14:textFill>
        </w:rPr>
      </w:pPr>
    </w:p>
    <w:p w14:paraId="1A779488">
      <w:pPr>
        <w:pStyle w:val="5"/>
        <w:pageBreakBefore w:val="0"/>
        <w:kinsoku/>
        <w:wordWrap w:val="0"/>
        <w:overflowPunct/>
        <w:topLinePunct/>
        <w:bidi w:val="0"/>
        <w:spacing w:line="317" w:lineRule="auto"/>
        <w:rPr>
          <w:rFonts w:hint="eastAsia" w:ascii="宋体" w:hAnsi="宋体" w:eastAsia="宋体" w:cs="宋体"/>
          <w:color w:val="000000" w:themeColor="text1"/>
          <w:highlight w:val="none"/>
          <w14:textFill>
            <w14:solidFill>
              <w14:schemeClr w14:val="tx1"/>
            </w14:solidFill>
          </w14:textFill>
        </w:rPr>
      </w:pPr>
    </w:p>
    <w:p w14:paraId="7C1118B6">
      <w:pPr>
        <w:pageBreakBefore w:val="0"/>
        <w:kinsoku/>
        <w:wordWrap w:val="0"/>
        <w:overflowPunct/>
        <w:topLinePunct/>
        <w:bidi w:val="0"/>
        <w:spacing w:before="79" w:line="219"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投标人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盖单位章）</w:t>
      </w:r>
    </w:p>
    <w:p w14:paraId="56BD2881">
      <w:pPr>
        <w:pStyle w:val="5"/>
        <w:pageBreakBefore w:val="0"/>
        <w:kinsoku/>
        <w:wordWrap w:val="0"/>
        <w:overflowPunct/>
        <w:topLinePunct/>
        <w:bidi w:val="0"/>
        <w:spacing w:line="317" w:lineRule="auto"/>
        <w:rPr>
          <w:rFonts w:hint="eastAsia" w:ascii="宋体" w:hAnsi="宋体" w:eastAsia="宋体" w:cs="宋体"/>
          <w:color w:val="000000" w:themeColor="text1"/>
          <w:highlight w:val="none"/>
          <w14:textFill>
            <w14:solidFill>
              <w14:schemeClr w14:val="tx1"/>
            </w14:solidFill>
          </w14:textFill>
        </w:rPr>
      </w:pPr>
    </w:p>
    <w:p w14:paraId="4F7D0178">
      <w:pPr>
        <w:pStyle w:val="5"/>
        <w:pageBreakBefore w:val="0"/>
        <w:kinsoku/>
        <w:wordWrap w:val="0"/>
        <w:overflowPunct/>
        <w:topLinePunct/>
        <w:bidi w:val="0"/>
        <w:spacing w:line="317" w:lineRule="auto"/>
        <w:rPr>
          <w:rFonts w:hint="eastAsia" w:ascii="宋体" w:hAnsi="宋体" w:eastAsia="宋体" w:cs="宋体"/>
          <w:color w:val="000000" w:themeColor="text1"/>
          <w:highlight w:val="none"/>
          <w14:textFill>
            <w14:solidFill>
              <w14:schemeClr w14:val="tx1"/>
            </w14:solidFill>
          </w14:textFill>
        </w:rPr>
      </w:pPr>
    </w:p>
    <w:p w14:paraId="39062D64">
      <w:pPr>
        <w:pStyle w:val="5"/>
        <w:pageBreakBefore w:val="0"/>
        <w:kinsoku/>
        <w:wordWrap w:val="0"/>
        <w:overflowPunct/>
        <w:topLinePunct/>
        <w:bidi w:val="0"/>
        <w:spacing w:line="317" w:lineRule="auto"/>
        <w:rPr>
          <w:rFonts w:hint="eastAsia" w:ascii="宋体" w:hAnsi="宋体" w:eastAsia="宋体" w:cs="宋体"/>
          <w:color w:val="000000" w:themeColor="text1"/>
          <w:highlight w:val="none"/>
          <w14:textFill>
            <w14:solidFill>
              <w14:schemeClr w14:val="tx1"/>
            </w14:solidFill>
          </w14:textFill>
        </w:rPr>
      </w:pPr>
    </w:p>
    <w:p w14:paraId="6ED74F28">
      <w:pPr>
        <w:pageBreakBefore w:val="0"/>
        <w:kinsoku/>
        <w:wordWrap w:val="0"/>
        <w:overflowPunct/>
        <w:topLinePunct/>
        <w:bidi w:val="0"/>
        <w:spacing w:before="78" w:line="219"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法定代表人或其委托代理人</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签字或盖章）</w:t>
      </w:r>
    </w:p>
    <w:p w14:paraId="4B9B91F9">
      <w:pPr>
        <w:pStyle w:val="5"/>
        <w:pageBreakBefore w:val="0"/>
        <w:kinsoku/>
        <w:wordWrap w:val="0"/>
        <w:overflowPunct/>
        <w:topLinePunct/>
        <w:bidi w:val="0"/>
        <w:spacing w:line="257" w:lineRule="auto"/>
        <w:rPr>
          <w:rFonts w:hint="eastAsia" w:ascii="宋体" w:hAnsi="宋体" w:eastAsia="宋体" w:cs="宋体"/>
          <w:color w:val="000000" w:themeColor="text1"/>
          <w:highlight w:val="none"/>
          <w14:textFill>
            <w14:solidFill>
              <w14:schemeClr w14:val="tx1"/>
            </w14:solidFill>
          </w14:textFill>
        </w:rPr>
      </w:pPr>
    </w:p>
    <w:p w14:paraId="1D7F3A62">
      <w:pPr>
        <w:pStyle w:val="5"/>
        <w:pageBreakBefore w:val="0"/>
        <w:kinsoku/>
        <w:wordWrap w:val="0"/>
        <w:overflowPunct/>
        <w:topLinePunct/>
        <w:bidi w:val="0"/>
        <w:spacing w:line="257" w:lineRule="auto"/>
        <w:rPr>
          <w:rFonts w:hint="eastAsia" w:ascii="宋体" w:hAnsi="宋体" w:eastAsia="宋体" w:cs="宋体"/>
          <w:color w:val="000000" w:themeColor="text1"/>
          <w:highlight w:val="none"/>
          <w14:textFill>
            <w14:solidFill>
              <w14:schemeClr w14:val="tx1"/>
            </w14:solidFill>
          </w14:textFill>
        </w:rPr>
      </w:pPr>
    </w:p>
    <w:p w14:paraId="33838EBC">
      <w:pPr>
        <w:pStyle w:val="5"/>
        <w:pageBreakBefore w:val="0"/>
        <w:kinsoku/>
        <w:wordWrap w:val="0"/>
        <w:overflowPunct/>
        <w:topLinePunct/>
        <w:bidi w:val="0"/>
        <w:spacing w:line="254"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7F50769D">
      <w:pPr>
        <w:pageBreakBefore w:val="0"/>
        <w:kinsoku/>
        <w:wordWrap w:val="0"/>
        <w:overflowPunct/>
        <w:topLinePunct/>
        <w:bidi w:val="0"/>
        <w:spacing w:line="220"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5E8CC55">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45" w:name="_Toc13891"/>
      <w:r>
        <w:rPr>
          <w:rFonts w:hint="eastAsia" w:ascii="宋体" w:hAnsi="宋体" w:eastAsia="宋体" w:cs="宋体"/>
          <w:b/>
          <w:bCs/>
          <w:color w:val="000000" w:themeColor="text1"/>
          <w:spacing w:val="-4"/>
          <w:sz w:val="24"/>
          <w:szCs w:val="24"/>
          <w:highlight w:val="none"/>
          <w14:textFill>
            <w14:solidFill>
              <w14:schemeClr w14:val="tx1"/>
            </w14:solidFill>
          </w14:textFill>
        </w:rPr>
        <w:t>格式十 项目技术负责人简历表</w:t>
      </w:r>
      <w:bookmarkEnd w:id="245"/>
    </w:p>
    <w:p w14:paraId="5156256C">
      <w:pPr>
        <w:pStyle w:val="5"/>
        <w:pageBreakBefore w:val="0"/>
        <w:kinsoku/>
        <w:wordWrap w:val="0"/>
        <w:overflowPunct/>
        <w:topLinePunct/>
        <w:bidi w:val="0"/>
        <w:spacing w:line="444" w:lineRule="auto"/>
        <w:rPr>
          <w:rFonts w:hint="eastAsia" w:ascii="宋体" w:hAnsi="宋体" w:eastAsia="宋体" w:cs="宋体"/>
          <w:color w:val="000000" w:themeColor="text1"/>
          <w:highlight w:val="none"/>
          <w14:textFill>
            <w14:solidFill>
              <w14:schemeClr w14:val="tx1"/>
            </w14:solidFill>
          </w14:textFill>
        </w:rPr>
      </w:pPr>
    </w:p>
    <w:p w14:paraId="7D17D8E6">
      <w:pPr>
        <w:pageBreakBefore w:val="0"/>
        <w:kinsoku/>
        <w:wordWrap w:val="0"/>
        <w:overflowPunct/>
        <w:topLinePunct/>
        <w:bidi w:val="0"/>
        <w:spacing w:before="97" w:line="219" w:lineRule="auto"/>
        <w:ind w:left="3087"/>
        <w:outlineLvl w:val="9"/>
        <w:rPr>
          <w:rFonts w:hint="eastAsia" w:ascii="宋体" w:hAnsi="宋体" w:eastAsia="宋体" w:cs="宋体"/>
          <w:color w:val="000000" w:themeColor="text1"/>
          <w:sz w:val="30"/>
          <w:szCs w:val="30"/>
          <w:highlight w:val="none"/>
          <w14:textFill>
            <w14:solidFill>
              <w14:schemeClr w14:val="tx1"/>
            </w14:solidFill>
          </w14:textFill>
        </w:rPr>
      </w:pPr>
      <w:bookmarkStart w:id="246" w:name="_Toc25712"/>
      <w:bookmarkStart w:id="247" w:name="_Toc1553"/>
      <w:r>
        <w:rPr>
          <w:rFonts w:hint="eastAsia" w:ascii="宋体" w:hAnsi="宋体" w:eastAsia="宋体" w:cs="宋体"/>
          <w:b/>
          <w:bCs/>
          <w:color w:val="000000" w:themeColor="text1"/>
          <w:spacing w:val="-4"/>
          <w:sz w:val="30"/>
          <w:szCs w:val="30"/>
          <w:highlight w:val="none"/>
          <w14:textFill>
            <w14:solidFill>
              <w14:schemeClr w14:val="tx1"/>
            </w14:solidFill>
          </w14:textFill>
        </w:rPr>
        <w:t>项目技术负责人简历表</w:t>
      </w:r>
      <w:bookmarkEnd w:id="246"/>
      <w:bookmarkEnd w:id="247"/>
    </w:p>
    <w:p w14:paraId="6DEA2720">
      <w:pPr>
        <w:pageBreakBefore w:val="0"/>
        <w:kinsoku/>
        <w:wordWrap w:val="0"/>
        <w:overflowPunct/>
        <w:topLinePunct/>
        <w:bidi w:val="0"/>
        <w:spacing w:line="240" w:lineRule="exact"/>
        <w:rPr>
          <w:rFonts w:hint="eastAsia" w:ascii="宋体" w:hAnsi="宋体" w:eastAsia="宋体" w:cs="宋体"/>
          <w:color w:val="000000" w:themeColor="text1"/>
          <w:highlight w:val="none"/>
          <w14:textFill>
            <w14:solidFill>
              <w14:schemeClr w14:val="tx1"/>
            </w14:solidFill>
          </w14:textFill>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482D6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55FC21DD">
            <w:pPr>
              <w:pageBreakBefore w:val="0"/>
              <w:kinsoku/>
              <w:wordWrap w:val="0"/>
              <w:overflowPunct/>
              <w:topLinePunct/>
              <w:bidi w:val="0"/>
              <w:spacing w:before="177" w:line="228" w:lineRule="auto"/>
              <w:ind w:left="50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姓</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名</w:t>
            </w:r>
          </w:p>
        </w:tc>
        <w:tc>
          <w:tcPr>
            <w:tcW w:w="1282" w:type="dxa"/>
            <w:gridSpan w:val="2"/>
            <w:vAlign w:val="top"/>
          </w:tcPr>
          <w:p w14:paraId="542CD646">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46" w:type="dxa"/>
            <w:vAlign w:val="top"/>
          </w:tcPr>
          <w:p w14:paraId="0AF2BF30">
            <w:pPr>
              <w:pageBreakBefore w:val="0"/>
              <w:kinsoku/>
              <w:wordWrap w:val="0"/>
              <w:overflowPunct/>
              <w:topLinePunct/>
              <w:bidi w:val="0"/>
              <w:spacing w:before="177" w:line="229" w:lineRule="auto"/>
              <w:ind w:left="33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性</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别</w:t>
            </w:r>
          </w:p>
        </w:tc>
        <w:tc>
          <w:tcPr>
            <w:tcW w:w="2047" w:type="dxa"/>
            <w:vAlign w:val="top"/>
          </w:tcPr>
          <w:p w14:paraId="4F3B0BA0">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54AEDD7D">
            <w:pPr>
              <w:pageBreakBefore w:val="0"/>
              <w:kinsoku/>
              <w:wordWrap w:val="0"/>
              <w:overflowPunct/>
              <w:topLinePunct/>
              <w:bidi w:val="0"/>
              <w:spacing w:before="177" w:line="228" w:lineRule="auto"/>
              <w:ind w:left="4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龄</w:t>
            </w:r>
          </w:p>
        </w:tc>
        <w:tc>
          <w:tcPr>
            <w:tcW w:w="1386" w:type="dxa"/>
            <w:vAlign w:val="top"/>
          </w:tcPr>
          <w:p w14:paraId="3A3325B0">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6230D1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237FAD92">
            <w:pPr>
              <w:pageBreakBefore w:val="0"/>
              <w:kinsoku/>
              <w:wordWrap w:val="0"/>
              <w:overflowPunct/>
              <w:topLinePunct/>
              <w:bidi w:val="0"/>
              <w:spacing w:before="175" w:line="228" w:lineRule="auto"/>
              <w:ind w:left="50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w:t>
            </w:r>
            <w:r>
              <w:rPr>
                <w:rFonts w:hint="eastAsia" w:ascii="宋体" w:hAnsi="宋体" w:eastAsia="宋体" w:cs="宋体"/>
                <w:color w:val="000000" w:themeColor="text1"/>
                <w:spacing w:val="8"/>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务</w:t>
            </w:r>
          </w:p>
        </w:tc>
        <w:tc>
          <w:tcPr>
            <w:tcW w:w="1282" w:type="dxa"/>
            <w:gridSpan w:val="2"/>
            <w:vAlign w:val="top"/>
          </w:tcPr>
          <w:p w14:paraId="274E4EB3">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46" w:type="dxa"/>
            <w:vAlign w:val="top"/>
          </w:tcPr>
          <w:p w14:paraId="30290E37">
            <w:pPr>
              <w:pageBreakBefore w:val="0"/>
              <w:kinsoku/>
              <w:wordWrap w:val="0"/>
              <w:overflowPunct/>
              <w:topLinePunct/>
              <w:bidi w:val="0"/>
              <w:spacing w:before="174" w:line="231" w:lineRule="auto"/>
              <w:ind w:left="33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职</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称</w:t>
            </w:r>
          </w:p>
        </w:tc>
        <w:tc>
          <w:tcPr>
            <w:tcW w:w="2047" w:type="dxa"/>
            <w:vAlign w:val="top"/>
          </w:tcPr>
          <w:p w14:paraId="5F649FC8">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2DFDCEC0">
            <w:pPr>
              <w:pageBreakBefore w:val="0"/>
              <w:kinsoku/>
              <w:wordWrap w:val="0"/>
              <w:overflowPunct/>
              <w:topLinePunct/>
              <w:bidi w:val="0"/>
              <w:spacing w:before="175" w:line="230" w:lineRule="auto"/>
              <w:ind w:left="4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学</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历</w:t>
            </w:r>
          </w:p>
        </w:tc>
        <w:tc>
          <w:tcPr>
            <w:tcW w:w="1386" w:type="dxa"/>
            <w:vAlign w:val="top"/>
          </w:tcPr>
          <w:p w14:paraId="028B6333">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3D167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652AEE64">
            <w:pPr>
              <w:pageBreakBefore w:val="0"/>
              <w:kinsoku/>
              <w:wordWrap w:val="0"/>
              <w:overflowPunct/>
              <w:topLinePunct/>
              <w:bidi w:val="0"/>
              <w:spacing w:before="175" w:line="229" w:lineRule="auto"/>
              <w:ind w:left="24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参加工作时间</w:t>
            </w:r>
          </w:p>
        </w:tc>
        <w:tc>
          <w:tcPr>
            <w:tcW w:w="2628" w:type="dxa"/>
            <w:gridSpan w:val="3"/>
            <w:vAlign w:val="top"/>
          </w:tcPr>
          <w:p w14:paraId="6E59A683">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3830" w:type="dxa"/>
            <w:gridSpan w:val="2"/>
            <w:vAlign w:val="top"/>
          </w:tcPr>
          <w:p w14:paraId="5A0AA90D">
            <w:pPr>
              <w:pageBreakBefore w:val="0"/>
              <w:kinsoku/>
              <w:wordWrap w:val="0"/>
              <w:overflowPunct/>
              <w:topLinePunct/>
              <w:bidi w:val="0"/>
              <w:spacing w:before="176" w:line="228"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从事工程建设项目管理工作年限</w:t>
            </w:r>
          </w:p>
        </w:tc>
        <w:tc>
          <w:tcPr>
            <w:tcW w:w="1386" w:type="dxa"/>
            <w:vAlign w:val="top"/>
          </w:tcPr>
          <w:p w14:paraId="12D9682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59842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5E295F9B">
            <w:pPr>
              <w:pageBreakBefore w:val="0"/>
              <w:kinsoku/>
              <w:wordWrap w:val="0"/>
              <w:overflowPunct/>
              <w:topLinePunct/>
              <w:bidi w:val="0"/>
              <w:spacing w:before="176" w:line="228" w:lineRule="auto"/>
              <w:ind w:left="204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以项目技术负责人身份参与过的主要业绩（已完工项目）</w:t>
            </w:r>
          </w:p>
        </w:tc>
      </w:tr>
      <w:tr w14:paraId="3641A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4FA83CC1">
            <w:pPr>
              <w:pageBreakBefore w:val="0"/>
              <w:kinsoku/>
              <w:wordWrap w:val="0"/>
              <w:overflowPunct/>
              <w:topLinePunct/>
              <w:bidi w:val="0"/>
              <w:spacing w:before="176" w:line="230" w:lineRule="auto"/>
              <w:ind w:left="18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1610" w:type="dxa"/>
            <w:gridSpan w:val="2"/>
            <w:vAlign w:val="top"/>
          </w:tcPr>
          <w:p w14:paraId="2E78F954">
            <w:pPr>
              <w:pageBreakBefore w:val="0"/>
              <w:kinsoku/>
              <w:wordWrap w:val="0"/>
              <w:overflowPunct/>
              <w:topLinePunct/>
              <w:bidi w:val="0"/>
              <w:spacing w:before="176" w:line="229"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项目名称</w:t>
            </w:r>
          </w:p>
        </w:tc>
        <w:tc>
          <w:tcPr>
            <w:tcW w:w="2021" w:type="dxa"/>
            <w:gridSpan w:val="2"/>
            <w:vAlign w:val="top"/>
          </w:tcPr>
          <w:p w14:paraId="1D9F2676">
            <w:pPr>
              <w:pageBreakBefore w:val="0"/>
              <w:kinsoku/>
              <w:wordWrap w:val="0"/>
              <w:overflowPunct/>
              <w:topLinePunct/>
              <w:bidi w:val="0"/>
              <w:spacing w:before="176" w:line="229" w:lineRule="auto"/>
              <w:ind w:left="55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建设单位</w:t>
            </w:r>
          </w:p>
        </w:tc>
        <w:tc>
          <w:tcPr>
            <w:tcW w:w="2047" w:type="dxa"/>
            <w:vAlign w:val="top"/>
          </w:tcPr>
          <w:p w14:paraId="4E8DB0B3">
            <w:pPr>
              <w:pageBreakBefore w:val="0"/>
              <w:kinsoku/>
              <w:wordWrap w:val="0"/>
              <w:overflowPunct/>
              <w:topLinePunct/>
              <w:bidi w:val="0"/>
              <w:spacing w:before="176" w:line="228"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建设内容和规模</w:t>
            </w:r>
          </w:p>
        </w:tc>
        <w:tc>
          <w:tcPr>
            <w:tcW w:w="1783" w:type="dxa"/>
            <w:vAlign w:val="top"/>
          </w:tcPr>
          <w:p w14:paraId="06462902">
            <w:pPr>
              <w:pageBreakBefore w:val="0"/>
              <w:kinsoku/>
              <w:wordWrap w:val="0"/>
              <w:overflowPunct/>
              <w:topLinePunct/>
              <w:bidi w:val="0"/>
              <w:spacing w:before="176" w:line="228" w:lineRule="auto"/>
              <w:ind w:left="23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开、竣工日期</w:t>
            </w:r>
          </w:p>
        </w:tc>
        <w:tc>
          <w:tcPr>
            <w:tcW w:w="1386" w:type="dxa"/>
            <w:vAlign w:val="top"/>
          </w:tcPr>
          <w:p w14:paraId="0AA33C03">
            <w:pPr>
              <w:pageBreakBefore w:val="0"/>
              <w:kinsoku/>
              <w:wordWrap w:val="0"/>
              <w:overflowPunct/>
              <w:topLinePunct/>
              <w:bidi w:val="0"/>
              <w:spacing w:before="176" w:line="228" w:lineRule="auto"/>
              <w:ind w:left="25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质量等级</w:t>
            </w:r>
          </w:p>
        </w:tc>
      </w:tr>
      <w:tr w14:paraId="5A911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101ADBF">
            <w:pPr>
              <w:pageBreakBefore w:val="0"/>
              <w:kinsoku/>
              <w:wordWrap w:val="0"/>
              <w:overflowPunct/>
              <w:topLinePunct/>
              <w:bidi w:val="0"/>
              <w:spacing w:before="214" w:line="195" w:lineRule="auto"/>
              <w:ind w:left="35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610" w:type="dxa"/>
            <w:gridSpan w:val="2"/>
            <w:vAlign w:val="top"/>
          </w:tcPr>
          <w:p w14:paraId="6A25233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7046A40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5FFAC46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03289967">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5E290DF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2CF84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65EF2951">
            <w:pPr>
              <w:pageBreakBefore w:val="0"/>
              <w:kinsoku/>
              <w:wordWrap w:val="0"/>
              <w:overflowPunct/>
              <w:topLinePunct/>
              <w:bidi w:val="0"/>
              <w:spacing w:before="213" w:line="195" w:lineRule="auto"/>
              <w:ind w:left="33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610" w:type="dxa"/>
            <w:gridSpan w:val="2"/>
            <w:vAlign w:val="top"/>
          </w:tcPr>
          <w:p w14:paraId="13A4922A">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6F90880F">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331DEBCC">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5B224CD5">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0EF24B90">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1A8362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04CAC675">
            <w:pPr>
              <w:pageBreakBefore w:val="0"/>
              <w:kinsoku/>
              <w:wordWrap w:val="0"/>
              <w:overflowPunct/>
              <w:topLinePunct/>
              <w:bidi w:val="0"/>
              <w:spacing w:before="178" w:line="324" w:lineRule="exact"/>
              <w:ind w:left="19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position w:val="3"/>
                <w:sz w:val="24"/>
                <w:szCs w:val="24"/>
                <w:highlight w:val="none"/>
                <w14:textFill>
                  <w14:solidFill>
                    <w14:schemeClr w14:val="tx1"/>
                  </w14:solidFill>
                </w14:textFill>
              </w:rPr>
              <w:t>……</w:t>
            </w:r>
          </w:p>
        </w:tc>
        <w:tc>
          <w:tcPr>
            <w:tcW w:w="1610" w:type="dxa"/>
            <w:gridSpan w:val="2"/>
            <w:vAlign w:val="top"/>
          </w:tcPr>
          <w:p w14:paraId="4AB30BEA">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32639CB0">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6627367E">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17280826">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4E3EFB0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7395A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1880B4D6">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610" w:type="dxa"/>
            <w:gridSpan w:val="2"/>
            <w:vAlign w:val="top"/>
          </w:tcPr>
          <w:p w14:paraId="706C442F">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7DFDC8B2">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30D0AD1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52AE0429">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582DBA67">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4E8FE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640BD3C2">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610" w:type="dxa"/>
            <w:gridSpan w:val="2"/>
            <w:vAlign w:val="top"/>
          </w:tcPr>
          <w:p w14:paraId="6C482FC2">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21" w:type="dxa"/>
            <w:gridSpan w:val="2"/>
            <w:vAlign w:val="top"/>
          </w:tcPr>
          <w:p w14:paraId="40189DC8">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2047" w:type="dxa"/>
            <w:vAlign w:val="top"/>
          </w:tcPr>
          <w:p w14:paraId="2C061D20">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83" w:type="dxa"/>
            <w:vAlign w:val="top"/>
          </w:tcPr>
          <w:p w14:paraId="35044D2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386" w:type="dxa"/>
            <w:vAlign w:val="top"/>
          </w:tcPr>
          <w:p w14:paraId="77F3CB25">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bl>
    <w:p w14:paraId="37E00494">
      <w:pPr>
        <w:pStyle w:val="5"/>
        <w:pageBreakBefore w:val="0"/>
        <w:kinsoku/>
        <w:wordWrap w:val="0"/>
        <w:overflowPunct/>
        <w:topLinePunct/>
        <w:bidi w:val="0"/>
        <w:spacing w:line="314" w:lineRule="auto"/>
        <w:rPr>
          <w:rFonts w:hint="eastAsia" w:ascii="宋体" w:hAnsi="宋体" w:eastAsia="宋体" w:cs="宋体"/>
          <w:color w:val="000000" w:themeColor="text1"/>
          <w:sz w:val="24"/>
          <w:szCs w:val="24"/>
          <w:highlight w:val="none"/>
          <w14:textFill>
            <w14:solidFill>
              <w14:schemeClr w14:val="tx1"/>
            </w14:solidFill>
          </w14:textFill>
        </w:rPr>
      </w:pPr>
    </w:p>
    <w:p w14:paraId="3EBD75F1">
      <w:pPr>
        <w:pStyle w:val="5"/>
        <w:pageBreakBefore w:val="0"/>
        <w:kinsoku/>
        <w:wordWrap w:val="0"/>
        <w:overflowPunct/>
        <w:topLinePunct/>
        <w:bidi w:val="0"/>
        <w:spacing w:line="315" w:lineRule="auto"/>
        <w:rPr>
          <w:rFonts w:hint="eastAsia" w:ascii="宋体" w:hAnsi="宋体" w:eastAsia="宋体" w:cs="宋体"/>
          <w:color w:val="000000" w:themeColor="text1"/>
          <w:sz w:val="24"/>
          <w:szCs w:val="24"/>
          <w:highlight w:val="none"/>
          <w14:textFill>
            <w14:solidFill>
              <w14:schemeClr w14:val="tx1"/>
            </w14:solidFill>
          </w14:textFill>
        </w:rPr>
      </w:pPr>
    </w:p>
    <w:p w14:paraId="213CAED4">
      <w:pPr>
        <w:pStyle w:val="5"/>
        <w:pageBreakBefore w:val="0"/>
        <w:kinsoku/>
        <w:wordWrap w:val="0"/>
        <w:overflowPunct/>
        <w:topLinePunct/>
        <w:bidi w:val="0"/>
        <w:spacing w:line="315" w:lineRule="auto"/>
        <w:rPr>
          <w:rFonts w:hint="eastAsia" w:ascii="宋体" w:hAnsi="宋体" w:eastAsia="宋体" w:cs="宋体"/>
          <w:color w:val="000000" w:themeColor="text1"/>
          <w:sz w:val="24"/>
          <w:szCs w:val="24"/>
          <w:highlight w:val="none"/>
          <w14:textFill>
            <w14:solidFill>
              <w14:schemeClr w14:val="tx1"/>
            </w14:solidFill>
          </w14:textFill>
        </w:rPr>
      </w:pPr>
    </w:p>
    <w:p w14:paraId="09DE47B3">
      <w:pPr>
        <w:pageBreakBefore w:val="0"/>
        <w:kinsoku/>
        <w:wordWrap w:val="0"/>
        <w:overflowPunct/>
        <w:topLinePunct/>
        <w:bidi w:val="0"/>
        <w:spacing w:before="78" w:line="220" w:lineRule="auto"/>
        <w:ind w:left="5165"/>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项目技术负责人</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pacing w:val="-18"/>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签字）</w:t>
      </w:r>
    </w:p>
    <w:p w14:paraId="41AE34F7">
      <w:pPr>
        <w:pStyle w:val="5"/>
        <w:pageBreakBefore w:val="0"/>
        <w:kinsoku/>
        <w:wordWrap w:val="0"/>
        <w:overflowPunct/>
        <w:topLinePunct/>
        <w:bidi w:val="0"/>
        <w:spacing w:line="256" w:lineRule="auto"/>
        <w:jc w:val="right"/>
        <w:rPr>
          <w:rFonts w:hint="eastAsia" w:ascii="宋体" w:hAnsi="宋体" w:eastAsia="宋体" w:cs="宋体"/>
          <w:color w:val="000000" w:themeColor="text1"/>
          <w:sz w:val="24"/>
          <w:szCs w:val="24"/>
          <w:highlight w:val="none"/>
          <w14:textFill>
            <w14:solidFill>
              <w14:schemeClr w14:val="tx1"/>
            </w14:solidFill>
          </w14:textFill>
        </w:rPr>
      </w:pPr>
    </w:p>
    <w:p w14:paraId="026A33B8">
      <w:pPr>
        <w:pStyle w:val="5"/>
        <w:pageBreakBefore w:val="0"/>
        <w:kinsoku/>
        <w:wordWrap w:val="0"/>
        <w:overflowPunct/>
        <w:topLinePunct/>
        <w:bidi w:val="0"/>
        <w:spacing w:line="257" w:lineRule="auto"/>
        <w:jc w:val="right"/>
        <w:rPr>
          <w:rFonts w:hint="eastAsia" w:ascii="宋体" w:hAnsi="宋体" w:eastAsia="宋体" w:cs="宋体"/>
          <w:color w:val="000000" w:themeColor="text1"/>
          <w:sz w:val="24"/>
          <w:szCs w:val="24"/>
          <w:highlight w:val="none"/>
          <w14:textFill>
            <w14:solidFill>
              <w14:schemeClr w14:val="tx1"/>
            </w14:solidFill>
          </w14:textFill>
        </w:rPr>
      </w:pPr>
    </w:p>
    <w:p w14:paraId="6AB1AED5">
      <w:pPr>
        <w:pStyle w:val="5"/>
        <w:pageBreakBefore w:val="0"/>
        <w:kinsoku/>
        <w:wordWrap w:val="0"/>
        <w:overflowPunct/>
        <w:topLinePunct/>
        <w:bidi w:val="0"/>
        <w:spacing w:line="254" w:lineRule="auto"/>
        <w:jc w:val="righ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年</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月</w:t>
      </w:r>
      <w:r>
        <w:rPr>
          <w:rFonts w:hint="eastAsia" w:ascii="宋体" w:hAnsi="宋体" w:eastAsia="宋体" w:cs="宋体"/>
          <w:snapToGrid w:val="0"/>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snapToGrid w:val="0"/>
          <w:color w:val="000000" w:themeColor="text1"/>
          <w:kern w:val="0"/>
          <w:szCs w:val="21"/>
          <w:highlight w:val="none"/>
          <w14:textFill>
            <w14:solidFill>
              <w14:schemeClr w14:val="tx1"/>
            </w14:solidFill>
          </w14:textFill>
        </w:rPr>
        <w:t>日</w:t>
      </w:r>
    </w:p>
    <w:p w14:paraId="7FED5D9C">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说明：《项目技术负责人简历表》后应附拟派项目技术负责人以下资料：</w:t>
      </w:r>
    </w:p>
    <w:p w14:paraId="0F9132CE">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1．身份证彩色扫描件；</w:t>
      </w:r>
    </w:p>
    <w:p w14:paraId="5F3BEE14">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2．职称证彩色扫描件；</w:t>
      </w:r>
    </w:p>
    <w:p w14:paraId="5FF551EE">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3．在本单位缴纳社保的证明（至少1个月，其中必须有2026年</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月）彩色扫描件</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或打印件</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。拟派项目技术负责人为退休返聘人员无法提供社保证明的，提供退休证和劳动合同彩色扫描件。</w:t>
      </w:r>
    </w:p>
    <w:p w14:paraId="1DD38C5E">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4．“进粤企业和人员诚信信息登记平台”个人信息情况截图。（适用于省外建筑企业）</w:t>
      </w:r>
    </w:p>
    <w:p w14:paraId="4D334B4B">
      <w:pPr>
        <w:keepNext w:val="0"/>
        <w:keepLines w:val="0"/>
        <w:pageBreakBefore w:val="0"/>
        <w:widowControl/>
        <w:kinsoku/>
        <w:wordWrap w:val="0"/>
        <w:overflowPunct/>
        <w:topLinePunct/>
        <w:autoSpaceDE w:val="0"/>
        <w:autoSpaceDN w:val="0"/>
        <w:bidi w:val="0"/>
        <w:adjustRightInd w:val="0"/>
        <w:snapToGrid w:val="0"/>
        <w:spacing w:line="240" w:lineRule="auto"/>
        <w:textAlignment w:val="baseline"/>
        <w:rPr>
          <w:rFonts w:hint="eastAsia" w:ascii="宋体" w:hAnsi="宋体" w:eastAsia="宋体" w:cs="宋体"/>
          <w:color w:val="000000" w:themeColor="text1"/>
          <w:spacing w:val="9"/>
          <w:sz w:val="24"/>
          <w:szCs w:val="24"/>
          <w:highlight w:val="none"/>
          <w:lang w:eastAsia="zh-CN"/>
          <w14:textFill>
            <w14:solidFill>
              <w14:schemeClr w14:val="tx1"/>
            </w14:solidFill>
          </w14:textFill>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2329274">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48" w:name="_Toc10807"/>
      <w:r>
        <w:rPr>
          <w:rFonts w:hint="eastAsia" w:ascii="宋体" w:hAnsi="宋体" w:eastAsia="宋体" w:cs="宋体"/>
          <w:b/>
          <w:bCs/>
          <w:color w:val="000000" w:themeColor="text1"/>
          <w:spacing w:val="-4"/>
          <w:sz w:val="24"/>
          <w:szCs w:val="24"/>
          <w:highlight w:val="none"/>
          <w14:textFill>
            <w14:solidFill>
              <w14:schemeClr w14:val="tx1"/>
            </w14:solidFill>
          </w14:textFill>
        </w:rPr>
        <w:t>格式十一 项目管理机构组成表</w:t>
      </w:r>
      <w:bookmarkEnd w:id="248"/>
    </w:p>
    <w:p w14:paraId="613F72CC">
      <w:pPr>
        <w:pStyle w:val="5"/>
        <w:pageBreakBefore w:val="0"/>
        <w:kinsoku/>
        <w:wordWrap w:val="0"/>
        <w:overflowPunct/>
        <w:topLinePunct/>
        <w:bidi w:val="0"/>
        <w:spacing w:line="351" w:lineRule="auto"/>
        <w:rPr>
          <w:rFonts w:hint="eastAsia" w:ascii="宋体" w:hAnsi="宋体" w:eastAsia="宋体" w:cs="宋体"/>
          <w:color w:val="000000" w:themeColor="text1"/>
          <w:highlight w:val="none"/>
          <w14:textFill>
            <w14:solidFill>
              <w14:schemeClr w14:val="tx1"/>
            </w14:solidFill>
          </w14:textFill>
        </w:rPr>
      </w:pPr>
    </w:p>
    <w:p w14:paraId="1CB56D98">
      <w:pPr>
        <w:pStyle w:val="5"/>
        <w:pageBreakBefore w:val="0"/>
        <w:kinsoku/>
        <w:wordWrap w:val="0"/>
        <w:overflowPunct/>
        <w:topLinePunct/>
        <w:bidi w:val="0"/>
        <w:spacing w:line="351" w:lineRule="auto"/>
        <w:rPr>
          <w:rFonts w:hint="eastAsia" w:ascii="宋体" w:hAnsi="宋体" w:eastAsia="宋体" w:cs="宋体"/>
          <w:color w:val="000000" w:themeColor="text1"/>
          <w:highlight w:val="none"/>
          <w14:textFill>
            <w14:solidFill>
              <w14:schemeClr w14:val="tx1"/>
            </w14:solidFill>
          </w14:textFill>
        </w:rPr>
      </w:pPr>
    </w:p>
    <w:p w14:paraId="00EA8781">
      <w:pPr>
        <w:pageBreakBefore w:val="0"/>
        <w:kinsoku/>
        <w:wordWrap w:val="0"/>
        <w:overflowPunct/>
        <w:topLinePunct/>
        <w:bidi w:val="0"/>
        <w:spacing w:before="97" w:line="219" w:lineRule="auto"/>
        <w:ind w:left="3200"/>
        <w:outlineLvl w:val="9"/>
        <w:rPr>
          <w:rFonts w:hint="eastAsia" w:ascii="宋体" w:hAnsi="宋体" w:eastAsia="宋体" w:cs="宋体"/>
          <w:color w:val="000000" w:themeColor="text1"/>
          <w:sz w:val="30"/>
          <w:szCs w:val="30"/>
          <w:highlight w:val="none"/>
          <w14:textFill>
            <w14:solidFill>
              <w14:schemeClr w14:val="tx1"/>
            </w14:solidFill>
          </w14:textFill>
        </w:rPr>
      </w:pPr>
      <w:bookmarkStart w:id="249" w:name="bookmark158"/>
      <w:bookmarkEnd w:id="249"/>
      <w:bookmarkStart w:id="250" w:name="_Toc19973"/>
      <w:bookmarkStart w:id="251" w:name="_Toc28765"/>
      <w:r>
        <w:rPr>
          <w:rFonts w:hint="eastAsia" w:ascii="宋体" w:hAnsi="宋体" w:eastAsia="宋体" w:cs="宋体"/>
          <w:b/>
          <w:bCs/>
          <w:color w:val="000000" w:themeColor="text1"/>
          <w:spacing w:val="-4"/>
          <w:sz w:val="30"/>
          <w:szCs w:val="30"/>
          <w:highlight w:val="none"/>
          <w14:textFill>
            <w14:solidFill>
              <w14:schemeClr w14:val="tx1"/>
            </w14:solidFill>
          </w14:textFill>
        </w:rPr>
        <w:t>项目管理机构组成表</w:t>
      </w:r>
      <w:bookmarkEnd w:id="250"/>
      <w:bookmarkEnd w:id="251"/>
    </w:p>
    <w:p w14:paraId="0A5516E4">
      <w:pPr>
        <w:pageBreakBefore w:val="0"/>
        <w:kinsoku/>
        <w:wordWrap w:val="0"/>
        <w:overflowPunct/>
        <w:topLinePunct/>
        <w:bidi w:val="0"/>
        <w:spacing w:before="7"/>
        <w:rPr>
          <w:rFonts w:hint="eastAsia" w:ascii="宋体" w:hAnsi="宋体" w:eastAsia="宋体" w:cs="宋体"/>
          <w:color w:val="000000" w:themeColor="text1"/>
          <w:highlight w:val="none"/>
          <w14:textFill>
            <w14:solidFill>
              <w14:schemeClr w14:val="tx1"/>
            </w14:solidFill>
          </w14:textFill>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497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B5D540A">
            <w:pPr>
              <w:pageBreakBefore w:val="0"/>
              <w:kinsoku/>
              <w:wordWrap w:val="0"/>
              <w:overflowPunct/>
              <w:topLinePunct/>
              <w:bidi w:val="0"/>
              <w:spacing w:before="229" w:line="231" w:lineRule="auto"/>
              <w:ind w:left="9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序号</w:t>
            </w:r>
          </w:p>
        </w:tc>
        <w:tc>
          <w:tcPr>
            <w:tcW w:w="1939" w:type="dxa"/>
            <w:vAlign w:val="top"/>
          </w:tcPr>
          <w:p w14:paraId="1C04CEC5">
            <w:pPr>
              <w:pageBreakBefore w:val="0"/>
              <w:kinsoku/>
              <w:wordWrap w:val="0"/>
              <w:overflowPunct/>
              <w:topLinePunct/>
              <w:bidi w:val="0"/>
              <w:spacing w:before="228" w:line="231" w:lineRule="auto"/>
              <w:ind w:left="70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岗位</w:t>
            </w:r>
          </w:p>
        </w:tc>
        <w:tc>
          <w:tcPr>
            <w:tcW w:w="1567" w:type="dxa"/>
            <w:vAlign w:val="top"/>
          </w:tcPr>
          <w:p w14:paraId="3236A483">
            <w:pPr>
              <w:pageBreakBefore w:val="0"/>
              <w:kinsoku/>
              <w:wordWrap w:val="0"/>
              <w:overflowPunct/>
              <w:topLinePunct/>
              <w:bidi w:val="0"/>
              <w:spacing w:before="228" w:line="231" w:lineRule="auto"/>
              <w:ind w:left="52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姓名</w:t>
            </w:r>
          </w:p>
        </w:tc>
        <w:tc>
          <w:tcPr>
            <w:tcW w:w="1017" w:type="dxa"/>
            <w:vAlign w:val="top"/>
          </w:tcPr>
          <w:p w14:paraId="43B387E2">
            <w:pPr>
              <w:pageBreakBefore w:val="0"/>
              <w:kinsoku/>
              <w:wordWrap w:val="0"/>
              <w:overflowPunct/>
              <w:topLinePunct/>
              <w:bidi w:val="0"/>
              <w:spacing w:before="228" w:line="230" w:lineRule="auto"/>
              <w:ind w:left="26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性别</w:t>
            </w:r>
          </w:p>
        </w:tc>
        <w:tc>
          <w:tcPr>
            <w:tcW w:w="1002" w:type="dxa"/>
            <w:vAlign w:val="top"/>
          </w:tcPr>
          <w:p w14:paraId="3B5EB28B">
            <w:pPr>
              <w:pageBreakBefore w:val="0"/>
              <w:kinsoku/>
              <w:wordWrap w:val="0"/>
              <w:overflowPunct/>
              <w:topLinePunct/>
              <w:bidi w:val="0"/>
              <w:spacing w:before="229" w:line="231" w:lineRule="auto"/>
              <w:ind w:left="26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年龄</w:t>
            </w:r>
          </w:p>
        </w:tc>
        <w:tc>
          <w:tcPr>
            <w:tcW w:w="1551" w:type="dxa"/>
            <w:vAlign w:val="top"/>
          </w:tcPr>
          <w:p w14:paraId="33507230">
            <w:pPr>
              <w:pageBreakBefore w:val="0"/>
              <w:kinsoku/>
              <w:wordWrap w:val="0"/>
              <w:overflowPunct/>
              <w:topLinePunct/>
              <w:bidi w:val="0"/>
              <w:spacing w:before="228" w:line="230" w:lineRule="auto"/>
              <w:ind w:left="51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职称</w:t>
            </w:r>
          </w:p>
        </w:tc>
        <w:tc>
          <w:tcPr>
            <w:tcW w:w="1926" w:type="dxa"/>
            <w:vAlign w:val="top"/>
          </w:tcPr>
          <w:p w14:paraId="02AF2CC3">
            <w:pPr>
              <w:pageBreakBefore w:val="0"/>
              <w:kinsoku/>
              <w:wordWrap w:val="0"/>
              <w:overflowPunct/>
              <w:topLinePunct/>
              <w:bidi w:val="0"/>
              <w:spacing w:before="228" w:line="230" w:lineRule="auto"/>
              <w:ind w:left="68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备注</w:t>
            </w:r>
          </w:p>
        </w:tc>
      </w:tr>
      <w:tr w14:paraId="58F2E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6F067E38">
            <w:pPr>
              <w:pageBreakBefore w:val="0"/>
              <w:kinsoku/>
              <w:wordWrap w:val="0"/>
              <w:overflowPunct/>
              <w:topLinePunct/>
              <w:bidi w:val="0"/>
              <w:spacing w:before="185" w:line="195" w:lineRule="auto"/>
              <w:ind w:left="26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939" w:type="dxa"/>
            <w:vAlign w:val="top"/>
          </w:tcPr>
          <w:p w14:paraId="463F6DD1">
            <w:pPr>
              <w:pageBreakBefore w:val="0"/>
              <w:kinsoku/>
              <w:wordWrap w:val="0"/>
              <w:overflowPunct/>
              <w:topLinePunct/>
              <w:bidi w:val="0"/>
              <w:spacing w:before="150" w:line="229" w:lineRule="auto"/>
              <w:ind w:left="4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项目经理</w:t>
            </w:r>
          </w:p>
        </w:tc>
        <w:tc>
          <w:tcPr>
            <w:tcW w:w="1567" w:type="dxa"/>
            <w:vAlign w:val="top"/>
          </w:tcPr>
          <w:p w14:paraId="3A9CF9C6">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6D22481B">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1418F15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7F749619">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0AFEBCF2">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4CD28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4EB6F1C3">
            <w:pPr>
              <w:pageBreakBefore w:val="0"/>
              <w:kinsoku/>
              <w:wordWrap w:val="0"/>
              <w:overflowPunct/>
              <w:topLinePunct/>
              <w:bidi w:val="0"/>
              <w:spacing w:before="187" w:line="195" w:lineRule="auto"/>
              <w:ind w:left="243"/>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939" w:type="dxa"/>
            <w:vAlign w:val="top"/>
          </w:tcPr>
          <w:p w14:paraId="1B35C3DD">
            <w:pPr>
              <w:pageBreakBefore w:val="0"/>
              <w:kinsoku/>
              <w:wordWrap w:val="0"/>
              <w:overflowPunct/>
              <w:topLinePunct/>
              <w:bidi w:val="0"/>
              <w:spacing w:before="152" w:line="228"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项目技术负责人</w:t>
            </w:r>
          </w:p>
        </w:tc>
        <w:tc>
          <w:tcPr>
            <w:tcW w:w="1567" w:type="dxa"/>
            <w:vAlign w:val="top"/>
          </w:tcPr>
          <w:p w14:paraId="2D910503">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6F476EC0">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6DFFCA1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78596CFA">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4208FAB5">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57378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03B8C397">
            <w:pPr>
              <w:pageBreakBefore w:val="0"/>
              <w:kinsoku/>
              <w:wordWrap w:val="0"/>
              <w:overflowPunct/>
              <w:topLinePunct/>
              <w:bidi w:val="0"/>
              <w:spacing w:before="189" w:line="195" w:lineRule="auto"/>
              <w:ind w:left="247"/>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1939" w:type="dxa"/>
            <w:vAlign w:val="center"/>
          </w:tcPr>
          <w:p w14:paraId="0931ABF4">
            <w:pPr>
              <w:pageBreakBefore w:val="0"/>
              <w:kinsoku/>
              <w:wordWrap w:val="0"/>
              <w:overflowPunct/>
              <w:topLinePunct/>
              <w:bidi w:val="0"/>
              <w:spacing w:before="153" w:line="229" w:lineRule="auto"/>
              <w:ind w:left="378"/>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专职安全员</w:t>
            </w:r>
          </w:p>
        </w:tc>
        <w:tc>
          <w:tcPr>
            <w:tcW w:w="1567" w:type="dxa"/>
            <w:vAlign w:val="top"/>
          </w:tcPr>
          <w:p w14:paraId="367DE782">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75DC0F1A">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172FA27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0C82E79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6AA6C5D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40312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6BCC8FB">
            <w:pPr>
              <w:pageBreakBefore w:val="0"/>
              <w:kinsoku/>
              <w:wordWrap w:val="0"/>
              <w:overflowPunct/>
              <w:topLinePunct/>
              <w:bidi w:val="0"/>
              <w:spacing w:before="188" w:line="195" w:lineRule="auto"/>
              <w:ind w:left="24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4</w:t>
            </w:r>
          </w:p>
        </w:tc>
        <w:tc>
          <w:tcPr>
            <w:tcW w:w="1939" w:type="dxa"/>
            <w:vAlign w:val="top"/>
          </w:tcPr>
          <w:p w14:paraId="58B047AC">
            <w:pPr>
              <w:pageBreakBefore w:val="0"/>
              <w:kinsoku/>
              <w:wordWrap w:val="0"/>
              <w:overflowPunct/>
              <w:topLinePunct/>
              <w:bidi w:val="0"/>
              <w:spacing w:before="152" w:line="230" w:lineRule="auto"/>
              <w:ind w:left="5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施工员</w:t>
            </w:r>
          </w:p>
        </w:tc>
        <w:tc>
          <w:tcPr>
            <w:tcW w:w="1567" w:type="dxa"/>
            <w:vAlign w:val="top"/>
          </w:tcPr>
          <w:p w14:paraId="7B401C0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4A2411AA">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302CC5F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672B6B0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3FA08FD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32712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2E4362A5">
            <w:pPr>
              <w:pageBreakBefore w:val="0"/>
              <w:kinsoku/>
              <w:wordWrap w:val="0"/>
              <w:overflowPunct/>
              <w:topLinePunct/>
              <w:bidi w:val="0"/>
              <w:spacing w:before="193" w:line="192" w:lineRule="auto"/>
              <w:ind w:left="24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1939" w:type="dxa"/>
            <w:vAlign w:val="top"/>
          </w:tcPr>
          <w:p w14:paraId="78B4CF4A">
            <w:pPr>
              <w:pageBreakBefore w:val="0"/>
              <w:kinsoku/>
              <w:wordWrap w:val="0"/>
              <w:overflowPunct/>
              <w:topLinePunct/>
              <w:bidi w:val="0"/>
              <w:spacing w:before="154" w:line="229" w:lineRule="auto"/>
              <w:ind w:left="5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质量员</w:t>
            </w:r>
          </w:p>
        </w:tc>
        <w:tc>
          <w:tcPr>
            <w:tcW w:w="1567" w:type="dxa"/>
            <w:vAlign w:val="top"/>
          </w:tcPr>
          <w:p w14:paraId="30A928C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09F70995">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7D368C3C">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28FC2B27">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36D232B0">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11FC5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73778D53">
            <w:pPr>
              <w:pageBreakBefore w:val="0"/>
              <w:kinsoku/>
              <w:wordWrap w:val="0"/>
              <w:overflowPunct/>
              <w:topLinePunct/>
              <w:bidi w:val="0"/>
              <w:spacing w:before="191" w:line="195" w:lineRule="auto"/>
              <w:ind w:left="24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1939" w:type="dxa"/>
            <w:vAlign w:val="top"/>
          </w:tcPr>
          <w:p w14:paraId="00E11C80">
            <w:pPr>
              <w:pageBreakBefore w:val="0"/>
              <w:kinsoku/>
              <w:wordWrap w:val="0"/>
              <w:overflowPunct/>
              <w:topLinePunct/>
              <w:bidi w:val="0"/>
              <w:spacing w:before="155" w:line="228" w:lineRule="auto"/>
              <w:ind w:left="5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材料员</w:t>
            </w:r>
          </w:p>
        </w:tc>
        <w:tc>
          <w:tcPr>
            <w:tcW w:w="1567" w:type="dxa"/>
            <w:vAlign w:val="top"/>
          </w:tcPr>
          <w:p w14:paraId="2DD48120">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64E80FE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597B31C9">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7DC00F8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04DE082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3128A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AD4DD6C">
            <w:pPr>
              <w:pageBreakBefore w:val="0"/>
              <w:kinsoku/>
              <w:wordWrap w:val="0"/>
              <w:overflowPunct/>
              <w:topLinePunct/>
              <w:bidi w:val="0"/>
              <w:spacing w:before="192" w:line="192" w:lineRule="auto"/>
              <w:ind w:left="24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1939" w:type="dxa"/>
            <w:vAlign w:val="top"/>
          </w:tcPr>
          <w:p w14:paraId="67F69394">
            <w:pPr>
              <w:pageBreakBefore w:val="0"/>
              <w:kinsoku/>
              <w:wordWrap w:val="0"/>
              <w:overflowPunct/>
              <w:topLinePunct/>
              <w:bidi w:val="0"/>
              <w:spacing w:before="154" w:line="229" w:lineRule="auto"/>
              <w:ind w:left="59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资料员</w:t>
            </w:r>
          </w:p>
        </w:tc>
        <w:tc>
          <w:tcPr>
            <w:tcW w:w="1567" w:type="dxa"/>
            <w:vAlign w:val="top"/>
          </w:tcPr>
          <w:p w14:paraId="5951A2D8">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59D3F1AA">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1FA4E955">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78DA7406">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67817666">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55674B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562F0EB9">
            <w:pPr>
              <w:pageBreakBefore w:val="0"/>
              <w:kinsoku/>
              <w:wordWrap w:val="0"/>
              <w:overflowPunct/>
              <w:topLinePunct/>
              <w:bidi w:val="0"/>
              <w:spacing w:before="154" w:line="325" w:lineRule="exact"/>
              <w:ind w:left="1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position w:val="3"/>
                <w:sz w:val="24"/>
                <w:szCs w:val="24"/>
                <w:highlight w:val="none"/>
                <w14:textFill>
                  <w14:solidFill>
                    <w14:schemeClr w14:val="tx1"/>
                  </w14:solidFill>
                </w14:textFill>
              </w:rPr>
              <w:t>……</w:t>
            </w:r>
          </w:p>
        </w:tc>
        <w:tc>
          <w:tcPr>
            <w:tcW w:w="1939" w:type="dxa"/>
            <w:vAlign w:val="top"/>
          </w:tcPr>
          <w:p w14:paraId="6F1CA655">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567" w:type="dxa"/>
            <w:vAlign w:val="top"/>
          </w:tcPr>
          <w:p w14:paraId="5469A3B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17" w:type="dxa"/>
            <w:vAlign w:val="top"/>
          </w:tcPr>
          <w:p w14:paraId="1B17D2C6">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002" w:type="dxa"/>
            <w:vAlign w:val="top"/>
          </w:tcPr>
          <w:p w14:paraId="711E7A8C">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551" w:type="dxa"/>
            <w:vAlign w:val="top"/>
          </w:tcPr>
          <w:p w14:paraId="646CE062">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926" w:type="dxa"/>
            <w:vAlign w:val="top"/>
          </w:tcPr>
          <w:p w14:paraId="74CA3D8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bl>
    <w:p w14:paraId="2663EC8B">
      <w:pPr>
        <w:pStyle w:val="5"/>
        <w:pageBreakBefore w:val="0"/>
        <w:kinsoku/>
        <w:wordWrap w:val="0"/>
        <w:overflowPunct/>
        <w:topLinePunct/>
        <w:bidi w:val="0"/>
        <w:spacing w:line="395" w:lineRule="auto"/>
        <w:rPr>
          <w:rFonts w:hint="eastAsia" w:ascii="宋体" w:hAnsi="宋体" w:eastAsia="宋体" w:cs="宋体"/>
          <w:color w:val="000000" w:themeColor="text1"/>
          <w:sz w:val="24"/>
          <w:szCs w:val="24"/>
          <w:highlight w:val="none"/>
          <w14:textFill>
            <w14:solidFill>
              <w14:schemeClr w14:val="tx1"/>
            </w14:solidFill>
          </w14:textFill>
        </w:rPr>
      </w:pPr>
    </w:p>
    <w:p w14:paraId="23B4F843">
      <w:pPr>
        <w:pageBreakBefore w:val="0"/>
        <w:kinsoku/>
        <w:wordWrap w:val="0"/>
        <w:overflowPunct/>
        <w:topLinePunct/>
        <w:bidi w:val="0"/>
        <w:spacing w:before="65" w:line="228" w:lineRule="auto"/>
        <w:ind w:left="43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说明：</w:t>
      </w:r>
    </w:p>
    <w:p w14:paraId="7BDF79A1">
      <w:pPr>
        <w:pageBreakBefore w:val="0"/>
        <w:kinsoku/>
        <w:wordWrap w:val="0"/>
        <w:overflowPunct/>
        <w:topLinePunct/>
        <w:bidi w:val="0"/>
        <w:spacing w:before="153" w:line="228" w:lineRule="auto"/>
        <w:ind w:firstLine="496"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1．《项目管理机构组成表》后应附表中拟派人</w:t>
      </w:r>
      <w:r>
        <w:rPr>
          <w:rFonts w:hint="eastAsia" w:ascii="宋体" w:hAnsi="宋体" w:eastAsia="宋体" w:cs="宋体"/>
          <w:color w:val="000000" w:themeColor="text1"/>
          <w:spacing w:val="3"/>
          <w:sz w:val="24"/>
          <w:szCs w:val="24"/>
          <w:highlight w:val="none"/>
          <w14:textFill>
            <w14:solidFill>
              <w14:schemeClr w14:val="tx1"/>
            </w14:solidFill>
          </w14:textFill>
        </w:rPr>
        <w:t>员（项目经理、项目技术负责人除外）以下资料：</w:t>
      </w:r>
    </w:p>
    <w:p w14:paraId="6A2BBF53">
      <w:pPr>
        <w:pageBreakBefore w:val="0"/>
        <w:kinsoku/>
        <w:wordWrap w:val="0"/>
        <w:overflowPunct/>
        <w:topLinePunct/>
        <w:bidi w:val="0"/>
        <w:spacing w:before="154" w:line="228" w:lineRule="auto"/>
        <w:ind w:left="448"/>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3"/>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pacing w:val="3"/>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身份证彩色扫描件；</w:t>
      </w:r>
    </w:p>
    <w:p w14:paraId="46F5D1FC">
      <w:pPr>
        <w:pageBreakBefore w:val="0"/>
        <w:kinsoku/>
        <w:wordWrap w:val="0"/>
        <w:overflowPunct/>
        <w:topLinePunct/>
        <w:bidi w:val="0"/>
        <w:spacing w:before="152" w:line="228" w:lineRule="auto"/>
        <w:ind w:left="42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pacing w:val="5"/>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专职安全员须提供C类安全生产考核合格证书扫描件或“建筑施工企业管理人员安全生产考核信息系统”考核合格信息扫描件；施工员、质量员、材料员、资料员附岗位证书或培训证书彩色扫描件或打印件；</w:t>
      </w:r>
    </w:p>
    <w:p w14:paraId="16617E31">
      <w:pPr>
        <w:pageBreakBefore w:val="0"/>
        <w:kinsoku/>
        <w:wordWrap w:val="0"/>
        <w:overflowPunct/>
        <w:topLinePunct/>
        <w:bidi w:val="0"/>
        <w:spacing w:before="153" w:line="299" w:lineRule="auto"/>
        <w:ind w:left="11" w:right="89" w:firstLine="4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9"/>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在本单位缴纳社保的证明（</w:t>
      </w:r>
      <w:r>
        <w:rPr>
          <w:rFonts w:hint="eastAsia" w:ascii="宋体" w:hAnsi="宋体" w:eastAsia="宋体" w:cs="宋体"/>
          <w:color w:val="000000" w:themeColor="text1"/>
          <w:sz w:val="24"/>
          <w:szCs w:val="24"/>
          <w:highlight w:val="none"/>
          <w:lang w:eastAsia="zh-CN"/>
          <w14:textFill>
            <w14:solidFill>
              <w14:schemeClr w14:val="tx1"/>
            </w14:solidFill>
          </w14:textFill>
        </w:rPr>
        <w:t>至少1个月，其中必须有2026年</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lang w:eastAsia="zh-CN"/>
          <w14:textFill>
            <w14:solidFill>
              <w14:schemeClr w14:val="tx1"/>
            </w14:solidFill>
          </w14:textFill>
        </w:rPr>
        <w:t>月</w:t>
      </w:r>
      <w:r>
        <w:rPr>
          <w:rFonts w:hint="eastAsia" w:ascii="宋体" w:hAnsi="宋体" w:eastAsia="宋体" w:cs="宋体"/>
          <w:color w:val="000000" w:themeColor="text1"/>
          <w:spacing w:val="8"/>
          <w:sz w:val="24"/>
          <w:szCs w:val="24"/>
          <w:highlight w:val="none"/>
          <w14:textFill>
            <w14:solidFill>
              <w14:schemeClr w14:val="tx1"/>
            </w14:solidFill>
          </w14:textFill>
        </w:rPr>
        <w:t>）彩色扫描件</w:t>
      </w:r>
      <w:r>
        <w:rPr>
          <w:rFonts w:hint="eastAsia" w:ascii="宋体" w:hAnsi="宋体" w:eastAsia="宋体" w:cs="宋体"/>
          <w:color w:val="000000" w:themeColor="text1"/>
          <w:spacing w:val="8"/>
          <w:sz w:val="24"/>
          <w:szCs w:val="24"/>
          <w:highlight w:val="none"/>
          <w:lang w:val="en-US" w:eastAsia="zh-CN"/>
          <w14:textFill>
            <w14:solidFill>
              <w14:schemeClr w14:val="tx1"/>
            </w14:solidFill>
          </w14:textFill>
        </w:rPr>
        <w:t>或打印件</w:t>
      </w:r>
      <w:r>
        <w:rPr>
          <w:rFonts w:hint="eastAsia" w:ascii="宋体" w:hAnsi="宋体" w:eastAsia="宋体" w:cs="宋体"/>
          <w:color w:val="000000" w:themeColor="text1"/>
          <w:spacing w:val="8"/>
          <w:sz w:val="24"/>
          <w:szCs w:val="24"/>
          <w:highlight w:val="none"/>
          <w14:textFill>
            <w14:solidFill>
              <w14:schemeClr w14:val="tx1"/>
            </w14:solidFill>
          </w14:textFill>
        </w:rPr>
        <w:t>。</w:t>
      </w:r>
      <w:r>
        <w:rPr>
          <w:rFonts w:hint="eastAsia" w:ascii="宋体" w:hAnsi="宋体" w:eastAsia="宋体" w:cs="宋体"/>
          <w:color w:val="000000" w:themeColor="text1"/>
          <w:spacing w:val="10"/>
          <w:sz w:val="24"/>
          <w:szCs w:val="24"/>
          <w:highlight w:val="none"/>
          <w14:textFill>
            <w14:solidFill>
              <w14:schemeClr w14:val="tx1"/>
            </w14:solidFill>
          </w14:textFill>
        </w:rPr>
        <w:t>拟派项目技术负责人为退休返聘人员无法提供社</w:t>
      </w:r>
      <w:r>
        <w:rPr>
          <w:rFonts w:hint="eastAsia" w:ascii="宋体" w:hAnsi="宋体" w:eastAsia="宋体" w:cs="宋体"/>
          <w:color w:val="000000" w:themeColor="text1"/>
          <w:spacing w:val="9"/>
          <w:sz w:val="24"/>
          <w:szCs w:val="24"/>
          <w:highlight w:val="none"/>
          <w14:textFill>
            <w14:solidFill>
              <w14:schemeClr w14:val="tx1"/>
            </w14:solidFill>
          </w14:textFill>
        </w:rPr>
        <w:t>保证明的，提供退休证和劳动合同彩色扫描件。</w:t>
      </w:r>
    </w:p>
    <w:p w14:paraId="4AA03065">
      <w:pPr>
        <w:pageBreakBefore w:val="0"/>
        <w:kinsoku/>
        <w:wordWrap w:val="0"/>
        <w:overflowPunct/>
        <w:topLinePunct/>
        <w:bidi w:val="0"/>
        <w:spacing w:before="152" w:line="228" w:lineRule="auto"/>
        <w:ind w:left="0" w:leftChars="0" w:firstLine="419" w:firstLineChars="164"/>
        <w:rPr>
          <w:rFonts w:hint="eastAsia" w:ascii="宋体" w:hAnsi="宋体" w:eastAsia="宋体" w:cs="宋体"/>
          <w:color w:val="000000" w:themeColor="text1"/>
          <w:spacing w:val="9"/>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（4）</w:t>
      </w:r>
      <w:r>
        <w:rPr>
          <w:rFonts w:hint="eastAsia" w:ascii="宋体" w:hAnsi="宋体" w:eastAsia="宋体" w:cs="宋体"/>
          <w:color w:val="000000" w:themeColor="text1"/>
          <w:spacing w:val="9"/>
          <w:sz w:val="24"/>
          <w:szCs w:val="24"/>
          <w:highlight w:val="none"/>
          <w14:textFill>
            <w14:solidFill>
              <w14:schemeClr w14:val="tx1"/>
            </w14:solidFill>
          </w14:textFill>
        </w:rPr>
        <w:t>“进粤企业和人员诚信信息登记平台”个人信息情况截图。（适用于省外建筑企业）</w:t>
      </w:r>
    </w:p>
    <w:p w14:paraId="3E4099D2">
      <w:pPr>
        <w:pStyle w:val="5"/>
        <w:pageBreakBefore w:val="0"/>
        <w:kinsoku/>
        <w:wordWrap w:val="0"/>
        <w:overflowPunct/>
        <w:topLinePunct/>
        <w:bidi w:val="0"/>
        <w:spacing w:line="248" w:lineRule="auto"/>
        <w:rPr>
          <w:rFonts w:hint="eastAsia" w:ascii="宋体" w:hAnsi="宋体" w:eastAsia="宋体" w:cs="宋体"/>
          <w:color w:val="000000" w:themeColor="text1"/>
          <w:sz w:val="24"/>
          <w:szCs w:val="24"/>
          <w:highlight w:val="none"/>
          <w14:textFill>
            <w14:solidFill>
              <w14:schemeClr w14:val="tx1"/>
            </w14:solidFill>
          </w14:textFill>
        </w:rPr>
      </w:pPr>
    </w:p>
    <w:p w14:paraId="2023409E">
      <w:pPr>
        <w:pStyle w:val="5"/>
        <w:pageBreakBefore w:val="0"/>
        <w:kinsoku/>
        <w:wordWrap w:val="0"/>
        <w:overflowPunct/>
        <w:topLinePunct/>
        <w:bidi w:val="0"/>
        <w:spacing w:line="248" w:lineRule="auto"/>
        <w:rPr>
          <w:rFonts w:hint="eastAsia" w:ascii="宋体" w:hAnsi="宋体" w:eastAsia="宋体" w:cs="宋体"/>
          <w:color w:val="000000" w:themeColor="text1"/>
          <w:sz w:val="24"/>
          <w:szCs w:val="24"/>
          <w:highlight w:val="none"/>
          <w14:textFill>
            <w14:solidFill>
              <w14:schemeClr w14:val="tx1"/>
            </w14:solidFill>
          </w14:textFill>
        </w:rPr>
      </w:pPr>
    </w:p>
    <w:p w14:paraId="07131409">
      <w:pPr>
        <w:pStyle w:val="5"/>
        <w:pageBreakBefore w:val="0"/>
        <w:kinsoku/>
        <w:wordWrap w:val="0"/>
        <w:overflowPunct/>
        <w:topLinePunct/>
        <w:bidi w:val="0"/>
        <w:spacing w:line="248" w:lineRule="auto"/>
        <w:rPr>
          <w:rFonts w:hint="eastAsia" w:ascii="宋体" w:hAnsi="宋体" w:eastAsia="宋体" w:cs="宋体"/>
          <w:color w:val="000000" w:themeColor="text1"/>
          <w:highlight w:val="none"/>
          <w14:textFill>
            <w14:solidFill>
              <w14:schemeClr w14:val="tx1"/>
            </w14:solidFill>
          </w14:textFill>
        </w:rPr>
      </w:pPr>
    </w:p>
    <w:p w14:paraId="2945501B">
      <w:pPr>
        <w:pStyle w:val="5"/>
        <w:pageBreakBefore w:val="0"/>
        <w:kinsoku/>
        <w:wordWrap w:val="0"/>
        <w:overflowPunct/>
        <w:topLinePunct/>
        <w:bidi w:val="0"/>
        <w:spacing w:line="248" w:lineRule="auto"/>
        <w:rPr>
          <w:rFonts w:hint="eastAsia" w:ascii="宋体" w:hAnsi="宋体" w:eastAsia="宋体" w:cs="宋体"/>
          <w:color w:val="000000" w:themeColor="text1"/>
          <w:highlight w:val="none"/>
          <w14:textFill>
            <w14:solidFill>
              <w14:schemeClr w14:val="tx1"/>
            </w14:solidFill>
          </w14:textFill>
        </w:rPr>
      </w:pPr>
    </w:p>
    <w:p w14:paraId="540A3EAD">
      <w:pPr>
        <w:pageBreakBefore w:val="0"/>
        <w:kinsoku/>
        <w:wordWrap w:val="0"/>
        <w:overflowPunct/>
        <w:topLinePunct/>
        <w:bidi w:val="0"/>
        <w:spacing w:before="79" w:line="220" w:lineRule="auto"/>
        <w:rPr>
          <w:rFonts w:hint="eastAsia" w:ascii="宋体" w:hAnsi="宋体" w:eastAsia="宋体" w:cs="宋体"/>
          <w:b/>
          <w:bCs/>
          <w:color w:val="000000" w:themeColor="text1"/>
          <w:spacing w:val="-2"/>
          <w:sz w:val="24"/>
          <w:szCs w:val="24"/>
          <w:highlight w:val="none"/>
          <w14:textFill>
            <w14:solidFill>
              <w14:schemeClr w14:val="tx1"/>
            </w14:solidFill>
          </w14:textFill>
        </w:rPr>
      </w:pPr>
    </w:p>
    <w:p w14:paraId="146F2653">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52" w:name="_Toc273"/>
      <w:r>
        <w:rPr>
          <w:rFonts w:hint="eastAsia" w:ascii="宋体" w:hAnsi="宋体" w:eastAsia="宋体" w:cs="宋体"/>
          <w:b/>
          <w:bCs/>
          <w:color w:val="000000" w:themeColor="text1"/>
          <w:spacing w:val="-4"/>
          <w:sz w:val="24"/>
          <w:szCs w:val="24"/>
          <w:highlight w:val="none"/>
          <w14:textFill>
            <w14:solidFill>
              <w14:schemeClr w14:val="tx1"/>
            </w14:solidFill>
          </w14:textFill>
        </w:rPr>
        <w:t>格式十二 建造师查询页（有效期+建造师签字）</w:t>
      </w:r>
      <w:bookmarkEnd w:id="252"/>
    </w:p>
    <w:p w14:paraId="03FC1C06">
      <w:pPr>
        <w:pageBreakBefore w:val="0"/>
        <w:kinsoku/>
        <w:wordWrap w:val="0"/>
        <w:overflowPunct/>
        <w:topLinePunct/>
        <w:bidi w:val="0"/>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position w:val="-235"/>
          <w:highlight w:val="none"/>
          <w14:textFill>
            <w14:solidFill>
              <w14:schemeClr w14:val="tx1"/>
            </w14:solidFill>
          </w14:textFill>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3"/>
                    <a:stretch>
                      <a:fillRect/>
                    </a:stretch>
                  </pic:blipFill>
                  <pic:spPr>
                    <a:xfrm>
                      <a:off x="0" y="0"/>
                      <a:ext cx="6239510" cy="8013700"/>
                    </a:xfrm>
                    <a:prstGeom prst="rect">
                      <a:avLst/>
                    </a:prstGeom>
                    <a:noFill/>
                    <a:ln>
                      <a:noFill/>
                    </a:ln>
                  </pic:spPr>
                </pic:pic>
              </a:graphicData>
            </a:graphic>
          </wp:inline>
        </w:drawing>
      </w:r>
    </w:p>
    <w:p w14:paraId="5C17C4C2">
      <w:pPr>
        <w:pageBreakBefore w:val="0"/>
        <w:kinsoku/>
        <w:wordWrap w:val="0"/>
        <w:overflowPunct/>
        <w:topLinePunct/>
        <w:bidi w:val="0"/>
        <w:spacing w:line="220"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9B85CFD">
      <w:pPr>
        <w:pageBreakBefore w:val="0"/>
        <w:kinsoku/>
        <w:wordWrap w:val="0"/>
        <w:overflowPunct/>
        <w:topLinePunct/>
        <w:bidi w:val="0"/>
        <w:spacing w:line="10744"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position w:val="-214"/>
          <w:highlight w:val="none"/>
          <w14:textFill>
            <w14:solidFill>
              <w14:schemeClr w14:val="tx1"/>
            </w14:solidFill>
          </w14:textFill>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4"/>
                    <a:stretch>
                      <a:fillRect/>
                    </a:stretch>
                  </pic:blipFill>
                  <pic:spPr>
                    <a:xfrm>
                      <a:off x="0" y="0"/>
                      <a:ext cx="6285865" cy="6925310"/>
                    </a:xfrm>
                    <a:prstGeom prst="rect">
                      <a:avLst/>
                    </a:prstGeom>
                    <a:noFill/>
                    <a:ln>
                      <a:noFill/>
                    </a:ln>
                  </pic:spPr>
                </pic:pic>
              </a:graphicData>
            </a:graphic>
          </wp:inline>
        </w:drawing>
      </w:r>
    </w:p>
    <w:p w14:paraId="7F909BCA">
      <w:pPr>
        <w:pageBreakBefore w:val="0"/>
        <w:kinsoku/>
        <w:wordWrap w:val="0"/>
        <w:overflowPunct/>
        <w:topLinePunct/>
        <w:bidi w:val="0"/>
        <w:spacing w:line="10744" w:lineRule="exact"/>
        <w:rPr>
          <w:rFonts w:hint="eastAsia" w:ascii="宋体" w:hAnsi="宋体" w:eastAsia="宋体" w:cs="宋体"/>
          <w:color w:val="000000" w:themeColor="text1"/>
          <w:highlight w:val="none"/>
          <w14:textFill>
            <w14:solidFill>
              <w14:schemeClr w14:val="tx1"/>
            </w14:solidFill>
          </w14:textFill>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9618A44">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53" w:name="_Toc32676"/>
      <w:r>
        <w:rPr>
          <w:rFonts w:hint="eastAsia" w:ascii="宋体" w:hAnsi="宋体" w:eastAsia="宋体" w:cs="宋体"/>
          <w:b/>
          <w:bCs/>
          <w:color w:val="000000" w:themeColor="text1"/>
          <w:spacing w:val="-4"/>
          <w:sz w:val="24"/>
          <w:szCs w:val="24"/>
          <w:highlight w:val="none"/>
          <w14:textFill>
            <w14:solidFill>
              <w14:schemeClr w14:val="tx1"/>
            </w14:solidFill>
          </w14:textFill>
        </w:rPr>
        <w:t>格式十三：</w:t>
      </w:r>
      <w:r>
        <w:rPr>
          <w:rFonts w:hint="eastAsia" w:ascii="宋体" w:hAnsi="宋体" w:eastAsia="宋体" w:cs="宋体"/>
          <w:b/>
          <w:bCs/>
          <w:color w:val="000000" w:themeColor="text1"/>
          <w:spacing w:val="7"/>
          <w:sz w:val="22"/>
          <w:szCs w:val="22"/>
          <w:highlight w:val="none"/>
          <w14:textFill>
            <w14:solidFill>
              <w14:schemeClr w14:val="tx1"/>
            </w14:solidFill>
          </w14:textFill>
        </w:rPr>
        <w:t>危险性较大的分部分项工程清单及超过一定规模的危险性较大的</w:t>
      </w:r>
      <w:r>
        <w:rPr>
          <w:rFonts w:hint="eastAsia" w:ascii="宋体" w:hAnsi="宋体" w:eastAsia="宋体" w:cs="宋体"/>
          <w:b/>
          <w:bCs/>
          <w:color w:val="000000" w:themeColor="text1"/>
          <w:spacing w:val="5"/>
          <w:sz w:val="22"/>
          <w:szCs w:val="22"/>
          <w:highlight w:val="none"/>
          <w14:textFill>
            <w14:solidFill>
              <w14:schemeClr w14:val="tx1"/>
            </w14:solidFill>
          </w14:textFill>
        </w:rPr>
        <w:t>分部分项工程清单</w:t>
      </w:r>
      <w:bookmarkEnd w:id="253"/>
    </w:p>
    <w:p w14:paraId="4DB4F49D">
      <w:pPr>
        <w:pStyle w:val="5"/>
        <w:pageBreakBefore w:val="0"/>
        <w:kinsoku/>
        <w:wordWrap w:val="0"/>
        <w:overflowPunct/>
        <w:topLinePunct/>
        <w:bidi w:val="0"/>
        <w:spacing w:line="269" w:lineRule="auto"/>
        <w:rPr>
          <w:rFonts w:hint="eastAsia" w:ascii="宋体" w:hAnsi="宋体" w:eastAsia="宋体" w:cs="宋体"/>
          <w:color w:val="000000" w:themeColor="text1"/>
          <w:highlight w:val="none"/>
          <w14:textFill>
            <w14:solidFill>
              <w14:schemeClr w14:val="tx1"/>
            </w14:solidFill>
          </w14:textFill>
        </w:rPr>
      </w:pPr>
    </w:p>
    <w:p w14:paraId="4521EA50">
      <w:pPr>
        <w:pageBreakBefore w:val="0"/>
        <w:tabs>
          <w:tab w:val="left" w:pos="2940"/>
        </w:tabs>
        <w:kinsoku/>
        <w:wordWrap w:val="0"/>
        <w:overflowPunct/>
        <w:topLinePunct/>
        <w:bidi w:val="0"/>
        <w:spacing w:before="101" w:line="377" w:lineRule="auto"/>
        <w:ind w:left="3179" w:leftChars="0" w:right="41" w:hanging="3133" w:firstLineChars="0"/>
        <w:rPr>
          <w:rFonts w:hint="eastAsia" w:ascii="宋体" w:hAnsi="宋体" w:eastAsia="宋体" w:cs="宋体"/>
          <w:color w:val="000000" w:themeColor="text1"/>
          <w:sz w:val="31"/>
          <w:szCs w:val="31"/>
          <w:highlight w:val="none"/>
          <w14:textFill>
            <w14:solidFill>
              <w14:schemeClr w14:val="tx1"/>
            </w14:solidFill>
          </w14:textFill>
        </w:rPr>
      </w:pPr>
      <w:bookmarkStart w:id="254" w:name="bookmark160"/>
      <w:bookmarkEnd w:id="254"/>
      <w:bookmarkStart w:id="255" w:name="OLE_LINK41"/>
      <w:r>
        <w:rPr>
          <w:rFonts w:hint="eastAsia" w:ascii="宋体" w:hAnsi="宋体" w:eastAsia="宋体" w:cs="宋体"/>
          <w:b/>
          <w:bCs/>
          <w:color w:val="000000" w:themeColor="text1"/>
          <w:spacing w:val="7"/>
          <w:sz w:val="31"/>
          <w:szCs w:val="31"/>
          <w:highlight w:val="none"/>
          <w14:textFill>
            <w14:solidFill>
              <w14:schemeClr w14:val="tx1"/>
            </w14:solidFill>
          </w14:textFill>
        </w:rPr>
        <w:t>危险性较大的分部分项工程清单及超过一定规模的危险性较大的</w:t>
      </w:r>
      <w:r>
        <w:rPr>
          <w:rFonts w:hint="eastAsia" w:ascii="宋体" w:hAnsi="宋体" w:eastAsia="宋体" w:cs="宋体"/>
          <w:b/>
          <w:bCs/>
          <w:color w:val="000000" w:themeColor="text1"/>
          <w:spacing w:val="5"/>
          <w:sz w:val="31"/>
          <w:szCs w:val="31"/>
          <w:highlight w:val="none"/>
          <w14:textFill>
            <w14:solidFill>
              <w14:schemeClr w14:val="tx1"/>
            </w14:solidFill>
          </w14:textFill>
        </w:rPr>
        <w:t>分部分项工程清单</w:t>
      </w:r>
    </w:p>
    <w:bookmarkEnd w:id="255"/>
    <w:p w14:paraId="7E72E521">
      <w:pPr>
        <w:pageBreakBefore w:val="0"/>
        <w:kinsoku/>
        <w:wordWrap w:val="0"/>
        <w:overflowPunct/>
        <w:topLinePunct/>
        <w:bidi w:val="0"/>
        <w:spacing w:before="6" w:line="326" w:lineRule="auto"/>
        <w:ind w:left="5" w:firstLine="49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1、根据中华人民共和国住房和城乡建设部令第37号《危险性较大的分部分项工程</w:t>
      </w:r>
      <w:r>
        <w:rPr>
          <w:rFonts w:hint="eastAsia" w:ascii="宋体" w:hAnsi="宋体" w:eastAsia="宋体" w:cs="宋体"/>
          <w:color w:val="000000" w:themeColor="text1"/>
          <w:spacing w:val="-2"/>
          <w:sz w:val="24"/>
          <w:szCs w:val="24"/>
          <w:highlight w:val="none"/>
          <w14:textFill>
            <w14:solidFill>
              <w14:schemeClr w14:val="tx1"/>
            </w14:solidFill>
          </w14:textFill>
        </w:rPr>
        <w:t>安全管理规定》（以下简称“37号文</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pacing w:val="-11"/>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投标人在投标时须补充完善危大工程清单并明确相应的安全管理措施。</w:t>
      </w:r>
    </w:p>
    <w:p w14:paraId="55FB7DC7">
      <w:pPr>
        <w:pageBreakBefore w:val="0"/>
        <w:kinsoku/>
        <w:wordWrap w:val="0"/>
        <w:overflowPunct/>
        <w:topLinePunct/>
        <w:bidi w:val="0"/>
        <w:spacing w:before="208" w:line="326" w:lineRule="auto"/>
        <w:ind w:left="1" w:firstLine="48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2、招标人根据设计文件的要求及37号文、粤建规范〔2019〕2号文的规定列出“危险性较大的分部分项工程清单及超过一定规模的危</w:t>
      </w:r>
      <w:r>
        <w:rPr>
          <w:rFonts w:hint="eastAsia" w:ascii="宋体" w:hAnsi="宋体" w:eastAsia="宋体" w:cs="宋体"/>
          <w:color w:val="000000" w:themeColor="text1"/>
          <w:spacing w:val="-3"/>
          <w:sz w:val="24"/>
          <w:szCs w:val="24"/>
          <w:highlight w:val="none"/>
          <w14:textFill>
            <w14:solidFill>
              <w14:schemeClr w14:val="tx1"/>
            </w14:solidFill>
          </w14:textFill>
        </w:rPr>
        <w:t>险性较大的分部分项工程清单</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”中与</w:t>
      </w:r>
      <w:r>
        <w:rPr>
          <w:rFonts w:hint="eastAsia" w:ascii="宋体" w:hAnsi="宋体" w:eastAsia="宋体" w:cs="宋体"/>
          <w:color w:val="000000" w:themeColor="text1"/>
          <w:spacing w:val="-5"/>
          <w:sz w:val="24"/>
          <w:szCs w:val="24"/>
          <w:highlight w:val="none"/>
          <w14:textFill>
            <w14:solidFill>
              <w14:schemeClr w14:val="tx1"/>
            </w14:solidFill>
          </w14:textFill>
        </w:rPr>
        <w:t>本招标项目相关的清单项，具体详见第5点“打√</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14:textFill>
            <w14:solidFill>
              <w14:schemeClr w14:val="tx1"/>
            </w14:solidFill>
          </w14:textFill>
        </w:rPr>
        <w:t>”标识。</w:t>
      </w:r>
    </w:p>
    <w:p w14:paraId="5149F252">
      <w:pPr>
        <w:pageBreakBefore w:val="0"/>
        <w:kinsoku/>
        <w:wordWrap w:val="0"/>
        <w:overflowPunct/>
        <w:topLinePunct/>
        <w:bidi w:val="0"/>
        <w:spacing w:before="209" w:line="299" w:lineRule="auto"/>
        <w:ind w:left="3" w:right="72" w:firstLine="48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（1）投标单位同意建设单位在清单中标识的该</w:t>
      </w:r>
      <w:r>
        <w:rPr>
          <w:rFonts w:hint="eastAsia" w:ascii="宋体" w:hAnsi="宋体" w:eastAsia="宋体" w:cs="宋体"/>
          <w:color w:val="000000" w:themeColor="text1"/>
          <w:spacing w:val="-4"/>
          <w:sz w:val="24"/>
          <w:szCs w:val="24"/>
          <w:highlight w:val="none"/>
          <w14:textFill>
            <w14:solidFill>
              <w14:schemeClr w14:val="tx1"/>
            </w14:solidFill>
          </w14:textFill>
        </w:rPr>
        <w:t>项请在对应项打“√</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”标识，并与</w:t>
      </w:r>
      <w:r>
        <w:rPr>
          <w:rFonts w:hint="eastAsia" w:ascii="宋体" w:hAnsi="宋体" w:eastAsia="宋体" w:cs="宋体"/>
          <w:color w:val="000000" w:themeColor="text1"/>
          <w:spacing w:val="-1"/>
          <w:sz w:val="24"/>
          <w:szCs w:val="24"/>
          <w:highlight w:val="none"/>
          <w14:textFill>
            <w14:solidFill>
              <w14:schemeClr w14:val="tx1"/>
            </w14:solidFill>
          </w14:textFill>
        </w:rPr>
        <w:t>投标文件中提供相应的安全管理措施。</w:t>
      </w:r>
    </w:p>
    <w:p w14:paraId="44D181C1">
      <w:pPr>
        <w:pageBreakBefore w:val="0"/>
        <w:kinsoku/>
        <w:wordWrap w:val="0"/>
        <w:overflowPunct/>
        <w:topLinePunct/>
        <w:bidi w:val="0"/>
        <w:spacing w:before="208" w:line="299" w:lineRule="auto"/>
        <w:ind w:left="2" w:right="72" w:firstLine="48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（2）投标单位对清单中认为需要补充的该项请</w:t>
      </w:r>
      <w:r>
        <w:rPr>
          <w:rFonts w:hint="eastAsia" w:ascii="宋体" w:hAnsi="宋体" w:eastAsia="宋体" w:cs="宋体"/>
          <w:color w:val="000000" w:themeColor="text1"/>
          <w:spacing w:val="-4"/>
          <w:sz w:val="24"/>
          <w:szCs w:val="24"/>
          <w:highlight w:val="none"/>
          <w14:textFill>
            <w14:solidFill>
              <w14:schemeClr w14:val="tx1"/>
            </w14:solidFill>
          </w14:textFill>
        </w:rPr>
        <w:t>在对应项打“√</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4"/>
          <w:sz w:val="24"/>
          <w:szCs w:val="24"/>
          <w:highlight w:val="none"/>
          <w14:textFill>
            <w14:solidFill>
              <w14:schemeClr w14:val="tx1"/>
            </w14:solidFill>
          </w14:textFill>
        </w:rPr>
        <w:t>”标识，并与投标</w:t>
      </w:r>
      <w:r>
        <w:rPr>
          <w:rFonts w:hint="eastAsia" w:ascii="宋体" w:hAnsi="宋体" w:eastAsia="宋体" w:cs="宋体"/>
          <w:color w:val="000000" w:themeColor="text1"/>
          <w:spacing w:val="-1"/>
          <w:sz w:val="24"/>
          <w:szCs w:val="24"/>
          <w:highlight w:val="none"/>
          <w14:textFill>
            <w14:solidFill>
              <w14:schemeClr w14:val="tx1"/>
            </w14:solidFill>
          </w14:textFill>
        </w:rPr>
        <w:t>文件中提供相应的安全管理措施。</w:t>
      </w:r>
    </w:p>
    <w:p w14:paraId="7E250DF2">
      <w:pPr>
        <w:pageBreakBefore w:val="0"/>
        <w:kinsoku/>
        <w:wordWrap w:val="0"/>
        <w:overflowPunct/>
        <w:topLinePunct/>
        <w:bidi w:val="0"/>
        <w:spacing w:before="210" w:line="300" w:lineRule="auto"/>
        <w:ind w:right="72" w:firstLine="49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（3）投标单位不同意建设单位在清单中标识的该项请在对应项打“</w:t>
      </w:r>
      <w:r>
        <w:rPr>
          <w:rFonts w:hint="eastAsia" w:ascii="宋体" w:hAnsi="宋体" w:eastAsia="宋体" w:cs="宋体"/>
          <w:color w:val="000000" w:themeColor="text1"/>
          <w:spacing w:val="-66"/>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w:t>
      </w:r>
      <w:r>
        <w:rPr>
          <w:rFonts w:hint="eastAsia" w:ascii="宋体" w:hAnsi="宋体" w:eastAsia="宋体" w:cs="宋体"/>
          <w:color w:val="000000" w:themeColor="text1"/>
          <w:spacing w:val="-88"/>
          <w:sz w:val="24"/>
          <w:szCs w:val="24"/>
          <w:highlight w:val="none"/>
          <w14:textFill>
            <w14:solidFill>
              <w14:schemeClr w14:val="tx1"/>
            </w14:solidFill>
          </w14:textFill>
        </w:rPr>
        <w:t xml:space="preserve"> </w:t>
      </w:r>
      <w:r>
        <w:rPr>
          <w:rFonts w:hint="eastAsia" w:ascii="宋体" w:hAnsi="宋体" w:eastAsia="宋体" w:cs="宋体"/>
          <w:color w:val="000000" w:themeColor="text1"/>
          <w:spacing w:val="-3"/>
          <w:sz w:val="24"/>
          <w:szCs w:val="24"/>
          <w:highlight w:val="none"/>
          <w14:textFill>
            <w14:solidFill>
              <w14:schemeClr w14:val="tx1"/>
            </w14:solidFill>
          </w14:textFill>
        </w:rPr>
        <w:t>”标识，并</w:t>
      </w:r>
      <w:r>
        <w:rPr>
          <w:rFonts w:hint="eastAsia" w:ascii="宋体" w:hAnsi="宋体" w:eastAsia="宋体" w:cs="宋体"/>
          <w:color w:val="000000" w:themeColor="text1"/>
          <w:spacing w:val="-1"/>
          <w:sz w:val="24"/>
          <w:szCs w:val="24"/>
          <w:highlight w:val="none"/>
          <w14:textFill>
            <w14:solidFill>
              <w14:schemeClr w14:val="tx1"/>
            </w14:solidFill>
          </w14:textFill>
        </w:rPr>
        <w:t>在备注栏填上相关说明。</w:t>
      </w:r>
    </w:p>
    <w:p w14:paraId="6290B8B1">
      <w:pPr>
        <w:pageBreakBefore w:val="0"/>
        <w:kinsoku/>
        <w:wordWrap w:val="0"/>
        <w:overflowPunct/>
        <w:topLinePunct/>
        <w:bidi w:val="0"/>
        <w:spacing w:before="207" w:line="371" w:lineRule="auto"/>
        <w:ind w:firstLine="484"/>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u w:val="single"/>
          <w14:textFill>
            <w14:solidFill>
              <w14:schemeClr w14:val="tx1"/>
            </w14:solidFill>
          </w14:textFill>
        </w:rPr>
        <w:t>3、投标单位应当在投标时根据招标人提供的下述第5点清单，</w:t>
      </w:r>
      <w:r>
        <w:rPr>
          <w:rFonts w:hint="eastAsia" w:ascii="宋体" w:hAnsi="宋体" w:eastAsia="宋体" w:cs="宋体"/>
          <w:b/>
          <w:bCs/>
          <w:color w:val="000000" w:themeColor="text1"/>
          <w:spacing w:val="-5"/>
          <w:sz w:val="24"/>
          <w:szCs w:val="24"/>
          <w:highlight w:val="none"/>
          <w:u w:val="single"/>
          <w14:textFill>
            <w14:solidFill>
              <w14:schemeClr w14:val="tx1"/>
            </w14:solidFill>
          </w14:textFill>
        </w:rPr>
        <w:t>在投标施工组织中回</w:t>
      </w:r>
      <w:r>
        <w:rPr>
          <w:rFonts w:hint="eastAsia" w:ascii="宋体" w:hAnsi="宋体" w:eastAsia="宋体" w:cs="宋体"/>
          <w:b/>
          <w:bCs/>
          <w:color w:val="000000" w:themeColor="text1"/>
          <w:spacing w:val="-4"/>
          <w:sz w:val="24"/>
          <w:szCs w:val="24"/>
          <w:highlight w:val="none"/>
          <w:u w:val="single"/>
          <w14:textFill>
            <w14:solidFill>
              <w14:schemeClr w14:val="tx1"/>
            </w14:solidFill>
          </w14:textFill>
        </w:rPr>
        <w:t>应建设单位提供的危大工程清单，补充相应的安全管理措施。（为减轻标书编制</w:t>
      </w:r>
      <w:r>
        <w:rPr>
          <w:rFonts w:hint="eastAsia" w:ascii="宋体" w:hAnsi="宋体" w:eastAsia="宋体" w:cs="宋体"/>
          <w:b/>
          <w:bCs/>
          <w:color w:val="000000" w:themeColor="text1"/>
          <w:spacing w:val="-5"/>
          <w:sz w:val="24"/>
          <w:szCs w:val="24"/>
          <w:highlight w:val="none"/>
          <w:u w:val="single"/>
          <w14:textFill>
            <w14:solidFill>
              <w14:schemeClr w14:val="tx1"/>
            </w14:solidFill>
          </w14:textFill>
        </w:rPr>
        <w:t>的工作</w:t>
      </w:r>
      <w:r>
        <w:rPr>
          <w:rFonts w:hint="eastAsia" w:ascii="宋体" w:hAnsi="宋体" w:eastAsia="宋体" w:cs="宋体"/>
          <w:b/>
          <w:bCs/>
          <w:color w:val="000000" w:themeColor="text1"/>
          <w:spacing w:val="-2"/>
          <w:sz w:val="24"/>
          <w:szCs w:val="24"/>
          <w:highlight w:val="none"/>
          <w:u w:val="single"/>
          <w14:textFill>
            <w14:solidFill>
              <w14:schemeClr w14:val="tx1"/>
            </w14:solidFill>
          </w14:textFill>
        </w:rPr>
        <w:t>量，投标单位回应的危大工程清单该部分的页数应控制在3页内）</w:t>
      </w:r>
    </w:p>
    <w:p w14:paraId="640D894E">
      <w:pPr>
        <w:pageBreakBefore w:val="0"/>
        <w:kinsoku/>
        <w:wordWrap w:val="0"/>
        <w:overflowPunct/>
        <w:topLinePunct/>
        <w:bidi w:val="0"/>
        <w:spacing w:before="33" w:line="326" w:lineRule="auto"/>
        <w:ind w:left="1" w:firstLine="47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4、对于超过一定规模的危大工程，中标单位应当组织召开</w:t>
      </w:r>
      <w:r>
        <w:rPr>
          <w:rFonts w:hint="eastAsia" w:ascii="宋体" w:hAnsi="宋体" w:eastAsia="宋体" w:cs="宋体"/>
          <w:color w:val="000000" w:themeColor="text1"/>
          <w:spacing w:val="-1"/>
          <w:sz w:val="24"/>
          <w:szCs w:val="24"/>
          <w:highlight w:val="none"/>
          <w14:textFill>
            <w14:solidFill>
              <w14:schemeClr w14:val="tx1"/>
            </w14:solidFill>
          </w14:textFill>
        </w:rPr>
        <w:t>专家论证会对专项施工</w:t>
      </w:r>
      <w:r>
        <w:rPr>
          <w:rFonts w:hint="eastAsia" w:ascii="宋体" w:hAnsi="宋体" w:eastAsia="宋体" w:cs="宋体"/>
          <w:color w:val="000000" w:themeColor="text1"/>
          <w:spacing w:val="-2"/>
          <w:sz w:val="24"/>
          <w:szCs w:val="24"/>
          <w:highlight w:val="none"/>
          <w14:textFill>
            <w14:solidFill>
              <w14:schemeClr w14:val="tx1"/>
            </w14:solidFill>
          </w14:textFill>
        </w:rPr>
        <w:t>方案进行论证。实行施工总承包的，由施工总承包单位组织召开专家论证会。专家论证</w:t>
      </w:r>
      <w:r>
        <w:rPr>
          <w:rFonts w:hint="eastAsia" w:ascii="宋体" w:hAnsi="宋体" w:eastAsia="宋体" w:cs="宋体"/>
          <w:color w:val="000000" w:themeColor="text1"/>
          <w:spacing w:val="-1"/>
          <w:sz w:val="24"/>
          <w:szCs w:val="24"/>
          <w:highlight w:val="none"/>
          <w14:textFill>
            <w14:solidFill>
              <w14:schemeClr w14:val="tx1"/>
            </w14:solidFill>
          </w14:textFill>
        </w:rPr>
        <w:t>前专项施工方案应当通过施工总承包单位审核和总监理工程师审查。</w:t>
      </w:r>
    </w:p>
    <w:p w14:paraId="13435A97">
      <w:pPr>
        <w:pageBreakBefore w:val="0"/>
        <w:kinsoku/>
        <w:wordWrap w:val="0"/>
        <w:overflowPunct/>
        <w:topLinePunct/>
        <w:bidi w:val="0"/>
        <w:spacing w:before="208" w:line="301" w:lineRule="auto"/>
        <w:ind w:firstLine="484"/>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5、危险性较大的分部分项工程清单及超过一</w:t>
      </w:r>
      <w:r>
        <w:rPr>
          <w:rFonts w:hint="eastAsia" w:ascii="宋体" w:hAnsi="宋体" w:eastAsia="宋体" w:cs="宋体"/>
          <w:color w:val="000000" w:themeColor="text1"/>
          <w:spacing w:val="1"/>
          <w:sz w:val="24"/>
          <w:szCs w:val="24"/>
          <w:highlight w:val="none"/>
          <w14:textFill>
            <w14:solidFill>
              <w14:schemeClr w14:val="tx1"/>
            </w14:solidFill>
          </w14:textFill>
        </w:rPr>
        <w:t>定规模的危险性较大的分部分项工程</w:t>
      </w:r>
      <w:r>
        <w:rPr>
          <w:rFonts w:hint="eastAsia" w:ascii="宋体" w:hAnsi="宋体" w:eastAsia="宋体" w:cs="宋体"/>
          <w:color w:val="000000" w:themeColor="text1"/>
          <w:spacing w:val="-4"/>
          <w:sz w:val="24"/>
          <w:szCs w:val="24"/>
          <w:highlight w:val="none"/>
          <w14:textFill>
            <w14:solidFill>
              <w14:schemeClr w14:val="tx1"/>
            </w14:solidFill>
          </w14:textFill>
        </w:rPr>
        <w:t>清单</w:t>
      </w:r>
    </w:p>
    <w:p w14:paraId="4EFCEC3A">
      <w:pPr>
        <w:pageBreakBefore w:val="0"/>
        <w:kinsoku/>
        <w:wordWrap w:val="0"/>
        <w:overflowPunct/>
        <w:topLinePunct/>
        <w:bidi w:val="0"/>
        <w:spacing w:before="40"/>
        <w:rPr>
          <w:rFonts w:hint="eastAsia" w:ascii="宋体" w:hAnsi="宋体" w:eastAsia="宋体" w:cs="宋体"/>
          <w:color w:val="000000" w:themeColor="text1"/>
          <w:highlight w:val="none"/>
          <w14:textFill>
            <w14:solidFill>
              <w14:schemeClr w14:val="tx1"/>
            </w14:solidFill>
          </w14:textFill>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55824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9009709">
            <w:pPr>
              <w:pageBreakBefore w:val="0"/>
              <w:kinsoku/>
              <w:wordWrap w:val="0"/>
              <w:overflowPunct/>
              <w:topLinePunct/>
              <w:bidi w:val="0"/>
              <w:spacing w:before="133" w:line="220" w:lineRule="auto"/>
              <w:ind w:firstLine="235" w:firstLineChars="100"/>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t>一、危险性较大的分部分项工程清单</w:t>
            </w:r>
          </w:p>
        </w:tc>
        <w:tc>
          <w:tcPr>
            <w:tcW w:w="1294" w:type="dxa"/>
            <w:vAlign w:val="top"/>
          </w:tcPr>
          <w:p w14:paraId="62C922BB">
            <w:pPr>
              <w:pageBreakBefore w:val="0"/>
              <w:kinsoku/>
              <w:wordWrap w:val="0"/>
              <w:overflowPunct/>
              <w:topLinePunct/>
              <w:bidi w:val="0"/>
              <w:spacing w:before="133" w:line="221" w:lineRule="auto"/>
              <w:ind w:left="206" w:leftChars="0"/>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建设单位</w:t>
            </w:r>
          </w:p>
        </w:tc>
        <w:tc>
          <w:tcPr>
            <w:tcW w:w="1294" w:type="dxa"/>
            <w:vAlign w:val="top"/>
          </w:tcPr>
          <w:p w14:paraId="7B6DC43F">
            <w:pPr>
              <w:pageBreakBefore w:val="0"/>
              <w:kinsoku/>
              <w:wordWrap w:val="0"/>
              <w:overflowPunct/>
              <w:topLinePunct/>
              <w:bidi w:val="0"/>
              <w:spacing w:before="133" w:line="221" w:lineRule="auto"/>
              <w:ind w:left="205" w:leftChars="0"/>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投标单位</w:t>
            </w:r>
          </w:p>
        </w:tc>
        <w:tc>
          <w:tcPr>
            <w:tcW w:w="2428" w:type="dxa"/>
            <w:vAlign w:val="top"/>
          </w:tcPr>
          <w:p w14:paraId="6DEF5F01">
            <w:pPr>
              <w:pageBreakBefore w:val="0"/>
              <w:kinsoku/>
              <w:wordWrap w:val="0"/>
              <w:overflowPunct/>
              <w:topLinePunct/>
              <w:bidi w:val="0"/>
              <w:spacing w:before="133" w:line="222" w:lineRule="auto"/>
              <w:ind w:left="360" w:left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备注</w:t>
            </w:r>
          </w:p>
        </w:tc>
      </w:tr>
      <w:tr w14:paraId="224D6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73C4D63">
            <w:pPr>
              <w:pageBreakBefore w:val="0"/>
              <w:kinsoku/>
              <w:wordWrap w:val="0"/>
              <w:overflowPunct/>
              <w:topLinePunct/>
              <w:bidi w:val="0"/>
              <w:spacing w:before="128" w:line="221" w:lineRule="auto"/>
              <w:ind w:left="120" w:leftChars="0"/>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一、基坑支护</w:t>
            </w:r>
          </w:p>
        </w:tc>
        <w:tc>
          <w:tcPr>
            <w:tcW w:w="1294" w:type="dxa"/>
            <w:vAlign w:val="top"/>
          </w:tcPr>
          <w:p w14:paraId="23044077">
            <w:pPr>
              <w:pageBreakBefore w:val="0"/>
              <w:kinsoku/>
              <w:wordWrap w:val="0"/>
              <w:overflowPunct/>
              <w:topLinePunct/>
              <w:bidi w:val="0"/>
              <w:spacing w:before="128" w:line="223" w:lineRule="auto"/>
              <w:jc w:val="center"/>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bookmarkStart w:id="256" w:name="OLE_LINK39"/>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bookmarkEnd w:id="256"/>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ECBF7B0">
            <w:pPr>
              <w:pageBreakBefore w:val="0"/>
              <w:kinsoku/>
              <w:wordWrap w:val="0"/>
              <w:overflowPunct/>
              <w:topLinePunct/>
              <w:bidi w:val="0"/>
              <w:spacing w:before="128" w:line="223" w:lineRule="auto"/>
              <w:ind w:left="367" w:leftChars="0"/>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8D34972">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61DCD8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662AA2D">
            <w:pPr>
              <w:pageBreakBefore w:val="0"/>
              <w:kinsoku/>
              <w:wordWrap w:val="0"/>
              <w:overflowPunct/>
              <w:topLinePunct/>
              <w:bidi w:val="0"/>
              <w:spacing w:before="129" w:line="328" w:lineRule="auto"/>
              <w:ind w:left="135" w:leftChars="0" w:right="68" w:rightChars="0" w:hanging="8" w:firstLineChars="0"/>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（一）开挖深度超过3m（含3m）的基坑（槽）</w:t>
            </w:r>
            <w:r>
              <w:rPr>
                <w:rFonts w:hint="eastAsia" w:ascii="宋体" w:hAnsi="宋体" w:eastAsia="宋体" w:cs="宋体"/>
                <w:color w:val="000000" w:themeColor="text1"/>
                <w:spacing w:val="-3"/>
                <w:sz w:val="24"/>
                <w:szCs w:val="24"/>
                <w:highlight w:val="none"/>
                <w14:textFill>
                  <w14:solidFill>
                    <w14:schemeClr w14:val="tx1"/>
                  </w14:solidFill>
                </w14:textFill>
              </w:rPr>
              <w:t>的土方开挖、支护、降水工程。</w:t>
            </w:r>
          </w:p>
        </w:tc>
        <w:tc>
          <w:tcPr>
            <w:tcW w:w="1294" w:type="dxa"/>
            <w:vAlign w:val="top"/>
          </w:tcPr>
          <w:p w14:paraId="7A886783">
            <w:pPr>
              <w:pStyle w:val="21"/>
              <w:pageBreakBefore w:val="0"/>
              <w:kinsoku/>
              <w:wordWrap w:val="0"/>
              <w:overflowPunct/>
              <w:topLinePunct/>
              <w:bidi w:val="0"/>
              <w:spacing w:line="297" w:lineRule="auto"/>
              <w:rPr>
                <w:rFonts w:hint="eastAsia" w:ascii="宋体" w:hAnsi="宋体" w:eastAsia="宋体" w:cs="宋体"/>
                <w:color w:val="000000" w:themeColor="text1"/>
                <w:highlight w:val="none"/>
                <w14:textFill>
                  <w14:solidFill>
                    <w14:schemeClr w14:val="tx1"/>
                  </w14:solidFill>
                </w14:textFill>
              </w:rPr>
            </w:pPr>
          </w:p>
          <w:p w14:paraId="008797AB">
            <w:pPr>
              <w:pageBreakBefore w:val="0"/>
              <w:kinsoku/>
              <w:wordWrap w:val="0"/>
              <w:overflowPunct/>
              <w:topLinePunct/>
              <w:bidi w:val="0"/>
              <w:spacing w:before="78" w:line="223" w:lineRule="auto"/>
              <w:ind w:left="396" w:leftChars="0"/>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6CC1252A">
            <w:pPr>
              <w:pStyle w:val="21"/>
              <w:pageBreakBefore w:val="0"/>
              <w:kinsoku/>
              <w:wordWrap w:val="0"/>
              <w:overflowPunct/>
              <w:topLinePunct/>
              <w:bidi w:val="0"/>
              <w:spacing w:line="297" w:lineRule="auto"/>
              <w:rPr>
                <w:rFonts w:hint="eastAsia" w:ascii="宋体" w:hAnsi="宋体" w:eastAsia="宋体" w:cs="宋体"/>
                <w:color w:val="000000" w:themeColor="text1"/>
                <w:highlight w:val="none"/>
                <w14:textFill>
                  <w14:solidFill>
                    <w14:schemeClr w14:val="tx1"/>
                  </w14:solidFill>
                </w14:textFill>
              </w:rPr>
            </w:pPr>
          </w:p>
          <w:p w14:paraId="6FCD8671">
            <w:pPr>
              <w:pageBreakBefore w:val="0"/>
              <w:kinsoku/>
              <w:wordWrap w:val="0"/>
              <w:overflowPunct/>
              <w:topLinePunct/>
              <w:bidi w:val="0"/>
              <w:spacing w:before="78" w:line="223" w:lineRule="auto"/>
              <w:ind w:left="367" w:leftChars="0"/>
              <w:rPr>
                <w:rFonts w:hint="eastAsia" w:ascii="宋体" w:hAnsi="宋体" w:eastAsia="宋体" w:cs="宋体"/>
                <w:color w:val="000000" w:themeColor="text1"/>
                <w:spacing w:val="-19"/>
                <w:w w:val="94"/>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609DAB55">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67F34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A34DAB4">
            <w:pPr>
              <w:pageBreakBefore w:val="0"/>
              <w:kinsoku/>
              <w:wordWrap w:val="0"/>
              <w:overflowPunct/>
              <w:topLinePunct/>
              <w:bidi w:val="0"/>
              <w:spacing w:before="132" w:line="354" w:lineRule="auto"/>
              <w:ind w:left="116" w:right="108" w:firstLine="11"/>
              <w:jc w:val="both"/>
              <w:rPr>
                <w:rFonts w:hint="eastAsia" w:ascii="宋体" w:hAnsi="宋体" w:eastAsia="宋体" w:cs="宋体"/>
                <w:color w:val="000000" w:themeColor="text1"/>
                <w:sz w:val="24"/>
                <w:szCs w:val="24"/>
                <w:highlight w:val="none"/>
                <w14:textFill>
                  <w14:solidFill>
                    <w14:schemeClr w14:val="tx1"/>
                  </w14:solidFill>
                </w14:textFill>
              </w:rPr>
            </w:pPr>
            <w:bookmarkStart w:id="257" w:name="bookmark161"/>
            <w:bookmarkEnd w:id="257"/>
            <w:r>
              <w:rPr>
                <w:rFonts w:hint="eastAsia" w:ascii="宋体" w:hAnsi="宋体" w:eastAsia="宋体" w:cs="宋体"/>
                <w:color w:val="000000" w:themeColor="text1"/>
                <w:spacing w:val="-2"/>
                <w:sz w:val="24"/>
                <w:szCs w:val="24"/>
                <w:highlight w:val="none"/>
                <w14:textFill>
                  <w14:solidFill>
                    <w14:schemeClr w14:val="tx1"/>
                  </w14:solidFill>
                </w14:textFill>
              </w:rPr>
              <w:t>（二）开挖深度虽未超过3m，但地质条件、周</w:t>
            </w:r>
            <w:r>
              <w:rPr>
                <w:rFonts w:hint="eastAsia" w:ascii="宋体" w:hAnsi="宋体" w:eastAsia="宋体" w:cs="宋体"/>
                <w:color w:val="000000" w:themeColor="text1"/>
                <w:spacing w:val="-1"/>
                <w:sz w:val="24"/>
                <w:szCs w:val="24"/>
                <w:highlight w:val="none"/>
                <w14:textFill>
                  <w14:solidFill>
                    <w14:schemeClr w14:val="tx1"/>
                  </w14:solidFill>
                </w14:textFill>
              </w:rPr>
              <w:t>围环境和地下管线复杂，或影响毗邻建、构筑物安全的基坑（槽）的土方开挖、支护、降水</w:t>
            </w:r>
            <w:r>
              <w:rPr>
                <w:rFonts w:hint="eastAsia" w:ascii="宋体" w:hAnsi="宋体" w:eastAsia="宋体" w:cs="宋体"/>
                <w:color w:val="000000" w:themeColor="text1"/>
                <w:spacing w:val="-4"/>
                <w:sz w:val="24"/>
                <w:szCs w:val="24"/>
                <w:highlight w:val="none"/>
                <w14:textFill>
                  <w14:solidFill>
                    <w14:schemeClr w14:val="tx1"/>
                  </w14:solidFill>
                </w14:textFill>
              </w:rPr>
              <w:t>工程。</w:t>
            </w:r>
          </w:p>
        </w:tc>
        <w:tc>
          <w:tcPr>
            <w:tcW w:w="1294" w:type="dxa"/>
            <w:vAlign w:val="top"/>
          </w:tcPr>
          <w:p w14:paraId="59BC2677">
            <w:pPr>
              <w:pStyle w:val="21"/>
              <w:pageBreakBefore w:val="0"/>
              <w:kinsoku/>
              <w:wordWrap w:val="0"/>
              <w:overflowPunct/>
              <w:topLinePunct/>
              <w:bidi w:val="0"/>
              <w:spacing w:line="263" w:lineRule="auto"/>
              <w:rPr>
                <w:rFonts w:hint="eastAsia" w:ascii="宋体" w:hAnsi="宋体" w:eastAsia="宋体" w:cs="宋体"/>
                <w:color w:val="000000" w:themeColor="text1"/>
                <w:highlight w:val="none"/>
                <w14:textFill>
                  <w14:solidFill>
                    <w14:schemeClr w14:val="tx1"/>
                  </w14:solidFill>
                </w14:textFill>
              </w:rPr>
            </w:pPr>
          </w:p>
          <w:p w14:paraId="359BADAE">
            <w:pPr>
              <w:pStyle w:val="21"/>
              <w:pageBreakBefore w:val="0"/>
              <w:kinsoku/>
              <w:wordWrap w:val="0"/>
              <w:overflowPunct/>
              <w:topLinePunct/>
              <w:bidi w:val="0"/>
              <w:spacing w:line="263" w:lineRule="auto"/>
              <w:rPr>
                <w:rFonts w:hint="eastAsia" w:ascii="宋体" w:hAnsi="宋体" w:eastAsia="宋体" w:cs="宋体"/>
                <w:color w:val="000000" w:themeColor="text1"/>
                <w:highlight w:val="none"/>
                <w14:textFill>
                  <w14:solidFill>
                    <w14:schemeClr w14:val="tx1"/>
                  </w14:solidFill>
                </w14:textFill>
              </w:rPr>
            </w:pPr>
          </w:p>
          <w:p w14:paraId="74CFE978">
            <w:pPr>
              <w:pStyle w:val="21"/>
              <w:pageBreakBefore w:val="0"/>
              <w:kinsoku/>
              <w:wordWrap w:val="0"/>
              <w:overflowPunct/>
              <w:topLinePunct/>
              <w:bidi w:val="0"/>
              <w:spacing w:line="264" w:lineRule="auto"/>
              <w:rPr>
                <w:rFonts w:hint="eastAsia" w:ascii="宋体" w:hAnsi="宋体" w:eastAsia="宋体" w:cs="宋体"/>
                <w:color w:val="000000" w:themeColor="text1"/>
                <w:highlight w:val="none"/>
                <w14:textFill>
                  <w14:solidFill>
                    <w14:schemeClr w14:val="tx1"/>
                  </w14:solidFill>
                </w14:textFill>
              </w:rPr>
            </w:pPr>
          </w:p>
          <w:p w14:paraId="5625B48B">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bookmarkStart w:id="258" w:name="OLE_LINK40"/>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bookmarkEnd w:id="258"/>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3F2CA4E1">
            <w:pPr>
              <w:pStyle w:val="21"/>
              <w:pageBreakBefore w:val="0"/>
              <w:kinsoku/>
              <w:wordWrap w:val="0"/>
              <w:overflowPunct/>
              <w:topLinePunct/>
              <w:bidi w:val="0"/>
              <w:spacing w:line="263" w:lineRule="auto"/>
              <w:rPr>
                <w:rFonts w:hint="eastAsia" w:ascii="宋体" w:hAnsi="宋体" w:eastAsia="宋体" w:cs="宋体"/>
                <w:color w:val="000000" w:themeColor="text1"/>
                <w:highlight w:val="none"/>
                <w14:textFill>
                  <w14:solidFill>
                    <w14:schemeClr w14:val="tx1"/>
                  </w14:solidFill>
                </w14:textFill>
              </w:rPr>
            </w:pPr>
          </w:p>
          <w:p w14:paraId="12469E0C">
            <w:pPr>
              <w:pStyle w:val="21"/>
              <w:pageBreakBefore w:val="0"/>
              <w:kinsoku/>
              <w:wordWrap w:val="0"/>
              <w:overflowPunct/>
              <w:topLinePunct/>
              <w:bidi w:val="0"/>
              <w:spacing w:line="263" w:lineRule="auto"/>
              <w:rPr>
                <w:rFonts w:hint="eastAsia" w:ascii="宋体" w:hAnsi="宋体" w:eastAsia="宋体" w:cs="宋体"/>
                <w:color w:val="000000" w:themeColor="text1"/>
                <w:highlight w:val="none"/>
                <w14:textFill>
                  <w14:solidFill>
                    <w14:schemeClr w14:val="tx1"/>
                  </w14:solidFill>
                </w14:textFill>
              </w:rPr>
            </w:pPr>
          </w:p>
          <w:p w14:paraId="238E19C1">
            <w:pPr>
              <w:pStyle w:val="21"/>
              <w:pageBreakBefore w:val="0"/>
              <w:kinsoku/>
              <w:wordWrap w:val="0"/>
              <w:overflowPunct/>
              <w:topLinePunct/>
              <w:bidi w:val="0"/>
              <w:spacing w:line="264" w:lineRule="auto"/>
              <w:rPr>
                <w:rFonts w:hint="eastAsia" w:ascii="宋体" w:hAnsi="宋体" w:eastAsia="宋体" w:cs="宋体"/>
                <w:color w:val="000000" w:themeColor="text1"/>
                <w:highlight w:val="none"/>
                <w14:textFill>
                  <w14:solidFill>
                    <w14:schemeClr w14:val="tx1"/>
                  </w14:solidFill>
                </w14:textFill>
              </w:rPr>
            </w:pPr>
          </w:p>
          <w:p w14:paraId="1C65BCAD">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346B32B9">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5F29C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0461EC9">
            <w:pPr>
              <w:pageBreakBefore w:val="0"/>
              <w:kinsoku/>
              <w:wordWrap w:val="0"/>
              <w:overflowPunct/>
              <w:topLinePunct/>
              <w:bidi w:val="0"/>
              <w:spacing w:before="128" w:line="219" w:lineRule="auto"/>
              <w:ind w:left="1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二、模板工程及支撑体系</w:t>
            </w:r>
          </w:p>
        </w:tc>
        <w:tc>
          <w:tcPr>
            <w:tcW w:w="1294" w:type="dxa"/>
            <w:vAlign w:val="top"/>
          </w:tcPr>
          <w:p w14:paraId="6EA9FBD8">
            <w:pPr>
              <w:pageBreakBefore w:val="0"/>
              <w:kinsoku/>
              <w:wordWrap w:val="0"/>
              <w:overflowPunct/>
              <w:topLinePunct/>
              <w:bidi w:val="0"/>
              <w:spacing w:before="12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0955D01">
            <w:pPr>
              <w:pageBreakBefore w:val="0"/>
              <w:kinsoku/>
              <w:wordWrap w:val="0"/>
              <w:overflowPunct/>
              <w:topLinePunct/>
              <w:bidi w:val="0"/>
              <w:spacing w:before="12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49ED5EF">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7E5D4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2F58B8C">
            <w:pPr>
              <w:pageBreakBefore w:val="0"/>
              <w:kinsoku/>
              <w:wordWrap w:val="0"/>
              <w:overflowPunct/>
              <w:topLinePunct/>
              <w:bidi w:val="0"/>
              <w:spacing w:before="128" w:line="328" w:lineRule="auto"/>
              <w:ind w:left="123" w:right="25" w:firstLine="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（一）各类工具式模板工程：包括滑模、爬模、</w:t>
            </w:r>
            <w:r>
              <w:rPr>
                <w:rFonts w:hint="eastAsia" w:ascii="宋体" w:hAnsi="宋体" w:eastAsia="宋体" w:cs="宋体"/>
                <w:color w:val="000000" w:themeColor="text1"/>
                <w:spacing w:val="-2"/>
                <w:sz w:val="24"/>
                <w:szCs w:val="24"/>
                <w:highlight w:val="none"/>
                <w14:textFill>
                  <w14:solidFill>
                    <w14:schemeClr w14:val="tx1"/>
                  </w14:solidFill>
                </w14:textFill>
              </w:rPr>
              <w:t>飞模、隧道模等工程。</w:t>
            </w:r>
          </w:p>
        </w:tc>
        <w:tc>
          <w:tcPr>
            <w:tcW w:w="1294" w:type="dxa"/>
            <w:vAlign w:val="top"/>
          </w:tcPr>
          <w:p w14:paraId="21E7814C">
            <w:pPr>
              <w:pStyle w:val="21"/>
              <w:pageBreakBefore w:val="0"/>
              <w:kinsoku/>
              <w:wordWrap w:val="0"/>
              <w:overflowPunct/>
              <w:topLinePunct/>
              <w:bidi w:val="0"/>
              <w:spacing w:line="293" w:lineRule="auto"/>
              <w:rPr>
                <w:rFonts w:hint="eastAsia" w:ascii="宋体" w:hAnsi="宋体" w:eastAsia="宋体" w:cs="宋体"/>
                <w:color w:val="000000" w:themeColor="text1"/>
                <w:highlight w:val="none"/>
                <w14:textFill>
                  <w14:solidFill>
                    <w14:schemeClr w14:val="tx1"/>
                  </w14:solidFill>
                </w14:textFill>
              </w:rPr>
            </w:pPr>
          </w:p>
          <w:p w14:paraId="725BEEA6">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910C03D">
            <w:pPr>
              <w:pStyle w:val="21"/>
              <w:pageBreakBefore w:val="0"/>
              <w:kinsoku/>
              <w:wordWrap w:val="0"/>
              <w:overflowPunct/>
              <w:topLinePunct/>
              <w:bidi w:val="0"/>
              <w:spacing w:line="293" w:lineRule="auto"/>
              <w:rPr>
                <w:rFonts w:hint="eastAsia" w:ascii="宋体" w:hAnsi="宋体" w:eastAsia="宋体" w:cs="宋体"/>
                <w:color w:val="000000" w:themeColor="text1"/>
                <w:highlight w:val="none"/>
                <w14:textFill>
                  <w14:solidFill>
                    <w14:schemeClr w14:val="tx1"/>
                  </w14:solidFill>
                </w14:textFill>
              </w:rPr>
            </w:pPr>
          </w:p>
          <w:p w14:paraId="7E1E22D6">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951EB63">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3D402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AACA4CD">
            <w:pPr>
              <w:pageBreakBefore w:val="0"/>
              <w:kinsoku/>
              <w:wordWrap w:val="0"/>
              <w:overflowPunct/>
              <w:topLinePunct/>
              <w:bidi w:val="0"/>
              <w:spacing w:before="131" w:line="362" w:lineRule="auto"/>
              <w:ind w:left="115" w:right="105" w:firstLine="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（二）混凝土模板支撑工程：搭设高度5m及以</w:t>
            </w:r>
            <w:r>
              <w:rPr>
                <w:rFonts w:hint="eastAsia" w:ascii="宋体" w:hAnsi="宋体" w:eastAsia="宋体" w:cs="宋体"/>
                <w:color w:val="000000" w:themeColor="text1"/>
                <w:spacing w:val="-10"/>
                <w:sz w:val="24"/>
                <w:szCs w:val="24"/>
                <w:highlight w:val="none"/>
                <w14:textFill>
                  <w14:solidFill>
                    <w14:schemeClr w14:val="tx1"/>
                  </w14:solidFill>
                </w14:textFill>
              </w:rPr>
              <w:t>上，或搭设跨度10m及以上，或施工总荷</w:t>
            </w:r>
            <w:r>
              <w:rPr>
                <w:rFonts w:hint="eastAsia" w:ascii="宋体" w:hAnsi="宋体" w:eastAsia="宋体" w:cs="宋体"/>
                <w:color w:val="000000" w:themeColor="text1"/>
                <w:spacing w:val="-11"/>
                <w:sz w:val="24"/>
                <w:szCs w:val="24"/>
                <w:highlight w:val="none"/>
                <w14:textFill>
                  <w14:solidFill>
                    <w14:schemeClr w14:val="tx1"/>
                  </w14:solidFill>
                </w14:textFill>
              </w:rPr>
              <w:t>载（荷</w:t>
            </w:r>
            <w:r>
              <w:rPr>
                <w:rFonts w:hint="eastAsia" w:ascii="宋体" w:hAnsi="宋体" w:eastAsia="宋体" w:cs="宋体"/>
                <w:color w:val="000000" w:themeColor="text1"/>
                <w:spacing w:val="-2"/>
                <w:sz w:val="24"/>
                <w:szCs w:val="24"/>
                <w:highlight w:val="none"/>
                <w14:textFill>
                  <w14:solidFill>
                    <w14:schemeClr w14:val="tx1"/>
                  </w14:solidFill>
                </w14:textFill>
              </w:rPr>
              <w:t>载效应基本组合的设计值，以下简称设计值）</w:t>
            </w:r>
            <w:r>
              <w:rPr>
                <w:rFonts w:hint="eastAsia" w:ascii="宋体" w:hAnsi="宋体" w:eastAsia="宋体" w:cs="宋体"/>
                <w:color w:val="000000" w:themeColor="text1"/>
                <w:spacing w:val="-14"/>
                <w:sz w:val="24"/>
                <w:szCs w:val="24"/>
                <w:highlight w:val="none"/>
                <w14:textFill>
                  <w14:solidFill>
                    <w14:schemeClr w14:val="tx1"/>
                  </w14:solidFill>
                </w14:textFill>
              </w:rPr>
              <w:t>10kN/m2及以上，或集中线荷载（设计值）15kN/m</w:t>
            </w:r>
            <w:r>
              <w:rPr>
                <w:rFonts w:hint="eastAsia" w:ascii="宋体" w:hAnsi="宋体" w:eastAsia="宋体" w:cs="宋体"/>
                <w:color w:val="000000" w:themeColor="text1"/>
                <w:spacing w:val="-1"/>
                <w:sz w:val="24"/>
                <w:szCs w:val="24"/>
                <w:highlight w:val="none"/>
                <w14:textFill>
                  <w14:solidFill>
                    <w14:schemeClr w14:val="tx1"/>
                  </w14:solidFill>
                </w14:textFill>
              </w:rPr>
              <w:t>及以上，或高度大于支撑水平投影宽度且相对独立无联系构件的混凝土模板支撑工程。</w:t>
            </w:r>
          </w:p>
        </w:tc>
        <w:tc>
          <w:tcPr>
            <w:tcW w:w="1294" w:type="dxa"/>
            <w:vAlign w:val="top"/>
          </w:tcPr>
          <w:p w14:paraId="4D0BA141">
            <w:pPr>
              <w:pStyle w:val="21"/>
              <w:pageBreakBefore w:val="0"/>
              <w:kinsoku/>
              <w:wordWrap w:val="0"/>
              <w:overflowPunct/>
              <w:topLinePunct/>
              <w:bidi w:val="0"/>
              <w:spacing w:line="255" w:lineRule="auto"/>
              <w:rPr>
                <w:rFonts w:hint="eastAsia" w:ascii="宋体" w:hAnsi="宋体" w:eastAsia="宋体" w:cs="宋体"/>
                <w:color w:val="000000" w:themeColor="text1"/>
                <w:highlight w:val="none"/>
                <w14:textFill>
                  <w14:solidFill>
                    <w14:schemeClr w14:val="tx1"/>
                  </w14:solidFill>
                </w14:textFill>
              </w:rPr>
            </w:pPr>
          </w:p>
          <w:p w14:paraId="00F913B5">
            <w:pPr>
              <w:pStyle w:val="21"/>
              <w:pageBreakBefore w:val="0"/>
              <w:kinsoku/>
              <w:wordWrap w:val="0"/>
              <w:overflowPunct/>
              <w:topLinePunct/>
              <w:bidi w:val="0"/>
              <w:spacing w:line="255" w:lineRule="auto"/>
              <w:rPr>
                <w:rFonts w:hint="eastAsia" w:ascii="宋体" w:hAnsi="宋体" w:eastAsia="宋体" w:cs="宋体"/>
                <w:color w:val="000000" w:themeColor="text1"/>
                <w:highlight w:val="none"/>
                <w14:textFill>
                  <w14:solidFill>
                    <w14:schemeClr w14:val="tx1"/>
                  </w14:solidFill>
                </w14:textFill>
              </w:rPr>
            </w:pPr>
          </w:p>
          <w:p w14:paraId="3D2E1B96">
            <w:pPr>
              <w:pStyle w:val="21"/>
              <w:pageBreakBefore w:val="0"/>
              <w:kinsoku/>
              <w:wordWrap w:val="0"/>
              <w:overflowPunct/>
              <w:topLinePunct/>
              <w:bidi w:val="0"/>
              <w:spacing w:line="255" w:lineRule="auto"/>
              <w:rPr>
                <w:rFonts w:hint="eastAsia" w:ascii="宋体" w:hAnsi="宋体" w:eastAsia="宋体" w:cs="宋体"/>
                <w:color w:val="000000" w:themeColor="text1"/>
                <w:highlight w:val="none"/>
                <w14:textFill>
                  <w14:solidFill>
                    <w14:schemeClr w14:val="tx1"/>
                  </w14:solidFill>
                </w14:textFill>
              </w:rPr>
            </w:pPr>
          </w:p>
          <w:p w14:paraId="2881ED45">
            <w:pPr>
              <w:pStyle w:val="21"/>
              <w:pageBreakBefore w:val="0"/>
              <w:kinsoku/>
              <w:wordWrap w:val="0"/>
              <w:overflowPunct/>
              <w:topLinePunct/>
              <w:bidi w:val="0"/>
              <w:spacing w:line="255" w:lineRule="auto"/>
              <w:rPr>
                <w:rFonts w:hint="eastAsia" w:ascii="宋体" w:hAnsi="宋体" w:eastAsia="宋体" w:cs="宋体"/>
                <w:color w:val="000000" w:themeColor="text1"/>
                <w:highlight w:val="none"/>
                <w14:textFill>
                  <w14:solidFill>
                    <w14:schemeClr w14:val="tx1"/>
                  </w14:solidFill>
                </w14:textFill>
              </w:rPr>
            </w:pPr>
          </w:p>
          <w:p w14:paraId="732EC5F9">
            <w:pPr>
              <w:pStyle w:val="21"/>
              <w:pageBreakBefore w:val="0"/>
              <w:kinsoku/>
              <w:wordWrap w:val="0"/>
              <w:overflowPunct/>
              <w:topLinePunct/>
              <w:bidi w:val="0"/>
              <w:spacing w:line="256" w:lineRule="auto"/>
              <w:rPr>
                <w:rFonts w:hint="eastAsia" w:ascii="宋体" w:hAnsi="宋体" w:eastAsia="宋体" w:cs="宋体"/>
                <w:color w:val="000000" w:themeColor="text1"/>
                <w:highlight w:val="none"/>
                <w14:textFill>
                  <w14:solidFill>
                    <w14:schemeClr w14:val="tx1"/>
                  </w14:solidFill>
                </w14:textFill>
              </w:rPr>
            </w:pPr>
          </w:p>
          <w:p w14:paraId="7AA44712">
            <w:pPr>
              <w:pageBreakBefore w:val="0"/>
              <w:kinsoku/>
              <w:wordWrap w:val="0"/>
              <w:overflowPunct/>
              <w:topLinePunct/>
              <w:bidi w:val="0"/>
              <w:spacing w:before="78" w:line="223" w:lineRule="auto"/>
              <w:ind w:left="4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0448677">
            <w:pPr>
              <w:pStyle w:val="21"/>
              <w:pageBreakBefore w:val="0"/>
              <w:kinsoku/>
              <w:wordWrap w:val="0"/>
              <w:overflowPunct/>
              <w:topLinePunct/>
              <w:bidi w:val="0"/>
              <w:spacing w:line="255" w:lineRule="auto"/>
              <w:rPr>
                <w:rFonts w:hint="eastAsia" w:ascii="宋体" w:hAnsi="宋体" w:eastAsia="宋体" w:cs="宋体"/>
                <w:color w:val="000000" w:themeColor="text1"/>
                <w:highlight w:val="none"/>
                <w14:textFill>
                  <w14:solidFill>
                    <w14:schemeClr w14:val="tx1"/>
                  </w14:solidFill>
                </w14:textFill>
              </w:rPr>
            </w:pPr>
          </w:p>
          <w:p w14:paraId="0A7F25C4">
            <w:pPr>
              <w:pStyle w:val="21"/>
              <w:pageBreakBefore w:val="0"/>
              <w:kinsoku/>
              <w:wordWrap w:val="0"/>
              <w:overflowPunct/>
              <w:topLinePunct/>
              <w:bidi w:val="0"/>
              <w:spacing w:line="255" w:lineRule="auto"/>
              <w:rPr>
                <w:rFonts w:hint="eastAsia" w:ascii="宋体" w:hAnsi="宋体" w:eastAsia="宋体" w:cs="宋体"/>
                <w:color w:val="000000" w:themeColor="text1"/>
                <w:highlight w:val="none"/>
                <w14:textFill>
                  <w14:solidFill>
                    <w14:schemeClr w14:val="tx1"/>
                  </w14:solidFill>
                </w14:textFill>
              </w:rPr>
            </w:pPr>
          </w:p>
          <w:p w14:paraId="005B72A7">
            <w:pPr>
              <w:pStyle w:val="21"/>
              <w:pageBreakBefore w:val="0"/>
              <w:kinsoku/>
              <w:wordWrap w:val="0"/>
              <w:overflowPunct/>
              <w:topLinePunct/>
              <w:bidi w:val="0"/>
              <w:spacing w:line="255" w:lineRule="auto"/>
              <w:rPr>
                <w:rFonts w:hint="eastAsia" w:ascii="宋体" w:hAnsi="宋体" w:eastAsia="宋体" w:cs="宋体"/>
                <w:color w:val="000000" w:themeColor="text1"/>
                <w:highlight w:val="none"/>
                <w14:textFill>
                  <w14:solidFill>
                    <w14:schemeClr w14:val="tx1"/>
                  </w14:solidFill>
                </w14:textFill>
              </w:rPr>
            </w:pPr>
          </w:p>
          <w:p w14:paraId="35B0E158">
            <w:pPr>
              <w:pStyle w:val="21"/>
              <w:pageBreakBefore w:val="0"/>
              <w:kinsoku/>
              <w:wordWrap w:val="0"/>
              <w:overflowPunct/>
              <w:topLinePunct/>
              <w:bidi w:val="0"/>
              <w:spacing w:line="255" w:lineRule="auto"/>
              <w:rPr>
                <w:rFonts w:hint="eastAsia" w:ascii="宋体" w:hAnsi="宋体" w:eastAsia="宋体" w:cs="宋体"/>
                <w:color w:val="000000" w:themeColor="text1"/>
                <w:highlight w:val="none"/>
                <w14:textFill>
                  <w14:solidFill>
                    <w14:schemeClr w14:val="tx1"/>
                  </w14:solidFill>
                </w14:textFill>
              </w:rPr>
            </w:pPr>
          </w:p>
          <w:p w14:paraId="09C1B800">
            <w:pPr>
              <w:pStyle w:val="21"/>
              <w:pageBreakBefore w:val="0"/>
              <w:kinsoku/>
              <w:wordWrap w:val="0"/>
              <w:overflowPunct/>
              <w:topLinePunct/>
              <w:bidi w:val="0"/>
              <w:spacing w:line="256" w:lineRule="auto"/>
              <w:rPr>
                <w:rFonts w:hint="eastAsia" w:ascii="宋体" w:hAnsi="宋体" w:eastAsia="宋体" w:cs="宋体"/>
                <w:color w:val="000000" w:themeColor="text1"/>
                <w:highlight w:val="none"/>
                <w14:textFill>
                  <w14:solidFill>
                    <w14:schemeClr w14:val="tx1"/>
                  </w14:solidFill>
                </w14:textFill>
              </w:rPr>
            </w:pPr>
          </w:p>
          <w:p w14:paraId="2E38E9A5">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4763792E">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76371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415591">
            <w:pPr>
              <w:pageBreakBefore w:val="0"/>
              <w:kinsoku/>
              <w:wordWrap w:val="0"/>
              <w:overflowPunct/>
              <w:topLinePunct/>
              <w:bidi w:val="0"/>
              <w:spacing w:before="130" w:line="327" w:lineRule="auto"/>
              <w:ind w:left="117" w:right="168" w:firstLine="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（三）承重支撑体系：用于钢结构安装等满堂</w:t>
            </w:r>
            <w:r>
              <w:rPr>
                <w:rFonts w:hint="eastAsia" w:ascii="宋体" w:hAnsi="宋体" w:eastAsia="宋体" w:cs="宋体"/>
                <w:color w:val="000000" w:themeColor="text1"/>
                <w:spacing w:val="-3"/>
                <w:sz w:val="24"/>
                <w:szCs w:val="24"/>
                <w:highlight w:val="none"/>
                <w14:textFill>
                  <w14:solidFill>
                    <w14:schemeClr w14:val="tx1"/>
                  </w14:solidFill>
                </w14:textFill>
              </w:rPr>
              <w:t>支撑体系。</w:t>
            </w:r>
          </w:p>
        </w:tc>
        <w:tc>
          <w:tcPr>
            <w:tcW w:w="1294" w:type="dxa"/>
            <w:vAlign w:val="top"/>
          </w:tcPr>
          <w:p w14:paraId="5F59C05E">
            <w:pPr>
              <w:pStyle w:val="21"/>
              <w:pageBreakBefore w:val="0"/>
              <w:kinsoku/>
              <w:wordWrap w:val="0"/>
              <w:overflowPunct/>
              <w:topLinePunct/>
              <w:bidi w:val="0"/>
              <w:spacing w:line="296" w:lineRule="auto"/>
              <w:rPr>
                <w:rFonts w:hint="eastAsia" w:ascii="宋体" w:hAnsi="宋体" w:eastAsia="宋体" w:cs="宋体"/>
                <w:color w:val="000000" w:themeColor="text1"/>
                <w:highlight w:val="none"/>
                <w14:textFill>
                  <w14:solidFill>
                    <w14:schemeClr w14:val="tx1"/>
                  </w14:solidFill>
                </w14:textFill>
              </w:rPr>
            </w:pPr>
          </w:p>
          <w:p w14:paraId="235080D3">
            <w:pPr>
              <w:pageBreakBefore w:val="0"/>
              <w:kinsoku/>
              <w:wordWrap w:val="0"/>
              <w:overflowPunct/>
              <w:topLinePunct/>
              <w:bidi w:val="0"/>
              <w:spacing w:before="78"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879B609">
            <w:pPr>
              <w:pStyle w:val="21"/>
              <w:pageBreakBefore w:val="0"/>
              <w:kinsoku/>
              <w:wordWrap w:val="0"/>
              <w:overflowPunct/>
              <w:topLinePunct/>
              <w:bidi w:val="0"/>
              <w:spacing w:line="296" w:lineRule="auto"/>
              <w:rPr>
                <w:rFonts w:hint="eastAsia" w:ascii="宋体" w:hAnsi="宋体" w:eastAsia="宋体" w:cs="宋体"/>
                <w:color w:val="000000" w:themeColor="text1"/>
                <w:highlight w:val="none"/>
                <w14:textFill>
                  <w14:solidFill>
                    <w14:schemeClr w14:val="tx1"/>
                  </w14:solidFill>
                </w14:textFill>
              </w:rPr>
            </w:pPr>
          </w:p>
          <w:p w14:paraId="143D9701">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0614B28">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0481B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85559AB">
            <w:pPr>
              <w:pageBreakBefore w:val="0"/>
              <w:kinsoku/>
              <w:wordWrap w:val="0"/>
              <w:overflowPunct/>
              <w:topLinePunct/>
              <w:bidi w:val="0"/>
              <w:spacing w:before="130" w:line="219" w:lineRule="auto"/>
              <w:ind w:left="3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三、起重吊装及起重机械安装拆卸工程</w:t>
            </w:r>
          </w:p>
        </w:tc>
        <w:tc>
          <w:tcPr>
            <w:tcW w:w="1294" w:type="dxa"/>
            <w:vAlign w:val="top"/>
          </w:tcPr>
          <w:p w14:paraId="25380B7D">
            <w:pPr>
              <w:pageBreakBefore w:val="0"/>
              <w:kinsoku/>
              <w:wordWrap w:val="0"/>
              <w:overflowPunct/>
              <w:topLinePunct/>
              <w:bidi w:val="0"/>
              <w:spacing w:before="129"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011622C">
            <w:pPr>
              <w:pageBreakBefore w:val="0"/>
              <w:kinsoku/>
              <w:wordWrap w:val="0"/>
              <w:overflowPunct/>
              <w:topLinePunct/>
              <w:bidi w:val="0"/>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BDE5D3A">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35150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0ED10C2">
            <w:pPr>
              <w:pageBreakBefore w:val="0"/>
              <w:kinsoku/>
              <w:wordWrap w:val="0"/>
              <w:overflowPunct/>
              <w:topLinePunct/>
              <w:bidi w:val="0"/>
              <w:spacing w:before="131" w:line="327" w:lineRule="auto"/>
              <w:ind w:left="144" w:right="168" w:hanging="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（一）采用非常规起重设备、方法，且单件起</w:t>
            </w:r>
            <w:r>
              <w:rPr>
                <w:rFonts w:hint="eastAsia" w:ascii="宋体" w:hAnsi="宋体" w:eastAsia="宋体" w:cs="宋体"/>
                <w:color w:val="000000" w:themeColor="text1"/>
                <w:spacing w:val="-4"/>
                <w:sz w:val="24"/>
                <w:szCs w:val="24"/>
                <w:highlight w:val="none"/>
                <w14:textFill>
                  <w14:solidFill>
                    <w14:schemeClr w14:val="tx1"/>
                  </w14:solidFill>
                </w14:textFill>
              </w:rPr>
              <w:t>吊重量在10kN及以上的起重吊装工程。</w:t>
            </w:r>
          </w:p>
        </w:tc>
        <w:tc>
          <w:tcPr>
            <w:tcW w:w="1294" w:type="dxa"/>
            <w:vAlign w:val="top"/>
          </w:tcPr>
          <w:p w14:paraId="1A4E6C04">
            <w:pPr>
              <w:pStyle w:val="21"/>
              <w:pageBreakBefore w:val="0"/>
              <w:kinsoku/>
              <w:wordWrap w:val="0"/>
              <w:overflowPunct/>
              <w:topLinePunct/>
              <w:bidi w:val="0"/>
              <w:spacing w:line="297" w:lineRule="auto"/>
              <w:rPr>
                <w:rFonts w:hint="eastAsia" w:ascii="宋体" w:hAnsi="宋体" w:eastAsia="宋体" w:cs="宋体"/>
                <w:color w:val="000000" w:themeColor="text1"/>
                <w:highlight w:val="none"/>
                <w14:textFill>
                  <w14:solidFill>
                    <w14:schemeClr w14:val="tx1"/>
                  </w14:solidFill>
                </w14:textFill>
              </w:rPr>
            </w:pPr>
          </w:p>
          <w:p w14:paraId="5A7F25C6">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676905FA">
            <w:pPr>
              <w:pStyle w:val="21"/>
              <w:pageBreakBefore w:val="0"/>
              <w:kinsoku/>
              <w:wordWrap w:val="0"/>
              <w:overflowPunct/>
              <w:topLinePunct/>
              <w:bidi w:val="0"/>
              <w:spacing w:line="297" w:lineRule="auto"/>
              <w:rPr>
                <w:rFonts w:hint="eastAsia" w:ascii="宋体" w:hAnsi="宋体" w:eastAsia="宋体" w:cs="宋体"/>
                <w:color w:val="000000" w:themeColor="text1"/>
                <w:highlight w:val="none"/>
                <w14:textFill>
                  <w14:solidFill>
                    <w14:schemeClr w14:val="tx1"/>
                  </w14:solidFill>
                </w14:textFill>
              </w:rPr>
            </w:pPr>
          </w:p>
          <w:p w14:paraId="2F8F81BE">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150542D6">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5E0A8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8A1CC61">
            <w:pPr>
              <w:pageBreakBefore w:val="0"/>
              <w:kinsoku/>
              <w:wordWrap w:val="0"/>
              <w:overflowPunct/>
              <w:topLinePunct/>
              <w:bidi w:val="0"/>
              <w:spacing w:before="132" w:line="219"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（二）采用起重机械进行安装的工程。</w:t>
            </w:r>
          </w:p>
        </w:tc>
        <w:tc>
          <w:tcPr>
            <w:tcW w:w="1294" w:type="dxa"/>
            <w:vAlign w:val="top"/>
          </w:tcPr>
          <w:p w14:paraId="488428B4">
            <w:pPr>
              <w:pageBreakBefore w:val="0"/>
              <w:kinsoku/>
              <w:wordWrap w:val="0"/>
              <w:overflowPunct/>
              <w:topLinePunct/>
              <w:bidi w:val="0"/>
              <w:spacing w:before="131"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7BD0487E">
            <w:pPr>
              <w:pageBreakBefore w:val="0"/>
              <w:kinsoku/>
              <w:wordWrap w:val="0"/>
              <w:overflowPunct/>
              <w:topLinePunct/>
              <w:bidi w:val="0"/>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26CF978D">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09545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0F889ED">
            <w:pPr>
              <w:pageBreakBefore w:val="0"/>
              <w:kinsoku/>
              <w:wordWrap w:val="0"/>
              <w:overflowPunct/>
              <w:topLinePunct/>
              <w:bidi w:val="0"/>
              <w:spacing w:before="130" w:line="219"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（三）起重机械安装和拆卸工程。</w:t>
            </w:r>
          </w:p>
        </w:tc>
        <w:tc>
          <w:tcPr>
            <w:tcW w:w="1294" w:type="dxa"/>
            <w:vAlign w:val="top"/>
          </w:tcPr>
          <w:p w14:paraId="6F82816E">
            <w:pPr>
              <w:pageBreakBefore w:val="0"/>
              <w:kinsoku/>
              <w:wordWrap w:val="0"/>
              <w:overflowPunct/>
              <w:topLinePunct/>
              <w:bidi w:val="0"/>
              <w:spacing w:before="129"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B449AF7">
            <w:pPr>
              <w:pageBreakBefore w:val="0"/>
              <w:kinsoku/>
              <w:wordWrap w:val="0"/>
              <w:overflowPunct/>
              <w:topLinePunct/>
              <w:bidi w:val="0"/>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3F65148">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72BB1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C4FD780">
            <w:pPr>
              <w:pageBreakBefore w:val="0"/>
              <w:kinsoku/>
              <w:wordWrap w:val="0"/>
              <w:overflowPunct/>
              <w:topLinePunct/>
              <w:bidi w:val="0"/>
              <w:spacing w:before="131" w:line="219" w:lineRule="auto"/>
              <w:ind w:left="1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四、脚手架工程</w:t>
            </w:r>
          </w:p>
        </w:tc>
        <w:tc>
          <w:tcPr>
            <w:tcW w:w="1294" w:type="dxa"/>
            <w:vAlign w:val="top"/>
          </w:tcPr>
          <w:p w14:paraId="280AFD10">
            <w:pPr>
              <w:pageBreakBefore w:val="0"/>
              <w:kinsoku/>
              <w:wordWrap w:val="0"/>
              <w:overflowPunct/>
              <w:topLinePunct/>
              <w:bidi w:val="0"/>
              <w:spacing w:before="130" w:line="223" w:lineRule="auto"/>
              <w:ind w:left="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5"/>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A867D45">
            <w:pPr>
              <w:pageBreakBefore w:val="0"/>
              <w:kinsoku/>
              <w:wordWrap w:val="0"/>
              <w:overflowPunct/>
              <w:topLinePunct/>
              <w:bidi w:val="0"/>
              <w:spacing w:before="13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1576B197">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76F60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C16CBB2">
            <w:pPr>
              <w:pageBreakBefore w:val="0"/>
              <w:kinsoku/>
              <w:wordWrap w:val="0"/>
              <w:overflowPunct/>
              <w:topLinePunct/>
              <w:bidi w:val="0"/>
              <w:spacing w:before="130" w:line="327" w:lineRule="auto"/>
              <w:ind w:left="117" w:right="168" w:firstLine="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（一）搭设高度24m及以上的落地式钢管脚手</w:t>
            </w:r>
            <w:r>
              <w:rPr>
                <w:rFonts w:hint="eastAsia" w:ascii="宋体" w:hAnsi="宋体" w:eastAsia="宋体" w:cs="宋体"/>
                <w:color w:val="000000" w:themeColor="text1"/>
                <w:spacing w:val="-1"/>
                <w:sz w:val="24"/>
                <w:szCs w:val="24"/>
                <w:highlight w:val="none"/>
                <w14:textFill>
                  <w14:solidFill>
                    <w14:schemeClr w14:val="tx1"/>
                  </w14:solidFill>
                </w14:textFill>
              </w:rPr>
              <w:t>架工程（包括采光井、电梯井脚手架）。</w:t>
            </w:r>
          </w:p>
        </w:tc>
        <w:tc>
          <w:tcPr>
            <w:tcW w:w="1294" w:type="dxa"/>
            <w:vAlign w:val="top"/>
          </w:tcPr>
          <w:p w14:paraId="4758186A">
            <w:pPr>
              <w:pStyle w:val="21"/>
              <w:pageBreakBefore w:val="0"/>
              <w:kinsoku/>
              <w:wordWrap w:val="0"/>
              <w:overflowPunct/>
              <w:topLinePunct/>
              <w:bidi w:val="0"/>
              <w:spacing w:line="297" w:lineRule="auto"/>
              <w:rPr>
                <w:rFonts w:hint="eastAsia" w:ascii="宋体" w:hAnsi="宋体" w:eastAsia="宋体" w:cs="宋体"/>
                <w:color w:val="000000" w:themeColor="text1"/>
                <w:highlight w:val="none"/>
                <w14:textFill>
                  <w14:solidFill>
                    <w14:schemeClr w14:val="tx1"/>
                  </w14:solidFill>
                </w14:textFill>
              </w:rPr>
            </w:pPr>
          </w:p>
          <w:p w14:paraId="623DE305">
            <w:pPr>
              <w:pageBreakBefore w:val="0"/>
              <w:kinsoku/>
              <w:wordWrap w:val="0"/>
              <w:overflowPunct/>
              <w:topLinePunct/>
              <w:bidi w:val="0"/>
              <w:spacing w:before="78" w:line="223" w:lineRule="auto"/>
              <w:ind w:left="4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EA734BF">
            <w:pPr>
              <w:pStyle w:val="21"/>
              <w:pageBreakBefore w:val="0"/>
              <w:kinsoku/>
              <w:wordWrap w:val="0"/>
              <w:overflowPunct/>
              <w:topLinePunct/>
              <w:bidi w:val="0"/>
              <w:spacing w:line="297" w:lineRule="auto"/>
              <w:rPr>
                <w:rFonts w:hint="eastAsia" w:ascii="宋体" w:hAnsi="宋体" w:eastAsia="宋体" w:cs="宋体"/>
                <w:color w:val="000000" w:themeColor="text1"/>
                <w:highlight w:val="none"/>
                <w14:textFill>
                  <w14:solidFill>
                    <w14:schemeClr w14:val="tx1"/>
                  </w14:solidFill>
                </w14:textFill>
              </w:rPr>
            </w:pPr>
          </w:p>
          <w:p w14:paraId="38A4B708">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1EE89C5">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7944E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7150CB0">
            <w:pPr>
              <w:pageBreakBefore w:val="0"/>
              <w:kinsoku/>
              <w:wordWrap w:val="0"/>
              <w:overflowPunct/>
              <w:topLinePunct/>
              <w:bidi w:val="0"/>
              <w:spacing w:before="131" w:line="219"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（二）附着式升降脚手架工程。</w:t>
            </w:r>
          </w:p>
        </w:tc>
        <w:tc>
          <w:tcPr>
            <w:tcW w:w="1294" w:type="dxa"/>
            <w:vAlign w:val="top"/>
          </w:tcPr>
          <w:p w14:paraId="6AFDB9B0">
            <w:pPr>
              <w:pageBreakBefore w:val="0"/>
              <w:kinsoku/>
              <w:wordWrap w:val="0"/>
              <w:overflowPunct/>
              <w:topLinePunct/>
              <w:bidi w:val="0"/>
              <w:spacing w:before="130" w:line="223" w:lineRule="auto"/>
              <w:ind w:left="2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016ED2B">
            <w:pPr>
              <w:pageBreakBefore w:val="0"/>
              <w:kinsoku/>
              <w:wordWrap w:val="0"/>
              <w:overflowPunct/>
              <w:topLinePunct/>
              <w:bidi w:val="0"/>
              <w:spacing w:before="13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35A26835">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43302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A07DAE9">
            <w:pPr>
              <w:pageBreakBefore w:val="0"/>
              <w:kinsoku/>
              <w:wordWrap w:val="0"/>
              <w:overflowPunct/>
              <w:topLinePunct/>
              <w:bidi w:val="0"/>
              <w:spacing w:before="132" w:line="219"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（三）悬挑式脚手架工程。</w:t>
            </w:r>
          </w:p>
        </w:tc>
        <w:tc>
          <w:tcPr>
            <w:tcW w:w="1294" w:type="dxa"/>
            <w:vAlign w:val="top"/>
          </w:tcPr>
          <w:p w14:paraId="3B0F9C9F">
            <w:pPr>
              <w:pageBreakBefore w:val="0"/>
              <w:kinsoku/>
              <w:wordWrap w:val="0"/>
              <w:overflowPunct/>
              <w:topLinePunct/>
              <w:bidi w:val="0"/>
              <w:spacing w:before="131" w:line="223" w:lineRule="auto"/>
              <w:ind w:left="2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7F372781">
            <w:pPr>
              <w:pageBreakBefore w:val="0"/>
              <w:kinsoku/>
              <w:wordWrap w:val="0"/>
              <w:overflowPunct/>
              <w:topLinePunct/>
              <w:bidi w:val="0"/>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35DC5C5D">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3104B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26A305A">
            <w:pPr>
              <w:pageBreakBefore w:val="0"/>
              <w:kinsoku/>
              <w:wordWrap w:val="0"/>
              <w:overflowPunct/>
              <w:topLinePunct/>
              <w:bidi w:val="0"/>
              <w:spacing w:before="131"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（四）高处作业吊篮。</w:t>
            </w:r>
          </w:p>
        </w:tc>
        <w:tc>
          <w:tcPr>
            <w:tcW w:w="1294" w:type="dxa"/>
            <w:vAlign w:val="top"/>
          </w:tcPr>
          <w:p w14:paraId="719CE238">
            <w:pPr>
              <w:pageBreakBefore w:val="0"/>
              <w:kinsoku/>
              <w:wordWrap w:val="0"/>
              <w:overflowPunct/>
              <w:topLinePunct/>
              <w:bidi w:val="0"/>
              <w:spacing w:before="131"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B244408">
            <w:pPr>
              <w:pageBreakBefore w:val="0"/>
              <w:kinsoku/>
              <w:wordWrap w:val="0"/>
              <w:overflowPunct/>
              <w:topLinePunct/>
              <w:bidi w:val="0"/>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185597C8">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678E5B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B44318C">
            <w:pPr>
              <w:pageBreakBefore w:val="0"/>
              <w:kinsoku/>
              <w:wordWrap w:val="0"/>
              <w:overflowPunct/>
              <w:topLinePunct/>
              <w:bidi w:val="0"/>
              <w:spacing w:before="132"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（五）卸料平台、操作平台工程。</w:t>
            </w:r>
          </w:p>
        </w:tc>
        <w:tc>
          <w:tcPr>
            <w:tcW w:w="1294" w:type="dxa"/>
            <w:vAlign w:val="top"/>
          </w:tcPr>
          <w:p w14:paraId="223CFB83">
            <w:pPr>
              <w:pageBreakBefore w:val="0"/>
              <w:kinsoku/>
              <w:wordWrap w:val="0"/>
              <w:overflowPunct/>
              <w:topLinePunct/>
              <w:bidi w:val="0"/>
              <w:spacing w:before="132" w:line="223" w:lineRule="auto"/>
              <w:ind w:left="24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C7DC92D">
            <w:pPr>
              <w:pageBreakBefore w:val="0"/>
              <w:kinsoku/>
              <w:wordWrap w:val="0"/>
              <w:overflowPunct/>
              <w:topLinePunct/>
              <w:bidi w:val="0"/>
              <w:spacing w:before="132"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4DABE82">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0F3AB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166B67E">
            <w:pPr>
              <w:pageBreakBefore w:val="0"/>
              <w:kinsoku/>
              <w:wordWrap w:val="0"/>
              <w:overflowPunct/>
              <w:topLinePunct/>
              <w:bidi w:val="0"/>
              <w:spacing w:before="133" w:line="219"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（六）异型脚手架工程。</w:t>
            </w:r>
          </w:p>
        </w:tc>
        <w:tc>
          <w:tcPr>
            <w:tcW w:w="1294" w:type="dxa"/>
            <w:vAlign w:val="top"/>
          </w:tcPr>
          <w:p w14:paraId="0EA923D2">
            <w:pPr>
              <w:pageBreakBefore w:val="0"/>
              <w:kinsoku/>
              <w:wordWrap w:val="0"/>
              <w:overflowPunct/>
              <w:topLinePunct/>
              <w:bidi w:val="0"/>
              <w:spacing w:before="132"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727265F">
            <w:pPr>
              <w:pageBreakBefore w:val="0"/>
              <w:kinsoku/>
              <w:wordWrap w:val="0"/>
              <w:overflowPunct/>
              <w:topLinePunct/>
              <w:bidi w:val="0"/>
              <w:spacing w:before="132"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12556750">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7BA19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140A601">
            <w:pPr>
              <w:pageBreakBefore w:val="0"/>
              <w:kinsoku/>
              <w:wordWrap w:val="0"/>
              <w:overflowPunct/>
              <w:topLinePunct/>
              <w:bidi w:val="0"/>
              <w:spacing w:before="131" w:line="220" w:lineRule="auto"/>
              <w:ind w:left="120"/>
              <w:rPr>
                <w:rFonts w:hint="eastAsia" w:ascii="宋体" w:hAnsi="宋体" w:eastAsia="宋体" w:cs="宋体"/>
                <w:color w:val="000000" w:themeColor="text1"/>
                <w:sz w:val="24"/>
                <w:szCs w:val="24"/>
                <w:highlight w:val="none"/>
                <w14:textFill>
                  <w14:solidFill>
                    <w14:schemeClr w14:val="tx1"/>
                  </w14:solidFill>
                </w14:textFill>
              </w:rPr>
            </w:pPr>
            <w:bookmarkStart w:id="259" w:name="bookmark162"/>
            <w:bookmarkEnd w:id="259"/>
            <w:r>
              <w:rPr>
                <w:rFonts w:hint="eastAsia" w:ascii="宋体" w:hAnsi="宋体" w:eastAsia="宋体" w:cs="宋体"/>
                <w:color w:val="000000" w:themeColor="text1"/>
                <w:spacing w:val="-3"/>
                <w:sz w:val="24"/>
                <w:szCs w:val="24"/>
                <w:highlight w:val="none"/>
                <w14:textFill>
                  <w14:solidFill>
                    <w14:schemeClr w14:val="tx1"/>
                  </w14:solidFill>
                </w14:textFill>
              </w:rPr>
              <w:t>五、拆除工程</w:t>
            </w:r>
          </w:p>
        </w:tc>
        <w:tc>
          <w:tcPr>
            <w:tcW w:w="1294" w:type="dxa"/>
            <w:vAlign w:val="top"/>
          </w:tcPr>
          <w:p w14:paraId="14B40F0C">
            <w:pPr>
              <w:pageBreakBefore w:val="0"/>
              <w:kinsoku/>
              <w:wordWrap w:val="0"/>
              <w:overflowPunct/>
              <w:topLinePunct/>
              <w:bidi w:val="0"/>
              <w:spacing w:before="131" w:line="223" w:lineRule="auto"/>
              <w:ind w:left="48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5"/>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7788E1BF">
            <w:pPr>
              <w:pageBreakBefore w:val="0"/>
              <w:kinsoku/>
              <w:wordWrap w:val="0"/>
              <w:overflowPunct/>
              <w:topLinePunct/>
              <w:bidi w:val="0"/>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42A26AB7">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7B1F8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6DB95E">
            <w:pPr>
              <w:pageBreakBefore w:val="0"/>
              <w:kinsoku/>
              <w:wordWrap w:val="0"/>
              <w:overflowPunct/>
              <w:topLinePunct/>
              <w:bidi w:val="0"/>
              <w:spacing w:before="126" w:line="329" w:lineRule="auto"/>
              <w:ind w:left="117" w:right="16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可能影响行人、交通、电力设施、通讯设施或其它建、构筑物安全的拆除工程。</w:t>
            </w:r>
          </w:p>
        </w:tc>
        <w:tc>
          <w:tcPr>
            <w:tcW w:w="1294" w:type="dxa"/>
            <w:vAlign w:val="top"/>
          </w:tcPr>
          <w:p w14:paraId="33866A9E">
            <w:pPr>
              <w:pStyle w:val="21"/>
              <w:pageBreakBefore w:val="0"/>
              <w:kinsoku/>
              <w:wordWrap w:val="0"/>
              <w:overflowPunct/>
              <w:topLinePunct/>
              <w:bidi w:val="0"/>
              <w:spacing w:line="294" w:lineRule="auto"/>
              <w:rPr>
                <w:rFonts w:hint="eastAsia" w:ascii="宋体" w:hAnsi="宋体" w:eastAsia="宋体" w:cs="宋体"/>
                <w:color w:val="000000" w:themeColor="text1"/>
                <w:highlight w:val="none"/>
                <w14:textFill>
                  <w14:solidFill>
                    <w14:schemeClr w14:val="tx1"/>
                  </w14:solidFill>
                </w14:textFill>
              </w:rPr>
            </w:pPr>
          </w:p>
          <w:p w14:paraId="49FD260F">
            <w:pPr>
              <w:pageBreakBefore w:val="0"/>
              <w:kinsoku/>
              <w:wordWrap w:val="0"/>
              <w:overflowPunct/>
              <w:topLinePunct/>
              <w:bidi w:val="0"/>
              <w:spacing w:before="78"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2C90F78">
            <w:pPr>
              <w:pStyle w:val="21"/>
              <w:pageBreakBefore w:val="0"/>
              <w:kinsoku/>
              <w:wordWrap w:val="0"/>
              <w:overflowPunct/>
              <w:topLinePunct/>
              <w:bidi w:val="0"/>
              <w:spacing w:line="294" w:lineRule="auto"/>
              <w:rPr>
                <w:rFonts w:hint="eastAsia" w:ascii="宋体" w:hAnsi="宋体" w:eastAsia="宋体" w:cs="宋体"/>
                <w:color w:val="000000" w:themeColor="text1"/>
                <w:highlight w:val="none"/>
                <w14:textFill>
                  <w14:solidFill>
                    <w14:schemeClr w14:val="tx1"/>
                  </w14:solidFill>
                </w14:textFill>
              </w:rPr>
            </w:pPr>
          </w:p>
          <w:p w14:paraId="46CAC515">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49EBDD4F">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2EE0DC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91E13A">
            <w:pPr>
              <w:pageBreakBefore w:val="0"/>
              <w:kinsoku/>
              <w:wordWrap w:val="0"/>
              <w:overflowPunct/>
              <w:topLinePunct/>
              <w:bidi w:val="0"/>
              <w:spacing w:before="126" w:line="221" w:lineRule="auto"/>
              <w:ind w:left="3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六、暗挖工程</w:t>
            </w:r>
          </w:p>
        </w:tc>
        <w:tc>
          <w:tcPr>
            <w:tcW w:w="1294" w:type="dxa"/>
            <w:vAlign w:val="top"/>
          </w:tcPr>
          <w:p w14:paraId="42B26EFA">
            <w:pPr>
              <w:pageBreakBefore w:val="0"/>
              <w:kinsoku/>
              <w:wordWrap w:val="0"/>
              <w:overflowPunct/>
              <w:topLinePunct/>
              <w:bidi w:val="0"/>
              <w:spacing w:before="126"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9C491BE">
            <w:pPr>
              <w:pageBreakBefore w:val="0"/>
              <w:kinsoku/>
              <w:wordWrap w:val="0"/>
              <w:overflowPunct/>
              <w:topLinePunct/>
              <w:bidi w:val="0"/>
              <w:spacing w:before="126"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6949DFD">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308F7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2AB10A">
            <w:pPr>
              <w:pageBreakBefore w:val="0"/>
              <w:kinsoku/>
              <w:wordWrap w:val="0"/>
              <w:overflowPunct/>
              <w:topLinePunct/>
              <w:bidi w:val="0"/>
              <w:spacing w:before="128" w:line="328" w:lineRule="auto"/>
              <w:ind w:left="119" w:right="168" w:hanging="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采用矿山法、盾构法、顶管法施工的隧道、洞</w:t>
            </w:r>
            <w:r>
              <w:rPr>
                <w:rFonts w:hint="eastAsia" w:ascii="宋体" w:hAnsi="宋体" w:eastAsia="宋体" w:cs="宋体"/>
                <w:color w:val="000000" w:themeColor="text1"/>
                <w:spacing w:val="-4"/>
                <w:sz w:val="24"/>
                <w:szCs w:val="24"/>
                <w:highlight w:val="none"/>
                <w14:textFill>
                  <w14:solidFill>
                    <w14:schemeClr w14:val="tx1"/>
                  </w14:solidFill>
                </w14:textFill>
              </w:rPr>
              <w:t>室工程。</w:t>
            </w:r>
          </w:p>
        </w:tc>
        <w:tc>
          <w:tcPr>
            <w:tcW w:w="1294" w:type="dxa"/>
            <w:vAlign w:val="top"/>
          </w:tcPr>
          <w:p w14:paraId="77540B4D">
            <w:pPr>
              <w:pStyle w:val="21"/>
              <w:pageBreakBefore w:val="0"/>
              <w:kinsoku/>
              <w:wordWrap w:val="0"/>
              <w:overflowPunct/>
              <w:topLinePunct/>
              <w:bidi w:val="0"/>
              <w:spacing w:line="294" w:lineRule="auto"/>
              <w:rPr>
                <w:rFonts w:hint="eastAsia" w:ascii="宋体" w:hAnsi="宋体" w:eastAsia="宋体" w:cs="宋体"/>
                <w:color w:val="000000" w:themeColor="text1"/>
                <w:highlight w:val="none"/>
                <w14:textFill>
                  <w14:solidFill>
                    <w14:schemeClr w14:val="tx1"/>
                  </w14:solidFill>
                </w14:textFill>
              </w:rPr>
            </w:pPr>
          </w:p>
          <w:p w14:paraId="5EBC342D">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14036EF">
            <w:pPr>
              <w:pStyle w:val="21"/>
              <w:pageBreakBefore w:val="0"/>
              <w:kinsoku/>
              <w:wordWrap w:val="0"/>
              <w:overflowPunct/>
              <w:topLinePunct/>
              <w:bidi w:val="0"/>
              <w:spacing w:line="294" w:lineRule="auto"/>
              <w:rPr>
                <w:rFonts w:hint="eastAsia" w:ascii="宋体" w:hAnsi="宋体" w:eastAsia="宋体" w:cs="宋体"/>
                <w:color w:val="000000" w:themeColor="text1"/>
                <w:highlight w:val="none"/>
                <w14:textFill>
                  <w14:solidFill>
                    <w14:schemeClr w14:val="tx1"/>
                  </w14:solidFill>
                </w14:textFill>
              </w:rPr>
            </w:pPr>
          </w:p>
          <w:p w14:paraId="08519BCE">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2D2FB88E">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7928EC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C4C1263">
            <w:pPr>
              <w:pageBreakBefore w:val="0"/>
              <w:kinsoku/>
              <w:wordWrap w:val="0"/>
              <w:overflowPunct/>
              <w:topLinePunct/>
              <w:bidi w:val="0"/>
              <w:spacing w:before="129" w:line="222" w:lineRule="auto"/>
              <w:ind w:left="11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七、其它</w:t>
            </w:r>
          </w:p>
        </w:tc>
        <w:tc>
          <w:tcPr>
            <w:tcW w:w="1294" w:type="dxa"/>
            <w:vAlign w:val="top"/>
          </w:tcPr>
          <w:p w14:paraId="13975380">
            <w:pPr>
              <w:pageBreakBefore w:val="0"/>
              <w:kinsoku/>
              <w:wordWrap w:val="0"/>
              <w:overflowPunct/>
              <w:topLinePunct/>
              <w:bidi w:val="0"/>
              <w:spacing w:before="129"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308F06FD">
            <w:pPr>
              <w:pageBreakBefore w:val="0"/>
              <w:kinsoku/>
              <w:wordWrap w:val="0"/>
              <w:overflowPunct/>
              <w:topLinePunct/>
              <w:bidi w:val="0"/>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0EBFA5F">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00F1C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71B01CF">
            <w:pPr>
              <w:pageBreakBefore w:val="0"/>
              <w:kinsoku/>
              <w:wordWrap w:val="0"/>
              <w:overflowPunct/>
              <w:topLinePunct/>
              <w:bidi w:val="0"/>
              <w:spacing w:before="128" w:line="219"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（一）建筑幕墙安装工程。</w:t>
            </w:r>
          </w:p>
        </w:tc>
        <w:tc>
          <w:tcPr>
            <w:tcW w:w="1294" w:type="dxa"/>
            <w:vAlign w:val="top"/>
          </w:tcPr>
          <w:p w14:paraId="17CFB9EB">
            <w:pPr>
              <w:pageBreakBefore w:val="0"/>
              <w:kinsoku/>
              <w:wordWrap w:val="0"/>
              <w:overflowPunct/>
              <w:topLinePunct/>
              <w:bidi w:val="0"/>
              <w:spacing w:before="127"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D042D08">
            <w:pPr>
              <w:pageBreakBefore w:val="0"/>
              <w:kinsoku/>
              <w:wordWrap w:val="0"/>
              <w:overflowPunct/>
              <w:topLinePunct/>
              <w:bidi w:val="0"/>
              <w:spacing w:before="127"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3C630FE1">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1E5F0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75FDAE8">
            <w:pPr>
              <w:pageBreakBefore w:val="0"/>
              <w:kinsoku/>
              <w:wordWrap w:val="0"/>
              <w:overflowPunct/>
              <w:topLinePunct/>
              <w:bidi w:val="0"/>
              <w:spacing w:before="128" w:line="221"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（二）钢结构、网架和索膜结构安装工程。</w:t>
            </w:r>
          </w:p>
        </w:tc>
        <w:tc>
          <w:tcPr>
            <w:tcW w:w="1294" w:type="dxa"/>
            <w:vAlign w:val="top"/>
          </w:tcPr>
          <w:p w14:paraId="7DE1F110">
            <w:pPr>
              <w:pageBreakBefore w:val="0"/>
              <w:kinsoku/>
              <w:wordWrap w:val="0"/>
              <w:overflowPunct/>
              <w:topLinePunct/>
              <w:bidi w:val="0"/>
              <w:spacing w:before="12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436634A">
            <w:pPr>
              <w:pageBreakBefore w:val="0"/>
              <w:kinsoku/>
              <w:wordWrap w:val="0"/>
              <w:overflowPunct/>
              <w:topLinePunct/>
              <w:bidi w:val="0"/>
              <w:spacing w:before="12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653DCC14">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2420C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30C6215">
            <w:pPr>
              <w:pageBreakBefore w:val="0"/>
              <w:kinsoku/>
              <w:wordWrap w:val="0"/>
              <w:overflowPunct/>
              <w:topLinePunct/>
              <w:bidi w:val="0"/>
              <w:spacing w:before="128"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（三）人工挖孔桩工程。</w:t>
            </w:r>
          </w:p>
        </w:tc>
        <w:tc>
          <w:tcPr>
            <w:tcW w:w="1294" w:type="dxa"/>
            <w:vAlign w:val="top"/>
          </w:tcPr>
          <w:p w14:paraId="5607EE65">
            <w:pPr>
              <w:pageBreakBefore w:val="0"/>
              <w:kinsoku/>
              <w:wordWrap w:val="0"/>
              <w:overflowPunct/>
              <w:topLinePunct/>
              <w:bidi w:val="0"/>
              <w:spacing w:before="12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2C71AB28">
            <w:pPr>
              <w:pageBreakBefore w:val="0"/>
              <w:kinsoku/>
              <w:wordWrap w:val="0"/>
              <w:overflowPunct/>
              <w:topLinePunct/>
              <w:bidi w:val="0"/>
              <w:spacing w:before="12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4DE56A0">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6797B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B3CB49">
            <w:pPr>
              <w:pageBreakBefore w:val="0"/>
              <w:kinsoku/>
              <w:wordWrap w:val="0"/>
              <w:overflowPunct/>
              <w:topLinePunct/>
              <w:bidi w:val="0"/>
              <w:spacing w:before="129"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（四）水下作业工程。</w:t>
            </w:r>
          </w:p>
        </w:tc>
        <w:tc>
          <w:tcPr>
            <w:tcW w:w="1294" w:type="dxa"/>
            <w:vAlign w:val="top"/>
          </w:tcPr>
          <w:p w14:paraId="1B172114">
            <w:pPr>
              <w:pageBreakBefore w:val="0"/>
              <w:kinsoku/>
              <w:wordWrap w:val="0"/>
              <w:overflowPunct/>
              <w:topLinePunct/>
              <w:bidi w:val="0"/>
              <w:spacing w:before="129"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7C4999C3">
            <w:pPr>
              <w:pageBreakBefore w:val="0"/>
              <w:kinsoku/>
              <w:wordWrap w:val="0"/>
              <w:overflowPunct/>
              <w:topLinePunct/>
              <w:bidi w:val="0"/>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380A148">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6143F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EE55C52">
            <w:pPr>
              <w:pageBreakBefore w:val="0"/>
              <w:kinsoku/>
              <w:wordWrap w:val="0"/>
              <w:overflowPunct/>
              <w:topLinePunct/>
              <w:bidi w:val="0"/>
              <w:spacing w:before="129"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（五）装配式建筑混凝土预制构件安装工程。</w:t>
            </w:r>
          </w:p>
        </w:tc>
        <w:tc>
          <w:tcPr>
            <w:tcW w:w="1294" w:type="dxa"/>
            <w:vAlign w:val="top"/>
          </w:tcPr>
          <w:p w14:paraId="001A0175">
            <w:pPr>
              <w:pageBreakBefore w:val="0"/>
              <w:kinsoku/>
              <w:wordWrap w:val="0"/>
              <w:overflowPunct/>
              <w:topLinePunct/>
              <w:bidi w:val="0"/>
              <w:spacing w:before="129"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6C05FA68">
            <w:pPr>
              <w:pageBreakBefore w:val="0"/>
              <w:kinsoku/>
              <w:wordWrap w:val="0"/>
              <w:overflowPunct/>
              <w:topLinePunct/>
              <w:bidi w:val="0"/>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64319E5">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359B6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19DFEC9">
            <w:pPr>
              <w:pageBreakBefore w:val="0"/>
              <w:kinsoku/>
              <w:wordWrap w:val="0"/>
              <w:overflowPunct/>
              <w:topLinePunct/>
              <w:bidi w:val="0"/>
              <w:spacing w:before="129" w:line="345" w:lineRule="auto"/>
              <w:ind w:left="117" w:right="168" w:firstLine="1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（六）采用新技术、新工艺、新材料、新设备</w:t>
            </w:r>
            <w:r>
              <w:rPr>
                <w:rFonts w:hint="eastAsia" w:ascii="宋体" w:hAnsi="宋体" w:eastAsia="宋体" w:cs="宋体"/>
                <w:color w:val="000000" w:themeColor="text1"/>
                <w:spacing w:val="-1"/>
                <w:sz w:val="24"/>
                <w:szCs w:val="24"/>
                <w:highlight w:val="none"/>
                <w14:textFill>
                  <w14:solidFill>
                    <w14:schemeClr w14:val="tx1"/>
                  </w14:solidFill>
                </w14:textFill>
              </w:rPr>
              <w:t>可能影响工程施工安全，尚无国家、行业及地方技术标准的分部分项工程。</w:t>
            </w:r>
          </w:p>
        </w:tc>
        <w:tc>
          <w:tcPr>
            <w:tcW w:w="1294" w:type="dxa"/>
            <w:vAlign w:val="top"/>
          </w:tcPr>
          <w:p w14:paraId="4FC2840C">
            <w:pPr>
              <w:pStyle w:val="21"/>
              <w:pageBreakBefore w:val="0"/>
              <w:kinsoku/>
              <w:wordWrap w:val="0"/>
              <w:overflowPunct/>
              <w:topLinePunct/>
              <w:bidi w:val="0"/>
              <w:spacing w:line="270" w:lineRule="auto"/>
              <w:rPr>
                <w:rFonts w:hint="eastAsia" w:ascii="宋体" w:hAnsi="宋体" w:eastAsia="宋体" w:cs="宋体"/>
                <w:color w:val="000000" w:themeColor="text1"/>
                <w:highlight w:val="none"/>
                <w14:textFill>
                  <w14:solidFill>
                    <w14:schemeClr w14:val="tx1"/>
                  </w14:solidFill>
                </w14:textFill>
              </w:rPr>
            </w:pPr>
          </w:p>
          <w:p w14:paraId="78072AD7">
            <w:pPr>
              <w:pStyle w:val="21"/>
              <w:pageBreakBefore w:val="0"/>
              <w:kinsoku/>
              <w:wordWrap w:val="0"/>
              <w:overflowPunct/>
              <w:topLinePunct/>
              <w:bidi w:val="0"/>
              <w:spacing w:line="271" w:lineRule="auto"/>
              <w:rPr>
                <w:rFonts w:hint="eastAsia" w:ascii="宋体" w:hAnsi="宋体" w:eastAsia="宋体" w:cs="宋体"/>
                <w:color w:val="000000" w:themeColor="text1"/>
                <w:highlight w:val="none"/>
                <w14:textFill>
                  <w14:solidFill>
                    <w14:schemeClr w14:val="tx1"/>
                  </w14:solidFill>
                </w14:textFill>
              </w:rPr>
            </w:pPr>
          </w:p>
          <w:p w14:paraId="09E8306A">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8E52EFC">
            <w:pPr>
              <w:pStyle w:val="21"/>
              <w:pageBreakBefore w:val="0"/>
              <w:kinsoku/>
              <w:wordWrap w:val="0"/>
              <w:overflowPunct/>
              <w:topLinePunct/>
              <w:bidi w:val="0"/>
              <w:spacing w:line="270" w:lineRule="auto"/>
              <w:rPr>
                <w:rFonts w:hint="eastAsia" w:ascii="宋体" w:hAnsi="宋体" w:eastAsia="宋体" w:cs="宋体"/>
                <w:color w:val="000000" w:themeColor="text1"/>
                <w:highlight w:val="none"/>
                <w14:textFill>
                  <w14:solidFill>
                    <w14:schemeClr w14:val="tx1"/>
                  </w14:solidFill>
                </w14:textFill>
              </w:rPr>
            </w:pPr>
          </w:p>
          <w:p w14:paraId="110D9CAD">
            <w:pPr>
              <w:pStyle w:val="21"/>
              <w:pageBreakBefore w:val="0"/>
              <w:kinsoku/>
              <w:wordWrap w:val="0"/>
              <w:overflowPunct/>
              <w:topLinePunct/>
              <w:bidi w:val="0"/>
              <w:spacing w:line="271" w:lineRule="auto"/>
              <w:rPr>
                <w:rFonts w:hint="eastAsia" w:ascii="宋体" w:hAnsi="宋体" w:eastAsia="宋体" w:cs="宋体"/>
                <w:color w:val="000000" w:themeColor="text1"/>
                <w:highlight w:val="none"/>
                <w14:textFill>
                  <w14:solidFill>
                    <w14:schemeClr w14:val="tx1"/>
                  </w14:solidFill>
                </w14:textFill>
              </w:rPr>
            </w:pPr>
          </w:p>
          <w:p w14:paraId="6EEA342C">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C74847F">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79E64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78355BC">
            <w:pPr>
              <w:pageBreakBefore w:val="0"/>
              <w:kinsoku/>
              <w:wordWrap w:val="0"/>
              <w:overflowPunct/>
              <w:topLinePunct/>
              <w:bidi w:val="0"/>
              <w:spacing w:before="129" w:line="328" w:lineRule="auto"/>
              <w:ind w:left="115" w:right="108" w:firstLine="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1"/>
                <w:sz w:val="24"/>
                <w:szCs w:val="24"/>
                <w:highlight w:val="none"/>
                <w14:textFill>
                  <w14:solidFill>
                    <w14:schemeClr w14:val="tx1"/>
                  </w14:solidFill>
                </w14:textFill>
              </w:rPr>
              <w:t>二、超过一定规模的危险性较大的分部分项工</w:t>
            </w:r>
            <w:r>
              <w:rPr>
                <w:rFonts w:hint="eastAsia" w:ascii="宋体" w:hAnsi="宋体" w:eastAsia="宋体" w:cs="宋体"/>
                <w:b/>
                <w:bCs/>
                <w:color w:val="000000" w:themeColor="text1"/>
                <w:spacing w:val="-5"/>
                <w:sz w:val="24"/>
                <w:szCs w:val="24"/>
                <w:highlight w:val="none"/>
                <w14:textFill>
                  <w14:solidFill>
                    <w14:schemeClr w14:val="tx1"/>
                  </w14:solidFill>
                </w14:textFill>
              </w:rPr>
              <w:t>程清单</w:t>
            </w:r>
          </w:p>
        </w:tc>
        <w:tc>
          <w:tcPr>
            <w:tcW w:w="1294" w:type="dxa"/>
            <w:vAlign w:val="top"/>
          </w:tcPr>
          <w:p w14:paraId="3E2B5905">
            <w:pPr>
              <w:pStyle w:val="21"/>
              <w:pageBreakBefore w:val="0"/>
              <w:kinsoku/>
              <w:wordWrap w:val="0"/>
              <w:overflowPunct/>
              <w:topLinePunct/>
              <w:bidi w:val="0"/>
              <w:spacing w:line="295" w:lineRule="auto"/>
              <w:rPr>
                <w:rFonts w:hint="eastAsia" w:ascii="宋体" w:hAnsi="宋体" w:eastAsia="宋体" w:cs="宋体"/>
                <w:color w:val="000000" w:themeColor="text1"/>
                <w:highlight w:val="none"/>
                <w14:textFill>
                  <w14:solidFill>
                    <w14:schemeClr w14:val="tx1"/>
                  </w14:solidFill>
                </w14:textFill>
              </w:rPr>
            </w:pPr>
          </w:p>
          <w:p w14:paraId="6C101735">
            <w:pPr>
              <w:pageBreakBefore w:val="0"/>
              <w:kinsoku/>
              <w:wordWrap w:val="0"/>
              <w:overflowPunct/>
              <w:topLinePunct/>
              <w:bidi w:val="0"/>
              <w:spacing w:before="78" w:line="221" w:lineRule="auto"/>
              <w:ind w:left="20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建设单位</w:t>
            </w:r>
          </w:p>
        </w:tc>
        <w:tc>
          <w:tcPr>
            <w:tcW w:w="1294" w:type="dxa"/>
            <w:vAlign w:val="top"/>
          </w:tcPr>
          <w:p w14:paraId="37415895">
            <w:pPr>
              <w:pStyle w:val="21"/>
              <w:pageBreakBefore w:val="0"/>
              <w:kinsoku/>
              <w:wordWrap w:val="0"/>
              <w:overflowPunct/>
              <w:topLinePunct/>
              <w:bidi w:val="0"/>
              <w:spacing w:line="295" w:lineRule="auto"/>
              <w:rPr>
                <w:rFonts w:hint="eastAsia" w:ascii="宋体" w:hAnsi="宋体" w:eastAsia="宋体" w:cs="宋体"/>
                <w:color w:val="000000" w:themeColor="text1"/>
                <w:highlight w:val="none"/>
                <w14:textFill>
                  <w14:solidFill>
                    <w14:schemeClr w14:val="tx1"/>
                  </w14:solidFill>
                </w14:textFill>
              </w:rPr>
            </w:pPr>
          </w:p>
          <w:p w14:paraId="0332678F">
            <w:pPr>
              <w:pageBreakBefore w:val="0"/>
              <w:kinsoku/>
              <w:wordWrap w:val="0"/>
              <w:overflowPunct/>
              <w:topLinePunct/>
              <w:bidi w:val="0"/>
              <w:spacing w:before="78" w:line="221" w:lineRule="auto"/>
              <w:ind w:left="11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投标单位</w:t>
            </w:r>
          </w:p>
        </w:tc>
        <w:tc>
          <w:tcPr>
            <w:tcW w:w="2428" w:type="dxa"/>
            <w:vAlign w:val="top"/>
          </w:tcPr>
          <w:p w14:paraId="113B35C1">
            <w:pPr>
              <w:pStyle w:val="21"/>
              <w:pageBreakBefore w:val="0"/>
              <w:kinsoku/>
              <w:wordWrap w:val="0"/>
              <w:overflowPunct/>
              <w:topLinePunct/>
              <w:bidi w:val="0"/>
              <w:spacing w:line="295" w:lineRule="auto"/>
              <w:rPr>
                <w:rFonts w:hint="eastAsia" w:ascii="宋体" w:hAnsi="宋体" w:eastAsia="宋体" w:cs="宋体"/>
                <w:color w:val="000000" w:themeColor="text1"/>
                <w:highlight w:val="none"/>
                <w14:textFill>
                  <w14:solidFill>
                    <w14:schemeClr w14:val="tx1"/>
                  </w14:solidFill>
                </w14:textFill>
              </w:rPr>
            </w:pPr>
          </w:p>
          <w:p w14:paraId="324E1CD6">
            <w:pPr>
              <w:pageBreakBefore w:val="0"/>
              <w:kinsoku/>
              <w:wordWrap w:val="0"/>
              <w:overflowPunct/>
              <w:topLinePunct/>
              <w:bidi w:val="0"/>
              <w:spacing w:before="78" w:line="222" w:lineRule="auto"/>
              <w:ind w:left="3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备注</w:t>
            </w:r>
          </w:p>
        </w:tc>
      </w:tr>
      <w:tr w14:paraId="6FEA6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8B5B61C">
            <w:pPr>
              <w:pageBreakBefore w:val="0"/>
              <w:kinsoku/>
              <w:wordWrap w:val="0"/>
              <w:overflowPunct/>
              <w:topLinePunct/>
              <w:bidi w:val="0"/>
              <w:spacing w:before="129" w:line="221" w:lineRule="auto"/>
              <w:ind w:left="1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一、深基坑工程</w:t>
            </w:r>
          </w:p>
        </w:tc>
        <w:tc>
          <w:tcPr>
            <w:tcW w:w="1294" w:type="dxa"/>
            <w:vAlign w:val="top"/>
          </w:tcPr>
          <w:p w14:paraId="5673401C">
            <w:pPr>
              <w:pageBreakBefore w:val="0"/>
              <w:kinsoku/>
              <w:wordWrap w:val="0"/>
              <w:overflowPunct/>
              <w:topLinePunct/>
              <w:bidi w:val="0"/>
              <w:spacing w:before="129"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AF32862">
            <w:pPr>
              <w:pageBreakBefore w:val="0"/>
              <w:kinsoku/>
              <w:wordWrap w:val="0"/>
              <w:overflowPunct/>
              <w:topLinePunct/>
              <w:bidi w:val="0"/>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5F2225E">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5769A5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B705AAA">
            <w:pPr>
              <w:pageBreakBefore w:val="0"/>
              <w:kinsoku/>
              <w:wordWrap w:val="0"/>
              <w:overflowPunct/>
              <w:topLinePunct/>
              <w:bidi w:val="0"/>
              <w:spacing w:before="131" w:line="327" w:lineRule="auto"/>
              <w:ind w:left="117" w:right="1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开挖深度超过5m（含5m）的基坑（槽）的土方</w:t>
            </w:r>
            <w:r>
              <w:rPr>
                <w:rFonts w:hint="eastAsia" w:ascii="宋体" w:hAnsi="宋体" w:eastAsia="宋体" w:cs="宋体"/>
                <w:color w:val="000000" w:themeColor="text1"/>
                <w:spacing w:val="-1"/>
                <w:sz w:val="24"/>
                <w:szCs w:val="24"/>
                <w:highlight w:val="none"/>
                <w14:textFill>
                  <w14:solidFill>
                    <w14:schemeClr w14:val="tx1"/>
                  </w14:solidFill>
                </w14:textFill>
              </w:rPr>
              <w:t>开挖、支护、降水工程。</w:t>
            </w:r>
          </w:p>
        </w:tc>
        <w:tc>
          <w:tcPr>
            <w:tcW w:w="1294" w:type="dxa"/>
            <w:vAlign w:val="top"/>
          </w:tcPr>
          <w:p w14:paraId="0F1101F7">
            <w:pPr>
              <w:pStyle w:val="21"/>
              <w:pageBreakBefore w:val="0"/>
              <w:kinsoku/>
              <w:wordWrap w:val="0"/>
              <w:overflowPunct/>
              <w:topLinePunct/>
              <w:bidi w:val="0"/>
              <w:spacing w:line="295" w:lineRule="auto"/>
              <w:rPr>
                <w:rFonts w:hint="eastAsia" w:ascii="宋体" w:hAnsi="宋体" w:eastAsia="宋体" w:cs="宋体"/>
                <w:color w:val="000000" w:themeColor="text1"/>
                <w:highlight w:val="none"/>
                <w14:textFill>
                  <w14:solidFill>
                    <w14:schemeClr w14:val="tx1"/>
                  </w14:solidFill>
                </w14:textFill>
              </w:rPr>
            </w:pPr>
          </w:p>
          <w:p w14:paraId="6A57592C">
            <w:pPr>
              <w:pageBreakBefore w:val="0"/>
              <w:kinsoku/>
              <w:wordWrap w:val="0"/>
              <w:overflowPunct/>
              <w:topLinePunct/>
              <w:bidi w:val="0"/>
              <w:spacing w:before="78"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BF594BB">
            <w:pPr>
              <w:pStyle w:val="21"/>
              <w:pageBreakBefore w:val="0"/>
              <w:kinsoku/>
              <w:wordWrap w:val="0"/>
              <w:overflowPunct/>
              <w:topLinePunct/>
              <w:bidi w:val="0"/>
              <w:spacing w:line="295" w:lineRule="auto"/>
              <w:rPr>
                <w:rFonts w:hint="eastAsia" w:ascii="宋体" w:hAnsi="宋体" w:eastAsia="宋体" w:cs="宋体"/>
                <w:color w:val="000000" w:themeColor="text1"/>
                <w:highlight w:val="none"/>
                <w14:textFill>
                  <w14:solidFill>
                    <w14:schemeClr w14:val="tx1"/>
                  </w14:solidFill>
                </w14:textFill>
              </w:rPr>
            </w:pPr>
          </w:p>
          <w:p w14:paraId="5A20A596">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7B7899B">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2DCE8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06D6A8E">
            <w:pPr>
              <w:pageBreakBefore w:val="0"/>
              <w:kinsoku/>
              <w:wordWrap w:val="0"/>
              <w:overflowPunct/>
              <w:topLinePunct/>
              <w:bidi w:val="0"/>
              <w:spacing w:before="130" w:line="219" w:lineRule="auto"/>
              <w:ind w:left="1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二、模板工程及支撑体系</w:t>
            </w:r>
          </w:p>
        </w:tc>
        <w:tc>
          <w:tcPr>
            <w:tcW w:w="1294" w:type="dxa"/>
            <w:vAlign w:val="top"/>
          </w:tcPr>
          <w:p w14:paraId="560E3BB1">
            <w:pPr>
              <w:pageBreakBefore w:val="0"/>
              <w:kinsoku/>
              <w:wordWrap w:val="0"/>
              <w:overflowPunct/>
              <w:topLinePunct/>
              <w:bidi w:val="0"/>
              <w:spacing w:before="129"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lang w:val="en-US"/>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C1A6F20">
            <w:pPr>
              <w:pageBreakBefore w:val="0"/>
              <w:kinsoku/>
              <w:wordWrap w:val="0"/>
              <w:overflowPunct/>
              <w:topLinePunct/>
              <w:bidi w:val="0"/>
              <w:spacing w:before="129"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44514624">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60DA1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B30FBD3">
            <w:pPr>
              <w:pageBreakBefore w:val="0"/>
              <w:kinsoku/>
              <w:wordWrap w:val="0"/>
              <w:overflowPunct/>
              <w:topLinePunct/>
              <w:bidi w:val="0"/>
              <w:spacing w:before="130" w:line="327" w:lineRule="auto"/>
              <w:ind w:left="123" w:right="25" w:firstLine="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（一）各类工具式模板工程：包括滑模、爬模、</w:t>
            </w:r>
            <w:r>
              <w:rPr>
                <w:rFonts w:hint="eastAsia" w:ascii="宋体" w:hAnsi="宋体" w:eastAsia="宋体" w:cs="宋体"/>
                <w:color w:val="000000" w:themeColor="text1"/>
                <w:spacing w:val="-2"/>
                <w:sz w:val="24"/>
                <w:szCs w:val="24"/>
                <w:highlight w:val="none"/>
                <w14:textFill>
                  <w14:solidFill>
                    <w14:schemeClr w14:val="tx1"/>
                  </w14:solidFill>
                </w14:textFill>
              </w:rPr>
              <w:t>飞模、隧道模等工程。</w:t>
            </w:r>
          </w:p>
        </w:tc>
        <w:tc>
          <w:tcPr>
            <w:tcW w:w="1294" w:type="dxa"/>
            <w:vAlign w:val="top"/>
          </w:tcPr>
          <w:p w14:paraId="15FF31B5">
            <w:pPr>
              <w:pStyle w:val="21"/>
              <w:pageBreakBefore w:val="0"/>
              <w:kinsoku/>
              <w:wordWrap w:val="0"/>
              <w:overflowPunct/>
              <w:topLinePunct/>
              <w:bidi w:val="0"/>
              <w:spacing w:line="294" w:lineRule="auto"/>
              <w:rPr>
                <w:rFonts w:hint="eastAsia" w:ascii="宋体" w:hAnsi="宋体" w:eastAsia="宋体" w:cs="宋体"/>
                <w:color w:val="000000" w:themeColor="text1"/>
                <w:highlight w:val="none"/>
                <w14:textFill>
                  <w14:solidFill>
                    <w14:schemeClr w14:val="tx1"/>
                  </w14:solidFill>
                </w14:textFill>
              </w:rPr>
            </w:pPr>
          </w:p>
          <w:p w14:paraId="4DB76FBE">
            <w:pPr>
              <w:pageBreakBefore w:val="0"/>
              <w:kinsoku/>
              <w:wordWrap w:val="0"/>
              <w:overflowPunct/>
              <w:topLinePunct/>
              <w:bidi w:val="0"/>
              <w:spacing w:before="78" w:line="223" w:lineRule="auto"/>
              <w:ind w:left="30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121E801">
            <w:pPr>
              <w:pStyle w:val="21"/>
              <w:pageBreakBefore w:val="0"/>
              <w:kinsoku/>
              <w:wordWrap w:val="0"/>
              <w:overflowPunct/>
              <w:topLinePunct/>
              <w:bidi w:val="0"/>
              <w:spacing w:line="294" w:lineRule="auto"/>
              <w:rPr>
                <w:rFonts w:hint="eastAsia" w:ascii="宋体" w:hAnsi="宋体" w:eastAsia="宋体" w:cs="宋体"/>
                <w:color w:val="000000" w:themeColor="text1"/>
                <w:highlight w:val="none"/>
                <w14:textFill>
                  <w14:solidFill>
                    <w14:schemeClr w14:val="tx1"/>
                  </w14:solidFill>
                </w14:textFill>
              </w:rPr>
            </w:pPr>
          </w:p>
          <w:p w14:paraId="4EDFB373">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FCE0DE6">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237A03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5ADDC64">
            <w:pPr>
              <w:pageBreakBefore w:val="0"/>
              <w:kinsoku/>
              <w:wordWrap w:val="0"/>
              <w:overflowPunct/>
              <w:topLinePunct/>
              <w:bidi w:val="0"/>
              <w:spacing w:before="132" w:line="353" w:lineRule="auto"/>
              <w:ind w:left="116" w:right="6" w:firstLine="11"/>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（二）混凝土模板支撑工程：搭设高度8m及以</w:t>
            </w:r>
            <w:r>
              <w:rPr>
                <w:rFonts w:hint="eastAsia" w:ascii="宋体" w:hAnsi="宋体" w:eastAsia="宋体" w:cs="宋体"/>
                <w:color w:val="000000" w:themeColor="text1"/>
                <w:spacing w:val="-11"/>
                <w:sz w:val="24"/>
                <w:szCs w:val="24"/>
                <w:highlight w:val="none"/>
                <w14:textFill>
                  <w14:solidFill>
                    <w14:schemeClr w14:val="tx1"/>
                  </w14:solidFill>
                </w14:textFill>
              </w:rPr>
              <w:t>上，或搭设跨度18m及以上，或施工总荷载（设计值）15kN/m2及以上，或集中线荷载（设</w:t>
            </w:r>
            <w:r>
              <w:rPr>
                <w:rFonts w:hint="eastAsia" w:ascii="宋体" w:hAnsi="宋体" w:eastAsia="宋体" w:cs="宋体"/>
                <w:color w:val="000000" w:themeColor="text1"/>
                <w:spacing w:val="-12"/>
                <w:sz w:val="24"/>
                <w:szCs w:val="24"/>
                <w:highlight w:val="none"/>
                <w14:textFill>
                  <w14:solidFill>
                    <w14:schemeClr w14:val="tx1"/>
                  </w14:solidFill>
                </w14:textFill>
              </w:rPr>
              <w:t>计值）</w:t>
            </w:r>
            <w:r>
              <w:rPr>
                <w:rFonts w:hint="eastAsia" w:ascii="宋体" w:hAnsi="宋体" w:eastAsia="宋体" w:cs="宋体"/>
                <w:color w:val="000000" w:themeColor="text1"/>
                <w:spacing w:val="-2"/>
                <w:sz w:val="24"/>
                <w:szCs w:val="24"/>
                <w:highlight w:val="none"/>
                <w14:textFill>
                  <w14:solidFill>
                    <w14:schemeClr w14:val="tx1"/>
                  </w14:solidFill>
                </w14:textFill>
              </w:rPr>
              <w:t>20kN/m及以上。</w:t>
            </w:r>
          </w:p>
        </w:tc>
        <w:tc>
          <w:tcPr>
            <w:tcW w:w="1294" w:type="dxa"/>
            <w:vAlign w:val="top"/>
          </w:tcPr>
          <w:p w14:paraId="0C9ECEA7">
            <w:pPr>
              <w:pStyle w:val="21"/>
              <w:pageBreakBefore w:val="0"/>
              <w:kinsoku/>
              <w:wordWrap w:val="0"/>
              <w:overflowPunct/>
              <w:topLinePunct/>
              <w:bidi w:val="0"/>
              <w:spacing w:line="262" w:lineRule="auto"/>
              <w:rPr>
                <w:rFonts w:hint="eastAsia" w:ascii="宋体" w:hAnsi="宋体" w:eastAsia="宋体" w:cs="宋体"/>
                <w:color w:val="000000" w:themeColor="text1"/>
                <w:highlight w:val="none"/>
                <w14:textFill>
                  <w14:solidFill>
                    <w14:schemeClr w14:val="tx1"/>
                  </w14:solidFill>
                </w14:textFill>
              </w:rPr>
            </w:pPr>
          </w:p>
          <w:p w14:paraId="49521F01">
            <w:pPr>
              <w:pStyle w:val="21"/>
              <w:pageBreakBefore w:val="0"/>
              <w:kinsoku/>
              <w:wordWrap w:val="0"/>
              <w:overflowPunct/>
              <w:topLinePunct/>
              <w:bidi w:val="0"/>
              <w:spacing w:line="263" w:lineRule="auto"/>
              <w:rPr>
                <w:rFonts w:hint="eastAsia" w:ascii="宋体" w:hAnsi="宋体" w:eastAsia="宋体" w:cs="宋体"/>
                <w:color w:val="000000" w:themeColor="text1"/>
                <w:highlight w:val="none"/>
                <w14:textFill>
                  <w14:solidFill>
                    <w14:schemeClr w14:val="tx1"/>
                  </w14:solidFill>
                </w14:textFill>
              </w:rPr>
            </w:pPr>
          </w:p>
          <w:p w14:paraId="7A3954C2">
            <w:pPr>
              <w:pStyle w:val="21"/>
              <w:pageBreakBefore w:val="0"/>
              <w:kinsoku/>
              <w:wordWrap w:val="0"/>
              <w:overflowPunct/>
              <w:topLinePunct/>
              <w:bidi w:val="0"/>
              <w:spacing w:line="263" w:lineRule="auto"/>
              <w:rPr>
                <w:rFonts w:hint="eastAsia" w:ascii="宋体" w:hAnsi="宋体" w:eastAsia="宋体" w:cs="宋体"/>
                <w:color w:val="000000" w:themeColor="text1"/>
                <w:highlight w:val="none"/>
                <w14:textFill>
                  <w14:solidFill>
                    <w14:schemeClr w14:val="tx1"/>
                  </w14:solidFill>
                </w14:textFill>
              </w:rPr>
            </w:pPr>
          </w:p>
          <w:p w14:paraId="2B1DEDAA">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581609C">
            <w:pPr>
              <w:pStyle w:val="21"/>
              <w:pageBreakBefore w:val="0"/>
              <w:kinsoku/>
              <w:wordWrap w:val="0"/>
              <w:overflowPunct/>
              <w:topLinePunct/>
              <w:bidi w:val="0"/>
              <w:spacing w:line="262" w:lineRule="auto"/>
              <w:rPr>
                <w:rFonts w:hint="eastAsia" w:ascii="宋体" w:hAnsi="宋体" w:eastAsia="宋体" w:cs="宋体"/>
                <w:color w:val="000000" w:themeColor="text1"/>
                <w:highlight w:val="none"/>
                <w14:textFill>
                  <w14:solidFill>
                    <w14:schemeClr w14:val="tx1"/>
                  </w14:solidFill>
                </w14:textFill>
              </w:rPr>
            </w:pPr>
          </w:p>
          <w:p w14:paraId="77F805F3">
            <w:pPr>
              <w:pStyle w:val="21"/>
              <w:pageBreakBefore w:val="0"/>
              <w:kinsoku/>
              <w:wordWrap w:val="0"/>
              <w:overflowPunct/>
              <w:topLinePunct/>
              <w:bidi w:val="0"/>
              <w:spacing w:line="263" w:lineRule="auto"/>
              <w:rPr>
                <w:rFonts w:hint="eastAsia" w:ascii="宋体" w:hAnsi="宋体" w:eastAsia="宋体" w:cs="宋体"/>
                <w:color w:val="000000" w:themeColor="text1"/>
                <w:highlight w:val="none"/>
                <w14:textFill>
                  <w14:solidFill>
                    <w14:schemeClr w14:val="tx1"/>
                  </w14:solidFill>
                </w14:textFill>
              </w:rPr>
            </w:pPr>
          </w:p>
          <w:p w14:paraId="42F2C44D">
            <w:pPr>
              <w:pStyle w:val="21"/>
              <w:pageBreakBefore w:val="0"/>
              <w:kinsoku/>
              <w:wordWrap w:val="0"/>
              <w:overflowPunct/>
              <w:topLinePunct/>
              <w:bidi w:val="0"/>
              <w:spacing w:line="263" w:lineRule="auto"/>
              <w:rPr>
                <w:rFonts w:hint="eastAsia" w:ascii="宋体" w:hAnsi="宋体" w:eastAsia="宋体" w:cs="宋体"/>
                <w:color w:val="000000" w:themeColor="text1"/>
                <w:highlight w:val="none"/>
                <w14:textFill>
                  <w14:solidFill>
                    <w14:schemeClr w14:val="tx1"/>
                  </w14:solidFill>
                </w14:textFill>
              </w:rPr>
            </w:pPr>
          </w:p>
          <w:p w14:paraId="57190F71">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2D3999CD">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7C8D6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57C8DF1">
            <w:pPr>
              <w:pageBreakBefore w:val="0"/>
              <w:kinsoku/>
              <w:wordWrap w:val="0"/>
              <w:overflowPunct/>
              <w:topLinePunct/>
              <w:bidi w:val="0"/>
              <w:spacing w:before="131"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（三）承重支撑体系：用于钢结构安装等满堂</w:t>
            </w:r>
          </w:p>
        </w:tc>
        <w:tc>
          <w:tcPr>
            <w:tcW w:w="1294" w:type="dxa"/>
            <w:vAlign w:val="top"/>
          </w:tcPr>
          <w:p w14:paraId="3C2462E6">
            <w:pPr>
              <w:pageBreakBefore w:val="0"/>
              <w:kinsoku/>
              <w:wordWrap w:val="0"/>
              <w:overflowPunct/>
              <w:topLinePunct/>
              <w:bidi w:val="0"/>
              <w:spacing w:before="131"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604B9340">
            <w:pPr>
              <w:pageBreakBefore w:val="0"/>
              <w:kinsoku/>
              <w:wordWrap w:val="0"/>
              <w:overflowPunct/>
              <w:topLinePunct/>
              <w:bidi w:val="0"/>
              <w:spacing w:before="131"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68F0E6DF">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32C5A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008CF8">
            <w:pPr>
              <w:pageBreakBefore w:val="0"/>
              <w:kinsoku/>
              <w:wordWrap w:val="0"/>
              <w:overflowPunct/>
              <w:topLinePunct/>
              <w:bidi w:val="0"/>
              <w:spacing w:before="131" w:line="220" w:lineRule="auto"/>
              <w:ind w:left="1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支撑体系，承受单点集中荷载7kN及以上。</w:t>
            </w:r>
          </w:p>
        </w:tc>
        <w:tc>
          <w:tcPr>
            <w:tcW w:w="1294" w:type="dxa"/>
            <w:vAlign w:val="top"/>
          </w:tcPr>
          <w:p w14:paraId="2F609E21">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c>
          <w:tcPr>
            <w:tcW w:w="1294" w:type="dxa"/>
            <w:vAlign w:val="top"/>
          </w:tcPr>
          <w:p w14:paraId="75486B1A">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c>
          <w:tcPr>
            <w:tcW w:w="2428" w:type="dxa"/>
            <w:vAlign w:val="top"/>
          </w:tcPr>
          <w:p w14:paraId="54EF4391">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02ADED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DBB90BD">
            <w:pPr>
              <w:pageBreakBefore w:val="0"/>
              <w:kinsoku/>
              <w:wordWrap w:val="0"/>
              <w:overflowPunct/>
              <w:topLinePunct/>
              <w:bidi w:val="0"/>
              <w:spacing w:before="128" w:line="219" w:lineRule="auto"/>
              <w:ind w:left="35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三、起重吊装及起重机械安装拆卸工程</w:t>
            </w:r>
          </w:p>
        </w:tc>
        <w:tc>
          <w:tcPr>
            <w:tcW w:w="1294" w:type="dxa"/>
            <w:vAlign w:val="top"/>
          </w:tcPr>
          <w:p w14:paraId="62867278">
            <w:pPr>
              <w:pageBreakBefore w:val="0"/>
              <w:kinsoku/>
              <w:wordWrap w:val="0"/>
              <w:overflowPunct/>
              <w:topLinePunct/>
              <w:bidi w:val="0"/>
              <w:spacing w:before="127" w:line="223" w:lineRule="auto"/>
              <w:ind w:left="4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9D2220D">
            <w:pPr>
              <w:pageBreakBefore w:val="0"/>
              <w:kinsoku/>
              <w:wordWrap w:val="0"/>
              <w:overflowPunct/>
              <w:topLinePunct/>
              <w:bidi w:val="0"/>
              <w:spacing w:before="127"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2D6DF71E">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4F1A9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0FDB1F7">
            <w:pPr>
              <w:pageBreakBefore w:val="0"/>
              <w:kinsoku/>
              <w:wordWrap w:val="0"/>
              <w:overflowPunct/>
              <w:topLinePunct/>
              <w:bidi w:val="0"/>
              <w:spacing w:before="129" w:line="328" w:lineRule="auto"/>
              <w:ind w:left="144" w:right="168" w:hanging="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（一）采用非常规起重设备、方法，且单件起</w:t>
            </w:r>
            <w:r>
              <w:rPr>
                <w:rFonts w:hint="eastAsia" w:ascii="宋体" w:hAnsi="宋体" w:eastAsia="宋体" w:cs="宋体"/>
                <w:color w:val="000000" w:themeColor="text1"/>
                <w:spacing w:val="-4"/>
                <w:sz w:val="24"/>
                <w:szCs w:val="24"/>
                <w:highlight w:val="none"/>
                <w14:textFill>
                  <w14:solidFill>
                    <w14:schemeClr w14:val="tx1"/>
                  </w14:solidFill>
                </w14:textFill>
              </w:rPr>
              <w:t>吊重量在100kN及以上的起重吊装工程。</w:t>
            </w:r>
          </w:p>
        </w:tc>
        <w:tc>
          <w:tcPr>
            <w:tcW w:w="1294" w:type="dxa"/>
            <w:vAlign w:val="top"/>
          </w:tcPr>
          <w:p w14:paraId="747F327C">
            <w:pPr>
              <w:pStyle w:val="21"/>
              <w:pageBreakBefore w:val="0"/>
              <w:kinsoku/>
              <w:wordWrap w:val="0"/>
              <w:overflowPunct/>
              <w:topLinePunct/>
              <w:bidi w:val="0"/>
              <w:spacing w:line="295" w:lineRule="auto"/>
              <w:rPr>
                <w:rFonts w:hint="eastAsia" w:ascii="宋体" w:hAnsi="宋体" w:eastAsia="宋体" w:cs="宋体"/>
                <w:color w:val="000000" w:themeColor="text1"/>
                <w:highlight w:val="none"/>
                <w14:textFill>
                  <w14:solidFill>
                    <w14:schemeClr w14:val="tx1"/>
                  </w14:solidFill>
                </w14:textFill>
              </w:rPr>
            </w:pPr>
          </w:p>
          <w:p w14:paraId="2484E90D">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7853706">
            <w:pPr>
              <w:pStyle w:val="21"/>
              <w:pageBreakBefore w:val="0"/>
              <w:kinsoku/>
              <w:wordWrap w:val="0"/>
              <w:overflowPunct/>
              <w:topLinePunct/>
              <w:bidi w:val="0"/>
              <w:spacing w:line="295" w:lineRule="auto"/>
              <w:rPr>
                <w:rFonts w:hint="eastAsia" w:ascii="宋体" w:hAnsi="宋体" w:eastAsia="宋体" w:cs="宋体"/>
                <w:color w:val="000000" w:themeColor="text1"/>
                <w:highlight w:val="none"/>
                <w14:textFill>
                  <w14:solidFill>
                    <w14:schemeClr w14:val="tx1"/>
                  </w14:solidFill>
                </w14:textFill>
              </w:rPr>
            </w:pPr>
          </w:p>
          <w:p w14:paraId="6CDB72A7">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1043DEBE">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28991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92BC6AE">
            <w:pPr>
              <w:pageBreakBefore w:val="0"/>
              <w:kinsoku/>
              <w:wordWrap w:val="0"/>
              <w:overflowPunct/>
              <w:topLinePunct/>
              <w:bidi w:val="0"/>
              <w:spacing w:before="129" w:line="345" w:lineRule="auto"/>
              <w:ind w:left="115" w:right="105" w:firstLine="12"/>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2"/>
                <w:sz w:val="24"/>
                <w:szCs w:val="24"/>
                <w:highlight w:val="none"/>
                <w14:textFill>
                  <w14:solidFill>
                    <w14:schemeClr w14:val="tx1"/>
                  </w14:solidFill>
                </w14:textFill>
              </w:rPr>
              <w:t>（二）起重量300kN及以上，或搭设总高度200m</w:t>
            </w:r>
            <w:r>
              <w:rPr>
                <w:rFonts w:hint="eastAsia" w:ascii="宋体" w:hAnsi="宋体" w:eastAsia="宋体" w:cs="宋体"/>
                <w:color w:val="000000" w:themeColor="text1"/>
                <w:spacing w:val="-4"/>
                <w:sz w:val="24"/>
                <w:szCs w:val="24"/>
                <w:highlight w:val="none"/>
                <w14:textFill>
                  <w14:solidFill>
                    <w14:schemeClr w14:val="tx1"/>
                  </w14:solidFill>
                </w14:textFill>
              </w:rPr>
              <w:t>及以上，或搭设基础标高在200m及以上的起重</w:t>
            </w:r>
            <w:r>
              <w:rPr>
                <w:rFonts w:hint="eastAsia" w:ascii="宋体" w:hAnsi="宋体" w:eastAsia="宋体" w:cs="宋体"/>
                <w:color w:val="000000" w:themeColor="text1"/>
                <w:spacing w:val="-1"/>
                <w:sz w:val="24"/>
                <w:szCs w:val="24"/>
                <w:highlight w:val="none"/>
                <w14:textFill>
                  <w14:solidFill>
                    <w14:schemeClr w14:val="tx1"/>
                  </w14:solidFill>
                </w14:textFill>
              </w:rPr>
              <w:t>机械安装和拆卸工程。</w:t>
            </w:r>
          </w:p>
        </w:tc>
        <w:tc>
          <w:tcPr>
            <w:tcW w:w="1294" w:type="dxa"/>
            <w:vAlign w:val="top"/>
          </w:tcPr>
          <w:p w14:paraId="2DC4B129">
            <w:pPr>
              <w:pStyle w:val="21"/>
              <w:pageBreakBefore w:val="0"/>
              <w:kinsoku/>
              <w:wordWrap w:val="0"/>
              <w:overflowPunct/>
              <w:topLinePunct/>
              <w:bidi w:val="0"/>
              <w:spacing w:line="270" w:lineRule="auto"/>
              <w:rPr>
                <w:rFonts w:hint="eastAsia" w:ascii="宋体" w:hAnsi="宋体" w:eastAsia="宋体" w:cs="宋体"/>
                <w:color w:val="000000" w:themeColor="text1"/>
                <w:highlight w:val="none"/>
                <w14:textFill>
                  <w14:solidFill>
                    <w14:schemeClr w14:val="tx1"/>
                  </w14:solidFill>
                </w14:textFill>
              </w:rPr>
            </w:pPr>
          </w:p>
          <w:p w14:paraId="6B485EBC">
            <w:pPr>
              <w:pStyle w:val="21"/>
              <w:pageBreakBefore w:val="0"/>
              <w:kinsoku/>
              <w:wordWrap w:val="0"/>
              <w:overflowPunct/>
              <w:topLinePunct/>
              <w:bidi w:val="0"/>
              <w:spacing w:line="270" w:lineRule="auto"/>
              <w:rPr>
                <w:rFonts w:hint="eastAsia" w:ascii="宋体" w:hAnsi="宋体" w:eastAsia="宋体" w:cs="宋体"/>
                <w:color w:val="000000" w:themeColor="text1"/>
                <w:highlight w:val="none"/>
                <w14:textFill>
                  <w14:solidFill>
                    <w14:schemeClr w14:val="tx1"/>
                  </w14:solidFill>
                </w14:textFill>
              </w:rPr>
            </w:pPr>
          </w:p>
          <w:p w14:paraId="3D411716">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F16A5E2">
            <w:pPr>
              <w:pStyle w:val="21"/>
              <w:pageBreakBefore w:val="0"/>
              <w:kinsoku/>
              <w:wordWrap w:val="0"/>
              <w:overflowPunct/>
              <w:topLinePunct/>
              <w:bidi w:val="0"/>
              <w:spacing w:line="270" w:lineRule="auto"/>
              <w:rPr>
                <w:rFonts w:hint="eastAsia" w:ascii="宋体" w:hAnsi="宋体" w:eastAsia="宋体" w:cs="宋体"/>
                <w:color w:val="000000" w:themeColor="text1"/>
                <w:highlight w:val="none"/>
                <w14:textFill>
                  <w14:solidFill>
                    <w14:schemeClr w14:val="tx1"/>
                  </w14:solidFill>
                </w14:textFill>
              </w:rPr>
            </w:pPr>
          </w:p>
          <w:p w14:paraId="70E40014">
            <w:pPr>
              <w:pStyle w:val="21"/>
              <w:pageBreakBefore w:val="0"/>
              <w:kinsoku/>
              <w:wordWrap w:val="0"/>
              <w:overflowPunct/>
              <w:topLinePunct/>
              <w:bidi w:val="0"/>
              <w:spacing w:line="270" w:lineRule="auto"/>
              <w:rPr>
                <w:rFonts w:hint="eastAsia" w:ascii="宋体" w:hAnsi="宋体" w:eastAsia="宋体" w:cs="宋体"/>
                <w:color w:val="000000" w:themeColor="text1"/>
                <w:highlight w:val="none"/>
                <w14:textFill>
                  <w14:solidFill>
                    <w14:schemeClr w14:val="tx1"/>
                  </w14:solidFill>
                </w14:textFill>
              </w:rPr>
            </w:pPr>
          </w:p>
          <w:p w14:paraId="5971C5F6">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6CCACE65">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30B10D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1E91F5E">
            <w:pPr>
              <w:pageBreakBefore w:val="0"/>
              <w:kinsoku/>
              <w:wordWrap w:val="0"/>
              <w:overflowPunct/>
              <w:topLinePunct/>
              <w:bidi w:val="0"/>
              <w:spacing w:before="128" w:line="219" w:lineRule="auto"/>
              <w:ind w:left="13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四、脚手架工程</w:t>
            </w:r>
          </w:p>
        </w:tc>
        <w:tc>
          <w:tcPr>
            <w:tcW w:w="1294" w:type="dxa"/>
            <w:vAlign w:val="top"/>
          </w:tcPr>
          <w:p w14:paraId="7E9329A1">
            <w:pPr>
              <w:pageBreakBefore w:val="0"/>
              <w:kinsoku/>
              <w:wordWrap w:val="0"/>
              <w:overflowPunct/>
              <w:topLinePunct/>
              <w:bidi w:val="0"/>
              <w:spacing w:before="127"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F76C205">
            <w:pPr>
              <w:pageBreakBefore w:val="0"/>
              <w:kinsoku/>
              <w:wordWrap w:val="0"/>
              <w:overflowPunct/>
              <w:topLinePunct/>
              <w:bidi w:val="0"/>
              <w:spacing w:before="127"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EF50160">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63494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7708758">
            <w:pPr>
              <w:pageBreakBefore w:val="0"/>
              <w:kinsoku/>
              <w:wordWrap w:val="0"/>
              <w:overflowPunct/>
              <w:topLinePunct/>
              <w:bidi w:val="0"/>
              <w:spacing w:before="128" w:line="328" w:lineRule="auto"/>
              <w:ind w:left="117" w:right="168" w:firstLine="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（一）搭设高度50m及以上的落地式钢管脚手架工程。</w:t>
            </w:r>
          </w:p>
        </w:tc>
        <w:tc>
          <w:tcPr>
            <w:tcW w:w="1294" w:type="dxa"/>
            <w:vAlign w:val="top"/>
          </w:tcPr>
          <w:p w14:paraId="1DC58062">
            <w:pPr>
              <w:pStyle w:val="21"/>
              <w:pageBreakBefore w:val="0"/>
              <w:kinsoku/>
              <w:wordWrap w:val="0"/>
              <w:overflowPunct/>
              <w:topLinePunct/>
              <w:bidi w:val="0"/>
              <w:spacing w:line="296" w:lineRule="auto"/>
              <w:rPr>
                <w:rFonts w:hint="eastAsia" w:ascii="宋体" w:hAnsi="宋体" w:eastAsia="宋体" w:cs="宋体"/>
                <w:color w:val="000000" w:themeColor="text1"/>
                <w:highlight w:val="none"/>
                <w14:textFill>
                  <w14:solidFill>
                    <w14:schemeClr w14:val="tx1"/>
                  </w14:solidFill>
                </w14:textFill>
              </w:rPr>
            </w:pPr>
          </w:p>
          <w:p w14:paraId="71908885">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349D71B">
            <w:pPr>
              <w:pStyle w:val="21"/>
              <w:pageBreakBefore w:val="0"/>
              <w:kinsoku/>
              <w:wordWrap w:val="0"/>
              <w:overflowPunct/>
              <w:topLinePunct/>
              <w:bidi w:val="0"/>
              <w:spacing w:line="296" w:lineRule="auto"/>
              <w:rPr>
                <w:rFonts w:hint="eastAsia" w:ascii="宋体" w:hAnsi="宋体" w:eastAsia="宋体" w:cs="宋体"/>
                <w:color w:val="000000" w:themeColor="text1"/>
                <w:highlight w:val="none"/>
                <w14:textFill>
                  <w14:solidFill>
                    <w14:schemeClr w14:val="tx1"/>
                  </w14:solidFill>
                </w14:textFill>
              </w:rPr>
            </w:pPr>
          </w:p>
          <w:p w14:paraId="6BD24BCB">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1BA9FF5">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3C3F3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C483BB8">
            <w:pPr>
              <w:pageBreakBefore w:val="0"/>
              <w:kinsoku/>
              <w:wordWrap w:val="0"/>
              <w:overflowPunct/>
              <w:topLinePunct/>
              <w:bidi w:val="0"/>
              <w:spacing w:before="131" w:line="327" w:lineRule="auto"/>
              <w:ind w:left="116" w:right="105" w:firstLine="1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（二）提升高度在</w:t>
            </w:r>
            <w:r>
              <w:rPr>
                <w:rFonts w:hint="eastAsia" w:ascii="宋体" w:hAnsi="宋体" w:eastAsia="宋体" w:cs="宋体"/>
                <w:color w:val="000000" w:themeColor="text1"/>
                <w:spacing w:val="-6"/>
                <w:sz w:val="24"/>
                <w:szCs w:val="24"/>
                <w:highlight w:val="none"/>
                <w:lang w:eastAsia="zh-CN"/>
                <w14:textFill>
                  <w14:solidFill>
                    <w14:schemeClr w14:val="tx1"/>
                  </w14:solidFill>
                </w14:textFill>
              </w:rPr>
              <w:t>450</w:t>
            </w:r>
            <w:r>
              <w:rPr>
                <w:rFonts w:hint="eastAsia" w:ascii="宋体" w:hAnsi="宋体" w:eastAsia="宋体" w:cs="宋体"/>
                <w:color w:val="000000" w:themeColor="text1"/>
                <w:spacing w:val="-6"/>
                <w:sz w:val="24"/>
                <w:szCs w:val="24"/>
                <w:highlight w:val="none"/>
                <w14:textFill>
                  <w14:solidFill>
                    <w14:schemeClr w14:val="tx1"/>
                  </w14:solidFill>
                </w14:textFill>
              </w:rPr>
              <w:t>m及以上的附着式升降脚</w:t>
            </w:r>
            <w:r>
              <w:rPr>
                <w:rFonts w:hint="eastAsia" w:ascii="宋体" w:hAnsi="宋体" w:eastAsia="宋体" w:cs="宋体"/>
                <w:color w:val="000000" w:themeColor="text1"/>
                <w:spacing w:val="-1"/>
                <w:sz w:val="24"/>
                <w:szCs w:val="24"/>
                <w:highlight w:val="none"/>
                <w14:textFill>
                  <w14:solidFill>
                    <w14:schemeClr w14:val="tx1"/>
                  </w14:solidFill>
                </w14:textFill>
              </w:rPr>
              <w:t>手架工程或附着式升降操作平台工程。</w:t>
            </w:r>
          </w:p>
        </w:tc>
        <w:tc>
          <w:tcPr>
            <w:tcW w:w="1294" w:type="dxa"/>
            <w:vAlign w:val="top"/>
          </w:tcPr>
          <w:p w14:paraId="09146672">
            <w:pPr>
              <w:pStyle w:val="21"/>
              <w:pageBreakBefore w:val="0"/>
              <w:kinsoku/>
              <w:wordWrap w:val="0"/>
              <w:overflowPunct/>
              <w:topLinePunct/>
              <w:bidi w:val="0"/>
              <w:spacing w:line="296" w:lineRule="auto"/>
              <w:rPr>
                <w:rFonts w:hint="eastAsia" w:ascii="宋体" w:hAnsi="宋体" w:eastAsia="宋体" w:cs="宋体"/>
                <w:color w:val="000000" w:themeColor="text1"/>
                <w:highlight w:val="none"/>
                <w14:textFill>
                  <w14:solidFill>
                    <w14:schemeClr w14:val="tx1"/>
                  </w14:solidFill>
                </w14:textFill>
              </w:rPr>
            </w:pPr>
          </w:p>
          <w:p w14:paraId="49B07238">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10D8225">
            <w:pPr>
              <w:pStyle w:val="21"/>
              <w:pageBreakBefore w:val="0"/>
              <w:kinsoku/>
              <w:wordWrap w:val="0"/>
              <w:overflowPunct/>
              <w:topLinePunct/>
              <w:bidi w:val="0"/>
              <w:spacing w:line="296" w:lineRule="auto"/>
              <w:rPr>
                <w:rFonts w:hint="eastAsia" w:ascii="宋体" w:hAnsi="宋体" w:eastAsia="宋体" w:cs="宋体"/>
                <w:color w:val="000000" w:themeColor="text1"/>
                <w:highlight w:val="none"/>
                <w14:textFill>
                  <w14:solidFill>
                    <w14:schemeClr w14:val="tx1"/>
                  </w14:solidFill>
                </w14:textFill>
              </w:rPr>
            </w:pPr>
          </w:p>
          <w:p w14:paraId="4064293E">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8C6A038">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02F8EF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8B64B0">
            <w:pPr>
              <w:pageBreakBefore w:val="0"/>
              <w:kinsoku/>
              <w:wordWrap w:val="0"/>
              <w:overflowPunct/>
              <w:topLinePunct/>
              <w:bidi w:val="0"/>
              <w:spacing w:before="129" w:line="328" w:lineRule="auto"/>
              <w:ind w:left="115" w:right="168" w:firstLine="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（三）分段架体搭设高度20m及以上的悬挑式脚手架工程。</w:t>
            </w:r>
          </w:p>
        </w:tc>
        <w:tc>
          <w:tcPr>
            <w:tcW w:w="1294" w:type="dxa"/>
            <w:vAlign w:val="top"/>
          </w:tcPr>
          <w:p w14:paraId="0E88F884">
            <w:pPr>
              <w:pStyle w:val="21"/>
              <w:pageBreakBefore w:val="0"/>
              <w:kinsoku/>
              <w:wordWrap w:val="0"/>
              <w:overflowPunct/>
              <w:topLinePunct/>
              <w:bidi w:val="0"/>
              <w:spacing w:line="297" w:lineRule="auto"/>
              <w:rPr>
                <w:rFonts w:hint="eastAsia" w:ascii="宋体" w:hAnsi="宋体" w:eastAsia="宋体" w:cs="宋体"/>
                <w:color w:val="000000" w:themeColor="text1"/>
                <w:highlight w:val="none"/>
                <w14:textFill>
                  <w14:solidFill>
                    <w14:schemeClr w14:val="tx1"/>
                  </w14:solidFill>
                </w14:textFill>
              </w:rPr>
            </w:pPr>
          </w:p>
          <w:p w14:paraId="4F73528E">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0258A57">
            <w:pPr>
              <w:pStyle w:val="21"/>
              <w:pageBreakBefore w:val="0"/>
              <w:kinsoku/>
              <w:wordWrap w:val="0"/>
              <w:overflowPunct/>
              <w:topLinePunct/>
              <w:bidi w:val="0"/>
              <w:spacing w:line="297" w:lineRule="auto"/>
              <w:rPr>
                <w:rFonts w:hint="eastAsia" w:ascii="宋体" w:hAnsi="宋体" w:eastAsia="宋体" w:cs="宋体"/>
                <w:color w:val="000000" w:themeColor="text1"/>
                <w:highlight w:val="none"/>
                <w14:textFill>
                  <w14:solidFill>
                    <w14:schemeClr w14:val="tx1"/>
                  </w14:solidFill>
                </w14:textFill>
              </w:rPr>
            </w:pPr>
          </w:p>
          <w:p w14:paraId="23A09092">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B761ABD">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18D18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3EED2B">
            <w:pPr>
              <w:pageBreakBefore w:val="0"/>
              <w:kinsoku/>
              <w:wordWrap w:val="0"/>
              <w:overflowPunct/>
              <w:topLinePunct/>
              <w:bidi w:val="0"/>
              <w:spacing w:before="131" w:line="220" w:lineRule="auto"/>
              <w:ind w:left="12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五、拆除工程</w:t>
            </w:r>
          </w:p>
        </w:tc>
        <w:tc>
          <w:tcPr>
            <w:tcW w:w="1294" w:type="dxa"/>
            <w:vAlign w:val="top"/>
          </w:tcPr>
          <w:p w14:paraId="3349767D">
            <w:pPr>
              <w:pageBreakBefore w:val="0"/>
              <w:kinsoku/>
              <w:wordWrap w:val="0"/>
              <w:overflowPunct/>
              <w:topLinePunct/>
              <w:bidi w:val="0"/>
              <w:spacing w:before="158" w:line="223" w:lineRule="auto"/>
              <w:ind w:left="42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758167C4">
            <w:pPr>
              <w:pageBreakBefore w:val="0"/>
              <w:kinsoku/>
              <w:wordWrap w:val="0"/>
              <w:overflowPunct/>
              <w:topLinePunct/>
              <w:bidi w:val="0"/>
              <w:spacing w:before="15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6C0C122A">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00576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47DFDE3">
            <w:pPr>
              <w:pageBreakBefore w:val="0"/>
              <w:kinsoku/>
              <w:wordWrap w:val="0"/>
              <w:overflowPunct/>
              <w:topLinePunct/>
              <w:bidi w:val="0"/>
              <w:spacing w:before="132" w:line="353" w:lineRule="auto"/>
              <w:ind w:left="115" w:right="168" w:firstLine="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（一）码头、桥梁、高架、烟囱、水塔或拆除</w:t>
            </w:r>
            <w:r>
              <w:rPr>
                <w:rFonts w:hint="eastAsia" w:ascii="宋体" w:hAnsi="宋体" w:eastAsia="宋体" w:cs="宋体"/>
                <w:color w:val="000000" w:themeColor="text1"/>
                <w:spacing w:val="-1"/>
                <w:sz w:val="24"/>
                <w:szCs w:val="24"/>
                <w:highlight w:val="none"/>
                <w14:textFill>
                  <w14:solidFill>
                    <w14:schemeClr w14:val="tx1"/>
                  </w14:solidFill>
                </w14:textFill>
              </w:rPr>
              <w:t>中容易引起有毒有害气（液）体或粉尘扩散、易燃易爆事故发生的特殊建、构筑物的拆除工</w:t>
            </w:r>
            <w:r>
              <w:rPr>
                <w:rFonts w:hint="eastAsia" w:ascii="宋体" w:hAnsi="宋体" w:eastAsia="宋体" w:cs="宋体"/>
                <w:color w:val="000000" w:themeColor="text1"/>
                <w:spacing w:val="-5"/>
                <w:sz w:val="24"/>
                <w:szCs w:val="24"/>
                <w:highlight w:val="none"/>
                <w14:textFill>
                  <w14:solidFill>
                    <w14:schemeClr w14:val="tx1"/>
                  </w14:solidFill>
                </w14:textFill>
              </w:rPr>
              <w:t>程。</w:t>
            </w:r>
          </w:p>
        </w:tc>
        <w:tc>
          <w:tcPr>
            <w:tcW w:w="1294" w:type="dxa"/>
            <w:vAlign w:val="top"/>
          </w:tcPr>
          <w:p w14:paraId="5A3B2C73">
            <w:pPr>
              <w:pStyle w:val="21"/>
              <w:pageBreakBefore w:val="0"/>
              <w:kinsoku/>
              <w:wordWrap w:val="0"/>
              <w:overflowPunct/>
              <w:topLinePunct/>
              <w:bidi w:val="0"/>
              <w:spacing w:line="262" w:lineRule="auto"/>
              <w:rPr>
                <w:rFonts w:hint="eastAsia" w:ascii="宋体" w:hAnsi="宋体" w:eastAsia="宋体" w:cs="宋体"/>
                <w:color w:val="000000" w:themeColor="text1"/>
                <w:highlight w:val="none"/>
                <w14:textFill>
                  <w14:solidFill>
                    <w14:schemeClr w14:val="tx1"/>
                  </w14:solidFill>
                </w14:textFill>
              </w:rPr>
            </w:pPr>
          </w:p>
          <w:p w14:paraId="2CA4C552">
            <w:pPr>
              <w:pStyle w:val="21"/>
              <w:pageBreakBefore w:val="0"/>
              <w:kinsoku/>
              <w:wordWrap w:val="0"/>
              <w:overflowPunct/>
              <w:topLinePunct/>
              <w:bidi w:val="0"/>
              <w:spacing w:line="262" w:lineRule="auto"/>
              <w:rPr>
                <w:rFonts w:hint="eastAsia" w:ascii="宋体" w:hAnsi="宋体" w:eastAsia="宋体" w:cs="宋体"/>
                <w:color w:val="000000" w:themeColor="text1"/>
                <w:highlight w:val="none"/>
                <w14:textFill>
                  <w14:solidFill>
                    <w14:schemeClr w14:val="tx1"/>
                  </w14:solidFill>
                </w14:textFill>
              </w:rPr>
            </w:pPr>
          </w:p>
          <w:p w14:paraId="634A484D">
            <w:pPr>
              <w:pStyle w:val="21"/>
              <w:pageBreakBefore w:val="0"/>
              <w:kinsoku/>
              <w:wordWrap w:val="0"/>
              <w:overflowPunct/>
              <w:topLinePunct/>
              <w:bidi w:val="0"/>
              <w:spacing w:line="262" w:lineRule="auto"/>
              <w:rPr>
                <w:rFonts w:hint="eastAsia" w:ascii="宋体" w:hAnsi="宋体" w:eastAsia="宋体" w:cs="宋体"/>
                <w:color w:val="000000" w:themeColor="text1"/>
                <w:highlight w:val="none"/>
                <w14:textFill>
                  <w14:solidFill>
                    <w14:schemeClr w14:val="tx1"/>
                  </w14:solidFill>
                </w14:textFill>
              </w:rPr>
            </w:pPr>
          </w:p>
          <w:p w14:paraId="011C788D">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80D157F">
            <w:pPr>
              <w:pStyle w:val="21"/>
              <w:pageBreakBefore w:val="0"/>
              <w:kinsoku/>
              <w:wordWrap w:val="0"/>
              <w:overflowPunct/>
              <w:topLinePunct/>
              <w:bidi w:val="0"/>
              <w:spacing w:line="262" w:lineRule="auto"/>
              <w:rPr>
                <w:rFonts w:hint="eastAsia" w:ascii="宋体" w:hAnsi="宋体" w:eastAsia="宋体" w:cs="宋体"/>
                <w:color w:val="000000" w:themeColor="text1"/>
                <w:highlight w:val="none"/>
                <w14:textFill>
                  <w14:solidFill>
                    <w14:schemeClr w14:val="tx1"/>
                  </w14:solidFill>
                </w14:textFill>
              </w:rPr>
            </w:pPr>
          </w:p>
          <w:p w14:paraId="2CB5B10D">
            <w:pPr>
              <w:pStyle w:val="21"/>
              <w:pageBreakBefore w:val="0"/>
              <w:kinsoku/>
              <w:wordWrap w:val="0"/>
              <w:overflowPunct/>
              <w:topLinePunct/>
              <w:bidi w:val="0"/>
              <w:spacing w:line="262" w:lineRule="auto"/>
              <w:rPr>
                <w:rFonts w:hint="eastAsia" w:ascii="宋体" w:hAnsi="宋体" w:eastAsia="宋体" w:cs="宋体"/>
                <w:color w:val="000000" w:themeColor="text1"/>
                <w:highlight w:val="none"/>
                <w14:textFill>
                  <w14:solidFill>
                    <w14:schemeClr w14:val="tx1"/>
                  </w14:solidFill>
                </w14:textFill>
              </w:rPr>
            </w:pPr>
          </w:p>
          <w:p w14:paraId="1ADF3B18">
            <w:pPr>
              <w:pStyle w:val="21"/>
              <w:pageBreakBefore w:val="0"/>
              <w:kinsoku/>
              <w:wordWrap w:val="0"/>
              <w:overflowPunct/>
              <w:topLinePunct/>
              <w:bidi w:val="0"/>
              <w:spacing w:line="262" w:lineRule="auto"/>
              <w:rPr>
                <w:rFonts w:hint="eastAsia" w:ascii="宋体" w:hAnsi="宋体" w:eastAsia="宋体" w:cs="宋体"/>
                <w:color w:val="000000" w:themeColor="text1"/>
                <w:highlight w:val="none"/>
                <w14:textFill>
                  <w14:solidFill>
                    <w14:schemeClr w14:val="tx1"/>
                  </w14:solidFill>
                </w14:textFill>
              </w:rPr>
            </w:pPr>
          </w:p>
          <w:p w14:paraId="488B5698">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3457433B">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18E94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6A65FD7">
            <w:pPr>
              <w:pageBreakBefore w:val="0"/>
              <w:kinsoku/>
              <w:wordWrap w:val="0"/>
              <w:overflowPunct/>
              <w:topLinePunct/>
              <w:bidi w:val="0"/>
              <w:spacing w:before="131" w:line="327" w:lineRule="auto"/>
              <w:ind w:left="117" w:right="168" w:firstLine="1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（二）文物保护建筑、优秀历史建筑或历史文</w:t>
            </w:r>
            <w:r>
              <w:rPr>
                <w:rFonts w:hint="eastAsia" w:ascii="宋体" w:hAnsi="宋体" w:eastAsia="宋体" w:cs="宋体"/>
                <w:color w:val="000000" w:themeColor="text1"/>
                <w:spacing w:val="-1"/>
                <w:sz w:val="24"/>
                <w:szCs w:val="24"/>
                <w:highlight w:val="none"/>
                <w14:textFill>
                  <w14:solidFill>
                    <w14:schemeClr w14:val="tx1"/>
                  </w14:solidFill>
                </w14:textFill>
              </w:rPr>
              <w:t>化风貌区影响范围内的拆除工程。</w:t>
            </w:r>
          </w:p>
        </w:tc>
        <w:tc>
          <w:tcPr>
            <w:tcW w:w="1294" w:type="dxa"/>
            <w:vAlign w:val="top"/>
          </w:tcPr>
          <w:p w14:paraId="61D21A43">
            <w:pPr>
              <w:pStyle w:val="21"/>
              <w:pageBreakBefore w:val="0"/>
              <w:kinsoku/>
              <w:wordWrap w:val="0"/>
              <w:overflowPunct/>
              <w:topLinePunct/>
              <w:bidi w:val="0"/>
              <w:spacing w:line="297" w:lineRule="auto"/>
              <w:rPr>
                <w:rFonts w:hint="eastAsia" w:ascii="宋体" w:hAnsi="宋体" w:eastAsia="宋体" w:cs="宋体"/>
                <w:color w:val="000000" w:themeColor="text1"/>
                <w:highlight w:val="none"/>
                <w14:textFill>
                  <w14:solidFill>
                    <w14:schemeClr w14:val="tx1"/>
                  </w14:solidFill>
                </w14:textFill>
              </w:rPr>
            </w:pPr>
          </w:p>
          <w:p w14:paraId="043DB386">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340BB653">
            <w:pPr>
              <w:pStyle w:val="21"/>
              <w:pageBreakBefore w:val="0"/>
              <w:kinsoku/>
              <w:wordWrap w:val="0"/>
              <w:overflowPunct/>
              <w:topLinePunct/>
              <w:bidi w:val="0"/>
              <w:spacing w:line="297" w:lineRule="auto"/>
              <w:rPr>
                <w:rFonts w:hint="eastAsia" w:ascii="宋体" w:hAnsi="宋体" w:eastAsia="宋体" w:cs="宋体"/>
                <w:color w:val="000000" w:themeColor="text1"/>
                <w:highlight w:val="none"/>
                <w14:textFill>
                  <w14:solidFill>
                    <w14:schemeClr w14:val="tx1"/>
                  </w14:solidFill>
                </w14:textFill>
              </w:rPr>
            </w:pPr>
          </w:p>
          <w:p w14:paraId="0760D693">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7E5B30B">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411FE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D20D190">
            <w:pPr>
              <w:pageBreakBefore w:val="0"/>
              <w:kinsoku/>
              <w:wordWrap w:val="0"/>
              <w:overflowPunct/>
              <w:topLinePunct/>
              <w:bidi w:val="0"/>
              <w:spacing w:before="131" w:line="221" w:lineRule="auto"/>
              <w:ind w:left="11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六、暗挖工程</w:t>
            </w:r>
          </w:p>
        </w:tc>
        <w:tc>
          <w:tcPr>
            <w:tcW w:w="1294" w:type="dxa"/>
            <w:vAlign w:val="top"/>
          </w:tcPr>
          <w:p w14:paraId="6FB8EBDE">
            <w:pPr>
              <w:pageBreakBefore w:val="0"/>
              <w:kinsoku/>
              <w:wordWrap w:val="0"/>
              <w:overflowPunct/>
              <w:topLinePunct/>
              <w:bidi w:val="0"/>
              <w:spacing w:before="140"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4719B37">
            <w:pPr>
              <w:pageBreakBefore w:val="0"/>
              <w:kinsoku/>
              <w:wordWrap w:val="0"/>
              <w:overflowPunct/>
              <w:topLinePunct/>
              <w:bidi w:val="0"/>
              <w:spacing w:before="14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27961CA8">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2A324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931F68F">
            <w:pPr>
              <w:pageBreakBefore w:val="0"/>
              <w:kinsoku/>
              <w:wordWrap w:val="0"/>
              <w:overflowPunct/>
              <w:topLinePunct/>
              <w:bidi w:val="0"/>
              <w:spacing w:before="131" w:line="327" w:lineRule="auto"/>
              <w:ind w:left="119" w:right="168" w:hanging="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
                <w:sz w:val="24"/>
                <w:szCs w:val="24"/>
                <w:highlight w:val="none"/>
                <w14:textFill>
                  <w14:solidFill>
                    <w14:schemeClr w14:val="tx1"/>
                  </w14:solidFill>
                </w14:textFill>
              </w:rPr>
              <w:t>采用矿山法、盾构法、顶管法施工的隧道、洞</w:t>
            </w:r>
            <w:r>
              <w:rPr>
                <w:rFonts w:hint="eastAsia" w:ascii="宋体" w:hAnsi="宋体" w:eastAsia="宋体" w:cs="宋体"/>
                <w:color w:val="000000" w:themeColor="text1"/>
                <w:spacing w:val="-4"/>
                <w:sz w:val="24"/>
                <w:szCs w:val="24"/>
                <w:highlight w:val="none"/>
                <w14:textFill>
                  <w14:solidFill>
                    <w14:schemeClr w14:val="tx1"/>
                  </w14:solidFill>
                </w14:textFill>
              </w:rPr>
              <w:t>室工程。</w:t>
            </w:r>
          </w:p>
        </w:tc>
        <w:tc>
          <w:tcPr>
            <w:tcW w:w="1294" w:type="dxa"/>
            <w:vAlign w:val="top"/>
          </w:tcPr>
          <w:p w14:paraId="09443635">
            <w:pPr>
              <w:pStyle w:val="21"/>
              <w:pageBreakBefore w:val="0"/>
              <w:kinsoku/>
              <w:wordWrap w:val="0"/>
              <w:overflowPunct/>
              <w:topLinePunct/>
              <w:bidi w:val="0"/>
              <w:spacing w:line="298" w:lineRule="auto"/>
              <w:rPr>
                <w:rFonts w:hint="eastAsia" w:ascii="宋体" w:hAnsi="宋体" w:eastAsia="宋体" w:cs="宋体"/>
                <w:color w:val="000000" w:themeColor="text1"/>
                <w:highlight w:val="none"/>
                <w14:textFill>
                  <w14:solidFill>
                    <w14:schemeClr w14:val="tx1"/>
                  </w14:solidFill>
                </w14:textFill>
              </w:rPr>
            </w:pPr>
          </w:p>
          <w:p w14:paraId="3C3C14E6">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1387F696">
            <w:pPr>
              <w:pStyle w:val="21"/>
              <w:pageBreakBefore w:val="0"/>
              <w:kinsoku/>
              <w:wordWrap w:val="0"/>
              <w:overflowPunct/>
              <w:topLinePunct/>
              <w:bidi w:val="0"/>
              <w:spacing w:line="298" w:lineRule="auto"/>
              <w:rPr>
                <w:rFonts w:hint="eastAsia" w:ascii="宋体" w:hAnsi="宋体" w:eastAsia="宋体" w:cs="宋体"/>
                <w:color w:val="000000" w:themeColor="text1"/>
                <w:highlight w:val="none"/>
                <w14:textFill>
                  <w14:solidFill>
                    <w14:schemeClr w14:val="tx1"/>
                  </w14:solidFill>
                </w14:textFill>
              </w:rPr>
            </w:pPr>
          </w:p>
          <w:p w14:paraId="76C860E9">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9AAF300">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0E335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0D1C3E6">
            <w:pPr>
              <w:pageBreakBefore w:val="0"/>
              <w:kinsoku/>
              <w:wordWrap w:val="0"/>
              <w:overflowPunct/>
              <w:topLinePunct/>
              <w:bidi w:val="0"/>
              <w:spacing w:before="130" w:line="222" w:lineRule="auto"/>
              <w:ind w:left="11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七、其它</w:t>
            </w:r>
          </w:p>
        </w:tc>
        <w:tc>
          <w:tcPr>
            <w:tcW w:w="1294" w:type="dxa"/>
            <w:vAlign w:val="top"/>
          </w:tcPr>
          <w:p w14:paraId="3075DD9D">
            <w:pPr>
              <w:pageBreakBefore w:val="0"/>
              <w:kinsoku/>
              <w:wordWrap w:val="0"/>
              <w:overflowPunct/>
              <w:topLinePunct/>
              <w:bidi w:val="0"/>
              <w:spacing w:before="130"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BA52C61">
            <w:pPr>
              <w:pageBreakBefore w:val="0"/>
              <w:kinsoku/>
              <w:wordWrap w:val="0"/>
              <w:overflowPunct/>
              <w:topLinePunct/>
              <w:bidi w:val="0"/>
              <w:spacing w:before="13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197772C8">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6B5074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5914B9E">
            <w:pPr>
              <w:pageBreakBefore w:val="0"/>
              <w:kinsoku/>
              <w:wordWrap w:val="0"/>
              <w:overflowPunct/>
              <w:topLinePunct/>
              <w:bidi w:val="0"/>
              <w:spacing w:before="130" w:line="327" w:lineRule="auto"/>
              <w:ind w:left="115" w:right="168" w:firstLine="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（一）施工高度50m及以上的建筑幕墙安装工</w:t>
            </w:r>
            <w:r>
              <w:rPr>
                <w:rFonts w:hint="eastAsia" w:ascii="宋体" w:hAnsi="宋体" w:eastAsia="宋体" w:cs="宋体"/>
                <w:color w:val="000000" w:themeColor="text1"/>
                <w:spacing w:val="-5"/>
                <w:sz w:val="24"/>
                <w:szCs w:val="24"/>
                <w:highlight w:val="none"/>
                <w14:textFill>
                  <w14:solidFill>
                    <w14:schemeClr w14:val="tx1"/>
                  </w14:solidFill>
                </w14:textFill>
              </w:rPr>
              <w:t>程。</w:t>
            </w:r>
          </w:p>
        </w:tc>
        <w:tc>
          <w:tcPr>
            <w:tcW w:w="1294" w:type="dxa"/>
            <w:vAlign w:val="top"/>
          </w:tcPr>
          <w:p w14:paraId="546FFC20">
            <w:pPr>
              <w:pStyle w:val="21"/>
              <w:pageBreakBefore w:val="0"/>
              <w:kinsoku/>
              <w:wordWrap w:val="0"/>
              <w:overflowPunct/>
              <w:topLinePunct/>
              <w:bidi w:val="0"/>
              <w:spacing w:line="297" w:lineRule="auto"/>
              <w:rPr>
                <w:rFonts w:hint="eastAsia" w:ascii="宋体" w:hAnsi="宋体" w:eastAsia="宋体" w:cs="宋体"/>
                <w:color w:val="000000" w:themeColor="text1"/>
                <w:highlight w:val="none"/>
                <w14:textFill>
                  <w14:solidFill>
                    <w14:schemeClr w14:val="tx1"/>
                  </w14:solidFill>
                </w14:textFill>
              </w:rPr>
            </w:pPr>
          </w:p>
          <w:p w14:paraId="29240C9B">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AB29997">
            <w:pPr>
              <w:pStyle w:val="21"/>
              <w:pageBreakBefore w:val="0"/>
              <w:kinsoku/>
              <w:wordWrap w:val="0"/>
              <w:overflowPunct/>
              <w:topLinePunct/>
              <w:bidi w:val="0"/>
              <w:spacing w:line="297" w:lineRule="auto"/>
              <w:rPr>
                <w:rFonts w:hint="eastAsia" w:ascii="宋体" w:hAnsi="宋体" w:eastAsia="宋体" w:cs="宋体"/>
                <w:color w:val="000000" w:themeColor="text1"/>
                <w:highlight w:val="none"/>
                <w14:textFill>
                  <w14:solidFill>
                    <w14:schemeClr w14:val="tx1"/>
                  </w14:solidFill>
                </w14:textFill>
              </w:rPr>
            </w:pPr>
          </w:p>
          <w:p w14:paraId="35F17D3F">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7C3DE99D">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30575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73303E8">
            <w:pPr>
              <w:pageBreakBefore w:val="0"/>
              <w:kinsoku/>
              <w:wordWrap w:val="0"/>
              <w:overflowPunct/>
              <w:topLinePunct/>
              <w:bidi w:val="0"/>
              <w:spacing w:before="130" w:line="221"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（二）跨度36m及以上的钢结构安装工程，或</w:t>
            </w:r>
          </w:p>
        </w:tc>
        <w:tc>
          <w:tcPr>
            <w:tcW w:w="1294" w:type="dxa"/>
            <w:vAlign w:val="top"/>
          </w:tcPr>
          <w:p w14:paraId="3469697D">
            <w:pPr>
              <w:pageBreakBefore w:val="0"/>
              <w:kinsoku/>
              <w:wordWrap w:val="0"/>
              <w:overflowPunct/>
              <w:topLinePunct/>
              <w:bidi w:val="0"/>
              <w:spacing w:before="130"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0813DB38">
            <w:pPr>
              <w:pageBreakBefore w:val="0"/>
              <w:kinsoku/>
              <w:wordWrap w:val="0"/>
              <w:overflowPunct/>
              <w:topLinePunct/>
              <w:bidi w:val="0"/>
              <w:spacing w:before="130"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66222A34">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57EF2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1D78EB5">
            <w:pPr>
              <w:pageBreakBefore w:val="0"/>
              <w:kinsoku/>
              <w:wordWrap w:val="0"/>
              <w:overflowPunct/>
              <w:topLinePunct/>
              <w:bidi w:val="0"/>
              <w:spacing w:before="131" w:line="221" w:lineRule="auto"/>
              <w:ind w:left="11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跨度60m及以上的网架和索膜结构安装工程。</w:t>
            </w:r>
          </w:p>
        </w:tc>
        <w:tc>
          <w:tcPr>
            <w:tcW w:w="1294" w:type="dxa"/>
            <w:vAlign w:val="top"/>
          </w:tcPr>
          <w:p w14:paraId="1D659A00">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c>
          <w:tcPr>
            <w:tcW w:w="1294" w:type="dxa"/>
            <w:vAlign w:val="top"/>
          </w:tcPr>
          <w:p w14:paraId="3BDB5C63">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c>
          <w:tcPr>
            <w:tcW w:w="2428" w:type="dxa"/>
            <w:vAlign w:val="top"/>
          </w:tcPr>
          <w:p w14:paraId="1EBFB290">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624D1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C2CDF6">
            <w:pPr>
              <w:pageBreakBefore w:val="0"/>
              <w:kinsoku/>
              <w:wordWrap w:val="0"/>
              <w:overflowPunct/>
              <w:topLinePunct/>
              <w:bidi w:val="0"/>
              <w:spacing w:before="127" w:line="220" w:lineRule="auto"/>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（三）开挖深度16m及以上的人工挖孔桩工程。</w:t>
            </w:r>
          </w:p>
        </w:tc>
        <w:tc>
          <w:tcPr>
            <w:tcW w:w="1294" w:type="dxa"/>
            <w:vAlign w:val="top"/>
          </w:tcPr>
          <w:p w14:paraId="12CA03D9">
            <w:pPr>
              <w:pageBreakBefore w:val="0"/>
              <w:kinsoku/>
              <w:wordWrap w:val="0"/>
              <w:overflowPunct/>
              <w:topLinePunct/>
              <w:bidi w:val="0"/>
              <w:spacing w:before="127"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32FCC7A9">
            <w:pPr>
              <w:pageBreakBefore w:val="0"/>
              <w:kinsoku/>
              <w:wordWrap w:val="0"/>
              <w:overflowPunct/>
              <w:topLinePunct/>
              <w:bidi w:val="0"/>
              <w:spacing w:before="127"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CDD19E0">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49476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602BCF4">
            <w:pPr>
              <w:pageBreakBefore w:val="0"/>
              <w:kinsoku/>
              <w:wordWrap w:val="0"/>
              <w:overflowPunct/>
              <w:topLinePunct/>
              <w:bidi w:val="0"/>
              <w:spacing w:before="129" w:line="220" w:lineRule="auto"/>
              <w:ind w:left="12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（四）水下作业工程。</w:t>
            </w:r>
          </w:p>
        </w:tc>
        <w:tc>
          <w:tcPr>
            <w:tcW w:w="1294" w:type="dxa"/>
            <w:vAlign w:val="top"/>
          </w:tcPr>
          <w:p w14:paraId="6DFB6AD2">
            <w:pPr>
              <w:pageBreakBefore w:val="0"/>
              <w:kinsoku/>
              <w:wordWrap w:val="0"/>
              <w:overflowPunct/>
              <w:topLinePunct/>
              <w:bidi w:val="0"/>
              <w:spacing w:before="163"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55971672">
            <w:pPr>
              <w:pageBreakBefore w:val="0"/>
              <w:kinsoku/>
              <w:wordWrap w:val="0"/>
              <w:overflowPunct/>
              <w:topLinePunct/>
              <w:bidi w:val="0"/>
              <w:spacing w:before="163"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0C3FB9AE">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6668A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0595B78">
            <w:pPr>
              <w:pageBreakBefore w:val="0"/>
              <w:kinsoku/>
              <w:wordWrap w:val="0"/>
              <w:overflowPunct/>
              <w:topLinePunct/>
              <w:bidi w:val="0"/>
              <w:spacing w:before="130" w:line="327" w:lineRule="auto"/>
              <w:ind w:left="115" w:right="25" w:firstLine="1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（五）重量1000kN及以上的大型结构整体顶升、</w:t>
            </w:r>
            <w:r>
              <w:rPr>
                <w:rFonts w:hint="eastAsia" w:ascii="宋体" w:hAnsi="宋体" w:eastAsia="宋体" w:cs="宋体"/>
                <w:color w:val="000000" w:themeColor="text1"/>
                <w:spacing w:val="-1"/>
                <w:sz w:val="24"/>
                <w:szCs w:val="24"/>
                <w:highlight w:val="none"/>
                <w14:textFill>
                  <w14:solidFill>
                    <w14:schemeClr w14:val="tx1"/>
                  </w14:solidFill>
                </w14:textFill>
              </w:rPr>
              <w:t>平移、转体等施工工艺。</w:t>
            </w:r>
          </w:p>
        </w:tc>
        <w:tc>
          <w:tcPr>
            <w:tcW w:w="1294" w:type="dxa"/>
            <w:vAlign w:val="top"/>
          </w:tcPr>
          <w:p w14:paraId="74D67C92">
            <w:pPr>
              <w:pStyle w:val="21"/>
              <w:pageBreakBefore w:val="0"/>
              <w:kinsoku/>
              <w:wordWrap w:val="0"/>
              <w:overflowPunct/>
              <w:topLinePunct/>
              <w:bidi w:val="0"/>
              <w:spacing w:line="296" w:lineRule="auto"/>
              <w:rPr>
                <w:rFonts w:hint="eastAsia" w:ascii="宋体" w:hAnsi="宋体" w:eastAsia="宋体" w:cs="宋体"/>
                <w:color w:val="000000" w:themeColor="text1"/>
                <w:highlight w:val="none"/>
                <w14:textFill>
                  <w14:solidFill>
                    <w14:schemeClr w14:val="tx1"/>
                  </w14:solidFill>
                </w14:textFill>
              </w:rPr>
            </w:pPr>
          </w:p>
          <w:p w14:paraId="73C0F004">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6F746197">
            <w:pPr>
              <w:pStyle w:val="21"/>
              <w:pageBreakBefore w:val="0"/>
              <w:kinsoku/>
              <w:wordWrap w:val="0"/>
              <w:overflowPunct/>
              <w:topLinePunct/>
              <w:bidi w:val="0"/>
              <w:spacing w:line="296" w:lineRule="auto"/>
              <w:rPr>
                <w:rFonts w:hint="eastAsia" w:ascii="宋体" w:hAnsi="宋体" w:eastAsia="宋体" w:cs="宋体"/>
                <w:color w:val="000000" w:themeColor="text1"/>
                <w:highlight w:val="none"/>
                <w14:textFill>
                  <w14:solidFill>
                    <w14:schemeClr w14:val="tx1"/>
                  </w14:solidFill>
                </w14:textFill>
              </w:rPr>
            </w:pPr>
          </w:p>
          <w:p w14:paraId="0AFDA5DA">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2552F370">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r w14:paraId="60FAB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01FB1B7">
            <w:pPr>
              <w:pageBreakBefore w:val="0"/>
              <w:kinsoku/>
              <w:wordWrap w:val="0"/>
              <w:overflowPunct/>
              <w:topLinePunct/>
              <w:bidi w:val="0"/>
              <w:spacing w:before="129" w:line="346" w:lineRule="auto"/>
              <w:ind w:left="117" w:right="168" w:firstLine="10"/>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（六）采用新技术、新工艺、新材料、新设备</w:t>
            </w:r>
            <w:r>
              <w:rPr>
                <w:rFonts w:hint="eastAsia" w:ascii="宋体" w:hAnsi="宋体" w:eastAsia="宋体" w:cs="宋体"/>
                <w:color w:val="000000" w:themeColor="text1"/>
                <w:spacing w:val="-1"/>
                <w:sz w:val="24"/>
                <w:szCs w:val="24"/>
                <w:highlight w:val="none"/>
                <w14:textFill>
                  <w14:solidFill>
                    <w14:schemeClr w14:val="tx1"/>
                  </w14:solidFill>
                </w14:textFill>
              </w:rPr>
              <w:t>可能影响工程施工安全，尚无国家、行业及地方技术标准的分部分项工程。</w:t>
            </w:r>
          </w:p>
        </w:tc>
        <w:tc>
          <w:tcPr>
            <w:tcW w:w="1294" w:type="dxa"/>
            <w:vAlign w:val="top"/>
          </w:tcPr>
          <w:p w14:paraId="706043A5">
            <w:pPr>
              <w:pStyle w:val="21"/>
              <w:pageBreakBefore w:val="0"/>
              <w:kinsoku/>
              <w:wordWrap w:val="0"/>
              <w:overflowPunct/>
              <w:topLinePunct/>
              <w:bidi w:val="0"/>
              <w:spacing w:line="272" w:lineRule="auto"/>
              <w:rPr>
                <w:rFonts w:hint="eastAsia" w:ascii="宋体" w:hAnsi="宋体" w:eastAsia="宋体" w:cs="宋体"/>
                <w:color w:val="000000" w:themeColor="text1"/>
                <w:highlight w:val="none"/>
                <w14:textFill>
                  <w14:solidFill>
                    <w14:schemeClr w14:val="tx1"/>
                  </w14:solidFill>
                </w14:textFill>
              </w:rPr>
            </w:pPr>
          </w:p>
          <w:p w14:paraId="23B00C2D">
            <w:pPr>
              <w:pStyle w:val="21"/>
              <w:pageBreakBefore w:val="0"/>
              <w:kinsoku/>
              <w:wordWrap w:val="0"/>
              <w:overflowPunct/>
              <w:topLinePunct/>
              <w:bidi w:val="0"/>
              <w:spacing w:line="272" w:lineRule="auto"/>
              <w:rPr>
                <w:rFonts w:hint="eastAsia" w:ascii="宋体" w:hAnsi="宋体" w:eastAsia="宋体" w:cs="宋体"/>
                <w:color w:val="000000" w:themeColor="text1"/>
                <w:highlight w:val="none"/>
                <w14:textFill>
                  <w14:solidFill>
                    <w14:schemeClr w14:val="tx1"/>
                  </w14:solidFill>
                </w14:textFill>
              </w:rPr>
            </w:pPr>
          </w:p>
          <w:p w14:paraId="5224A9E4">
            <w:pPr>
              <w:pageBreakBefore w:val="0"/>
              <w:kinsoku/>
              <w:wordWrap w:val="0"/>
              <w:overflowPunct/>
              <w:topLinePunct/>
              <w:bidi w:val="0"/>
              <w:spacing w:before="78" w:line="223" w:lineRule="auto"/>
              <w:ind w:left="3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1294" w:type="dxa"/>
            <w:vAlign w:val="top"/>
          </w:tcPr>
          <w:p w14:paraId="487D689B">
            <w:pPr>
              <w:pStyle w:val="21"/>
              <w:pageBreakBefore w:val="0"/>
              <w:kinsoku/>
              <w:wordWrap w:val="0"/>
              <w:overflowPunct/>
              <w:topLinePunct/>
              <w:bidi w:val="0"/>
              <w:spacing w:line="272" w:lineRule="auto"/>
              <w:rPr>
                <w:rFonts w:hint="eastAsia" w:ascii="宋体" w:hAnsi="宋体" w:eastAsia="宋体" w:cs="宋体"/>
                <w:color w:val="000000" w:themeColor="text1"/>
                <w:highlight w:val="none"/>
                <w14:textFill>
                  <w14:solidFill>
                    <w14:schemeClr w14:val="tx1"/>
                  </w14:solidFill>
                </w14:textFill>
              </w:rPr>
            </w:pPr>
          </w:p>
          <w:p w14:paraId="48D13D77">
            <w:pPr>
              <w:pStyle w:val="21"/>
              <w:pageBreakBefore w:val="0"/>
              <w:kinsoku/>
              <w:wordWrap w:val="0"/>
              <w:overflowPunct/>
              <w:topLinePunct/>
              <w:bidi w:val="0"/>
              <w:spacing w:line="272" w:lineRule="auto"/>
              <w:rPr>
                <w:rFonts w:hint="eastAsia" w:ascii="宋体" w:hAnsi="宋体" w:eastAsia="宋体" w:cs="宋体"/>
                <w:color w:val="000000" w:themeColor="text1"/>
                <w:highlight w:val="none"/>
                <w14:textFill>
                  <w14:solidFill>
                    <w14:schemeClr w14:val="tx1"/>
                  </w14:solidFill>
                </w14:textFill>
              </w:rPr>
            </w:pPr>
          </w:p>
          <w:p w14:paraId="299F4B29">
            <w:pPr>
              <w:pageBreakBefore w:val="0"/>
              <w:kinsoku/>
              <w:wordWrap w:val="0"/>
              <w:overflowPunct/>
              <w:topLinePunct/>
              <w:bidi w:val="0"/>
              <w:spacing w:before="78" w:line="223" w:lineRule="auto"/>
              <w:ind w:left="36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19"/>
                <w:w w:val="94"/>
                <w:sz w:val="24"/>
                <w:szCs w:val="24"/>
                <w:highlight w:val="none"/>
                <w14:textFill>
                  <w14:solidFill>
                    <w14:schemeClr w14:val="tx1"/>
                  </w14:solidFill>
                </w14:textFill>
              </w:rPr>
              <w:t>(</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19"/>
                <w:w w:val="94"/>
                <w:sz w:val="24"/>
                <w:szCs w:val="24"/>
                <w:highlight w:val="none"/>
                <w14:textFill>
                  <w14:solidFill>
                    <w14:schemeClr w14:val="tx1"/>
                  </w14:solidFill>
                </w14:textFill>
              </w:rPr>
              <w:t>)</w:t>
            </w:r>
          </w:p>
        </w:tc>
        <w:tc>
          <w:tcPr>
            <w:tcW w:w="2428" w:type="dxa"/>
            <w:vAlign w:val="top"/>
          </w:tcPr>
          <w:p w14:paraId="56BC53C3">
            <w:pPr>
              <w:pStyle w:val="21"/>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tc>
      </w:tr>
    </w:tbl>
    <w:p w14:paraId="7466000A">
      <w:pPr>
        <w:pStyle w:val="5"/>
        <w:pageBreakBefore w:val="0"/>
        <w:kinsoku/>
        <w:wordWrap w:val="0"/>
        <w:overflowPunct/>
        <w:topLinePunct/>
        <w:bidi w:val="0"/>
        <w:spacing w:line="288" w:lineRule="auto"/>
        <w:rPr>
          <w:rFonts w:hint="eastAsia" w:ascii="宋体" w:hAnsi="宋体" w:eastAsia="宋体" w:cs="宋体"/>
          <w:color w:val="000000" w:themeColor="text1"/>
          <w:highlight w:val="none"/>
          <w14:textFill>
            <w14:solidFill>
              <w14:schemeClr w14:val="tx1"/>
            </w14:solidFill>
          </w14:textFill>
        </w:rPr>
      </w:pPr>
    </w:p>
    <w:p w14:paraId="31D3E8E6">
      <w:pPr>
        <w:pStyle w:val="5"/>
        <w:pageBreakBefore w:val="0"/>
        <w:kinsoku/>
        <w:wordWrap w:val="0"/>
        <w:overflowPunct/>
        <w:topLinePunct/>
        <w:bidi w:val="0"/>
        <w:spacing w:line="288" w:lineRule="auto"/>
        <w:rPr>
          <w:rFonts w:hint="eastAsia" w:ascii="宋体" w:hAnsi="宋体" w:eastAsia="宋体" w:cs="宋体"/>
          <w:color w:val="000000" w:themeColor="text1"/>
          <w:highlight w:val="none"/>
          <w14:textFill>
            <w14:solidFill>
              <w14:schemeClr w14:val="tx1"/>
            </w14:solidFill>
          </w14:textFill>
        </w:rPr>
      </w:pPr>
    </w:p>
    <w:p w14:paraId="7A16385A">
      <w:pPr>
        <w:pageBreakBefore w:val="0"/>
        <w:kinsoku/>
        <w:wordWrap w:val="0"/>
        <w:overflowPunct/>
        <w:topLinePunct/>
        <w:bidi w:val="0"/>
        <w:spacing w:before="21" w:line="376" w:lineRule="exact"/>
        <w:ind w:firstLine="520" w:firstLineChars="200"/>
        <w:rPr>
          <w:rFonts w:hint="eastAsia" w:ascii="宋体" w:hAnsi="宋体" w:eastAsia="宋体" w:cs="宋体"/>
          <w:color w:val="000000" w:themeColor="text1"/>
          <w:spacing w:val="9"/>
          <w:sz w:val="24"/>
          <w:szCs w:val="24"/>
          <w:highlight w:val="none"/>
          <w:lang w:eastAsia="zh-CN"/>
          <w14:textFill>
            <w14:solidFill>
              <w14:schemeClr w14:val="tx1"/>
            </w14:solidFill>
          </w14:textFill>
        </w:rPr>
      </w:pPr>
      <w:r>
        <w:rPr>
          <w:rFonts w:hint="eastAsia" w:ascii="宋体" w:hAnsi="宋体" w:eastAsia="宋体" w:cs="宋体"/>
          <w:color w:val="000000" w:themeColor="text1"/>
          <w:spacing w:val="10"/>
          <w:sz w:val="24"/>
          <w:szCs w:val="24"/>
          <w:highlight w:val="none"/>
          <w14:textFill>
            <w14:solidFill>
              <w14:schemeClr w14:val="tx1"/>
            </w14:solidFill>
          </w14:textFill>
        </w:rPr>
        <w:t>备注：1.根据《危险性较大的分部分项工程安全管理</w:t>
      </w:r>
      <w:r>
        <w:rPr>
          <w:rFonts w:hint="eastAsia" w:ascii="宋体" w:hAnsi="宋体" w:eastAsia="宋体" w:cs="宋体"/>
          <w:color w:val="000000" w:themeColor="text1"/>
          <w:spacing w:val="9"/>
          <w:sz w:val="24"/>
          <w:szCs w:val="24"/>
          <w:highlight w:val="none"/>
          <w14:textFill>
            <w14:solidFill>
              <w14:schemeClr w14:val="tx1"/>
            </w14:solidFill>
          </w14:textFill>
        </w:rPr>
        <w:t>规定》，该《危险性较大的分部分项工程清单及超过一定规模的危险性较大的分部分项工程清单》</w:t>
      </w:r>
      <w:r>
        <w:rPr>
          <w:rFonts w:hint="eastAsia" w:ascii="宋体" w:hAnsi="宋体" w:eastAsia="宋体" w:cs="宋体"/>
          <w:color w:val="000000" w:themeColor="text1"/>
          <w:spacing w:val="9"/>
          <w:sz w:val="24"/>
          <w:szCs w:val="24"/>
          <w:highlight w:val="none"/>
          <w:lang w:eastAsia="zh-CN"/>
          <w14:textFill>
            <w14:solidFill>
              <w14:schemeClr w14:val="tx1"/>
            </w14:solidFill>
          </w14:textFill>
        </w:rPr>
        <w:t>应由建设单位组织勘察、设计等单位在招标文件中“勾选（对应项打“√”标识”危险性较大的分部分项工程。</w:t>
      </w:r>
    </w:p>
    <w:p w14:paraId="143DF39B">
      <w:pPr>
        <w:pageBreakBefore w:val="0"/>
        <w:kinsoku/>
        <w:wordWrap w:val="0"/>
        <w:overflowPunct/>
        <w:topLinePunct/>
        <w:bidi w:val="0"/>
        <w:spacing w:before="21" w:line="376" w:lineRule="exact"/>
        <w:ind w:firstLine="512"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2.该《危险性较大的分部分项工程清单及超过一定规模的危险性较</w:t>
      </w:r>
      <w:r>
        <w:rPr>
          <w:rFonts w:hint="eastAsia" w:ascii="宋体" w:hAnsi="宋体" w:eastAsia="宋体" w:cs="宋体"/>
          <w:color w:val="000000" w:themeColor="text1"/>
          <w:spacing w:val="7"/>
          <w:sz w:val="24"/>
          <w:szCs w:val="24"/>
          <w:highlight w:val="none"/>
          <w14:textFill>
            <w14:solidFill>
              <w14:schemeClr w14:val="tx1"/>
            </w14:solidFill>
          </w14:textFill>
        </w:rPr>
        <w:t>大的分部分项工程清单》在办理</w:t>
      </w:r>
      <w:r>
        <w:rPr>
          <w:rFonts w:hint="eastAsia" w:ascii="宋体" w:hAnsi="宋体" w:eastAsia="宋体" w:cs="宋体"/>
          <w:color w:val="000000" w:themeColor="text1"/>
          <w:spacing w:val="10"/>
          <w:sz w:val="24"/>
          <w:szCs w:val="24"/>
          <w:highlight w:val="none"/>
          <w14:textFill>
            <w14:solidFill>
              <w14:schemeClr w14:val="tx1"/>
            </w14:solidFill>
          </w14:textFill>
        </w:rPr>
        <w:t>建设项目施工许可时必须提供，且各地建设行政主管部门可按照《广东省建设工</w:t>
      </w:r>
      <w:r>
        <w:rPr>
          <w:rFonts w:hint="eastAsia" w:ascii="宋体" w:hAnsi="宋体" w:eastAsia="宋体" w:cs="宋体"/>
          <w:color w:val="000000" w:themeColor="text1"/>
          <w:spacing w:val="9"/>
          <w:sz w:val="24"/>
          <w:szCs w:val="24"/>
          <w:highlight w:val="none"/>
          <w14:textFill>
            <w14:solidFill>
              <w14:schemeClr w14:val="tx1"/>
            </w14:solidFill>
          </w14:textFill>
        </w:rPr>
        <w:t>程项目招标中标后监督</w:t>
      </w:r>
      <w:r>
        <w:rPr>
          <w:rFonts w:hint="eastAsia" w:ascii="宋体" w:hAnsi="宋体" w:eastAsia="宋体" w:cs="宋体"/>
          <w:color w:val="000000" w:themeColor="text1"/>
          <w:spacing w:val="8"/>
          <w:sz w:val="24"/>
          <w:szCs w:val="24"/>
          <w:highlight w:val="none"/>
          <w14:textFill>
            <w14:solidFill>
              <w14:schemeClr w14:val="tx1"/>
            </w14:solidFill>
          </w14:textFill>
        </w:rPr>
        <w:t>检查办法》相关规定开展检查。</w:t>
      </w:r>
    </w:p>
    <w:p w14:paraId="0CA96A45">
      <w:pPr>
        <w:pageBreakBefore w:val="0"/>
        <w:kinsoku/>
        <w:wordWrap w:val="0"/>
        <w:overflowPunct/>
        <w:topLinePunct/>
        <w:bidi w:val="0"/>
        <w:spacing w:before="28" w:line="228" w:lineRule="auto"/>
        <w:ind w:left="553" w:leftChars="244" w:hanging="41" w:hangingChars="16"/>
        <w:rPr>
          <w:rFonts w:hint="eastAsia" w:ascii="宋体" w:hAnsi="宋体" w:eastAsia="宋体" w:cs="宋体"/>
          <w:color w:val="000000" w:themeColor="text1"/>
          <w:spacing w:val="8"/>
          <w:sz w:val="24"/>
          <w:szCs w:val="24"/>
          <w:highlight w:val="none"/>
          <w:lang w:eastAsia="zh-CN"/>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3.如果需要（如需要通过计算编制专项方案，或者需要专家论证</w:t>
      </w:r>
      <w:r>
        <w:rPr>
          <w:rFonts w:hint="eastAsia" w:ascii="宋体" w:hAnsi="宋体" w:eastAsia="宋体" w:cs="宋体"/>
          <w:color w:val="000000" w:themeColor="text1"/>
          <w:spacing w:val="15"/>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可中</w:t>
      </w:r>
      <w:r>
        <w:rPr>
          <w:rFonts w:hint="eastAsia" w:ascii="宋体" w:hAnsi="宋体" w:eastAsia="宋体" w:cs="宋体"/>
          <w:color w:val="000000" w:themeColor="text1"/>
          <w:spacing w:val="8"/>
          <w:sz w:val="24"/>
          <w:szCs w:val="24"/>
          <w:highlight w:val="none"/>
          <w14:textFill>
            <w14:solidFill>
              <w14:schemeClr w14:val="tx1"/>
            </w14:solidFill>
          </w14:textFill>
        </w:rPr>
        <w:t>标后提供</w:t>
      </w:r>
      <w:r>
        <w:rPr>
          <w:rFonts w:hint="eastAsia" w:ascii="宋体" w:hAnsi="宋体" w:eastAsia="宋体" w:cs="宋体"/>
          <w:color w:val="000000" w:themeColor="text1"/>
          <w:spacing w:val="8"/>
          <w:sz w:val="24"/>
          <w:szCs w:val="24"/>
          <w:highlight w:val="none"/>
          <w:lang w:eastAsia="zh-CN"/>
          <w14:textFill>
            <w14:solidFill>
              <w14:schemeClr w14:val="tx1"/>
            </w14:solidFill>
          </w14:textFill>
        </w:rPr>
        <w:t>详细版。</w:t>
      </w:r>
    </w:p>
    <w:p w14:paraId="1193CDE8">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p w14:paraId="1BD6DEB2">
      <w:pPr>
        <w:pStyle w:val="13"/>
        <w:pageBreakBefore w:val="0"/>
        <w:kinsoku/>
        <w:wordWrap w:val="0"/>
        <w:overflowPunct/>
        <w:topLinePunct/>
        <w:bidi w:val="0"/>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7BD3F4BE">
      <w:pPr>
        <w:pStyle w:val="13"/>
        <w:pageBreakBefore w:val="0"/>
        <w:kinsoku/>
        <w:wordWrap w:val="0"/>
        <w:overflowPunct/>
        <w:topLinePunct/>
        <w:bidi w:val="0"/>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5D413A92">
      <w:pPr>
        <w:pStyle w:val="13"/>
        <w:pageBreakBefore w:val="0"/>
        <w:kinsoku/>
        <w:wordWrap w:val="0"/>
        <w:overflowPunct/>
        <w:topLinePunct/>
        <w:bidi w:val="0"/>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7A20E41A">
      <w:pPr>
        <w:pStyle w:val="13"/>
        <w:pageBreakBefore w:val="0"/>
        <w:kinsoku/>
        <w:wordWrap w:val="0"/>
        <w:overflowPunct/>
        <w:topLinePunct/>
        <w:bidi w:val="0"/>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41D65CCE">
      <w:pPr>
        <w:pStyle w:val="13"/>
        <w:pageBreakBefore w:val="0"/>
        <w:kinsoku/>
        <w:wordWrap w:val="0"/>
        <w:overflowPunct/>
        <w:topLinePunct/>
        <w:bidi w:val="0"/>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023EA894">
      <w:pPr>
        <w:pStyle w:val="13"/>
        <w:pageBreakBefore w:val="0"/>
        <w:kinsoku/>
        <w:wordWrap w:val="0"/>
        <w:overflowPunct/>
        <w:topLinePunct/>
        <w:bidi w:val="0"/>
        <w:ind w:left="0" w:leftChars="0" w:firstLine="0" w:firstLineChars="0"/>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6C3AB8B3">
      <w:pPr>
        <w:pageBreakBefore w:val="0"/>
        <w:kinsoku/>
        <w:wordWrap w:val="0"/>
        <w:overflowPunct/>
        <w:topLinePunct/>
        <w:bidi w:val="0"/>
        <w:spacing w:before="78" w:line="220" w:lineRule="auto"/>
        <w:jc w:val="left"/>
        <w:outlineLvl w:val="9"/>
        <w:rPr>
          <w:rFonts w:hint="eastAsia" w:ascii="宋体" w:hAnsi="宋体" w:eastAsia="宋体" w:cs="宋体"/>
          <w:b/>
          <w:bCs/>
          <w:color w:val="000000" w:themeColor="text1"/>
          <w:spacing w:val="-4"/>
          <w:sz w:val="24"/>
          <w:szCs w:val="24"/>
          <w:highlight w:val="none"/>
          <w14:textFill>
            <w14:solidFill>
              <w14:schemeClr w14:val="tx1"/>
            </w14:solidFill>
          </w14:textFill>
        </w:rPr>
      </w:pPr>
    </w:p>
    <w:p w14:paraId="062B6C29">
      <w:pPr>
        <w:pageBreakBefore w:val="0"/>
        <w:kinsoku/>
        <w:wordWrap w:val="0"/>
        <w:overflowPunct/>
        <w:topLinePunct/>
        <w:bidi w:val="0"/>
        <w:rPr>
          <w:rFonts w:hint="eastAsia" w:ascii="宋体" w:hAnsi="宋体" w:eastAsia="宋体" w:cs="宋体"/>
          <w:b/>
          <w:bCs/>
          <w:color w:val="000000" w:themeColor="text1"/>
          <w:spacing w:val="-4"/>
          <w:sz w:val="24"/>
          <w:szCs w:val="24"/>
          <w:highlight w:val="none"/>
          <w14:textFill>
            <w14:solidFill>
              <w14:schemeClr w14:val="tx1"/>
            </w14:solidFill>
          </w14:textFill>
        </w:rPr>
      </w:pPr>
      <w:r>
        <w:rPr>
          <w:rFonts w:hint="eastAsia" w:ascii="宋体" w:hAnsi="宋体" w:eastAsia="宋体" w:cs="宋体"/>
          <w:b/>
          <w:bCs/>
          <w:color w:val="000000" w:themeColor="text1"/>
          <w:spacing w:val="-4"/>
          <w:sz w:val="24"/>
          <w:szCs w:val="24"/>
          <w:highlight w:val="none"/>
          <w14:textFill>
            <w14:solidFill>
              <w14:schemeClr w14:val="tx1"/>
            </w14:solidFill>
          </w14:textFill>
        </w:rPr>
        <w:br w:type="page"/>
      </w:r>
    </w:p>
    <w:p w14:paraId="7695372A">
      <w:pPr>
        <w:pageBreakBefore w:val="0"/>
        <w:kinsoku/>
        <w:wordWrap w:val="0"/>
        <w:overflowPunct/>
        <w:topLinePunct/>
        <w:bidi w:val="0"/>
        <w:spacing w:before="78" w:line="220" w:lineRule="auto"/>
        <w:outlineLvl w:val="2"/>
        <w:rPr>
          <w:rFonts w:hint="eastAsia" w:ascii="宋体" w:hAnsi="宋体" w:eastAsia="宋体" w:cs="宋体"/>
          <w:b/>
          <w:bCs/>
          <w:color w:val="000000" w:themeColor="text1"/>
          <w:spacing w:val="-4"/>
          <w:sz w:val="24"/>
          <w:szCs w:val="24"/>
          <w:highlight w:val="none"/>
          <w14:textFill>
            <w14:solidFill>
              <w14:schemeClr w14:val="tx1"/>
            </w14:solidFill>
          </w14:textFill>
        </w:rPr>
      </w:pPr>
      <w:bookmarkStart w:id="260" w:name="_Toc9082"/>
      <w:r>
        <w:rPr>
          <w:rFonts w:hint="eastAsia" w:ascii="宋体" w:hAnsi="宋体" w:eastAsia="宋体" w:cs="宋体"/>
          <w:b/>
          <w:bCs/>
          <w:color w:val="000000" w:themeColor="text1"/>
          <w:spacing w:val="-4"/>
          <w:sz w:val="24"/>
          <w:szCs w:val="24"/>
          <w:highlight w:val="none"/>
          <w14:textFill>
            <w14:solidFill>
              <w14:schemeClr w14:val="tx1"/>
            </w14:solidFill>
          </w14:textFill>
        </w:rPr>
        <w:t>格式十四</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pacing w:val="-4"/>
          <w:sz w:val="24"/>
          <w:szCs w:val="24"/>
          <w:highlight w:val="none"/>
          <w14:textFill>
            <w14:solidFill>
              <w14:schemeClr w14:val="tx1"/>
            </w14:solidFill>
          </w14:textFill>
        </w:rPr>
        <w:t>原件一览表</w:t>
      </w:r>
      <w:bookmarkEnd w:id="260"/>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583D7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B5112A9">
            <w:pPr>
              <w:pageBreakBefore w:val="0"/>
              <w:kinsoku/>
              <w:wordWrap w:val="0"/>
              <w:overflowPunct/>
              <w:topLinePunct/>
              <w:bidi w:val="0"/>
              <w:spacing w:before="132" w:line="220" w:lineRule="auto"/>
              <w:ind w:left="39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pacing w:val="-5"/>
                <w:sz w:val="24"/>
                <w:szCs w:val="24"/>
                <w:highlight w:val="none"/>
                <w14:textFill>
                  <w14:solidFill>
                    <w14:schemeClr w14:val="tx1"/>
                  </w14:solidFill>
                </w14:textFill>
              </w:rPr>
              <w:t>原件一览表</w:t>
            </w:r>
          </w:p>
        </w:tc>
      </w:tr>
      <w:tr w14:paraId="691F9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2F79628E">
            <w:pPr>
              <w:pStyle w:val="21"/>
              <w:pageBreakBefore w:val="0"/>
              <w:kinsoku/>
              <w:wordWrap w:val="0"/>
              <w:overflowPunct/>
              <w:topLinePunct/>
              <w:bidi w:val="0"/>
              <w:spacing w:line="253" w:lineRule="auto"/>
              <w:rPr>
                <w:rFonts w:hint="eastAsia" w:ascii="宋体" w:hAnsi="宋体" w:eastAsia="宋体" w:cs="宋体"/>
                <w:color w:val="000000" w:themeColor="text1"/>
                <w:sz w:val="24"/>
                <w:szCs w:val="24"/>
                <w:highlight w:val="none"/>
                <w14:textFill>
                  <w14:solidFill>
                    <w14:schemeClr w14:val="tx1"/>
                  </w14:solidFill>
                </w14:textFill>
              </w:rPr>
            </w:pPr>
          </w:p>
          <w:p w14:paraId="170125B8">
            <w:pPr>
              <w:pageBreakBefore w:val="0"/>
              <w:kinsoku/>
              <w:wordWrap w:val="0"/>
              <w:overflowPunct/>
              <w:topLinePunct/>
              <w:bidi w:val="0"/>
              <w:spacing w:before="62" w:line="23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工程名称</w:t>
            </w:r>
          </w:p>
        </w:tc>
        <w:tc>
          <w:tcPr>
            <w:tcW w:w="6816" w:type="dxa"/>
            <w:gridSpan w:val="6"/>
            <w:vAlign w:val="top"/>
          </w:tcPr>
          <w:p w14:paraId="7CFCFC93">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206A9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03E43C99">
            <w:pPr>
              <w:pageBreakBefore w:val="0"/>
              <w:kinsoku/>
              <w:wordWrap w:val="0"/>
              <w:overflowPunct/>
              <w:topLinePunct/>
              <w:bidi w:val="0"/>
              <w:spacing w:before="150" w:line="23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投标人名称</w:t>
            </w:r>
            <w:r>
              <w:rPr>
                <w:rFonts w:hint="eastAsia" w:ascii="宋体" w:hAnsi="宋体" w:eastAsia="宋体" w:cs="宋体"/>
                <w:color w:val="000000" w:themeColor="text1"/>
                <w:spacing w:val="5"/>
                <w:sz w:val="24"/>
                <w:szCs w:val="24"/>
                <w:highlight w:val="none"/>
                <w14:textFill>
                  <w14:solidFill>
                    <w14:schemeClr w14:val="tx1"/>
                  </w14:solidFill>
                </w14:textFill>
              </w:rPr>
              <w:t>(请务必填写单位全称)</w:t>
            </w:r>
          </w:p>
        </w:tc>
        <w:tc>
          <w:tcPr>
            <w:tcW w:w="6816" w:type="dxa"/>
            <w:gridSpan w:val="6"/>
            <w:vAlign w:val="top"/>
          </w:tcPr>
          <w:p w14:paraId="4FCC138C">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3B463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3718FA11">
            <w:pPr>
              <w:pageBreakBefore w:val="0"/>
              <w:kinsoku/>
              <w:wordWrap w:val="0"/>
              <w:overflowPunct/>
              <w:topLinePunct/>
              <w:bidi w:val="0"/>
              <w:spacing w:before="151"/>
              <w:ind w:right="14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投标人法定代表人或其委托代理人签名</w:t>
            </w:r>
          </w:p>
        </w:tc>
        <w:tc>
          <w:tcPr>
            <w:tcW w:w="2689" w:type="dxa"/>
            <w:gridSpan w:val="2"/>
            <w:vAlign w:val="top"/>
          </w:tcPr>
          <w:p w14:paraId="1581323A">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499" w:type="dxa"/>
            <w:gridSpan w:val="2"/>
            <w:vAlign w:val="top"/>
          </w:tcPr>
          <w:p w14:paraId="39B1DF76">
            <w:pPr>
              <w:pageBreakBefore w:val="0"/>
              <w:kinsoku/>
              <w:wordWrap w:val="0"/>
              <w:overflowPunct/>
              <w:topLinePunct/>
              <w:bidi w:val="0"/>
              <w:spacing w:before="151" w:line="312" w:lineRule="auto"/>
              <w:ind w:right="17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手机</w:t>
            </w:r>
            <w:r>
              <w:rPr>
                <w:rFonts w:hint="eastAsia" w:ascii="宋体" w:hAnsi="宋体" w:eastAsia="宋体" w:cs="宋体"/>
                <w:color w:val="000000" w:themeColor="text1"/>
                <w:spacing w:val="2"/>
                <w:sz w:val="24"/>
                <w:szCs w:val="24"/>
                <w:highlight w:val="none"/>
                <w14:textFill>
                  <w14:solidFill>
                    <w14:schemeClr w14:val="tx1"/>
                  </w14:solidFill>
                </w14:textFill>
              </w:rPr>
              <w:t>号码</w:t>
            </w:r>
          </w:p>
        </w:tc>
        <w:tc>
          <w:tcPr>
            <w:tcW w:w="2628" w:type="dxa"/>
            <w:gridSpan w:val="2"/>
            <w:vAlign w:val="top"/>
          </w:tcPr>
          <w:p w14:paraId="514AD6A7">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69BE5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2344480F">
            <w:pPr>
              <w:pageBreakBefore w:val="0"/>
              <w:kinsoku/>
              <w:wordWrap w:val="0"/>
              <w:overflowPunct/>
              <w:topLinePunct/>
              <w:bidi w:val="0"/>
              <w:spacing w:before="62" w:line="228" w:lineRule="auto"/>
              <w:ind w:left="3361"/>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递交的证明材料原件如下：</w:t>
            </w:r>
          </w:p>
        </w:tc>
      </w:tr>
      <w:tr w14:paraId="1B99D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442E93B8">
            <w:pPr>
              <w:pStyle w:val="21"/>
              <w:pageBreakBefore w:val="0"/>
              <w:kinsoku/>
              <w:wordWrap w:val="0"/>
              <w:overflowPunct/>
              <w:topLinePunct/>
              <w:bidi w:val="0"/>
              <w:spacing w:line="257" w:lineRule="auto"/>
              <w:rPr>
                <w:rFonts w:hint="eastAsia" w:ascii="宋体" w:hAnsi="宋体" w:eastAsia="宋体" w:cs="宋体"/>
                <w:color w:val="000000" w:themeColor="text1"/>
                <w:sz w:val="24"/>
                <w:szCs w:val="24"/>
                <w:highlight w:val="none"/>
                <w14:textFill>
                  <w14:solidFill>
                    <w14:schemeClr w14:val="tx1"/>
                  </w14:solidFill>
                </w14:textFill>
              </w:rPr>
            </w:pPr>
          </w:p>
          <w:p w14:paraId="7235E2B6">
            <w:pPr>
              <w:pageBreakBefore w:val="0"/>
              <w:kinsoku/>
              <w:wordWrap w:val="0"/>
              <w:overflowPunct/>
              <w:topLinePunct/>
              <w:bidi w:val="0"/>
              <w:spacing w:before="62" w:line="230" w:lineRule="auto"/>
              <w:ind w:left="15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5"/>
                <w:sz w:val="24"/>
                <w:szCs w:val="24"/>
                <w:highlight w:val="none"/>
                <w14:textFill>
                  <w14:solidFill>
                    <w14:schemeClr w14:val="tx1"/>
                  </w14:solidFill>
                </w14:textFill>
              </w:rPr>
              <w:t>序号</w:t>
            </w:r>
          </w:p>
        </w:tc>
        <w:tc>
          <w:tcPr>
            <w:tcW w:w="5304" w:type="dxa"/>
            <w:gridSpan w:val="4"/>
            <w:vAlign w:val="top"/>
          </w:tcPr>
          <w:p w14:paraId="06986593">
            <w:pPr>
              <w:pStyle w:val="21"/>
              <w:pageBreakBefore w:val="0"/>
              <w:kinsoku/>
              <w:wordWrap w:val="0"/>
              <w:overflowPunct/>
              <w:topLinePunct/>
              <w:bidi w:val="0"/>
              <w:spacing w:line="257" w:lineRule="auto"/>
              <w:rPr>
                <w:rFonts w:hint="eastAsia" w:ascii="宋体" w:hAnsi="宋体" w:eastAsia="宋体" w:cs="宋体"/>
                <w:color w:val="000000" w:themeColor="text1"/>
                <w:sz w:val="24"/>
                <w:szCs w:val="24"/>
                <w:highlight w:val="none"/>
                <w14:textFill>
                  <w14:solidFill>
                    <w14:schemeClr w14:val="tx1"/>
                  </w14:solidFill>
                </w14:textFill>
              </w:rPr>
            </w:pPr>
          </w:p>
          <w:p w14:paraId="3CDDB2F9">
            <w:pPr>
              <w:pageBreakBefore w:val="0"/>
              <w:kinsoku/>
              <w:wordWrap w:val="0"/>
              <w:overflowPunct/>
              <w:topLinePunct/>
              <w:bidi w:val="0"/>
              <w:spacing w:before="61" w:line="228" w:lineRule="auto"/>
              <w:ind w:left="176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证明材料原件名称</w:t>
            </w:r>
          </w:p>
        </w:tc>
        <w:tc>
          <w:tcPr>
            <w:tcW w:w="1771" w:type="dxa"/>
            <w:gridSpan w:val="2"/>
            <w:vAlign w:val="top"/>
          </w:tcPr>
          <w:p w14:paraId="222B137B">
            <w:pPr>
              <w:pStyle w:val="21"/>
              <w:pageBreakBefore w:val="0"/>
              <w:kinsoku/>
              <w:wordWrap w:val="0"/>
              <w:overflowPunct/>
              <w:topLinePunct/>
              <w:bidi w:val="0"/>
              <w:spacing w:line="256" w:lineRule="auto"/>
              <w:rPr>
                <w:rFonts w:hint="eastAsia" w:ascii="宋体" w:hAnsi="宋体" w:eastAsia="宋体" w:cs="宋体"/>
                <w:color w:val="000000" w:themeColor="text1"/>
                <w:sz w:val="24"/>
                <w:szCs w:val="24"/>
                <w:highlight w:val="none"/>
                <w14:textFill>
                  <w14:solidFill>
                    <w14:schemeClr w14:val="tx1"/>
                  </w14:solidFill>
                </w14:textFill>
              </w:rPr>
            </w:pPr>
          </w:p>
          <w:p w14:paraId="42E3DEC8">
            <w:pPr>
              <w:pageBreakBefore w:val="0"/>
              <w:kinsoku/>
              <w:wordWrap w:val="0"/>
              <w:overflowPunct/>
              <w:topLinePunct/>
              <w:bidi w:val="0"/>
              <w:spacing w:before="62" w:line="230" w:lineRule="auto"/>
              <w:ind w:left="66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单位</w:t>
            </w:r>
          </w:p>
        </w:tc>
        <w:tc>
          <w:tcPr>
            <w:tcW w:w="1637" w:type="dxa"/>
            <w:vAlign w:val="top"/>
          </w:tcPr>
          <w:p w14:paraId="29458726">
            <w:pPr>
              <w:pStyle w:val="21"/>
              <w:pageBreakBefore w:val="0"/>
              <w:kinsoku/>
              <w:wordWrap w:val="0"/>
              <w:overflowPunct/>
              <w:topLinePunct/>
              <w:bidi w:val="0"/>
              <w:spacing w:line="256" w:lineRule="auto"/>
              <w:rPr>
                <w:rFonts w:hint="eastAsia" w:ascii="宋体" w:hAnsi="宋体" w:eastAsia="宋体" w:cs="宋体"/>
                <w:color w:val="000000" w:themeColor="text1"/>
                <w:sz w:val="24"/>
                <w:szCs w:val="24"/>
                <w:highlight w:val="none"/>
                <w14:textFill>
                  <w14:solidFill>
                    <w14:schemeClr w14:val="tx1"/>
                  </w14:solidFill>
                </w14:textFill>
              </w:rPr>
            </w:pPr>
          </w:p>
          <w:p w14:paraId="486C085B">
            <w:pPr>
              <w:pageBreakBefore w:val="0"/>
              <w:kinsoku/>
              <w:wordWrap w:val="0"/>
              <w:overflowPunct/>
              <w:topLinePunct/>
              <w:bidi w:val="0"/>
              <w:spacing w:before="62" w:line="229" w:lineRule="auto"/>
              <w:ind w:left="59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14:textFill>
                  <w14:solidFill>
                    <w14:schemeClr w14:val="tx1"/>
                  </w14:solidFill>
                </w14:textFill>
              </w:rPr>
              <w:t>数量</w:t>
            </w:r>
          </w:p>
        </w:tc>
      </w:tr>
      <w:tr w14:paraId="123236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C07ABE4">
            <w:pPr>
              <w:pageBreakBefore w:val="0"/>
              <w:kinsoku/>
              <w:wordWrap w:val="0"/>
              <w:overflowPunct/>
              <w:topLinePunct/>
              <w:bidi w:val="0"/>
              <w:spacing w:before="287" w:line="184" w:lineRule="auto"/>
              <w:ind w:left="3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5304" w:type="dxa"/>
            <w:gridSpan w:val="4"/>
            <w:vAlign w:val="top"/>
          </w:tcPr>
          <w:p w14:paraId="660A898B">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71" w:type="dxa"/>
            <w:gridSpan w:val="2"/>
            <w:vAlign w:val="top"/>
          </w:tcPr>
          <w:p w14:paraId="06FEE526">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637" w:type="dxa"/>
            <w:vAlign w:val="top"/>
          </w:tcPr>
          <w:p w14:paraId="35D3605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39381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49434568">
            <w:pPr>
              <w:pageBreakBefore w:val="0"/>
              <w:kinsoku/>
              <w:wordWrap w:val="0"/>
              <w:overflowPunct/>
              <w:topLinePunct/>
              <w:bidi w:val="0"/>
              <w:spacing w:before="288" w:line="183" w:lineRule="auto"/>
              <w:ind w:left="30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5304" w:type="dxa"/>
            <w:gridSpan w:val="4"/>
            <w:vAlign w:val="top"/>
          </w:tcPr>
          <w:p w14:paraId="17E6473A">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71" w:type="dxa"/>
            <w:gridSpan w:val="2"/>
            <w:vAlign w:val="top"/>
          </w:tcPr>
          <w:p w14:paraId="68DFE963">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637" w:type="dxa"/>
            <w:vAlign w:val="top"/>
          </w:tcPr>
          <w:p w14:paraId="6D916810">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2ADA9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172C5981">
            <w:pPr>
              <w:pageBreakBefore w:val="0"/>
              <w:kinsoku/>
              <w:wordWrap w:val="0"/>
              <w:overflowPunct/>
              <w:topLinePunct/>
              <w:bidi w:val="0"/>
              <w:spacing w:before="287" w:line="183" w:lineRule="auto"/>
              <w:ind w:left="304"/>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5304" w:type="dxa"/>
            <w:gridSpan w:val="4"/>
            <w:vAlign w:val="top"/>
          </w:tcPr>
          <w:p w14:paraId="10C7BC5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71" w:type="dxa"/>
            <w:gridSpan w:val="2"/>
            <w:vAlign w:val="top"/>
          </w:tcPr>
          <w:p w14:paraId="4F32B4E4">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637" w:type="dxa"/>
            <w:vAlign w:val="top"/>
          </w:tcPr>
          <w:p w14:paraId="36EB254C">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1A154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2DC871A9">
            <w:pPr>
              <w:pStyle w:val="21"/>
              <w:pageBreakBefore w:val="0"/>
              <w:kinsoku/>
              <w:wordWrap w:val="0"/>
              <w:overflowPunct/>
              <w:topLinePunct/>
              <w:bidi w:val="0"/>
              <w:spacing w:line="348" w:lineRule="auto"/>
              <w:rPr>
                <w:rFonts w:hint="eastAsia" w:ascii="宋体" w:hAnsi="宋体" w:eastAsia="宋体" w:cs="宋体"/>
                <w:color w:val="000000" w:themeColor="text1"/>
                <w:sz w:val="24"/>
                <w:szCs w:val="24"/>
                <w:highlight w:val="none"/>
                <w14:textFill>
                  <w14:solidFill>
                    <w14:schemeClr w14:val="tx1"/>
                  </w14:solidFill>
                </w14:textFill>
              </w:rPr>
            </w:pPr>
          </w:p>
          <w:p w14:paraId="58DC04A6">
            <w:pPr>
              <w:pageBreakBefore w:val="0"/>
              <w:kinsoku/>
              <w:wordWrap w:val="0"/>
              <w:overflowPunct/>
              <w:topLinePunct/>
              <w:bidi w:val="0"/>
              <w:spacing w:before="78" w:line="99" w:lineRule="exact"/>
              <w:ind w:left="186"/>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position w:val="1"/>
                <w:sz w:val="24"/>
                <w:szCs w:val="24"/>
                <w:highlight w:val="none"/>
                <w14:textFill>
                  <w14:solidFill>
                    <w14:schemeClr w14:val="tx1"/>
                  </w14:solidFill>
                </w14:textFill>
              </w:rPr>
              <w:t>...</w:t>
            </w:r>
          </w:p>
        </w:tc>
        <w:tc>
          <w:tcPr>
            <w:tcW w:w="5304" w:type="dxa"/>
            <w:gridSpan w:val="4"/>
            <w:vAlign w:val="top"/>
          </w:tcPr>
          <w:p w14:paraId="0C123C1D">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771" w:type="dxa"/>
            <w:gridSpan w:val="2"/>
            <w:vAlign w:val="top"/>
          </w:tcPr>
          <w:p w14:paraId="33DD836E">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637" w:type="dxa"/>
            <w:vAlign w:val="top"/>
          </w:tcPr>
          <w:p w14:paraId="5426A181">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r>
      <w:tr w14:paraId="10F72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F5A0F5">
            <w:pPr>
              <w:pStyle w:val="21"/>
              <w:pageBreakBefore w:val="0"/>
              <w:kinsoku/>
              <w:wordWrap w:val="0"/>
              <w:overflowPunct/>
              <w:topLinePunct/>
              <w:bidi w:val="0"/>
              <w:spacing w:line="274" w:lineRule="auto"/>
              <w:rPr>
                <w:rFonts w:hint="eastAsia" w:ascii="宋体" w:hAnsi="宋体" w:eastAsia="宋体" w:cs="宋体"/>
                <w:color w:val="000000" w:themeColor="text1"/>
                <w:sz w:val="24"/>
                <w:szCs w:val="24"/>
                <w:highlight w:val="none"/>
                <w14:textFill>
                  <w14:solidFill>
                    <w14:schemeClr w14:val="tx1"/>
                  </w14:solidFill>
                </w14:textFill>
              </w:rPr>
            </w:pPr>
          </w:p>
          <w:p w14:paraId="0A777AA6">
            <w:pPr>
              <w:pStyle w:val="21"/>
              <w:pageBreakBefore w:val="0"/>
              <w:kinsoku/>
              <w:wordWrap w:val="0"/>
              <w:overflowPunct/>
              <w:topLinePunct/>
              <w:bidi w:val="0"/>
              <w:spacing w:line="275" w:lineRule="auto"/>
              <w:rPr>
                <w:rFonts w:hint="eastAsia" w:ascii="宋体" w:hAnsi="宋体" w:eastAsia="宋体" w:cs="宋体"/>
                <w:color w:val="000000" w:themeColor="text1"/>
                <w:sz w:val="24"/>
                <w:szCs w:val="24"/>
                <w:highlight w:val="none"/>
                <w14:textFill>
                  <w14:solidFill>
                    <w14:schemeClr w14:val="tx1"/>
                  </w14:solidFill>
                </w14:textFill>
              </w:rPr>
            </w:pPr>
          </w:p>
          <w:p w14:paraId="5BEAE43E">
            <w:pPr>
              <w:pStyle w:val="21"/>
              <w:pageBreakBefore w:val="0"/>
              <w:kinsoku/>
              <w:wordWrap w:val="0"/>
              <w:overflowPunct/>
              <w:topLinePunct/>
              <w:bidi w:val="0"/>
              <w:spacing w:line="275" w:lineRule="auto"/>
              <w:rPr>
                <w:rFonts w:hint="eastAsia" w:ascii="宋体" w:hAnsi="宋体" w:eastAsia="宋体" w:cs="宋体"/>
                <w:color w:val="000000" w:themeColor="text1"/>
                <w:sz w:val="24"/>
                <w:szCs w:val="24"/>
                <w:highlight w:val="none"/>
                <w14:textFill>
                  <w14:solidFill>
                    <w14:schemeClr w14:val="tx1"/>
                  </w14:solidFill>
                </w14:textFill>
              </w:rPr>
            </w:pPr>
          </w:p>
          <w:p w14:paraId="49ADA3B1">
            <w:pPr>
              <w:pageBreakBefore w:val="0"/>
              <w:kinsoku/>
              <w:wordWrap w:val="0"/>
              <w:overflowPunct/>
              <w:topLinePunct/>
              <w:bidi w:val="0"/>
              <w:spacing w:before="62" w:line="233" w:lineRule="auto"/>
              <w:ind w:left="2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注意：</w:t>
            </w:r>
          </w:p>
        </w:tc>
        <w:tc>
          <w:tcPr>
            <w:tcW w:w="8712" w:type="dxa"/>
            <w:gridSpan w:val="7"/>
            <w:vAlign w:val="top"/>
          </w:tcPr>
          <w:p w14:paraId="4CBA9756">
            <w:pPr>
              <w:pageBreakBefore w:val="0"/>
              <w:kinsoku/>
              <w:wordWrap w:val="0"/>
              <w:overflowPunct/>
              <w:topLinePunct/>
              <w:bidi w:val="0"/>
              <w:spacing w:before="148"/>
              <w:ind w:left="111" w:right="107" w:firstLine="483"/>
              <w:jc w:val="both"/>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该表一式两份，两份表格投标人均需如实填写各项内容，两份表格的填写内容应一致。一</w:t>
            </w:r>
            <w:r>
              <w:rPr>
                <w:rFonts w:hint="eastAsia" w:ascii="宋体" w:hAnsi="宋体" w:eastAsia="宋体" w:cs="宋体"/>
                <w:color w:val="000000" w:themeColor="text1"/>
                <w:spacing w:val="9"/>
                <w:sz w:val="24"/>
                <w:szCs w:val="24"/>
                <w:highlight w:val="none"/>
                <w14:textFill>
                  <w14:solidFill>
                    <w14:schemeClr w14:val="tx1"/>
                  </w14:solidFill>
                </w14:textFill>
              </w:rPr>
              <w:t>份贴于装纳原件的文件袋（箱</w:t>
            </w:r>
            <w:r>
              <w:rPr>
                <w:rFonts w:hint="eastAsia" w:ascii="宋体" w:hAnsi="宋体" w:eastAsia="宋体" w:cs="宋体"/>
                <w:color w:val="000000" w:themeColor="text1"/>
                <w:spacing w:val="20"/>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一份在递交文件袋（箱）时由招标代理机构、投标人签字后交招标代理机构。招标代理机构仅代签收装纳原件的文件袋（箱</w:t>
            </w:r>
            <w:r>
              <w:rPr>
                <w:rFonts w:hint="eastAsia" w:ascii="宋体" w:hAnsi="宋体" w:eastAsia="宋体" w:cs="宋体"/>
                <w:color w:val="000000" w:themeColor="text1"/>
                <w:spacing w:val="19"/>
                <w:sz w:val="24"/>
                <w:szCs w:val="24"/>
                <w:highlight w:val="none"/>
                <w14:textFill>
                  <w14:solidFill>
                    <w14:schemeClr w14:val="tx1"/>
                  </w14:solidFill>
                </w14:textFill>
              </w:rPr>
              <w:t>），</w:t>
            </w:r>
            <w:r>
              <w:rPr>
                <w:rFonts w:hint="eastAsia" w:ascii="宋体" w:hAnsi="宋体" w:eastAsia="宋体" w:cs="宋体"/>
                <w:color w:val="000000" w:themeColor="text1"/>
                <w:spacing w:val="9"/>
                <w:sz w:val="24"/>
                <w:szCs w:val="24"/>
                <w:highlight w:val="none"/>
                <w14:textFill>
                  <w14:solidFill>
                    <w14:schemeClr w14:val="tx1"/>
                  </w14:solidFill>
                </w14:textFill>
              </w:rPr>
              <w:t>而不对文件袋（箱）中资</w:t>
            </w:r>
            <w:r>
              <w:rPr>
                <w:rFonts w:hint="eastAsia" w:ascii="宋体" w:hAnsi="宋体" w:eastAsia="宋体" w:cs="宋体"/>
                <w:color w:val="000000" w:themeColor="text1"/>
                <w:spacing w:val="5"/>
                <w:sz w:val="24"/>
                <w:szCs w:val="24"/>
                <w:highlight w:val="none"/>
                <w14:textFill>
                  <w14:solidFill>
                    <w14:schemeClr w14:val="tx1"/>
                  </w14:solidFill>
                </w14:textFill>
              </w:rPr>
              <w:t>料的数量、内容及真实性负责。</w:t>
            </w:r>
          </w:p>
        </w:tc>
      </w:tr>
      <w:tr w14:paraId="25EA2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724169C2">
            <w:pPr>
              <w:pStyle w:val="21"/>
              <w:pageBreakBefore w:val="0"/>
              <w:kinsoku/>
              <w:wordWrap w:val="0"/>
              <w:overflowPunct/>
              <w:topLinePunct/>
              <w:bidi w:val="0"/>
              <w:spacing w:line="240" w:lineRule="auto"/>
              <w:rPr>
                <w:rFonts w:hint="eastAsia" w:ascii="宋体" w:hAnsi="宋体" w:eastAsia="宋体" w:cs="宋体"/>
                <w:color w:val="000000" w:themeColor="text1"/>
                <w:sz w:val="24"/>
                <w:szCs w:val="24"/>
                <w:highlight w:val="none"/>
                <w14:textFill>
                  <w14:solidFill>
                    <w14:schemeClr w14:val="tx1"/>
                  </w14:solidFill>
                </w14:textFill>
              </w:rPr>
            </w:pPr>
          </w:p>
          <w:p w14:paraId="4575F844">
            <w:pPr>
              <w:pageBreakBefore w:val="0"/>
              <w:kinsoku/>
              <w:wordWrap w:val="0"/>
              <w:overflowPunct/>
              <w:topLinePunct/>
              <w:bidi w:val="0"/>
              <w:spacing w:before="61" w:line="240" w:lineRule="auto"/>
              <w:ind w:left="760" w:right="153" w:hanging="600"/>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接收原件经办人</w:t>
            </w:r>
          </w:p>
          <w:p w14:paraId="65ACE133">
            <w:pPr>
              <w:pageBreakBefore w:val="0"/>
              <w:kinsoku/>
              <w:wordWrap w:val="0"/>
              <w:overflowPunct/>
              <w:topLinePunct/>
              <w:bidi w:val="0"/>
              <w:spacing w:before="61" w:line="240" w:lineRule="auto"/>
              <w:ind w:left="760" w:right="153" w:hanging="6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(招标</w:t>
            </w:r>
            <w:r>
              <w:rPr>
                <w:rFonts w:hint="eastAsia" w:ascii="宋体" w:hAnsi="宋体" w:eastAsia="宋体" w:cs="宋体"/>
                <w:color w:val="000000" w:themeColor="text1"/>
                <w:spacing w:val="3"/>
                <w:sz w:val="24"/>
                <w:szCs w:val="24"/>
                <w:highlight w:val="none"/>
                <w14:textFill>
                  <w14:solidFill>
                    <w14:schemeClr w14:val="tx1"/>
                  </w14:solidFill>
                </w14:textFill>
              </w:rPr>
              <w:t>代理)：</w:t>
            </w:r>
          </w:p>
        </w:tc>
        <w:tc>
          <w:tcPr>
            <w:tcW w:w="1725" w:type="dxa"/>
            <w:vAlign w:val="top"/>
          </w:tcPr>
          <w:p w14:paraId="0A0039FB">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683" w:type="dxa"/>
            <w:gridSpan w:val="2"/>
            <w:vAlign w:val="top"/>
          </w:tcPr>
          <w:p w14:paraId="2840CE67">
            <w:pPr>
              <w:pStyle w:val="21"/>
              <w:pageBreakBefore w:val="0"/>
              <w:kinsoku/>
              <w:wordWrap w:val="0"/>
              <w:overflowPunct/>
              <w:topLinePunct/>
              <w:bidi w:val="0"/>
              <w:spacing w:line="288" w:lineRule="auto"/>
              <w:rPr>
                <w:rFonts w:hint="eastAsia" w:ascii="宋体" w:hAnsi="宋体" w:eastAsia="宋体" w:cs="宋体"/>
                <w:color w:val="000000" w:themeColor="text1"/>
                <w:sz w:val="24"/>
                <w:szCs w:val="24"/>
                <w:highlight w:val="none"/>
                <w14:textFill>
                  <w14:solidFill>
                    <w14:schemeClr w14:val="tx1"/>
                  </w14:solidFill>
                </w14:textFill>
              </w:rPr>
            </w:pPr>
          </w:p>
          <w:p w14:paraId="0CC9C2EA">
            <w:pPr>
              <w:pStyle w:val="21"/>
              <w:pageBreakBefore w:val="0"/>
              <w:kinsoku/>
              <w:wordWrap w:val="0"/>
              <w:overflowPunct/>
              <w:topLinePunct/>
              <w:bidi w:val="0"/>
              <w:spacing w:line="289" w:lineRule="auto"/>
              <w:rPr>
                <w:rFonts w:hint="eastAsia" w:ascii="宋体" w:hAnsi="宋体" w:eastAsia="宋体" w:cs="宋体"/>
                <w:color w:val="000000" w:themeColor="text1"/>
                <w:sz w:val="24"/>
                <w:szCs w:val="24"/>
                <w:highlight w:val="none"/>
                <w14:textFill>
                  <w14:solidFill>
                    <w14:schemeClr w14:val="tx1"/>
                  </w14:solidFill>
                </w14:textFill>
              </w:rPr>
            </w:pPr>
          </w:p>
          <w:p w14:paraId="3DEE987B">
            <w:pPr>
              <w:pageBreakBefore w:val="0"/>
              <w:kinsoku/>
              <w:wordWrap w:val="0"/>
              <w:overflowPunct/>
              <w:topLinePunct/>
              <w:bidi w:val="0"/>
              <w:spacing w:before="62" w:line="229" w:lineRule="auto"/>
              <w:ind w:left="315"/>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接收时间：</w:t>
            </w:r>
          </w:p>
        </w:tc>
        <w:tc>
          <w:tcPr>
            <w:tcW w:w="3408" w:type="dxa"/>
            <w:gridSpan w:val="3"/>
            <w:vAlign w:val="top"/>
          </w:tcPr>
          <w:p w14:paraId="6E65A580">
            <w:pPr>
              <w:pStyle w:val="21"/>
              <w:pageBreakBefore w:val="0"/>
              <w:kinsoku/>
              <w:wordWrap w:val="0"/>
              <w:overflowPunct/>
              <w:topLinePunct/>
              <w:bidi w:val="0"/>
              <w:spacing w:line="288" w:lineRule="auto"/>
              <w:rPr>
                <w:rFonts w:hint="eastAsia" w:ascii="宋体" w:hAnsi="宋体" w:eastAsia="宋体" w:cs="宋体"/>
                <w:color w:val="000000" w:themeColor="text1"/>
                <w:sz w:val="24"/>
                <w:szCs w:val="24"/>
                <w:highlight w:val="none"/>
                <w14:textFill>
                  <w14:solidFill>
                    <w14:schemeClr w14:val="tx1"/>
                  </w14:solidFill>
                </w14:textFill>
              </w:rPr>
            </w:pPr>
          </w:p>
          <w:p w14:paraId="25625696">
            <w:pPr>
              <w:pStyle w:val="21"/>
              <w:pageBreakBefore w:val="0"/>
              <w:kinsoku/>
              <w:wordWrap w:val="0"/>
              <w:overflowPunct/>
              <w:topLinePunct/>
              <w:bidi w:val="0"/>
              <w:spacing w:line="289" w:lineRule="auto"/>
              <w:rPr>
                <w:rFonts w:hint="eastAsia" w:ascii="宋体" w:hAnsi="宋体" w:eastAsia="宋体" w:cs="宋体"/>
                <w:color w:val="000000" w:themeColor="text1"/>
                <w:sz w:val="24"/>
                <w:szCs w:val="24"/>
                <w:highlight w:val="none"/>
                <w14:textFill>
                  <w14:solidFill>
                    <w14:schemeClr w14:val="tx1"/>
                  </w14:solidFill>
                </w14:textFill>
              </w:rPr>
            </w:pPr>
          </w:p>
          <w:p w14:paraId="2C5E7140">
            <w:pPr>
              <w:pageBreakBefore w:val="0"/>
              <w:kinsoku/>
              <w:wordWrap w:val="0"/>
              <w:overflowPunct/>
              <w:topLinePunct/>
              <w:bidi w:val="0"/>
              <w:spacing w:before="62" w:line="229" w:lineRule="auto"/>
              <w:ind w:firstLine="444"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年</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月</w:t>
            </w:r>
            <w:r>
              <w:rPr>
                <w:rFonts w:hint="eastAsia" w:ascii="宋体" w:hAnsi="宋体" w:eastAsia="宋体" w:cs="宋体"/>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日</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时</w:t>
            </w:r>
            <w:r>
              <w:rPr>
                <w:rFonts w:hint="eastAsia" w:ascii="宋体" w:hAnsi="宋体" w:eastAsia="宋体" w:cs="宋体"/>
                <w:color w:val="000000" w:themeColor="text1"/>
                <w:spacing w:val="12"/>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分</w:t>
            </w:r>
          </w:p>
        </w:tc>
      </w:tr>
      <w:tr w14:paraId="4CF22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7D0ADEB1">
            <w:pPr>
              <w:pageBreakBefore w:val="0"/>
              <w:kinsoku/>
              <w:wordWrap w:val="0"/>
              <w:overflowPunct/>
              <w:topLinePunct/>
              <w:bidi w:val="0"/>
              <w:spacing w:before="155" w:line="240" w:lineRule="auto"/>
              <w:ind w:left="861" w:right="153" w:hanging="699"/>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退还原件接收人</w:t>
            </w:r>
          </w:p>
          <w:p w14:paraId="3879FB9D">
            <w:pPr>
              <w:pageBreakBefore w:val="0"/>
              <w:kinsoku/>
              <w:wordWrap w:val="0"/>
              <w:overflowPunct/>
              <w:topLinePunct/>
              <w:bidi w:val="0"/>
              <w:spacing w:before="155" w:line="240" w:lineRule="auto"/>
              <w:ind w:left="861" w:right="153" w:hanging="69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(投标</w:t>
            </w:r>
            <w:r>
              <w:rPr>
                <w:rFonts w:hint="eastAsia" w:ascii="宋体" w:hAnsi="宋体" w:eastAsia="宋体" w:cs="宋体"/>
                <w:color w:val="000000" w:themeColor="text1"/>
                <w:spacing w:val="2"/>
                <w:sz w:val="24"/>
                <w:szCs w:val="24"/>
                <w:highlight w:val="none"/>
                <w14:textFill>
                  <w14:solidFill>
                    <w14:schemeClr w14:val="tx1"/>
                  </w14:solidFill>
                </w14:textFill>
              </w:rPr>
              <w:t>人)：</w:t>
            </w:r>
          </w:p>
        </w:tc>
        <w:tc>
          <w:tcPr>
            <w:tcW w:w="1725" w:type="dxa"/>
            <w:vAlign w:val="top"/>
          </w:tcPr>
          <w:p w14:paraId="22588A63">
            <w:pPr>
              <w:pStyle w:val="21"/>
              <w:pageBreakBefore w:val="0"/>
              <w:kinsoku/>
              <w:wordWrap w:val="0"/>
              <w:overflowPunct/>
              <w:topLinePunct/>
              <w:bidi w:val="0"/>
              <w:rPr>
                <w:rFonts w:hint="eastAsia" w:ascii="宋体" w:hAnsi="宋体" w:eastAsia="宋体" w:cs="宋体"/>
                <w:color w:val="000000" w:themeColor="text1"/>
                <w:sz w:val="24"/>
                <w:szCs w:val="24"/>
                <w:highlight w:val="none"/>
                <w14:textFill>
                  <w14:solidFill>
                    <w14:schemeClr w14:val="tx1"/>
                  </w14:solidFill>
                </w14:textFill>
              </w:rPr>
            </w:pPr>
          </w:p>
        </w:tc>
        <w:tc>
          <w:tcPr>
            <w:tcW w:w="1683" w:type="dxa"/>
            <w:gridSpan w:val="2"/>
            <w:vAlign w:val="top"/>
          </w:tcPr>
          <w:p w14:paraId="63D2EF24">
            <w:pPr>
              <w:pStyle w:val="21"/>
              <w:pageBreakBefore w:val="0"/>
              <w:kinsoku/>
              <w:wordWrap w:val="0"/>
              <w:overflowPunct/>
              <w:topLinePunct/>
              <w:bidi w:val="0"/>
              <w:spacing w:line="336" w:lineRule="auto"/>
              <w:rPr>
                <w:rFonts w:hint="eastAsia" w:ascii="宋体" w:hAnsi="宋体" w:eastAsia="宋体" w:cs="宋体"/>
                <w:color w:val="000000" w:themeColor="text1"/>
                <w:sz w:val="24"/>
                <w:szCs w:val="24"/>
                <w:highlight w:val="none"/>
                <w14:textFill>
                  <w14:solidFill>
                    <w14:schemeClr w14:val="tx1"/>
                  </w14:solidFill>
                </w14:textFill>
              </w:rPr>
            </w:pPr>
          </w:p>
          <w:p w14:paraId="0F80F804">
            <w:pPr>
              <w:pageBreakBefore w:val="0"/>
              <w:kinsoku/>
              <w:wordWrap w:val="0"/>
              <w:overflowPunct/>
              <w:topLinePunct/>
              <w:bidi w:val="0"/>
              <w:spacing w:before="61" w:line="231" w:lineRule="auto"/>
              <w:ind w:left="3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退还时间：</w:t>
            </w:r>
          </w:p>
        </w:tc>
        <w:tc>
          <w:tcPr>
            <w:tcW w:w="3408" w:type="dxa"/>
            <w:gridSpan w:val="3"/>
            <w:vAlign w:val="top"/>
          </w:tcPr>
          <w:p w14:paraId="1CF445DC">
            <w:pPr>
              <w:pStyle w:val="21"/>
              <w:pageBreakBefore w:val="0"/>
              <w:kinsoku/>
              <w:wordWrap w:val="0"/>
              <w:overflowPunct/>
              <w:topLinePunct/>
              <w:bidi w:val="0"/>
              <w:spacing w:line="335" w:lineRule="auto"/>
              <w:rPr>
                <w:rFonts w:hint="eastAsia" w:ascii="宋体" w:hAnsi="宋体" w:eastAsia="宋体" w:cs="宋体"/>
                <w:color w:val="000000" w:themeColor="text1"/>
                <w:sz w:val="24"/>
                <w:szCs w:val="24"/>
                <w:highlight w:val="none"/>
                <w14:textFill>
                  <w14:solidFill>
                    <w14:schemeClr w14:val="tx1"/>
                  </w14:solidFill>
                </w14:textFill>
              </w:rPr>
            </w:pPr>
          </w:p>
          <w:p w14:paraId="4B4AB03A">
            <w:pPr>
              <w:pageBreakBefore w:val="0"/>
              <w:kinsoku/>
              <w:wordWrap w:val="0"/>
              <w:overflowPunct/>
              <w:topLinePunct/>
              <w:bidi w:val="0"/>
              <w:spacing w:before="62" w:line="229" w:lineRule="auto"/>
              <w:ind w:firstLine="444"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9"/>
                <w:sz w:val="24"/>
                <w:szCs w:val="24"/>
                <w:highlight w:val="none"/>
                <w14:textFill>
                  <w14:solidFill>
                    <w14:schemeClr w14:val="tx1"/>
                  </w14:solidFill>
                </w14:textFill>
              </w:rPr>
              <w:t>年</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月</w:t>
            </w:r>
            <w:r>
              <w:rPr>
                <w:rFonts w:hint="eastAsia" w:ascii="宋体" w:hAnsi="宋体" w:eastAsia="宋体" w:cs="宋体"/>
                <w:color w:val="000000" w:themeColor="text1"/>
                <w:spacing w:val="19"/>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日</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时</w:t>
            </w:r>
            <w:r>
              <w:rPr>
                <w:rFonts w:hint="eastAsia" w:ascii="宋体" w:hAnsi="宋体" w:eastAsia="宋体" w:cs="宋体"/>
                <w:color w:val="000000" w:themeColor="text1"/>
                <w:spacing w:val="10"/>
                <w:sz w:val="24"/>
                <w:szCs w:val="24"/>
                <w:highlight w:val="none"/>
                <w14:textFill>
                  <w14:solidFill>
                    <w14:schemeClr w14:val="tx1"/>
                  </w14:solidFill>
                </w14:textFill>
              </w:rPr>
              <w:t xml:space="preserve">   </w:t>
            </w:r>
            <w:r>
              <w:rPr>
                <w:rFonts w:hint="eastAsia" w:ascii="宋体" w:hAnsi="宋体" w:eastAsia="宋体" w:cs="宋体"/>
                <w:color w:val="000000" w:themeColor="text1"/>
                <w:spacing w:val="-9"/>
                <w:sz w:val="24"/>
                <w:szCs w:val="24"/>
                <w:highlight w:val="none"/>
                <w14:textFill>
                  <w14:solidFill>
                    <w14:schemeClr w14:val="tx1"/>
                  </w14:solidFill>
                </w14:textFill>
              </w:rPr>
              <w:t>分</w:t>
            </w:r>
          </w:p>
        </w:tc>
      </w:tr>
    </w:tbl>
    <w:p w14:paraId="6169417E">
      <w:pPr>
        <w:pageBreakBefore w:val="0"/>
        <w:kinsoku/>
        <w:wordWrap w:val="0"/>
        <w:overflowPunct/>
        <w:topLinePunct/>
        <w:bidi w:val="0"/>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pPr>
      <w:bookmarkStart w:id="261" w:name="bookmark107"/>
      <w:bookmarkEnd w:id="261"/>
      <w:r>
        <w:rPr>
          <w:rStyle w:val="43"/>
          <w:rFonts w:hint="eastAsia" w:ascii="宋体" w:hAnsi="宋体" w:eastAsia="宋体" w:cs="宋体"/>
          <w:bCs/>
          <w:color w:val="000000" w:themeColor="text1"/>
          <w:kern w:val="2"/>
          <w:sz w:val="21"/>
          <w:szCs w:val="21"/>
          <w:highlight w:val="none"/>
          <w14:textFill>
            <w14:solidFill>
              <w14:schemeClr w14:val="tx1"/>
            </w14:solidFill>
          </w14:textFill>
        </w:rPr>
        <w:br w:type="page"/>
      </w:r>
      <w:bookmarkStart w:id="262" w:name="_Toc26911"/>
      <w:r>
        <w:rPr>
          <w:rFonts w:hint="eastAsia" w:ascii="宋体" w:hAnsi="宋体" w:eastAsia="宋体" w:cs="宋体"/>
          <w:b/>
          <w:bCs/>
          <w:color w:val="000000" w:themeColor="text1"/>
          <w:spacing w:val="-4"/>
          <w:sz w:val="24"/>
          <w:szCs w:val="24"/>
          <w:highlight w:val="none"/>
          <w:lang w:eastAsia="zh-CN"/>
          <w14:textFill>
            <w14:solidFill>
              <w14:schemeClr w14:val="tx1"/>
            </w14:solidFill>
          </w14:textFill>
        </w:rPr>
        <w:t>格式十</w:t>
      </w:r>
      <w:r>
        <w:rPr>
          <w:rFonts w:hint="eastAsia" w:ascii="宋体" w:hAnsi="宋体" w:eastAsia="宋体" w:cs="宋体"/>
          <w:b/>
          <w:bCs/>
          <w:color w:val="000000" w:themeColor="text1"/>
          <w:spacing w:val="-4"/>
          <w:sz w:val="24"/>
          <w:szCs w:val="24"/>
          <w:highlight w:val="none"/>
          <w:lang w:val="en-US" w:eastAsia="zh-CN"/>
          <w14:textFill>
            <w14:solidFill>
              <w14:schemeClr w14:val="tx1"/>
            </w14:solidFill>
          </w14:textFill>
        </w:rPr>
        <w:t>五  定标因素评审资料</w:t>
      </w:r>
      <w:bookmarkEnd w:id="262"/>
    </w:p>
    <w:p w14:paraId="6B95E3D8">
      <w:pPr>
        <w:pageBreakBefore w:val="0"/>
        <w:kinsoku/>
        <w:wordWrap w:val="0"/>
        <w:overflowPunct/>
        <w:topLinePunct/>
        <w:bidi w:val="0"/>
        <w:spacing w:line="500" w:lineRule="exact"/>
        <w:jc w:val="center"/>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定标因素评审资料</w:t>
      </w:r>
    </w:p>
    <w:p w14:paraId="61EF5830">
      <w:pPr>
        <w:pageBreakBefore w:val="0"/>
        <w:kinsoku/>
        <w:wordWrap w:val="0"/>
        <w:overflowPunct/>
        <w:topLinePunct/>
        <w:bidi w:val="0"/>
        <w:jc w:val="left"/>
        <w:rPr>
          <w:rFonts w:hint="eastAsia" w:ascii="宋体" w:hAnsi="宋体" w:eastAsia="宋体" w:cs="宋体"/>
          <w:color w:val="000000" w:themeColor="text1"/>
          <w:sz w:val="24"/>
          <w:highlight w:val="none"/>
          <w:lang w:eastAsia="zh-CN"/>
          <w14:textFill>
            <w14:solidFill>
              <w14:schemeClr w14:val="tx1"/>
            </w14:solidFill>
          </w14:textFill>
        </w:rPr>
      </w:pPr>
    </w:p>
    <w:p w14:paraId="40278CEC">
      <w:pPr>
        <w:pStyle w:val="39"/>
        <w:pageBreakBefore w:val="0"/>
        <w:kinsoku/>
        <w:wordWrap w:val="0"/>
        <w:overflowPunct/>
        <w:topLinePunct/>
        <w:bidi w:val="0"/>
        <w:ind w:left="0" w:leftChars="0" w:firstLine="0" w:firstLineChars="0"/>
        <w:rPr>
          <w:rStyle w:val="43"/>
          <w:rFonts w:hint="eastAsia" w:ascii="宋体" w:hAnsi="宋体" w:eastAsia="宋体" w:cs="宋体"/>
          <w:b/>
          <w:bCs/>
          <w:color w:val="000000" w:themeColor="text1"/>
          <w:kern w:val="2"/>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投标人根据“</w:t>
      </w:r>
      <w:r>
        <w:rPr>
          <w:rFonts w:hint="eastAsia" w:ascii="宋体" w:hAnsi="宋体" w:eastAsia="宋体" w:cs="宋体"/>
          <w:b/>
          <w:bCs/>
          <w:color w:val="000000" w:themeColor="text1"/>
          <w:sz w:val="24"/>
          <w:szCs w:val="24"/>
          <w:highlight w:val="none"/>
          <w14:textFill>
            <w14:solidFill>
              <w14:schemeClr w14:val="tx1"/>
            </w14:solidFill>
          </w14:textFill>
        </w:rPr>
        <w:t>第</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szCs w:val="24"/>
          <w:highlight w:val="none"/>
          <w14:textFill>
            <w14:solidFill>
              <w14:schemeClr w14:val="tx1"/>
            </w14:solidFill>
          </w14:textFill>
        </w:rPr>
        <w:t>章 第</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五</w:t>
      </w:r>
      <w:r>
        <w:rPr>
          <w:rFonts w:hint="eastAsia" w:ascii="宋体" w:hAnsi="宋体" w:eastAsia="宋体" w:cs="宋体"/>
          <w:b/>
          <w:bCs/>
          <w:color w:val="000000" w:themeColor="text1"/>
          <w:sz w:val="24"/>
          <w:szCs w:val="24"/>
          <w:highlight w:val="none"/>
          <w14:textFill>
            <w14:solidFill>
              <w14:schemeClr w14:val="tx1"/>
            </w14:solidFill>
          </w14:textFill>
        </w:rPr>
        <w:t>节 定标</w:t>
      </w:r>
      <w:r>
        <w:rPr>
          <w:rFonts w:hint="eastAsia" w:ascii="宋体" w:hAnsi="宋体" w:eastAsia="宋体" w:cs="宋体"/>
          <w:b/>
          <w:bCs/>
          <w:color w:val="000000" w:themeColor="text1"/>
          <w:sz w:val="24"/>
          <w:szCs w:val="24"/>
          <w:highlight w:val="none"/>
          <w:lang w:eastAsia="zh-CN"/>
          <w14:textFill>
            <w14:solidFill>
              <w14:schemeClr w14:val="tx1"/>
            </w14:solidFill>
          </w14:textFill>
        </w:rPr>
        <w:t>规定</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及细则”载明的</w:t>
      </w:r>
      <w:r>
        <w:rPr>
          <w:rFonts w:hint="eastAsia" w:ascii="宋体" w:hAnsi="宋体" w:eastAsia="宋体" w:cs="宋体"/>
          <w:b/>
          <w:bCs/>
          <w:color w:val="000000" w:themeColor="text1"/>
          <w:sz w:val="24"/>
          <w:szCs w:val="24"/>
          <w:highlight w:val="none"/>
          <w:lang w:eastAsia="zh-CN"/>
          <w14:textFill>
            <w14:solidFill>
              <w14:schemeClr w14:val="tx1"/>
            </w14:solidFill>
          </w14:textFill>
        </w:rPr>
        <w:t>定标因素，</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提交</w:t>
      </w:r>
      <w:r>
        <w:rPr>
          <w:rFonts w:hint="eastAsia" w:ascii="宋体" w:hAnsi="宋体" w:eastAsia="宋体" w:cs="宋体"/>
          <w:b/>
          <w:bCs/>
          <w:color w:val="000000" w:themeColor="text1"/>
          <w:sz w:val="24"/>
          <w:szCs w:val="24"/>
          <w:highlight w:val="none"/>
          <w:lang w:eastAsia="zh-CN"/>
          <w14:textFill>
            <w14:solidFill>
              <w14:schemeClr w14:val="tx1"/>
            </w14:solidFill>
          </w14:textFill>
        </w:rPr>
        <w:t>评审资料。</w:t>
      </w:r>
    </w:p>
    <w:p w14:paraId="31270B81">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86B27CE">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B4CE0F3">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F76DB62">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1D8DB9DC">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51E6922">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4CF6237C">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FC35AC6">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702F32D">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E4481D6">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B4A21A0">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F8330EB">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7B0F67C">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81A12FB">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BC77892">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1D4E8548">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BAB5F5A">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050B723">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7EF4353">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BC07753">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641B577">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1A59BDE7">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A2F71EF">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0AA7BC3">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E80EF6B">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F883E08">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A7D1BB5">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0B5CF363">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5F1CB87">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69B74C08">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2A3B6CD5">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31E3CE9C">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79185F5E">
      <w:pPr>
        <w:pageBreakBefore w:val="0"/>
        <w:kinsoku/>
        <w:wordWrap w:val="0"/>
        <w:overflowPunct/>
        <w:topLinePunct/>
        <w:bidi w:val="0"/>
        <w:spacing w:before="78" w:line="219" w:lineRule="auto"/>
        <w:jc w:val="center"/>
        <w:outlineLvl w:val="1"/>
        <w:rPr>
          <w:rFonts w:hint="eastAsia" w:ascii="宋体" w:hAnsi="宋体" w:eastAsia="宋体" w:cs="宋体"/>
          <w:b/>
          <w:bCs/>
          <w:color w:val="000000" w:themeColor="text1"/>
          <w:spacing w:val="-3"/>
          <w:sz w:val="24"/>
          <w:szCs w:val="24"/>
          <w:highlight w:val="none"/>
          <w14:textFill>
            <w14:solidFill>
              <w14:schemeClr w14:val="tx1"/>
            </w14:solidFill>
          </w14:textFill>
        </w:rPr>
      </w:pPr>
    </w:p>
    <w:p w14:paraId="57F490A0">
      <w:pPr>
        <w:rPr>
          <w:rFonts w:hint="eastAsia" w:ascii="宋体" w:hAnsi="宋体" w:eastAsia="宋体" w:cs="宋体"/>
          <w:b/>
          <w:bCs/>
          <w:color w:val="000000" w:themeColor="text1"/>
          <w:spacing w:val="-3"/>
          <w:sz w:val="24"/>
          <w:szCs w:val="24"/>
          <w:highlight w:val="none"/>
          <w14:textFill>
            <w14:solidFill>
              <w14:schemeClr w14:val="tx1"/>
            </w14:solidFill>
          </w14:textFill>
        </w:rPr>
      </w:pPr>
      <w:r>
        <w:rPr>
          <w:rFonts w:hint="eastAsia" w:ascii="宋体" w:hAnsi="宋体" w:eastAsia="宋体" w:cs="宋体"/>
          <w:b/>
          <w:bCs/>
          <w:color w:val="000000" w:themeColor="text1"/>
          <w:spacing w:val="-3"/>
          <w:sz w:val="24"/>
          <w:szCs w:val="24"/>
          <w:highlight w:val="none"/>
          <w14:textFill>
            <w14:solidFill>
              <w14:schemeClr w14:val="tx1"/>
            </w14:solidFill>
          </w14:textFill>
        </w:rPr>
        <w:br w:type="page"/>
      </w:r>
    </w:p>
    <w:p w14:paraId="301BEDA8">
      <w:pPr>
        <w:pageBreakBefore w:val="0"/>
        <w:kinsoku/>
        <w:wordWrap w:val="0"/>
        <w:overflowPunct/>
        <w:topLinePunct/>
        <w:bidi w:val="0"/>
        <w:spacing w:before="78" w:line="219" w:lineRule="auto"/>
        <w:jc w:val="center"/>
        <w:outlineLvl w:val="1"/>
        <w:rPr>
          <w:rFonts w:hint="eastAsia" w:ascii="宋体" w:hAnsi="宋体" w:eastAsia="宋体" w:cs="宋体"/>
          <w:color w:val="000000" w:themeColor="text1"/>
          <w:highlight w:val="none"/>
          <w14:textFill>
            <w14:solidFill>
              <w14:schemeClr w14:val="tx1"/>
            </w14:solidFill>
          </w14:textFill>
        </w:rPr>
      </w:pPr>
      <w:bookmarkStart w:id="263" w:name="_Toc5114"/>
      <w:r>
        <w:rPr>
          <w:rFonts w:hint="eastAsia" w:ascii="宋体" w:hAnsi="宋体" w:eastAsia="宋体" w:cs="宋体"/>
          <w:b/>
          <w:bCs/>
          <w:color w:val="000000" w:themeColor="text1"/>
          <w:spacing w:val="-3"/>
          <w:sz w:val="24"/>
          <w:szCs w:val="24"/>
          <w:highlight w:val="none"/>
          <w14:textFill>
            <w14:solidFill>
              <w14:schemeClr w14:val="tx1"/>
            </w14:solidFill>
          </w14:textFill>
        </w:rPr>
        <w:t>第七章</w:t>
      </w:r>
      <w:r>
        <w:rPr>
          <w:rFonts w:hint="eastAsia" w:ascii="宋体" w:hAnsi="宋体" w:eastAsia="宋体" w:cs="宋体"/>
          <w:color w:val="000000" w:themeColor="text1"/>
          <w:spacing w:val="-3"/>
          <w:sz w:val="24"/>
          <w:szCs w:val="24"/>
          <w:highlight w:val="none"/>
          <w14:textFill>
            <w14:solidFill>
              <w14:schemeClr w14:val="tx1"/>
            </w14:solidFill>
          </w14:textFill>
        </w:rPr>
        <w:t xml:space="preserve"> </w:t>
      </w:r>
      <w:r>
        <w:rPr>
          <w:rFonts w:hint="eastAsia" w:ascii="宋体" w:hAnsi="宋体" w:eastAsia="宋体" w:cs="宋体"/>
          <w:b/>
          <w:bCs/>
          <w:color w:val="000000" w:themeColor="text1"/>
          <w:spacing w:val="-3"/>
          <w:sz w:val="24"/>
          <w:szCs w:val="24"/>
          <w:highlight w:val="none"/>
          <w14:textFill>
            <w14:solidFill>
              <w14:schemeClr w14:val="tx1"/>
            </w14:solidFill>
          </w14:textFill>
        </w:rPr>
        <w:t>建设工程施工合同</w:t>
      </w:r>
      <w:bookmarkEnd w:id="263"/>
    </w:p>
    <w:p w14:paraId="1F707CBA">
      <w:pPr>
        <w:pStyle w:val="5"/>
        <w:pageBreakBefore w:val="0"/>
        <w:kinsoku/>
        <w:wordWrap w:val="0"/>
        <w:overflowPunct/>
        <w:topLinePunct/>
        <w:bidi w:val="0"/>
        <w:spacing w:line="257" w:lineRule="auto"/>
        <w:rPr>
          <w:rFonts w:hint="eastAsia" w:ascii="宋体" w:hAnsi="宋体" w:eastAsia="宋体" w:cs="宋体"/>
          <w:color w:val="000000" w:themeColor="text1"/>
          <w:highlight w:val="none"/>
          <w14:textFill>
            <w14:solidFill>
              <w14:schemeClr w14:val="tx1"/>
            </w14:solidFill>
          </w14:textFill>
        </w:rPr>
      </w:pPr>
    </w:p>
    <w:p w14:paraId="6EA71A36">
      <w:pPr>
        <w:pageBreakBefore w:val="0"/>
        <w:kinsoku/>
        <w:wordWrap w:val="0"/>
        <w:overflowPunct/>
        <w:topLinePunct/>
        <w:bidi w:val="0"/>
        <w:spacing w:before="78" w:line="324" w:lineRule="auto"/>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3"/>
          <w:sz w:val="24"/>
          <w:szCs w:val="24"/>
          <w:highlight w:val="none"/>
          <w14:textFill>
            <w14:solidFill>
              <w14:schemeClr w14:val="tx1"/>
            </w14:solidFill>
          </w14:textFill>
        </w:rPr>
        <w:t>（略</w:t>
      </w:r>
      <w:r>
        <w:rPr>
          <w:rFonts w:hint="eastAsia" w:ascii="宋体" w:hAnsi="宋体" w:eastAsia="宋体" w:cs="宋体"/>
          <w:color w:val="000000" w:themeColor="text1"/>
          <w:spacing w:val="-10"/>
          <w:sz w:val="24"/>
          <w:szCs w:val="24"/>
          <w:highlight w:val="none"/>
          <w14:textFill>
            <w14:solidFill>
              <w14:schemeClr w14:val="tx1"/>
            </w14:solidFill>
          </w14:textFill>
        </w:rPr>
        <w:t>），</w:t>
      </w:r>
      <w:r>
        <w:rPr>
          <w:rFonts w:hint="eastAsia" w:ascii="宋体" w:hAnsi="宋体" w:eastAsia="宋体" w:cs="宋体"/>
          <w:color w:val="000000" w:themeColor="text1"/>
          <w:spacing w:val="-3"/>
          <w:sz w:val="24"/>
          <w:szCs w:val="24"/>
          <w:highlight w:val="none"/>
          <w14:textFill>
            <w14:solidFill>
              <w14:schemeClr w14:val="tx1"/>
            </w14:solidFill>
          </w14:textFill>
        </w:rPr>
        <w:t>按《广东省建设工程标准施工合同》（2009 年版）或《建设工程施工合同</w:t>
      </w:r>
      <w:r>
        <w:rPr>
          <w:rFonts w:hint="eastAsia" w:ascii="宋体" w:hAnsi="宋体" w:eastAsia="宋体" w:cs="宋体"/>
          <w:color w:val="000000" w:themeColor="text1"/>
          <w:spacing w:val="-1"/>
          <w:sz w:val="24"/>
          <w:szCs w:val="24"/>
          <w:highlight w:val="none"/>
          <w14:textFill>
            <w14:solidFill>
              <w14:schemeClr w14:val="tx1"/>
            </w14:solidFill>
          </w14:textFill>
        </w:rPr>
        <w:t>（示范文本）》（GF—2017—0201）执行。</w:t>
      </w:r>
    </w:p>
    <w:p w14:paraId="796EC762">
      <w:pPr>
        <w:pageBreakBefore w:val="0"/>
        <w:kinsoku/>
        <w:wordWrap w:val="0"/>
        <w:overflowPunct/>
        <w:topLinePunct/>
        <w:bidi w:val="0"/>
        <w:rPr>
          <w:rFonts w:hint="eastAsia" w:ascii="宋体" w:hAnsi="宋体" w:eastAsia="宋体" w:cs="宋体"/>
          <w:color w:val="000000" w:themeColor="text1"/>
          <w:highlight w:val="none"/>
          <w14:textFill>
            <w14:solidFill>
              <w14:schemeClr w14:val="tx1"/>
            </w14:solidFill>
          </w14:textFill>
        </w:rPr>
      </w:pPr>
    </w:p>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EBC42">
    <w:pPr>
      <w:pStyle w:val="9"/>
    </w:pPr>
    <w:r>
      <w:rPr>
        <w:sz w:val="18"/>
      </w:rPr>
      <mc:AlternateContent>
        <mc:Choice Requires="wps">
          <w:drawing>
            <wp:anchor distT="0" distB="0" distL="114300" distR="114300" simplePos="0" relativeHeight="251679744"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076CB92D">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9744;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076CB92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B643B">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6FE5A4">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5A6FE5A4">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60E83">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38A5E3">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7B38A5E3">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CB7CF">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D38E68">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6CD38E68">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6F7A4">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CFC70B">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11CFC70B">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E06F0">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17B132">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7717B132">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8E6B8">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491ADB">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1D491ADB">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27203">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2615E4">
                          <w:pPr>
                            <w:pStyle w:val="9"/>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672615E4">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B6989">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50E7A7">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7050E7A7">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5B6E4">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9B1506">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D9B1506">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ECD8E">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AFF03A">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6AFF03A">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47A4F">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7146D8">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07146D8">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E7734">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BE4AE4">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19BE4AE4">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6B301">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A5E139">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76A5E139">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06469">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F29041">
                          <w:pPr>
                            <w:pStyle w:val="9"/>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0FF29041">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B0906">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5A5983">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645A5983">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98773">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2F45C9">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762F45C9">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14627">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A77EFD">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65A77EFD">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F4A45">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4CF2D">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BB3AD">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81F44">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BCABCA"/>
    <w:multiLevelType w:val="singleLevel"/>
    <w:tmpl w:val="BDBCABCA"/>
    <w:lvl w:ilvl="0" w:tentative="0">
      <w:start w:val="1"/>
      <w:numFmt w:val="decimal"/>
      <w:suff w:val="nothing"/>
      <w:lvlText w:val="（%1）"/>
      <w:lvlJc w:val="left"/>
    </w:lvl>
  </w:abstractNum>
  <w:abstractNum w:abstractNumId="1">
    <w:nsid w:val="E6C9BDCA"/>
    <w:multiLevelType w:val="singleLevel"/>
    <w:tmpl w:val="E6C9BDCA"/>
    <w:lvl w:ilvl="0" w:tentative="0">
      <w:start w:val="1"/>
      <w:numFmt w:val="decimal"/>
      <w:suff w:val="nothing"/>
      <w:lvlText w:val="（%1）"/>
      <w:lvlJc w:val="left"/>
    </w:lvl>
  </w:abstractNum>
  <w:abstractNum w:abstractNumId="2">
    <w:nsid w:val="E81183FF"/>
    <w:multiLevelType w:val="singleLevel"/>
    <w:tmpl w:val="E81183FF"/>
    <w:lvl w:ilvl="0" w:tentative="0">
      <w:start w:val="1"/>
      <w:numFmt w:val="decimal"/>
      <w:lvlText w:val="%1."/>
      <w:lvlJc w:val="left"/>
      <w:pPr>
        <w:tabs>
          <w:tab w:val="left" w:pos="312"/>
        </w:tabs>
      </w:pPr>
    </w:lvl>
  </w:abstractNum>
  <w:abstractNum w:abstractNumId="3">
    <w:nsid w:val="0E4354D0"/>
    <w:multiLevelType w:val="singleLevel"/>
    <w:tmpl w:val="0E4354D0"/>
    <w:lvl w:ilvl="0" w:tentative="0">
      <w:start w:val="1"/>
      <w:numFmt w:val="decimal"/>
      <w:suff w:val="nothing"/>
      <w:lvlText w:val="（%1）"/>
      <w:lvlJc w:val="left"/>
    </w:lvl>
  </w:abstractNum>
  <w:abstractNum w:abstractNumId="4">
    <w:nsid w:val="271FB328"/>
    <w:multiLevelType w:val="singleLevel"/>
    <w:tmpl w:val="271FB328"/>
    <w:lvl w:ilvl="0" w:tentative="0">
      <w:start w:val="5"/>
      <w:numFmt w:val="decimal"/>
      <w:lvlText w:val="%1."/>
      <w:lvlJc w:val="left"/>
      <w:pPr>
        <w:tabs>
          <w:tab w:val="left" w:pos="312"/>
        </w:tabs>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824069"/>
    <w:rsid w:val="00D61DC8"/>
    <w:rsid w:val="01276505"/>
    <w:rsid w:val="013F232E"/>
    <w:rsid w:val="014C6B51"/>
    <w:rsid w:val="018B7D8A"/>
    <w:rsid w:val="01B6213A"/>
    <w:rsid w:val="01BE1198"/>
    <w:rsid w:val="01E25ABE"/>
    <w:rsid w:val="01EE7C08"/>
    <w:rsid w:val="01F123AA"/>
    <w:rsid w:val="01FD63CC"/>
    <w:rsid w:val="02337D11"/>
    <w:rsid w:val="023B3D55"/>
    <w:rsid w:val="024F6BF1"/>
    <w:rsid w:val="02570457"/>
    <w:rsid w:val="02BF0C55"/>
    <w:rsid w:val="02F13018"/>
    <w:rsid w:val="031418F0"/>
    <w:rsid w:val="0358304C"/>
    <w:rsid w:val="03661A20"/>
    <w:rsid w:val="039E06FB"/>
    <w:rsid w:val="04021749"/>
    <w:rsid w:val="04B67F25"/>
    <w:rsid w:val="04BF763A"/>
    <w:rsid w:val="04E2157A"/>
    <w:rsid w:val="04EF43C3"/>
    <w:rsid w:val="05093BF9"/>
    <w:rsid w:val="050B1B91"/>
    <w:rsid w:val="055E6E53"/>
    <w:rsid w:val="056C5F91"/>
    <w:rsid w:val="05D4768F"/>
    <w:rsid w:val="05E67124"/>
    <w:rsid w:val="05E732EC"/>
    <w:rsid w:val="05EC614B"/>
    <w:rsid w:val="062235DD"/>
    <w:rsid w:val="063C112F"/>
    <w:rsid w:val="06856661"/>
    <w:rsid w:val="069B537E"/>
    <w:rsid w:val="06C70A28"/>
    <w:rsid w:val="06C929F2"/>
    <w:rsid w:val="06CA23DC"/>
    <w:rsid w:val="06D05B2E"/>
    <w:rsid w:val="06DD024B"/>
    <w:rsid w:val="07001B9F"/>
    <w:rsid w:val="07133987"/>
    <w:rsid w:val="07520C39"/>
    <w:rsid w:val="07A1396F"/>
    <w:rsid w:val="07A71DAB"/>
    <w:rsid w:val="07B92A66"/>
    <w:rsid w:val="07DE24CD"/>
    <w:rsid w:val="0858402D"/>
    <w:rsid w:val="086230FE"/>
    <w:rsid w:val="088C763C"/>
    <w:rsid w:val="08CD7283"/>
    <w:rsid w:val="08E41D65"/>
    <w:rsid w:val="08EB6C4F"/>
    <w:rsid w:val="092D5890"/>
    <w:rsid w:val="09377CD6"/>
    <w:rsid w:val="0963211F"/>
    <w:rsid w:val="09724BB7"/>
    <w:rsid w:val="09B1728E"/>
    <w:rsid w:val="09C807D3"/>
    <w:rsid w:val="09F06AB0"/>
    <w:rsid w:val="09FA34EB"/>
    <w:rsid w:val="09FF4A68"/>
    <w:rsid w:val="0A62467A"/>
    <w:rsid w:val="0A7D4664"/>
    <w:rsid w:val="0A87732E"/>
    <w:rsid w:val="0AD33307"/>
    <w:rsid w:val="0AE00211"/>
    <w:rsid w:val="0AE05E8C"/>
    <w:rsid w:val="0AF3628F"/>
    <w:rsid w:val="0B3866B7"/>
    <w:rsid w:val="0B9E41C6"/>
    <w:rsid w:val="0BC6217A"/>
    <w:rsid w:val="0BCB5A1D"/>
    <w:rsid w:val="0BD240F7"/>
    <w:rsid w:val="0C120997"/>
    <w:rsid w:val="0C2A7A8F"/>
    <w:rsid w:val="0C2B1A59"/>
    <w:rsid w:val="0C4153D2"/>
    <w:rsid w:val="0C49746F"/>
    <w:rsid w:val="0C597D15"/>
    <w:rsid w:val="0CA07D76"/>
    <w:rsid w:val="0CA27F6D"/>
    <w:rsid w:val="0CF14A50"/>
    <w:rsid w:val="0D03679A"/>
    <w:rsid w:val="0D3B3F1D"/>
    <w:rsid w:val="0DCB0DFD"/>
    <w:rsid w:val="0DCE22AF"/>
    <w:rsid w:val="0DD32132"/>
    <w:rsid w:val="0DF525DE"/>
    <w:rsid w:val="0DF61CE0"/>
    <w:rsid w:val="0DF86616"/>
    <w:rsid w:val="0E1E1875"/>
    <w:rsid w:val="0E460DCC"/>
    <w:rsid w:val="0E684952"/>
    <w:rsid w:val="0E86353F"/>
    <w:rsid w:val="0E8E37ED"/>
    <w:rsid w:val="0EAF2E14"/>
    <w:rsid w:val="0EDB59B8"/>
    <w:rsid w:val="0F1C2D99"/>
    <w:rsid w:val="0F6F04DC"/>
    <w:rsid w:val="1019125F"/>
    <w:rsid w:val="105858FC"/>
    <w:rsid w:val="106C3AC2"/>
    <w:rsid w:val="108403E2"/>
    <w:rsid w:val="109275A9"/>
    <w:rsid w:val="10C15734"/>
    <w:rsid w:val="10C44237"/>
    <w:rsid w:val="10C761F4"/>
    <w:rsid w:val="11164A85"/>
    <w:rsid w:val="1122342A"/>
    <w:rsid w:val="11533574"/>
    <w:rsid w:val="11785740"/>
    <w:rsid w:val="117A3266"/>
    <w:rsid w:val="11862732"/>
    <w:rsid w:val="118F278E"/>
    <w:rsid w:val="119D4F21"/>
    <w:rsid w:val="11A47985"/>
    <w:rsid w:val="11AC40AD"/>
    <w:rsid w:val="11C67A56"/>
    <w:rsid w:val="11C94C09"/>
    <w:rsid w:val="11D80D88"/>
    <w:rsid w:val="12474DCB"/>
    <w:rsid w:val="12527641"/>
    <w:rsid w:val="126805E3"/>
    <w:rsid w:val="12E7492B"/>
    <w:rsid w:val="12E74FC1"/>
    <w:rsid w:val="12F27F6E"/>
    <w:rsid w:val="14141B79"/>
    <w:rsid w:val="1457788F"/>
    <w:rsid w:val="14760C96"/>
    <w:rsid w:val="14882C02"/>
    <w:rsid w:val="14D013EF"/>
    <w:rsid w:val="150A2744"/>
    <w:rsid w:val="150D2643"/>
    <w:rsid w:val="15115C90"/>
    <w:rsid w:val="155A4F75"/>
    <w:rsid w:val="15763D45"/>
    <w:rsid w:val="15853F88"/>
    <w:rsid w:val="158710E6"/>
    <w:rsid w:val="159B64FD"/>
    <w:rsid w:val="15A45AE5"/>
    <w:rsid w:val="15D97B34"/>
    <w:rsid w:val="15DC13FE"/>
    <w:rsid w:val="15E038B4"/>
    <w:rsid w:val="16005D04"/>
    <w:rsid w:val="160E0085"/>
    <w:rsid w:val="162E6E4D"/>
    <w:rsid w:val="16443E43"/>
    <w:rsid w:val="16737FC1"/>
    <w:rsid w:val="16BA6C1F"/>
    <w:rsid w:val="16C17241"/>
    <w:rsid w:val="16CB00C0"/>
    <w:rsid w:val="16CB4A2F"/>
    <w:rsid w:val="1722468F"/>
    <w:rsid w:val="173C4B1A"/>
    <w:rsid w:val="17726DD2"/>
    <w:rsid w:val="17C50FB3"/>
    <w:rsid w:val="17F85625"/>
    <w:rsid w:val="18226406"/>
    <w:rsid w:val="182A472E"/>
    <w:rsid w:val="18602A8A"/>
    <w:rsid w:val="190B3062"/>
    <w:rsid w:val="1963464B"/>
    <w:rsid w:val="197764F6"/>
    <w:rsid w:val="1981143D"/>
    <w:rsid w:val="19BC1F42"/>
    <w:rsid w:val="19C8784C"/>
    <w:rsid w:val="1A136028"/>
    <w:rsid w:val="1A3A6836"/>
    <w:rsid w:val="1A584D7E"/>
    <w:rsid w:val="1A5B5BFF"/>
    <w:rsid w:val="1A5D1977"/>
    <w:rsid w:val="1AC50DC4"/>
    <w:rsid w:val="1AE57555"/>
    <w:rsid w:val="1B0A266C"/>
    <w:rsid w:val="1B656D35"/>
    <w:rsid w:val="1B6A170F"/>
    <w:rsid w:val="1B745FC1"/>
    <w:rsid w:val="1B8D003A"/>
    <w:rsid w:val="1BEC4D61"/>
    <w:rsid w:val="1C0B2F87"/>
    <w:rsid w:val="1C2A3ADB"/>
    <w:rsid w:val="1C324211"/>
    <w:rsid w:val="1C512E14"/>
    <w:rsid w:val="1C5632C7"/>
    <w:rsid w:val="1C7F3E27"/>
    <w:rsid w:val="1D880AB9"/>
    <w:rsid w:val="1DA27862"/>
    <w:rsid w:val="1DE11B57"/>
    <w:rsid w:val="1E206F43"/>
    <w:rsid w:val="1E3B5B2B"/>
    <w:rsid w:val="1E491296"/>
    <w:rsid w:val="1E4F7829"/>
    <w:rsid w:val="1E5D49E3"/>
    <w:rsid w:val="1E994221"/>
    <w:rsid w:val="1EDA5344"/>
    <w:rsid w:val="1EE13915"/>
    <w:rsid w:val="1EE461C3"/>
    <w:rsid w:val="1F077682"/>
    <w:rsid w:val="1F487665"/>
    <w:rsid w:val="1F683A66"/>
    <w:rsid w:val="1F875754"/>
    <w:rsid w:val="1FFE32B4"/>
    <w:rsid w:val="2020237A"/>
    <w:rsid w:val="20515ADA"/>
    <w:rsid w:val="20801F1B"/>
    <w:rsid w:val="208A4B48"/>
    <w:rsid w:val="209669C5"/>
    <w:rsid w:val="20B16579"/>
    <w:rsid w:val="20C37337"/>
    <w:rsid w:val="20CB1F07"/>
    <w:rsid w:val="20F6072B"/>
    <w:rsid w:val="21090925"/>
    <w:rsid w:val="21244F9D"/>
    <w:rsid w:val="213D3171"/>
    <w:rsid w:val="222C2B90"/>
    <w:rsid w:val="22457E73"/>
    <w:rsid w:val="22837AA1"/>
    <w:rsid w:val="22884FD6"/>
    <w:rsid w:val="22BE5FB7"/>
    <w:rsid w:val="22F866E1"/>
    <w:rsid w:val="23213C5D"/>
    <w:rsid w:val="232C2DD6"/>
    <w:rsid w:val="2331574F"/>
    <w:rsid w:val="233953DA"/>
    <w:rsid w:val="235B72E4"/>
    <w:rsid w:val="23931F66"/>
    <w:rsid w:val="23C465C3"/>
    <w:rsid w:val="23C977C5"/>
    <w:rsid w:val="24262DDA"/>
    <w:rsid w:val="243E66C2"/>
    <w:rsid w:val="2446643F"/>
    <w:rsid w:val="24521E21"/>
    <w:rsid w:val="246102B6"/>
    <w:rsid w:val="24782AD4"/>
    <w:rsid w:val="248726E0"/>
    <w:rsid w:val="249C3951"/>
    <w:rsid w:val="24C17E52"/>
    <w:rsid w:val="24DB3BC4"/>
    <w:rsid w:val="24FA6740"/>
    <w:rsid w:val="25004979"/>
    <w:rsid w:val="25243F0A"/>
    <w:rsid w:val="2535226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7035E88"/>
    <w:rsid w:val="27111DA1"/>
    <w:rsid w:val="27415C62"/>
    <w:rsid w:val="27B65EBB"/>
    <w:rsid w:val="27CA47C6"/>
    <w:rsid w:val="282B4E63"/>
    <w:rsid w:val="28884FF7"/>
    <w:rsid w:val="289A5B44"/>
    <w:rsid w:val="289F315B"/>
    <w:rsid w:val="28AC4B2B"/>
    <w:rsid w:val="28D472A8"/>
    <w:rsid w:val="29017971"/>
    <w:rsid w:val="290F389D"/>
    <w:rsid w:val="2962542C"/>
    <w:rsid w:val="299E36C0"/>
    <w:rsid w:val="29CC6CA4"/>
    <w:rsid w:val="2B367172"/>
    <w:rsid w:val="2B7314CC"/>
    <w:rsid w:val="2B784A6E"/>
    <w:rsid w:val="2B9A7B07"/>
    <w:rsid w:val="2BA07916"/>
    <w:rsid w:val="2BAE2033"/>
    <w:rsid w:val="2BB37649"/>
    <w:rsid w:val="2BC9037C"/>
    <w:rsid w:val="2BFD3113"/>
    <w:rsid w:val="2C0003B4"/>
    <w:rsid w:val="2C1005F7"/>
    <w:rsid w:val="2C15160E"/>
    <w:rsid w:val="2C44430E"/>
    <w:rsid w:val="2C4F172C"/>
    <w:rsid w:val="2C9C00DD"/>
    <w:rsid w:val="2CA156F3"/>
    <w:rsid w:val="2D906B09"/>
    <w:rsid w:val="2D9C5EBB"/>
    <w:rsid w:val="2DD973AC"/>
    <w:rsid w:val="2DFB1659"/>
    <w:rsid w:val="2E0221C2"/>
    <w:rsid w:val="2E611B70"/>
    <w:rsid w:val="2E9A689E"/>
    <w:rsid w:val="2ECB6A58"/>
    <w:rsid w:val="2EDD4BB1"/>
    <w:rsid w:val="2EE93382"/>
    <w:rsid w:val="2F01185F"/>
    <w:rsid w:val="2F2729AC"/>
    <w:rsid w:val="2F3C0F4C"/>
    <w:rsid w:val="2FB82F9F"/>
    <w:rsid w:val="2FE418AC"/>
    <w:rsid w:val="2FE5383E"/>
    <w:rsid w:val="2FEA4C7F"/>
    <w:rsid w:val="30330D58"/>
    <w:rsid w:val="3037089D"/>
    <w:rsid w:val="30EA3353"/>
    <w:rsid w:val="31013C49"/>
    <w:rsid w:val="312319EF"/>
    <w:rsid w:val="313C778B"/>
    <w:rsid w:val="318F6462"/>
    <w:rsid w:val="321A2D0F"/>
    <w:rsid w:val="32382656"/>
    <w:rsid w:val="324D664C"/>
    <w:rsid w:val="3267118D"/>
    <w:rsid w:val="32870EE7"/>
    <w:rsid w:val="32BE6EB2"/>
    <w:rsid w:val="32C7154E"/>
    <w:rsid w:val="33156D5E"/>
    <w:rsid w:val="3317207A"/>
    <w:rsid w:val="331A6B7B"/>
    <w:rsid w:val="331F2052"/>
    <w:rsid w:val="333554DB"/>
    <w:rsid w:val="33396D39"/>
    <w:rsid w:val="33643EF5"/>
    <w:rsid w:val="33D80BF4"/>
    <w:rsid w:val="33D939C5"/>
    <w:rsid w:val="33F77F81"/>
    <w:rsid w:val="34254482"/>
    <w:rsid w:val="346F257B"/>
    <w:rsid w:val="348C4EDB"/>
    <w:rsid w:val="348F605A"/>
    <w:rsid w:val="34E716B6"/>
    <w:rsid w:val="34ED3E0B"/>
    <w:rsid w:val="3505113E"/>
    <w:rsid w:val="35233259"/>
    <w:rsid w:val="35357321"/>
    <w:rsid w:val="355115AF"/>
    <w:rsid w:val="359F2BE0"/>
    <w:rsid w:val="35AE6CC5"/>
    <w:rsid w:val="35FC399A"/>
    <w:rsid w:val="362A675A"/>
    <w:rsid w:val="36B60605"/>
    <w:rsid w:val="36DB3EF8"/>
    <w:rsid w:val="36DB7A54"/>
    <w:rsid w:val="36EC39E0"/>
    <w:rsid w:val="37484E0B"/>
    <w:rsid w:val="37647A49"/>
    <w:rsid w:val="37704640"/>
    <w:rsid w:val="37704A11"/>
    <w:rsid w:val="37C45ACE"/>
    <w:rsid w:val="37DF2D89"/>
    <w:rsid w:val="37E335F2"/>
    <w:rsid w:val="3835053A"/>
    <w:rsid w:val="386B727B"/>
    <w:rsid w:val="38BE1535"/>
    <w:rsid w:val="39194863"/>
    <w:rsid w:val="391D7376"/>
    <w:rsid w:val="39403E21"/>
    <w:rsid w:val="397A7B42"/>
    <w:rsid w:val="399A1E48"/>
    <w:rsid w:val="39B4157B"/>
    <w:rsid w:val="39B81301"/>
    <w:rsid w:val="39D55A01"/>
    <w:rsid w:val="39DA2245"/>
    <w:rsid w:val="3A104D75"/>
    <w:rsid w:val="3A344D97"/>
    <w:rsid w:val="3A4C2C68"/>
    <w:rsid w:val="3A4D1A2B"/>
    <w:rsid w:val="3A5244D1"/>
    <w:rsid w:val="3A5E69D2"/>
    <w:rsid w:val="3ABD7209"/>
    <w:rsid w:val="3B2C2F74"/>
    <w:rsid w:val="3B3415C4"/>
    <w:rsid w:val="3B345984"/>
    <w:rsid w:val="3B351E28"/>
    <w:rsid w:val="3B4F53C1"/>
    <w:rsid w:val="3B626996"/>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3219D3"/>
    <w:rsid w:val="3D3474F8"/>
    <w:rsid w:val="3DA00ED5"/>
    <w:rsid w:val="3DCE35B6"/>
    <w:rsid w:val="3DD136B5"/>
    <w:rsid w:val="3DD5344F"/>
    <w:rsid w:val="3E0F3EB7"/>
    <w:rsid w:val="3E244EE5"/>
    <w:rsid w:val="3E2609B2"/>
    <w:rsid w:val="3E76426F"/>
    <w:rsid w:val="3E7F6463"/>
    <w:rsid w:val="3E962D65"/>
    <w:rsid w:val="3ECB4852"/>
    <w:rsid w:val="3EE83D57"/>
    <w:rsid w:val="3EEB0292"/>
    <w:rsid w:val="3F281B00"/>
    <w:rsid w:val="3F6A7BC7"/>
    <w:rsid w:val="3F715E37"/>
    <w:rsid w:val="3F930BE9"/>
    <w:rsid w:val="3F952DC8"/>
    <w:rsid w:val="3FE15005"/>
    <w:rsid w:val="3FE77469"/>
    <w:rsid w:val="400E2C48"/>
    <w:rsid w:val="40301CC7"/>
    <w:rsid w:val="407E19EB"/>
    <w:rsid w:val="40ED6D01"/>
    <w:rsid w:val="41216845"/>
    <w:rsid w:val="413A36FE"/>
    <w:rsid w:val="4176014F"/>
    <w:rsid w:val="4213220D"/>
    <w:rsid w:val="4235270E"/>
    <w:rsid w:val="423F17DF"/>
    <w:rsid w:val="42461BF0"/>
    <w:rsid w:val="424C7A58"/>
    <w:rsid w:val="427179B7"/>
    <w:rsid w:val="428A07FE"/>
    <w:rsid w:val="428D039F"/>
    <w:rsid w:val="429E2362"/>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875C56"/>
    <w:rsid w:val="44983428"/>
    <w:rsid w:val="44C47D79"/>
    <w:rsid w:val="44FE7B79"/>
    <w:rsid w:val="450736C8"/>
    <w:rsid w:val="451A208F"/>
    <w:rsid w:val="45433394"/>
    <w:rsid w:val="45877724"/>
    <w:rsid w:val="458A0FC3"/>
    <w:rsid w:val="458D2861"/>
    <w:rsid w:val="45BB3260"/>
    <w:rsid w:val="46092999"/>
    <w:rsid w:val="4612476D"/>
    <w:rsid w:val="46305C1E"/>
    <w:rsid w:val="468F5CB4"/>
    <w:rsid w:val="46957C1F"/>
    <w:rsid w:val="46C027C2"/>
    <w:rsid w:val="46C64C50"/>
    <w:rsid w:val="4743767B"/>
    <w:rsid w:val="474820C5"/>
    <w:rsid w:val="474855C4"/>
    <w:rsid w:val="475B13E7"/>
    <w:rsid w:val="47777325"/>
    <w:rsid w:val="47DD7AD0"/>
    <w:rsid w:val="47E70FBB"/>
    <w:rsid w:val="47F02414"/>
    <w:rsid w:val="48021647"/>
    <w:rsid w:val="481D611E"/>
    <w:rsid w:val="48221986"/>
    <w:rsid w:val="483C3BAC"/>
    <w:rsid w:val="48B545A9"/>
    <w:rsid w:val="48D34790"/>
    <w:rsid w:val="48ED18F0"/>
    <w:rsid w:val="48F826E7"/>
    <w:rsid w:val="4929464F"/>
    <w:rsid w:val="494C6C0E"/>
    <w:rsid w:val="4955379A"/>
    <w:rsid w:val="498C348F"/>
    <w:rsid w:val="49C34AA3"/>
    <w:rsid w:val="49DA3B9B"/>
    <w:rsid w:val="49DA528B"/>
    <w:rsid w:val="49FA4012"/>
    <w:rsid w:val="49FA5FEB"/>
    <w:rsid w:val="4A4F4589"/>
    <w:rsid w:val="4A5573E4"/>
    <w:rsid w:val="4A62606A"/>
    <w:rsid w:val="4A712751"/>
    <w:rsid w:val="4AF87271"/>
    <w:rsid w:val="4B036BFD"/>
    <w:rsid w:val="4B380D6F"/>
    <w:rsid w:val="4B3A1029"/>
    <w:rsid w:val="4B555BCF"/>
    <w:rsid w:val="4B5A3EB8"/>
    <w:rsid w:val="4B6E0A3F"/>
    <w:rsid w:val="4B771FE9"/>
    <w:rsid w:val="4BBC29D4"/>
    <w:rsid w:val="4C3C0393"/>
    <w:rsid w:val="4C3C0B3D"/>
    <w:rsid w:val="4C443C2D"/>
    <w:rsid w:val="4C560DCF"/>
    <w:rsid w:val="4C723258"/>
    <w:rsid w:val="4CB608EF"/>
    <w:rsid w:val="4D0E072B"/>
    <w:rsid w:val="4D0F1621"/>
    <w:rsid w:val="4D220E8C"/>
    <w:rsid w:val="4D24354A"/>
    <w:rsid w:val="4D4E6D7A"/>
    <w:rsid w:val="4D9A1FBF"/>
    <w:rsid w:val="4DCE1F8B"/>
    <w:rsid w:val="4DF94F37"/>
    <w:rsid w:val="4E0D2791"/>
    <w:rsid w:val="4E2A6045"/>
    <w:rsid w:val="4E437F61"/>
    <w:rsid w:val="4E4B6EAD"/>
    <w:rsid w:val="4E4E19C6"/>
    <w:rsid w:val="4EB40E5E"/>
    <w:rsid w:val="4F1A33B7"/>
    <w:rsid w:val="4F411EB6"/>
    <w:rsid w:val="4F582EF7"/>
    <w:rsid w:val="4FBA24A4"/>
    <w:rsid w:val="4FBB7FCB"/>
    <w:rsid w:val="50100316"/>
    <w:rsid w:val="502A41CA"/>
    <w:rsid w:val="50377300"/>
    <w:rsid w:val="50983373"/>
    <w:rsid w:val="50AB5953"/>
    <w:rsid w:val="50D60C20"/>
    <w:rsid w:val="51183927"/>
    <w:rsid w:val="5135755A"/>
    <w:rsid w:val="51574F11"/>
    <w:rsid w:val="517B73AD"/>
    <w:rsid w:val="518A5306"/>
    <w:rsid w:val="51983548"/>
    <w:rsid w:val="51AB3D3B"/>
    <w:rsid w:val="51BD3D23"/>
    <w:rsid w:val="51D04201"/>
    <w:rsid w:val="51DA0BDC"/>
    <w:rsid w:val="51DC4954"/>
    <w:rsid w:val="521A27DD"/>
    <w:rsid w:val="52534816"/>
    <w:rsid w:val="52634928"/>
    <w:rsid w:val="52A0414F"/>
    <w:rsid w:val="53277999"/>
    <w:rsid w:val="534F0FD1"/>
    <w:rsid w:val="53987EBC"/>
    <w:rsid w:val="53A35FB7"/>
    <w:rsid w:val="53A95638"/>
    <w:rsid w:val="53E24E44"/>
    <w:rsid w:val="53E704E4"/>
    <w:rsid w:val="53F94527"/>
    <w:rsid w:val="54014B46"/>
    <w:rsid w:val="54297BF9"/>
    <w:rsid w:val="5472334E"/>
    <w:rsid w:val="54DB5397"/>
    <w:rsid w:val="550348EE"/>
    <w:rsid w:val="555D5DAC"/>
    <w:rsid w:val="5563097D"/>
    <w:rsid w:val="556F4EE2"/>
    <w:rsid w:val="55D014C5"/>
    <w:rsid w:val="55D21BD3"/>
    <w:rsid w:val="562B653A"/>
    <w:rsid w:val="56312D95"/>
    <w:rsid w:val="564725B8"/>
    <w:rsid w:val="56652099"/>
    <w:rsid w:val="56680EAC"/>
    <w:rsid w:val="56843C9F"/>
    <w:rsid w:val="569B3338"/>
    <w:rsid w:val="56A27943"/>
    <w:rsid w:val="56A40209"/>
    <w:rsid w:val="56F5281F"/>
    <w:rsid w:val="573E766F"/>
    <w:rsid w:val="5765355C"/>
    <w:rsid w:val="57690BD0"/>
    <w:rsid w:val="576F0018"/>
    <w:rsid w:val="57C15E41"/>
    <w:rsid w:val="57CA1153"/>
    <w:rsid w:val="57E46E53"/>
    <w:rsid w:val="580118E9"/>
    <w:rsid w:val="580E253F"/>
    <w:rsid w:val="58254B7B"/>
    <w:rsid w:val="584A495B"/>
    <w:rsid w:val="584B22BE"/>
    <w:rsid w:val="5892758E"/>
    <w:rsid w:val="58947716"/>
    <w:rsid w:val="58A65CBC"/>
    <w:rsid w:val="58B66C06"/>
    <w:rsid w:val="58C779E0"/>
    <w:rsid w:val="5909228A"/>
    <w:rsid w:val="59154BEF"/>
    <w:rsid w:val="593A16EF"/>
    <w:rsid w:val="59CA7788"/>
    <w:rsid w:val="5A1B6236"/>
    <w:rsid w:val="5A2E712E"/>
    <w:rsid w:val="5A2F2D66"/>
    <w:rsid w:val="5A6D6164"/>
    <w:rsid w:val="5A86004F"/>
    <w:rsid w:val="5A8938AD"/>
    <w:rsid w:val="5AAE69DB"/>
    <w:rsid w:val="5AF0582F"/>
    <w:rsid w:val="5AF947C9"/>
    <w:rsid w:val="5B1B6AA6"/>
    <w:rsid w:val="5B224E28"/>
    <w:rsid w:val="5B7D7A78"/>
    <w:rsid w:val="5BA65FD3"/>
    <w:rsid w:val="5BAF7B56"/>
    <w:rsid w:val="5BB82598"/>
    <w:rsid w:val="5BD91F04"/>
    <w:rsid w:val="5BDB5C7C"/>
    <w:rsid w:val="5BF611E3"/>
    <w:rsid w:val="5C0E6052"/>
    <w:rsid w:val="5C313AEE"/>
    <w:rsid w:val="5C86208C"/>
    <w:rsid w:val="5CAC7619"/>
    <w:rsid w:val="5D131446"/>
    <w:rsid w:val="5D7C18C6"/>
    <w:rsid w:val="5DA14CA4"/>
    <w:rsid w:val="5DA779D9"/>
    <w:rsid w:val="5DC84953"/>
    <w:rsid w:val="5DDC3F2E"/>
    <w:rsid w:val="5E9E23A9"/>
    <w:rsid w:val="5EAC56AE"/>
    <w:rsid w:val="5EDA0A8B"/>
    <w:rsid w:val="5F0537AA"/>
    <w:rsid w:val="5F162912"/>
    <w:rsid w:val="5F20072A"/>
    <w:rsid w:val="5F2117F1"/>
    <w:rsid w:val="5F27754A"/>
    <w:rsid w:val="5F2B3E04"/>
    <w:rsid w:val="5F760F40"/>
    <w:rsid w:val="5FE21584"/>
    <w:rsid w:val="5FE82E26"/>
    <w:rsid w:val="5FF3691B"/>
    <w:rsid w:val="5FFF5CB2"/>
    <w:rsid w:val="60161979"/>
    <w:rsid w:val="60673F83"/>
    <w:rsid w:val="606E1F64"/>
    <w:rsid w:val="609E5FA7"/>
    <w:rsid w:val="60C253E7"/>
    <w:rsid w:val="60CE0912"/>
    <w:rsid w:val="60CE0B25"/>
    <w:rsid w:val="61555832"/>
    <w:rsid w:val="618F343D"/>
    <w:rsid w:val="61A30FEA"/>
    <w:rsid w:val="61D5316E"/>
    <w:rsid w:val="61D67CE4"/>
    <w:rsid w:val="61DB6D9C"/>
    <w:rsid w:val="61EF4230"/>
    <w:rsid w:val="6200643D"/>
    <w:rsid w:val="623C3CCB"/>
    <w:rsid w:val="6277131B"/>
    <w:rsid w:val="628445D3"/>
    <w:rsid w:val="62894736"/>
    <w:rsid w:val="62EC69C1"/>
    <w:rsid w:val="63520F1A"/>
    <w:rsid w:val="636E0BBA"/>
    <w:rsid w:val="63956DA8"/>
    <w:rsid w:val="63964B41"/>
    <w:rsid w:val="63972B2A"/>
    <w:rsid w:val="63994A58"/>
    <w:rsid w:val="646C600B"/>
    <w:rsid w:val="647C3D75"/>
    <w:rsid w:val="64B27796"/>
    <w:rsid w:val="64CC5E52"/>
    <w:rsid w:val="64DA0DFC"/>
    <w:rsid w:val="64FD5E87"/>
    <w:rsid w:val="65785BCE"/>
    <w:rsid w:val="658C3A08"/>
    <w:rsid w:val="658D4138"/>
    <w:rsid w:val="65A319AD"/>
    <w:rsid w:val="65B768E4"/>
    <w:rsid w:val="66043DF1"/>
    <w:rsid w:val="660B7840"/>
    <w:rsid w:val="661D46CA"/>
    <w:rsid w:val="66887A48"/>
    <w:rsid w:val="66B94E0C"/>
    <w:rsid w:val="66BB1AFB"/>
    <w:rsid w:val="66CF7EED"/>
    <w:rsid w:val="66E83943"/>
    <w:rsid w:val="670F317A"/>
    <w:rsid w:val="673D6A15"/>
    <w:rsid w:val="67960780"/>
    <w:rsid w:val="682E5386"/>
    <w:rsid w:val="683726A5"/>
    <w:rsid w:val="684B23DC"/>
    <w:rsid w:val="68576EF7"/>
    <w:rsid w:val="6874548F"/>
    <w:rsid w:val="68817FE2"/>
    <w:rsid w:val="688D47A2"/>
    <w:rsid w:val="68B234AE"/>
    <w:rsid w:val="68CD623B"/>
    <w:rsid w:val="68DB72BC"/>
    <w:rsid w:val="68FD36D6"/>
    <w:rsid w:val="69562DE6"/>
    <w:rsid w:val="695E105C"/>
    <w:rsid w:val="696012B6"/>
    <w:rsid w:val="69642093"/>
    <w:rsid w:val="69793390"/>
    <w:rsid w:val="69C02956"/>
    <w:rsid w:val="69CA6B08"/>
    <w:rsid w:val="69F97B76"/>
    <w:rsid w:val="6A042666"/>
    <w:rsid w:val="6A3277F5"/>
    <w:rsid w:val="6A9736F0"/>
    <w:rsid w:val="6AF830B1"/>
    <w:rsid w:val="6B1715B7"/>
    <w:rsid w:val="6B2C2051"/>
    <w:rsid w:val="6B3233DF"/>
    <w:rsid w:val="6B680BAF"/>
    <w:rsid w:val="6B6C68F1"/>
    <w:rsid w:val="6BA17D14"/>
    <w:rsid w:val="6BBB33D4"/>
    <w:rsid w:val="6BCC55E2"/>
    <w:rsid w:val="6BEA8026"/>
    <w:rsid w:val="6C0C5BDB"/>
    <w:rsid w:val="6C3D08A3"/>
    <w:rsid w:val="6C6770B8"/>
    <w:rsid w:val="6C845EBC"/>
    <w:rsid w:val="6CA41CC8"/>
    <w:rsid w:val="6CC20E82"/>
    <w:rsid w:val="6CD26C28"/>
    <w:rsid w:val="6CF3436B"/>
    <w:rsid w:val="6CF7293C"/>
    <w:rsid w:val="6D056FFD"/>
    <w:rsid w:val="6D443964"/>
    <w:rsid w:val="6D5B6316"/>
    <w:rsid w:val="6D9143ED"/>
    <w:rsid w:val="6DC74A88"/>
    <w:rsid w:val="6DD724DA"/>
    <w:rsid w:val="6DDC0B81"/>
    <w:rsid w:val="6DE406BF"/>
    <w:rsid w:val="6DEA2117"/>
    <w:rsid w:val="6E041063"/>
    <w:rsid w:val="6E0C6BA8"/>
    <w:rsid w:val="6E4C538F"/>
    <w:rsid w:val="6E8C1058"/>
    <w:rsid w:val="6E9A11ED"/>
    <w:rsid w:val="6EBF142E"/>
    <w:rsid w:val="6ED722D3"/>
    <w:rsid w:val="6EE175F6"/>
    <w:rsid w:val="6F24190C"/>
    <w:rsid w:val="6F7C2E7B"/>
    <w:rsid w:val="6FC36D9E"/>
    <w:rsid w:val="6FE70C3C"/>
    <w:rsid w:val="70076BE8"/>
    <w:rsid w:val="70852D97"/>
    <w:rsid w:val="70A47AAD"/>
    <w:rsid w:val="70AE40C7"/>
    <w:rsid w:val="70C25205"/>
    <w:rsid w:val="70DA254F"/>
    <w:rsid w:val="70E51DA8"/>
    <w:rsid w:val="70F20FE3"/>
    <w:rsid w:val="71174B27"/>
    <w:rsid w:val="71946BA2"/>
    <w:rsid w:val="71A843FB"/>
    <w:rsid w:val="71C97895"/>
    <w:rsid w:val="721E450C"/>
    <w:rsid w:val="7256750B"/>
    <w:rsid w:val="7262278F"/>
    <w:rsid w:val="72D73D3D"/>
    <w:rsid w:val="72EC6569"/>
    <w:rsid w:val="73394BB6"/>
    <w:rsid w:val="73397A01"/>
    <w:rsid w:val="736A253A"/>
    <w:rsid w:val="73A429A0"/>
    <w:rsid w:val="73AC2D59"/>
    <w:rsid w:val="73BE1CB4"/>
    <w:rsid w:val="73EC5B91"/>
    <w:rsid w:val="73FC458A"/>
    <w:rsid w:val="742E7E7F"/>
    <w:rsid w:val="74701605"/>
    <w:rsid w:val="747B5DF7"/>
    <w:rsid w:val="74C002E8"/>
    <w:rsid w:val="74CF1255"/>
    <w:rsid w:val="74E7523A"/>
    <w:rsid w:val="74FB54A4"/>
    <w:rsid w:val="751A7B05"/>
    <w:rsid w:val="75220020"/>
    <w:rsid w:val="755522F8"/>
    <w:rsid w:val="755E2DEF"/>
    <w:rsid w:val="75611CC1"/>
    <w:rsid w:val="75A03D67"/>
    <w:rsid w:val="75BF5728"/>
    <w:rsid w:val="75DD731F"/>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A92C7B"/>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D2BDC"/>
    <w:rsid w:val="792E5466"/>
    <w:rsid w:val="79435553"/>
    <w:rsid w:val="794672BF"/>
    <w:rsid w:val="79E263BE"/>
    <w:rsid w:val="7A064282"/>
    <w:rsid w:val="7A3C1D44"/>
    <w:rsid w:val="7A9E283F"/>
    <w:rsid w:val="7AC77F2D"/>
    <w:rsid w:val="7ACB4CB6"/>
    <w:rsid w:val="7ADD5362"/>
    <w:rsid w:val="7B036E36"/>
    <w:rsid w:val="7B0E3521"/>
    <w:rsid w:val="7B1A0118"/>
    <w:rsid w:val="7B31160A"/>
    <w:rsid w:val="7B62386D"/>
    <w:rsid w:val="7B6E2211"/>
    <w:rsid w:val="7BAD0A4E"/>
    <w:rsid w:val="7BB00E61"/>
    <w:rsid w:val="7BD227A0"/>
    <w:rsid w:val="7BF12E1F"/>
    <w:rsid w:val="7C1822AA"/>
    <w:rsid w:val="7C7C731A"/>
    <w:rsid w:val="7C85264B"/>
    <w:rsid w:val="7CA06753"/>
    <w:rsid w:val="7CB43242"/>
    <w:rsid w:val="7CB61824"/>
    <w:rsid w:val="7CBD69D7"/>
    <w:rsid w:val="7CC76395"/>
    <w:rsid w:val="7CEF2EDE"/>
    <w:rsid w:val="7D1961AD"/>
    <w:rsid w:val="7D4F7E21"/>
    <w:rsid w:val="7D7A30EF"/>
    <w:rsid w:val="7D9D293A"/>
    <w:rsid w:val="7DA51A4B"/>
    <w:rsid w:val="7E0B01EB"/>
    <w:rsid w:val="7E1E7F1F"/>
    <w:rsid w:val="7E321E60"/>
    <w:rsid w:val="7E390B0F"/>
    <w:rsid w:val="7E493D4F"/>
    <w:rsid w:val="7E5356EF"/>
    <w:rsid w:val="7E881DA7"/>
    <w:rsid w:val="7E894498"/>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next w:val="6"/>
    <w:semiHidden/>
    <w:qFormat/>
    <w:uiPriority w:val="0"/>
    <w:rPr>
      <w:rFonts w:ascii="Arial" w:hAnsi="Arial" w:eastAsia="Arial" w:cs="Arial"/>
      <w:sz w:val="21"/>
      <w:szCs w:val="21"/>
      <w:lang w:val="en-US" w:eastAsia="en-US" w:bidi="ar-SA"/>
    </w:rPr>
  </w:style>
  <w:style w:type="paragraph" w:styleId="6">
    <w:name w:val="Body Text 2"/>
    <w:basedOn w:val="1"/>
    <w:next w:val="5"/>
    <w:qFormat/>
    <w:uiPriority w:val="0"/>
    <w:pPr>
      <w:spacing w:line="500" w:lineRule="exact"/>
    </w:pPr>
    <w:rPr>
      <w:rFonts w:ascii="宋体" w:hAnsi="Times New Roman" w:eastAsia="宋体" w:cs="Times New Roman"/>
      <w:sz w:val="24"/>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6"/>
    <w:qFormat/>
    <w:uiPriority w:val="0"/>
    <w:rPr>
      <w:rFonts w:ascii="MingLiU" w:hAnsi="Times New Roman" w:eastAsia="MingLiU" w:cs="MingLiU"/>
      <w:spacing w:val="0"/>
      <w:sz w:val="22"/>
      <w:szCs w:val="22"/>
      <w:u w:val="none"/>
    </w:rPr>
  </w:style>
  <w:style w:type="character" w:customStyle="1" w:styleId="43">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4">
    <w:name w:val="标题 3 New New"/>
    <w:basedOn w:val="39"/>
    <w:next w:val="39"/>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7">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8">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9">
    <w:name w:val="UserStyle_95"/>
    <w:qFormat/>
    <w:uiPriority w:val="99"/>
    <w:pPr>
      <w:jc w:val="both"/>
      <w:textAlignment w:val="baseline"/>
    </w:pPr>
    <w:rPr>
      <w:rFonts w:ascii="Times New Roman" w:hAnsi="Times New Roman" w:eastAsia="楷体_GB2312"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7" Type="http://schemas.openxmlformats.org/officeDocument/2006/relationships/fontTable" Target="fontTable.xml"/><Relationship Id="rId56" Type="http://schemas.openxmlformats.org/officeDocument/2006/relationships/numbering" Target="numbering.xml"/><Relationship Id="rId55" Type="http://schemas.openxmlformats.org/officeDocument/2006/relationships/customXml" Target="../customXml/item1.xml"/><Relationship Id="rId54" Type="http://schemas.openxmlformats.org/officeDocument/2006/relationships/image" Target="media/image17.png"/><Relationship Id="rId53" Type="http://schemas.openxmlformats.org/officeDocument/2006/relationships/image" Target="media/image16.jpeg"/><Relationship Id="rId52" Type="http://schemas.openxmlformats.org/officeDocument/2006/relationships/image" Target="media/image15.png"/><Relationship Id="rId51" Type="http://schemas.openxmlformats.org/officeDocument/2006/relationships/image" Target="media/image14.png"/><Relationship Id="rId50" Type="http://schemas.openxmlformats.org/officeDocument/2006/relationships/image" Target="media/image13.wmf"/><Relationship Id="rId5" Type="http://schemas.openxmlformats.org/officeDocument/2006/relationships/footer" Target="footer1.xml"/><Relationship Id="rId49" Type="http://schemas.openxmlformats.org/officeDocument/2006/relationships/oleObject" Target="embeddings/oleObject12.bin"/><Relationship Id="rId48" Type="http://schemas.openxmlformats.org/officeDocument/2006/relationships/image" Target="media/image12.wmf"/><Relationship Id="rId47" Type="http://schemas.openxmlformats.org/officeDocument/2006/relationships/oleObject" Target="embeddings/oleObject11.bin"/><Relationship Id="rId46" Type="http://schemas.openxmlformats.org/officeDocument/2006/relationships/image" Target="media/image11.wmf"/><Relationship Id="rId45" Type="http://schemas.openxmlformats.org/officeDocument/2006/relationships/oleObject" Target="embeddings/oleObject10.bin"/><Relationship Id="rId44" Type="http://schemas.openxmlformats.org/officeDocument/2006/relationships/image" Target="media/image10.wmf"/><Relationship Id="rId43" Type="http://schemas.openxmlformats.org/officeDocument/2006/relationships/oleObject" Target="embeddings/oleObject9.bin"/><Relationship Id="rId42" Type="http://schemas.openxmlformats.org/officeDocument/2006/relationships/image" Target="media/image9.wmf"/><Relationship Id="rId41" Type="http://schemas.openxmlformats.org/officeDocument/2006/relationships/oleObject" Target="embeddings/oleObject8.bin"/><Relationship Id="rId40" Type="http://schemas.openxmlformats.org/officeDocument/2006/relationships/image" Target="media/image8.wmf"/><Relationship Id="rId4" Type="http://schemas.openxmlformats.org/officeDocument/2006/relationships/header" Target="header2.xml"/><Relationship Id="rId39" Type="http://schemas.openxmlformats.org/officeDocument/2006/relationships/oleObject" Target="embeddings/oleObject7.bin"/><Relationship Id="rId38" Type="http://schemas.openxmlformats.org/officeDocument/2006/relationships/image" Target="media/image7.wmf"/><Relationship Id="rId37" Type="http://schemas.openxmlformats.org/officeDocument/2006/relationships/oleObject" Target="embeddings/oleObject6.bin"/><Relationship Id="rId36" Type="http://schemas.openxmlformats.org/officeDocument/2006/relationships/image" Target="media/image6.wmf"/><Relationship Id="rId35" Type="http://schemas.openxmlformats.org/officeDocument/2006/relationships/oleObject" Target="embeddings/oleObject5.bin"/><Relationship Id="rId34" Type="http://schemas.openxmlformats.org/officeDocument/2006/relationships/image" Target="media/image5.wmf"/><Relationship Id="rId33" Type="http://schemas.openxmlformats.org/officeDocument/2006/relationships/oleObject" Target="embeddings/oleObject4.bin"/><Relationship Id="rId32" Type="http://schemas.openxmlformats.org/officeDocument/2006/relationships/image" Target="media/image4.wmf"/><Relationship Id="rId31" Type="http://schemas.openxmlformats.org/officeDocument/2006/relationships/oleObject" Target="embeddings/oleObject3.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2.wmf"/><Relationship Id="rId27" Type="http://schemas.openxmlformats.org/officeDocument/2006/relationships/oleObject" Target="embeddings/oleObject1.bin"/><Relationship Id="rId26" Type="http://schemas.openxmlformats.org/officeDocument/2006/relationships/image" Target="media/image1.png"/><Relationship Id="rId25" Type="http://schemas.openxmlformats.org/officeDocument/2006/relationships/theme" Target="theme/theme1.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7922</Words>
  <Characters>8531</Characters>
  <Lines>0</Lines>
  <Paragraphs>0</Paragraphs>
  <TotalTime>5</TotalTime>
  <ScaleCrop>false</ScaleCrop>
  <LinksUpToDate>false</LinksUpToDate>
  <CharactersWithSpaces>8869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刘聪、</cp:lastModifiedBy>
  <cp:lastPrinted>2026-07-09T07:04:00Z</cp:lastPrinted>
  <dcterms:modified xsi:type="dcterms:W3CDTF">2026-07-13T03:38:26Z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302624AB7C9440E3B962F8993B40175B_13</vt:lpwstr>
  </property>
  <property fmtid="{D5CDD505-2E9C-101B-9397-08002B2CF9AE}" pid="4" name="KSOTemplateDocerSaveRecord">
    <vt:lpwstr>eyJoZGlkIjoiZTE2MmJjZTY4MTc3YzQxMGVmOGU1MzgwMDJhZmUxYTgiLCJ1c2VySWQiOiI2MjI1MzA2MDkifQ==</vt:lpwstr>
  </property>
</Properties>
</file>