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49D5B">
      <w:pPr>
        <w:pStyle w:val="53"/>
        <w:spacing w:line="360" w:lineRule="auto"/>
        <w:jc w:val="center"/>
        <w:rPr>
          <w:rFonts w:ascii="宋体" w:hAnsi="宋体" w:eastAsia="宋体" w:cs="宋体"/>
          <w:b/>
          <w:bCs/>
          <w:color w:val="auto"/>
          <w:sz w:val="48"/>
          <w:szCs w:val="48"/>
          <w:highlight w:val="none"/>
        </w:rPr>
      </w:pPr>
      <w:bookmarkStart w:id="0" w:name="_Hlt111690251"/>
    </w:p>
    <w:p w14:paraId="084DE8D4">
      <w:pPr>
        <w:pStyle w:val="53"/>
        <w:snapToGrid w:val="0"/>
        <w:spacing w:line="240" w:lineRule="auto"/>
        <w:jc w:val="center"/>
        <w:rPr>
          <w:rFonts w:hint="eastAsia" w:ascii="宋体" w:hAnsi="宋体" w:eastAsia="宋体" w:cs="宋体"/>
          <w:b/>
          <w:bCs/>
          <w:color w:val="auto"/>
          <w:spacing w:val="26"/>
          <w:sz w:val="48"/>
          <w:szCs w:val="48"/>
          <w:highlight w:val="none"/>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z w:val="48"/>
          <w:szCs w:val="48"/>
          <w:highlight w:val="none"/>
          <w:lang w:eastAsia="zh-CN"/>
        </w:rPr>
        <w:t>韶关市第一人民医院旧院区病房改造及能力提升建设项目方案、初步设计、概算编制项目</w:t>
      </w:r>
    </w:p>
    <w:p w14:paraId="483ED2F0">
      <w:pPr>
        <w:pStyle w:val="53"/>
        <w:spacing w:line="360" w:lineRule="auto"/>
        <w:rPr>
          <w:rFonts w:ascii="宋体" w:hAnsi="宋体" w:eastAsia="宋体" w:cs="宋体"/>
          <w:b/>
          <w:bCs/>
          <w:color w:val="auto"/>
          <w:spacing w:val="26"/>
          <w:sz w:val="48"/>
          <w:szCs w:val="48"/>
          <w:highlight w:val="none"/>
          <w14:shadow w14:blurRad="50800" w14:dist="38100" w14:dir="2700000" w14:sx="100000" w14:sy="100000" w14:kx="0" w14:ky="0" w14:algn="tl">
            <w14:srgbClr w14:val="000000">
              <w14:alpha w14:val="60000"/>
            </w14:srgbClr>
          </w14:shadow>
        </w:rPr>
      </w:pPr>
    </w:p>
    <w:p w14:paraId="7AA4A684">
      <w:pPr>
        <w:pStyle w:val="53"/>
        <w:spacing w:line="360" w:lineRule="auto"/>
        <w:rPr>
          <w:rFonts w:ascii="宋体" w:hAnsi="宋体" w:eastAsia="宋体" w:cs="宋体"/>
          <w:b/>
          <w:bCs/>
          <w:color w:val="auto"/>
          <w:spacing w:val="26"/>
          <w:sz w:val="48"/>
          <w:szCs w:val="48"/>
          <w:highlight w:val="none"/>
          <w14:shadow w14:blurRad="50800" w14:dist="38100" w14:dir="2700000" w14:sx="100000" w14:sy="100000" w14:kx="0" w14:ky="0" w14:algn="tl">
            <w14:srgbClr w14:val="000000">
              <w14:alpha w14:val="60000"/>
            </w14:srgbClr>
          </w14:shadow>
        </w:rPr>
      </w:pPr>
    </w:p>
    <w:p w14:paraId="05EFBEB0">
      <w:pPr>
        <w:pStyle w:val="53"/>
        <w:spacing w:line="360" w:lineRule="auto"/>
        <w:jc w:val="center"/>
        <w:rPr>
          <w:rFonts w:ascii="宋体" w:hAnsi="宋体" w:eastAsia="宋体" w:cs="宋体"/>
          <w:b/>
          <w:bCs/>
          <w:color w:val="auto"/>
          <w:spacing w:val="26"/>
          <w:sz w:val="52"/>
          <w:szCs w:val="52"/>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pacing w:val="28"/>
          <w:sz w:val="84"/>
          <w:szCs w:val="84"/>
          <w:highlight w:val="none"/>
        </w:rPr>
        <w:t>招标文件</w:t>
      </w:r>
    </w:p>
    <w:p w14:paraId="221D4CF1">
      <w:pPr>
        <w:pStyle w:val="53"/>
        <w:spacing w:line="360" w:lineRule="auto"/>
        <w:rPr>
          <w:rFonts w:ascii="宋体" w:hAnsi="宋体" w:eastAsia="宋体" w:cs="宋体"/>
          <w:b/>
          <w:bCs/>
          <w:color w:val="auto"/>
          <w:spacing w:val="26"/>
          <w:sz w:val="48"/>
          <w:szCs w:val="48"/>
          <w:highlight w:val="none"/>
          <w14:shadow w14:blurRad="50800" w14:dist="38100" w14:dir="2700000" w14:sx="100000" w14:sy="100000" w14:kx="0" w14:ky="0" w14:algn="tl">
            <w14:srgbClr w14:val="000000">
              <w14:alpha w14:val="60000"/>
            </w14:srgbClr>
          </w14:shadow>
        </w:rPr>
      </w:pPr>
    </w:p>
    <w:p w14:paraId="1E0B12F7">
      <w:pPr>
        <w:pStyle w:val="53"/>
        <w:spacing w:line="360" w:lineRule="auto"/>
        <w:rPr>
          <w:rFonts w:ascii="宋体" w:hAnsi="宋体" w:eastAsia="宋体" w:cs="宋体"/>
          <w:b/>
          <w:bCs/>
          <w:color w:val="auto"/>
          <w:spacing w:val="26"/>
          <w:sz w:val="48"/>
          <w:szCs w:val="48"/>
          <w:highlight w:val="none"/>
          <w14:shadow w14:blurRad="50800" w14:dist="38100" w14:dir="2700000" w14:sx="100000" w14:sy="100000" w14:kx="0" w14:ky="0" w14:algn="tl">
            <w14:srgbClr w14:val="000000">
              <w14:alpha w14:val="60000"/>
            </w14:srgbClr>
          </w14:shadow>
        </w:rPr>
      </w:pPr>
    </w:p>
    <w:tbl>
      <w:tblPr>
        <w:tblStyle w:val="27"/>
        <w:tblpPr w:leftFromText="180" w:rightFromText="180" w:vertAnchor="text" w:horzAnchor="page" w:tblpX="1312" w:tblpY="423"/>
        <w:tblOverlap w:val="never"/>
        <w:tblW w:w="9567" w:type="dxa"/>
        <w:tblInd w:w="0" w:type="dxa"/>
        <w:tblLayout w:type="fixed"/>
        <w:tblCellMar>
          <w:top w:w="0" w:type="dxa"/>
          <w:left w:w="0" w:type="dxa"/>
          <w:bottom w:w="0" w:type="dxa"/>
          <w:right w:w="0" w:type="dxa"/>
        </w:tblCellMar>
      </w:tblPr>
      <w:tblGrid>
        <w:gridCol w:w="4768"/>
        <w:gridCol w:w="4799"/>
      </w:tblGrid>
      <w:tr w14:paraId="0F101E5A">
        <w:tblPrEx>
          <w:tblCellMar>
            <w:top w:w="0" w:type="dxa"/>
            <w:left w:w="0" w:type="dxa"/>
            <w:bottom w:w="0" w:type="dxa"/>
            <w:right w:w="0" w:type="dxa"/>
          </w:tblCellMar>
        </w:tblPrEx>
        <w:trPr>
          <w:trHeight w:val="782" w:hRule="atLeast"/>
        </w:trPr>
        <w:tc>
          <w:tcPr>
            <w:tcW w:w="4768" w:type="dxa"/>
            <w:vAlign w:val="center"/>
          </w:tcPr>
          <w:p w14:paraId="56AF5207">
            <w:pPr>
              <w:pStyle w:val="54"/>
              <w:spacing w:line="240" w:lineRule="auto"/>
              <w:jc w:val="left"/>
              <w:rPr>
                <w:rFonts w:hAnsi="宋体" w:cs="宋体"/>
                <w:color w:val="auto"/>
                <w:sz w:val="28"/>
                <w:highlight w:val="none"/>
              </w:rPr>
            </w:pPr>
            <w:r>
              <w:rPr>
                <w:rFonts w:hint="eastAsia" w:hAnsi="宋体" w:cs="宋体"/>
                <w:color w:val="auto"/>
                <w:sz w:val="28"/>
                <w:highlight w:val="none"/>
              </w:rPr>
              <w:t xml:space="preserve"> 招        标        人（盖 章）：</w:t>
            </w:r>
          </w:p>
        </w:tc>
        <w:tc>
          <w:tcPr>
            <w:tcW w:w="4799" w:type="dxa"/>
            <w:vAlign w:val="center"/>
          </w:tcPr>
          <w:p w14:paraId="42E28EE8">
            <w:pPr>
              <w:pStyle w:val="54"/>
              <w:spacing w:line="240" w:lineRule="auto"/>
              <w:rPr>
                <w:rFonts w:hint="eastAsia" w:hAnsi="宋体" w:eastAsia="宋体" w:cs="宋体"/>
                <w:color w:val="auto"/>
                <w:kern w:val="0"/>
                <w:szCs w:val="24"/>
                <w:highlight w:val="none"/>
                <w:lang w:eastAsia="zh-CN"/>
              </w:rPr>
            </w:pPr>
            <w:r>
              <w:rPr>
                <w:rFonts w:hint="eastAsia" w:hAnsi="宋体" w:cs="宋体"/>
                <w:color w:val="auto"/>
                <w:kern w:val="0"/>
                <w:sz w:val="28"/>
                <w:szCs w:val="28"/>
                <w:highlight w:val="none"/>
                <w:lang w:eastAsia="zh-CN"/>
              </w:rPr>
              <w:t>韶关市第一人民医院</w:t>
            </w:r>
          </w:p>
        </w:tc>
      </w:tr>
      <w:tr w14:paraId="1E0F8699">
        <w:tblPrEx>
          <w:tblCellMar>
            <w:top w:w="0" w:type="dxa"/>
            <w:left w:w="0" w:type="dxa"/>
            <w:bottom w:w="0" w:type="dxa"/>
            <w:right w:w="0" w:type="dxa"/>
          </w:tblCellMar>
        </w:tblPrEx>
        <w:trPr>
          <w:trHeight w:val="782" w:hRule="atLeast"/>
        </w:trPr>
        <w:tc>
          <w:tcPr>
            <w:tcW w:w="4768" w:type="dxa"/>
            <w:vAlign w:val="center"/>
          </w:tcPr>
          <w:p w14:paraId="5A2CCD48">
            <w:pPr>
              <w:pStyle w:val="54"/>
              <w:spacing w:line="240" w:lineRule="auto"/>
              <w:jc w:val="left"/>
              <w:rPr>
                <w:rFonts w:hAnsi="宋体" w:cs="宋体"/>
                <w:color w:val="auto"/>
                <w:sz w:val="28"/>
                <w:highlight w:val="none"/>
              </w:rPr>
            </w:pPr>
            <w:r>
              <w:rPr>
                <w:rFonts w:hint="eastAsia" w:hAnsi="宋体" w:cs="宋体"/>
                <w:color w:val="auto"/>
                <w:sz w:val="28"/>
                <w:highlight w:val="none"/>
              </w:rPr>
              <w:t xml:space="preserve"> 招标人工作领导小组负责人（签字）：</w:t>
            </w:r>
          </w:p>
        </w:tc>
        <w:tc>
          <w:tcPr>
            <w:tcW w:w="4799" w:type="dxa"/>
            <w:vAlign w:val="center"/>
          </w:tcPr>
          <w:p w14:paraId="757E86FC">
            <w:pPr>
              <w:pStyle w:val="54"/>
              <w:spacing w:line="240" w:lineRule="auto"/>
              <w:rPr>
                <w:rFonts w:hAnsi="宋体" w:cs="宋体"/>
                <w:color w:val="auto"/>
                <w:sz w:val="28"/>
                <w:szCs w:val="28"/>
                <w:highlight w:val="none"/>
              </w:rPr>
            </w:pPr>
          </w:p>
        </w:tc>
      </w:tr>
      <w:tr w14:paraId="3F423AC6">
        <w:tblPrEx>
          <w:tblCellMar>
            <w:top w:w="0" w:type="dxa"/>
            <w:left w:w="0" w:type="dxa"/>
            <w:bottom w:w="0" w:type="dxa"/>
            <w:right w:w="0" w:type="dxa"/>
          </w:tblCellMar>
        </w:tblPrEx>
        <w:trPr>
          <w:trHeight w:val="767" w:hRule="atLeast"/>
        </w:trPr>
        <w:tc>
          <w:tcPr>
            <w:tcW w:w="4768" w:type="dxa"/>
            <w:vAlign w:val="center"/>
          </w:tcPr>
          <w:p w14:paraId="27188C9A">
            <w:pPr>
              <w:pStyle w:val="54"/>
              <w:spacing w:line="240" w:lineRule="auto"/>
              <w:jc w:val="left"/>
              <w:rPr>
                <w:rFonts w:hAnsi="宋体" w:cs="宋体"/>
                <w:color w:val="auto"/>
                <w:sz w:val="28"/>
                <w:highlight w:val="none"/>
              </w:rPr>
            </w:pPr>
            <w:r>
              <w:rPr>
                <w:rFonts w:hint="eastAsia" w:hAnsi="宋体" w:cs="宋体"/>
                <w:color w:val="auto"/>
                <w:sz w:val="28"/>
                <w:highlight w:val="none"/>
              </w:rPr>
              <w:t xml:space="preserve"> 招  标  代  理  机  构 （盖 章）：</w:t>
            </w:r>
          </w:p>
        </w:tc>
        <w:tc>
          <w:tcPr>
            <w:tcW w:w="4799" w:type="dxa"/>
            <w:vAlign w:val="center"/>
          </w:tcPr>
          <w:p w14:paraId="5BE2BE18">
            <w:pPr>
              <w:pStyle w:val="54"/>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广东省机电设备招标有限公司</w:t>
            </w:r>
          </w:p>
        </w:tc>
      </w:tr>
      <w:tr w14:paraId="687B2658">
        <w:tblPrEx>
          <w:tblCellMar>
            <w:top w:w="0" w:type="dxa"/>
            <w:left w:w="0" w:type="dxa"/>
            <w:bottom w:w="0" w:type="dxa"/>
            <w:right w:w="0" w:type="dxa"/>
          </w:tblCellMar>
        </w:tblPrEx>
        <w:trPr>
          <w:trHeight w:val="831" w:hRule="atLeast"/>
        </w:trPr>
        <w:tc>
          <w:tcPr>
            <w:tcW w:w="4768" w:type="dxa"/>
            <w:vAlign w:val="center"/>
          </w:tcPr>
          <w:p w14:paraId="004D5D56">
            <w:pPr>
              <w:pStyle w:val="54"/>
              <w:spacing w:line="240" w:lineRule="auto"/>
              <w:jc w:val="left"/>
              <w:rPr>
                <w:rFonts w:hAnsi="宋体" w:cs="宋体"/>
                <w:color w:val="auto"/>
                <w:sz w:val="28"/>
                <w:highlight w:val="none"/>
              </w:rPr>
            </w:pPr>
            <w:r>
              <w:rPr>
                <w:rFonts w:hint="eastAsia" w:hAnsi="宋体" w:cs="宋体"/>
                <w:color w:val="auto"/>
                <w:sz w:val="28"/>
                <w:highlight w:val="none"/>
              </w:rPr>
              <w:t xml:space="preserve"> 招  标  文  件  编  制  人（签字）：</w:t>
            </w:r>
          </w:p>
        </w:tc>
        <w:tc>
          <w:tcPr>
            <w:tcW w:w="4799" w:type="dxa"/>
            <w:vAlign w:val="center"/>
          </w:tcPr>
          <w:p w14:paraId="33242129">
            <w:pPr>
              <w:pStyle w:val="54"/>
              <w:spacing w:line="240" w:lineRule="auto"/>
              <w:rPr>
                <w:rFonts w:hAnsi="宋体" w:cs="宋体"/>
                <w:color w:val="auto"/>
                <w:sz w:val="28"/>
                <w:szCs w:val="28"/>
                <w:highlight w:val="none"/>
              </w:rPr>
            </w:pPr>
          </w:p>
        </w:tc>
      </w:tr>
      <w:tr w14:paraId="5F323A78">
        <w:tblPrEx>
          <w:tblCellMar>
            <w:top w:w="0" w:type="dxa"/>
            <w:left w:w="0" w:type="dxa"/>
            <w:bottom w:w="0" w:type="dxa"/>
            <w:right w:w="0" w:type="dxa"/>
          </w:tblCellMar>
        </w:tblPrEx>
        <w:trPr>
          <w:trHeight w:val="767" w:hRule="atLeast"/>
        </w:trPr>
        <w:tc>
          <w:tcPr>
            <w:tcW w:w="4768" w:type="dxa"/>
            <w:vAlign w:val="center"/>
          </w:tcPr>
          <w:p w14:paraId="0B8EB540">
            <w:pPr>
              <w:pStyle w:val="54"/>
              <w:wordWrap w:val="0"/>
              <w:spacing w:line="240" w:lineRule="auto"/>
              <w:jc w:val="left"/>
              <w:rPr>
                <w:rFonts w:hAnsi="宋体" w:cs="宋体"/>
                <w:color w:val="auto"/>
                <w:sz w:val="28"/>
                <w:highlight w:val="none"/>
              </w:rPr>
            </w:pPr>
            <w:r>
              <w:rPr>
                <w:rFonts w:hint="eastAsia" w:hAnsi="宋体" w:cs="宋体"/>
                <w:color w:val="auto"/>
                <w:sz w:val="28"/>
                <w:highlight w:val="none"/>
              </w:rPr>
              <w:t xml:space="preserve"> 招标 代理 机构 项目负责人（签字）：</w:t>
            </w:r>
          </w:p>
        </w:tc>
        <w:tc>
          <w:tcPr>
            <w:tcW w:w="4799" w:type="dxa"/>
            <w:vAlign w:val="center"/>
          </w:tcPr>
          <w:p w14:paraId="4EE85E7A">
            <w:pPr>
              <w:pStyle w:val="54"/>
              <w:spacing w:line="240" w:lineRule="auto"/>
              <w:rPr>
                <w:rFonts w:hAnsi="宋体" w:cs="宋体"/>
                <w:color w:val="auto"/>
                <w:sz w:val="28"/>
                <w:szCs w:val="28"/>
                <w:highlight w:val="none"/>
              </w:rPr>
            </w:pPr>
          </w:p>
        </w:tc>
      </w:tr>
      <w:tr w14:paraId="7D52239D">
        <w:tblPrEx>
          <w:tblCellMar>
            <w:top w:w="0" w:type="dxa"/>
            <w:left w:w="0" w:type="dxa"/>
            <w:bottom w:w="0" w:type="dxa"/>
            <w:right w:w="0" w:type="dxa"/>
          </w:tblCellMar>
        </w:tblPrEx>
        <w:trPr>
          <w:trHeight w:val="768" w:hRule="atLeast"/>
        </w:trPr>
        <w:tc>
          <w:tcPr>
            <w:tcW w:w="4768" w:type="dxa"/>
            <w:vAlign w:val="center"/>
          </w:tcPr>
          <w:p w14:paraId="3242EA59">
            <w:pPr>
              <w:pStyle w:val="54"/>
              <w:wordWrap w:val="0"/>
              <w:spacing w:line="240" w:lineRule="auto"/>
              <w:jc w:val="left"/>
              <w:rPr>
                <w:rFonts w:hAnsi="宋体" w:cs="宋体"/>
                <w:color w:val="auto"/>
                <w:sz w:val="28"/>
                <w:highlight w:val="none"/>
              </w:rPr>
            </w:pPr>
            <w:r>
              <w:rPr>
                <w:rFonts w:hint="eastAsia" w:hAnsi="宋体" w:cs="宋体"/>
                <w:color w:val="auto"/>
                <w:sz w:val="28"/>
                <w:highlight w:val="none"/>
              </w:rPr>
              <w:t xml:space="preserve"> 招  标  文  件  编  制  日  期：</w:t>
            </w:r>
          </w:p>
        </w:tc>
        <w:tc>
          <w:tcPr>
            <w:tcW w:w="4799" w:type="dxa"/>
            <w:vAlign w:val="center"/>
          </w:tcPr>
          <w:p w14:paraId="6D8CD262">
            <w:pPr>
              <w:pStyle w:val="54"/>
              <w:spacing w:line="240" w:lineRule="auto"/>
              <w:rPr>
                <w:rFonts w:hAnsi="宋体" w:cs="宋体"/>
                <w:color w:val="auto"/>
                <w:sz w:val="28"/>
                <w:highlight w:val="none"/>
              </w:rPr>
            </w:pPr>
            <w:r>
              <w:rPr>
                <w:rFonts w:hint="eastAsia" w:hAnsi="宋体" w:cs="宋体"/>
                <w:color w:val="auto"/>
                <w:sz w:val="28"/>
                <w:highlight w:val="none"/>
              </w:rPr>
              <w:t>202</w:t>
            </w:r>
            <w:r>
              <w:rPr>
                <w:rFonts w:hint="eastAsia" w:hAnsi="宋体" w:cs="宋体"/>
                <w:color w:val="auto"/>
                <w:sz w:val="28"/>
                <w:highlight w:val="none"/>
                <w:lang w:val="en-US" w:eastAsia="zh-CN"/>
              </w:rPr>
              <w:t>6</w:t>
            </w:r>
            <w:r>
              <w:rPr>
                <w:rFonts w:hint="eastAsia" w:hAnsi="宋体" w:cs="宋体"/>
                <w:color w:val="auto"/>
                <w:sz w:val="28"/>
                <w:highlight w:val="none"/>
              </w:rPr>
              <w:t>年</w:t>
            </w:r>
            <w:r>
              <w:rPr>
                <w:rFonts w:hint="eastAsia" w:hAnsi="宋体" w:cs="宋体"/>
                <w:color w:val="auto"/>
                <w:sz w:val="28"/>
                <w:highlight w:val="none"/>
                <w:lang w:val="en-US" w:eastAsia="zh-CN"/>
              </w:rPr>
              <w:t>6</w:t>
            </w:r>
            <w:r>
              <w:rPr>
                <w:rFonts w:hint="eastAsia" w:hAnsi="宋体" w:cs="宋体"/>
                <w:color w:val="auto"/>
                <w:sz w:val="28"/>
                <w:highlight w:val="none"/>
              </w:rPr>
              <w:t>月</w:t>
            </w:r>
          </w:p>
        </w:tc>
      </w:tr>
    </w:tbl>
    <w:p w14:paraId="58879B25">
      <w:pPr>
        <w:pStyle w:val="36"/>
        <w:tabs>
          <w:tab w:val="left" w:pos="4935"/>
        </w:tabs>
        <w:rPr>
          <w:rFonts w:hAnsi="宋体" w:cs="宋体"/>
          <w:b/>
          <w:color w:val="auto"/>
          <w:sz w:val="28"/>
          <w:szCs w:val="28"/>
          <w:highlight w:val="none"/>
        </w:rPr>
        <w:sectPr>
          <w:footerReference r:id="rId3" w:type="default"/>
          <w:endnotePr>
            <w:numFmt w:val="decimal"/>
          </w:endnotePr>
          <w:pgSz w:w="11906" w:h="16838"/>
          <w:pgMar w:top="1440" w:right="1400" w:bottom="1440" w:left="14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1A6B4862">
      <w:pPr>
        <w:rPr>
          <w:rFonts w:ascii="宋体" w:hAnsi="宋体" w:cs="宋体"/>
          <w:b/>
          <w:color w:val="auto"/>
          <w:sz w:val="48"/>
          <w:szCs w:val="48"/>
          <w:highlight w:val="none"/>
        </w:rPr>
      </w:pPr>
    </w:p>
    <w:p w14:paraId="0F7742D6">
      <w:pPr>
        <w:pStyle w:val="35"/>
        <w:spacing w:line="240" w:lineRule="auto"/>
        <w:ind w:left="0" w:firstLine="562" w:firstLineChars="200"/>
        <w:jc w:val="center"/>
        <w:rPr>
          <w:rFonts w:hAnsi="宋体" w:cs="宋体"/>
          <w:b/>
          <w:color w:val="auto"/>
          <w:sz w:val="28"/>
          <w:szCs w:val="28"/>
          <w:highlight w:val="none"/>
        </w:rPr>
        <w:sectPr>
          <w:headerReference r:id="rId4" w:type="default"/>
          <w:footerReference r:id="rId5" w:type="default"/>
          <w:endnotePr>
            <w:numFmt w:val="decimal"/>
          </w:endnotePr>
          <w:pgSz w:w="11905" w:h="16838"/>
          <w:pgMar w:top="1440" w:right="1080" w:bottom="1440" w:left="1080" w:header="850" w:footer="992" w:gutter="0"/>
          <w:pgBorders>
            <w:top w:val="none" w:sz="0" w:space="0"/>
            <w:left w:val="none" w:sz="0" w:space="0"/>
            <w:bottom w:val="none" w:sz="0" w:space="0"/>
            <w:right w:val="none" w:sz="0" w:space="0"/>
          </w:pgBorders>
          <w:pgNumType w:start="1"/>
          <w:cols w:space="720" w:num="1"/>
          <w:docGrid w:type="lines" w:linePitch="317" w:charSpace="0"/>
        </w:sectPr>
      </w:pPr>
    </w:p>
    <w:p w14:paraId="4AB2C025">
      <w:pPr>
        <w:pStyle w:val="35"/>
        <w:spacing w:line="440" w:lineRule="exact"/>
        <w:ind w:left="0" w:firstLine="562" w:firstLineChars="200"/>
        <w:jc w:val="center"/>
        <w:rPr>
          <w:rFonts w:hAnsi="宋体" w:cs="宋体"/>
          <w:color w:val="auto"/>
          <w:szCs w:val="24"/>
          <w:highlight w:val="none"/>
        </w:rPr>
      </w:pPr>
      <w:r>
        <w:rPr>
          <w:rFonts w:hint="eastAsia" w:hAnsi="宋体" w:cs="宋体"/>
          <w:b/>
          <w:color w:val="auto"/>
          <w:sz w:val="28"/>
          <w:szCs w:val="28"/>
          <w:highlight w:val="none"/>
        </w:rPr>
        <w:t>目    录</w:t>
      </w:r>
      <w:bookmarkStart w:id="1" w:name="_Hlt68775471"/>
      <w:bookmarkStart w:id="2" w:name="_Hlt69333523"/>
      <w:r>
        <w:rPr>
          <w:rFonts w:hint="eastAsia" w:hAnsi="宋体" w:cs="宋体"/>
          <w:color w:val="auto"/>
          <w:szCs w:val="24"/>
          <w:highlight w:val="none"/>
        </w:rPr>
        <w:fldChar w:fldCharType="begin"/>
      </w:r>
      <w:r>
        <w:rPr>
          <w:rFonts w:hint="eastAsia" w:hAnsi="宋体" w:cs="宋体"/>
          <w:color w:val="auto"/>
          <w:szCs w:val="24"/>
          <w:highlight w:val="none"/>
        </w:rPr>
        <w:instrText xml:space="preserve"> TOC \o "1-4" \h \z </w:instrText>
      </w:r>
      <w:r>
        <w:rPr>
          <w:rFonts w:hint="eastAsia" w:hAnsi="宋体" w:cs="宋体"/>
          <w:color w:val="auto"/>
          <w:szCs w:val="24"/>
          <w:highlight w:val="none"/>
        </w:rPr>
        <w:fldChar w:fldCharType="separate"/>
      </w:r>
    </w:p>
    <w:p w14:paraId="4C935751">
      <w:pPr>
        <w:pStyle w:val="22"/>
        <w:tabs>
          <w:tab w:val="right" w:leader="dot" w:pos="9745"/>
        </w:tabs>
        <w:spacing w:line="288"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"_Toc4203" </w:instrText>
      </w:r>
      <w:r>
        <w:rPr>
          <w:color w:val="auto"/>
          <w:highlight w:val="none"/>
        </w:rPr>
        <w:fldChar w:fldCharType="separate"/>
      </w:r>
      <w:r>
        <w:rPr>
          <w:rFonts w:hint="eastAsia" w:ascii="宋体" w:hAnsi="宋体" w:cs="宋体"/>
          <w:color w:val="auto"/>
          <w:sz w:val="24"/>
          <w:szCs w:val="24"/>
          <w:highlight w:val="none"/>
        </w:rPr>
        <w:t>第一节 投标人须知前附表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_Toc4203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DA8A251">
      <w:pPr>
        <w:pStyle w:val="22"/>
        <w:tabs>
          <w:tab w:val="right" w:leader="dot" w:pos="9745"/>
        </w:tabs>
        <w:spacing w:line="288"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"_Toc10094" </w:instrText>
      </w:r>
      <w:r>
        <w:rPr>
          <w:color w:val="auto"/>
          <w:highlight w:val="none"/>
        </w:rPr>
        <w:fldChar w:fldCharType="separate"/>
      </w:r>
      <w:r>
        <w:rPr>
          <w:rFonts w:hint="eastAsia" w:ascii="宋体" w:hAnsi="宋体" w:cs="宋体"/>
          <w:color w:val="auto"/>
          <w:sz w:val="24"/>
          <w:szCs w:val="24"/>
          <w:highlight w:val="none"/>
        </w:rPr>
        <w:t>第二节 重要事项时间地点一览表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_Toc10094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6C061C8">
      <w:pPr>
        <w:pStyle w:val="20"/>
        <w:tabs>
          <w:tab w:val="right" w:leader="dot" w:pos="9745"/>
        </w:tabs>
        <w:spacing w:line="288" w:lineRule="auto"/>
        <w:ind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"_Toc31499" </w:instrText>
      </w:r>
      <w:r>
        <w:rPr>
          <w:color w:val="auto"/>
          <w:highlight w:val="none"/>
        </w:rPr>
        <w:fldChar w:fldCharType="separate"/>
      </w:r>
      <w:r>
        <w:rPr>
          <w:rFonts w:hint="eastAsia" w:ascii="宋体" w:hAnsi="宋体" w:cs="宋体"/>
          <w:color w:val="auto"/>
          <w:sz w:val="24"/>
          <w:szCs w:val="24"/>
          <w:highlight w:val="none"/>
        </w:rPr>
        <w:t>第三节 投标人须知正文</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_Toc31499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BD6F1DD">
      <w:pPr>
        <w:pStyle w:val="22"/>
        <w:tabs>
          <w:tab w:val="right" w:leader="dot" w:pos="9745"/>
        </w:tabs>
        <w:spacing w:line="288"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"_Toc12018" </w:instrText>
      </w:r>
      <w:r>
        <w:rPr>
          <w:color w:val="auto"/>
          <w:highlight w:val="none"/>
        </w:rPr>
        <w:fldChar w:fldCharType="separate"/>
      </w:r>
      <w:r>
        <w:rPr>
          <w:rFonts w:hint="eastAsia" w:ascii="宋体" w:hAnsi="宋体" w:cs="宋体"/>
          <w:color w:val="auto"/>
          <w:sz w:val="24"/>
          <w:szCs w:val="24"/>
          <w:highlight w:val="none"/>
        </w:rPr>
        <w:t>1.工程概况综合说明</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_Toc12018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8A5417A">
      <w:pPr>
        <w:pStyle w:val="22"/>
        <w:tabs>
          <w:tab w:val="right" w:leader="dot" w:pos="9745"/>
        </w:tabs>
        <w:spacing w:line="288"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"_Toc4477" </w:instrText>
      </w:r>
      <w:r>
        <w:rPr>
          <w:color w:val="auto"/>
          <w:highlight w:val="none"/>
        </w:rPr>
        <w:fldChar w:fldCharType="separate"/>
      </w:r>
      <w:r>
        <w:rPr>
          <w:rFonts w:hint="eastAsia" w:ascii="宋体" w:hAnsi="宋体" w:cs="宋体"/>
          <w:color w:val="auto"/>
          <w:sz w:val="24"/>
          <w:szCs w:val="24"/>
          <w:highlight w:val="none"/>
        </w:rPr>
        <w:t>2.招标范围</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_Toc4477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27AA77A">
      <w:pPr>
        <w:pStyle w:val="22"/>
        <w:tabs>
          <w:tab w:val="right" w:leader="dot" w:pos="9745"/>
        </w:tabs>
        <w:spacing w:line="288"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"_Toc312" </w:instrText>
      </w:r>
      <w:r>
        <w:rPr>
          <w:color w:val="auto"/>
          <w:highlight w:val="none"/>
        </w:rPr>
        <w:fldChar w:fldCharType="separate"/>
      </w:r>
      <w:r>
        <w:rPr>
          <w:rFonts w:hint="eastAsia" w:ascii="宋体" w:hAnsi="宋体" w:cs="宋体"/>
          <w:color w:val="auto"/>
          <w:sz w:val="24"/>
          <w:szCs w:val="24"/>
          <w:highlight w:val="none"/>
        </w:rPr>
        <w:t>3.工期要求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_Toc312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46F7C6E">
      <w:pPr>
        <w:pStyle w:val="22"/>
        <w:tabs>
          <w:tab w:val="right" w:leader="dot" w:pos="9745"/>
        </w:tabs>
        <w:spacing w:line="288"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"_Toc18834" </w:instrText>
      </w:r>
      <w:r>
        <w:rPr>
          <w:color w:val="auto"/>
          <w:highlight w:val="none"/>
        </w:rPr>
        <w:fldChar w:fldCharType="separate"/>
      </w:r>
      <w:r>
        <w:rPr>
          <w:rFonts w:hint="eastAsia" w:ascii="宋体" w:hAnsi="宋体" w:cs="宋体"/>
          <w:color w:val="auto"/>
          <w:sz w:val="24"/>
          <w:szCs w:val="24"/>
          <w:highlight w:val="none"/>
        </w:rPr>
        <w:t>4.投标人资质等级及人员要求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_Toc18834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1B5055CF">
      <w:pPr>
        <w:pStyle w:val="22"/>
        <w:tabs>
          <w:tab w:val="right" w:leader="dot" w:pos="9745"/>
        </w:tabs>
        <w:spacing w:line="288"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"_Toc13120" </w:instrText>
      </w:r>
      <w:r>
        <w:rPr>
          <w:color w:val="auto"/>
          <w:highlight w:val="none"/>
        </w:rPr>
        <w:fldChar w:fldCharType="separate"/>
      </w:r>
      <w:r>
        <w:rPr>
          <w:rFonts w:hint="eastAsia" w:ascii="宋体" w:hAnsi="宋体" w:cs="宋体"/>
          <w:color w:val="auto"/>
          <w:sz w:val="24"/>
          <w:szCs w:val="24"/>
          <w:highlight w:val="none"/>
        </w:rPr>
        <w:t>5.获取招标文件</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_Toc13120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101DE707">
      <w:pPr>
        <w:pStyle w:val="22"/>
        <w:tabs>
          <w:tab w:val="right" w:leader="dot" w:pos="9745"/>
        </w:tabs>
        <w:spacing w:line="288"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"_Toc10064" </w:instrText>
      </w:r>
      <w:r>
        <w:rPr>
          <w:color w:val="auto"/>
          <w:highlight w:val="none"/>
        </w:rPr>
        <w:fldChar w:fldCharType="separate"/>
      </w:r>
      <w:r>
        <w:rPr>
          <w:rFonts w:hint="eastAsia" w:ascii="宋体" w:hAnsi="宋体" w:cs="宋体"/>
          <w:color w:val="auto"/>
          <w:sz w:val="24"/>
          <w:szCs w:val="24"/>
          <w:highlight w:val="none"/>
        </w:rPr>
        <w:t>6.勘察、初步设计工程内容和质量标准</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_Toc10064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59EC0BFB">
      <w:pPr>
        <w:pStyle w:val="22"/>
        <w:tabs>
          <w:tab w:val="right" w:leader="dot" w:pos="9745"/>
        </w:tabs>
        <w:spacing w:line="288"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"_Toc11621" </w:instrText>
      </w:r>
      <w:r>
        <w:rPr>
          <w:color w:val="auto"/>
          <w:highlight w:val="none"/>
        </w:rPr>
        <w:fldChar w:fldCharType="separate"/>
      </w:r>
      <w:r>
        <w:rPr>
          <w:rFonts w:hint="eastAsia" w:ascii="宋体" w:hAnsi="宋体" w:cs="宋体"/>
          <w:color w:val="auto"/>
          <w:sz w:val="24"/>
          <w:szCs w:val="24"/>
          <w:highlight w:val="none"/>
        </w:rPr>
        <w:t>7.现场踏勘</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_Toc11621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92334C2">
      <w:pPr>
        <w:pStyle w:val="22"/>
        <w:tabs>
          <w:tab w:val="right" w:leader="dot" w:pos="9745"/>
        </w:tabs>
        <w:spacing w:line="288"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"_Toc16520" </w:instrText>
      </w:r>
      <w:r>
        <w:rPr>
          <w:color w:val="auto"/>
          <w:highlight w:val="none"/>
        </w:rPr>
        <w:fldChar w:fldCharType="separate"/>
      </w:r>
      <w:r>
        <w:rPr>
          <w:rFonts w:hint="eastAsia" w:ascii="宋体" w:hAnsi="宋体" w:cs="宋体"/>
          <w:color w:val="auto"/>
          <w:sz w:val="24"/>
          <w:szCs w:val="24"/>
          <w:highlight w:val="none"/>
        </w:rPr>
        <w:t>8.招标答疑</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_Toc16520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1EF35906">
      <w:pPr>
        <w:pStyle w:val="22"/>
        <w:tabs>
          <w:tab w:val="right" w:leader="dot" w:pos="9745"/>
        </w:tabs>
        <w:spacing w:line="288"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"_Toc29294" </w:instrText>
      </w:r>
      <w:r>
        <w:rPr>
          <w:color w:val="auto"/>
          <w:highlight w:val="none"/>
        </w:rPr>
        <w:fldChar w:fldCharType="separate"/>
      </w:r>
      <w:r>
        <w:rPr>
          <w:rFonts w:hint="eastAsia" w:ascii="宋体" w:hAnsi="宋体" w:cs="宋体"/>
          <w:color w:val="auto"/>
          <w:sz w:val="24"/>
          <w:szCs w:val="24"/>
          <w:highlight w:val="none"/>
        </w:rPr>
        <w:t>9.最高投标限价的确定及投标报价的约定</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_Toc29294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A1531CF">
      <w:pPr>
        <w:pStyle w:val="22"/>
        <w:tabs>
          <w:tab w:val="right" w:leader="dot" w:pos="9745"/>
        </w:tabs>
        <w:spacing w:line="288"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"_Toc18558" </w:instrText>
      </w:r>
      <w:r>
        <w:rPr>
          <w:color w:val="auto"/>
          <w:highlight w:val="none"/>
        </w:rPr>
        <w:fldChar w:fldCharType="separate"/>
      </w:r>
      <w:r>
        <w:rPr>
          <w:rFonts w:hint="eastAsia" w:ascii="宋体" w:hAnsi="宋体" w:cs="宋体"/>
          <w:color w:val="auto"/>
          <w:sz w:val="24"/>
          <w:szCs w:val="24"/>
          <w:highlight w:val="none"/>
        </w:rPr>
        <w:t>10.投标文件的编制要求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_Toc18558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AA50A38">
      <w:pPr>
        <w:pStyle w:val="22"/>
        <w:tabs>
          <w:tab w:val="right" w:leader="dot" w:pos="9745"/>
        </w:tabs>
        <w:spacing w:line="288"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"_Toc14843" </w:instrText>
      </w:r>
      <w:r>
        <w:rPr>
          <w:color w:val="auto"/>
          <w:highlight w:val="none"/>
        </w:rPr>
        <w:fldChar w:fldCharType="separate"/>
      </w:r>
      <w:r>
        <w:rPr>
          <w:rFonts w:hint="eastAsia" w:ascii="宋体" w:hAnsi="宋体" w:cs="宋体"/>
          <w:color w:val="auto"/>
          <w:sz w:val="24"/>
          <w:szCs w:val="24"/>
          <w:highlight w:val="none"/>
        </w:rPr>
        <w:t>11.电子投标</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_Toc14843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50845FD">
      <w:pPr>
        <w:pStyle w:val="22"/>
        <w:tabs>
          <w:tab w:val="right" w:leader="dot" w:pos="9745"/>
        </w:tabs>
        <w:spacing w:line="288"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"_Toc9645" </w:instrText>
      </w:r>
      <w:r>
        <w:rPr>
          <w:color w:val="auto"/>
          <w:highlight w:val="none"/>
        </w:rPr>
        <w:fldChar w:fldCharType="separate"/>
      </w:r>
      <w:r>
        <w:rPr>
          <w:rFonts w:hint="eastAsia" w:ascii="宋体" w:hAnsi="宋体" w:cs="宋体"/>
          <w:color w:val="auto"/>
          <w:sz w:val="24"/>
          <w:szCs w:val="24"/>
          <w:highlight w:val="none"/>
        </w:rPr>
        <w:t>12.</w:t>
      </w:r>
      <w:r>
        <w:rPr>
          <w:rFonts w:hint="eastAsia" w:ascii="宋体" w:hAnsi="宋体" w:cs="宋体"/>
          <w:snapToGrid w:val="0"/>
          <w:color w:val="auto"/>
          <w:sz w:val="24"/>
          <w:szCs w:val="24"/>
          <w:highlight w:val="none"/>
        </w:rPr>
        <w:t>电子投标解密失败及突发情况的补救</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_Toc9645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1BDE1B12">
      <w:pPr>
        <w:pStyle w:val="22"/>
        <w:tabs>
          <w:tab w:val="right" w:leader="dot" w:pos="9745"/>
        </w:tabs>
        <w:spacing w:line="288"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"_Toc4235" </w:instrText>
      </w:r>
      <w:r>
        <w:rPr>
          <w:color w:val="auto"/>
          <w:highlight w:val="none"/>
        </w:rPr>
        <w:fldChar w:fldCharType="separate"/>
      </w:r>
      <w:r>
        <w:rPr>
          <w:rFonts w:hint="eastAsia" w:ascii="宋体" w:hAnsi="宋体" w:cs="宋体"/>
          <w:color w:val="auto"/>
          <w:sz w:val="24"/>
          <w:szCs w:val="24"/>
          <w:highlight w:val="none"/>
        </w:rPr>
        <w:t>13.投标文件的提交</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_Toc4235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76D28E8">
      <w:pPr>
        <w:pStyle w:val="22"/>
        <w:tabs>
          <w:tab w:val="right" w:leader="dot" w:pos="9745"/>
        </w:tabs>
        <w:spacing w:line="288"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"_Toc15039" </w:instrText>
      </w:r>
      <w:r>
        <w:rPr>
          <w:color w:val="auto"/>
          <w:highlight w:val="none"/>
        </w:rPr>
        <w:fldChar w:fldCharType="separate"/>
      </w:r>
      <w:r>
        <w:rPr>
          <w:rFonts w:hint="eastAsia" w:ascii="宋体" w:hAnsi="宋体" w:cs="宋体"/>
          <w:color w:val="auto"/>
          <w:sz w:val="24"/>
          <w:szCs w:val="24"/>
          <w:highlight w:val="none"/>
        </w:rPr>
        <w:t>14.投标有效期</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_Toc15039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F0C98A4">
      <w:pPr>
        <w:pStyle w:val="22"/>
        <w:tabs>
          <w:tab w:val="right" w:leader="dot" w:pos="9745"/>
        </w:tabs>
        <w:spacing w:line="288"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"_Toc23972" </w:instrText>
      </w:r>
      <w:r>
        <w:rPr>
          <w:color w:val="auto"/>
          <w:highlight w:val="none"/>
        </w:rPr>
        <w:fldChar w:fldCharType="separate"/>
      </w:r>
      <w:r>
        <w:rPr>
          <w:rFonts w:hint="eastAsia" w:ascii="宋体" w:hAnsi="宋体" w:cs="宋体"/>
          <w:color w:val="auto"/>
          <w:sz w:val="24"/>
          <w:szCs w:val="24"/>
          <w:highlight w:val="none"/>
        </w:rPr>
        <w:t>15.开标</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_Toc23972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A1B6699">
      <w:pPr>
        <w:pStyle w:val="22"/>
        <w:tabs>
          <w:tab w:val="right" w:leader="dot" w:pos="9745"/>
        </w:tabs>
        <w:spacing w:line="288"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"_Toc10915" </w:instrText>
      </w:r>
      <w:r>
        <w:rPr>
          <w:color w:val="auto"/>
          <w:highlight w:val="none"/>
        </w:rPr>
        <w:fldChar w:fldCharType="separate"/>
      </w:r>
      <w:r>
        <w:rPr>
          <w:rFonts w:hint="eastAsia" w:ascii="宋体" w:hAnsi="宋体" w:cs="宋体"/>
          <w:color w:val="auto"/>
          <w:sz w:val="24"/>
          <w:szCs w:val="24"/>
          <w:highlight w:val="none"/>
        </w:rPr>
        <w:t>16.评标</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_Toc10915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5A3B1C89">
      <w:pPr>
        <w:pStyle w:val="22"/>
        <w:tabs>
          <w:tab w:val="right" w:leader="dot" w:pos="9745"/>
        </w:tabs>
        <w:spacing w:line="288"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"_Toc5134" </w:instrText>
      </w:r>
      <w:r>
        <w:rPr>
          <w:color w:val="auto"/>
          <w:highlight w:val="none"/>
        </w:rPr>
        <w:fldChar w:fldCharType="separate"/>
      </w:r>
      <w:r>
        <w:rPr>
          <w:rFonts w:hint="eastAsia" w:ascii="宋体" w:hAnsi="宋体" w:cs="宋体"/>
          <w:color w:val="auto"/>
          <w:sz w:val="24"/>
          <w:szCs w:val="24"/>
          <w:highlight w:val="none"/>
        </w:rPr>
        <w:t>综合评分表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_Toc5134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1BF76D50">
      <w:pPr>
        <w:pStyle w:val="22"/>
        <w:tabs>
          <w:tab w:val="right" w:leader="dot" w:pos="9745"/>
        </w:tabs>
        <w:spacing w:line="288"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"_Toc21063" </w:instrText>
      </w:r>
      <w:r>
        <w:rPr>
          <w:color w:val="auto"/>
          <w:highlight w:val="none"/>
        </w:rPr>
        <w:fldChar w:fldCharType="separate"/>
      </w:r>
      <w:r>
        <w:rPr>
          <w:rFonts w:hint="eastAsia" w:ascii="宋体" w:hAnsi="宋体" w:cs="宋体"/>
          <w:color w:val="auto"/>
          <w:sz w:val="24"/>
          <w:szCs w:val="24"/>
          <w:highlight w:val="none"/>
        </w:rPr>
        <w:t>17.推荐中标候选人</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_Toc21063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01C1D18">
      <w:pPr>
        <w:pStyle w:val="22"/>
        <w:tabs>
          <w:tab w:val="right" w:leader="dot" w:pos="9745"/>
        </w:tabs>
        <w:spacing w:line="288"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"_Toc9500" </w:instrText>
      </w:r>
      <w:r>
        <w:rPr>
          <w:color w:val="auto"/>
          <w:highlight w:val="none"/>
        </w:rPr>
        <w:fldChar w:fldCharType="separate"/>
      </w:r>
      <w:r>
        <w:rPr>
          <w:rFonts w:hint="eastAsia" w:ascii="宋体" w:hAnsi="宋体" w:cs="宋体"/>
          <w:color w:val="auto"/>
          <w:sz w:val="24"/>
          <w:szCs w:val="24"/>
          <w:highlight w:val="none"/>
        </w:rPr>
        <w:t>18.中标候选人公示</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_Toc9500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28FF21B">
      <w:pPr>
        <w:pStyle w:val="22"/>
        <w:tabs>
          <w:tab w:val="right" w:leader="dot" w:pos="9745"/>
        </w:tabs>
        <w:spacing w:line="288"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"_Toc19789" </w:instrText>
      </w:r>
      <w:r>
        <w:rPr>
          <w:color w:val="auto"/>
          <w:highlight w:val="none"/>
        </w:rPr>
        <w:fldChar w:fldCharType="separate"/>
      </w:r>
      <w:r>
        <w:rPr>
          <w:rFonts w:hint="eastAsia" w:ascii="宋体" w:hAnsi="宋体" w:cs="宋体"/>
          <w:bCs/>
          <w:color w:val="auto"/>
          <w:sz w:val="24"/>
          <w:szCs w:val="24"/>
          <w:highlight w:val="none"/>
        </w:rPr>
        <w:t>第四节 否决投标条件</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_Toc19789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1ED9313">
      <w:pPr>
        <w:pStyle w:val="15"/>
        <w:tabs>
          <w:tab w:val="right" w:leader="dot" w:pos="9745"/>
        </w:tabs>
        <w:spacing w:line="288"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"_Toc22301" </w:instrText>
      </w:r>
      <w:r>
        <w:rPr>
          <w:color w:val="auto"/>
          <w:highlight w:val="none"/>
        </w:rPr>
        <w:fldChar w:fldCharType="separate"/>
      </w:r>
      <w:r>
        <w:rPr>
          <w:rFonts w:hint="eastAsia" w:ascii="宋体" w:hAnsi="宋体" w:cs="宋体"/>
          <w:color w:val="auto"/>
          <w:sz w:val="24"/>
          <w:szCs w:val="24"/>
          <w:highlight w:val="none"/>
        </w:rPr>
        <w:t>1．资格评审环节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_Toc22301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14A2DC5">
      <w:pPr>
        <w:pStyle w:val="15"/>
        <w:tabs>
          <w:tab w:val="right" w:leader="dot" w:pos="9745"/>
        </w:tabs>
        <w:spacing w:line="288"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"_Toc17710" </w:instrText>
      </w:r>
      <w:r>
        <w:rPr>
          <w:color w:val="auto"/>
          <w:highlight w:val="none"/>
        </w:rPr>
        <w:fldChar w:fldCharType="separate"/>
      </w:r>
      <w:r>
        <w:rPr>
          <w:rFonts w:hint="eastAsia" w:ascii="宋体" w:hAnsi="宋体" w:cs="宋体"/>
          <w:color w:val="auto"/>
          <w:sz w:val="24"/>
          <w:szCs w:val="24"/>
          <w:highlight w:val="none"/>
        </w:rPr>
        <w:t>2．形式评审环节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_Toc17710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18059A52">
      <w:pPr>
        <w:pStyle w:val="15"/>
        <w:tabs>
          <w:tab w:val="right" w:leader="dot" w:pos="9745"/>
        </w:tabs>
        <w:spacing w:line="288"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"_Toc12378" </w:instrText>
      </w:r>
      <w:r>
        <w:rPr>
          <w:color w:val="auto"/>
          <w:highlight w:val="none"/>
        </w:rPr>
        <w:fldChar w:fldCharType="separate"/>
      </w:r>
      <w:r>
        <w:rPr>
          <w:rFonts w:hint="eastAsia" w:ascii="宋体" w:hAnsi="宋体" w:cs="宋体"/>
          <w:color w:val="auto"/>
          <w:sz w:val="24"/>
          <w:szCs w:val="24"/>
          <w:highlight w:val="none"/>
        </w:rPr>
        <w:t>3．响应性评审环节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_Toc12378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34</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1360423B">
      <w:pPr>
        <w:pStyle w:val="20"/>
        <w:tabs>
          <w:tab w:val="right" w:leader="dot" w:pos="9745"/>
        </w:tabs>
        <w:spacing w:line="288"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"_Toc32602" </w:instrText>
      </w:r>
      <w:r>
        <w:rPr>
          <w:color w:val="auto"/>
          <w:highlight w:val="none"/>
        </w:rPr>
        <w:fldChar w:fldCharType="separate"/>
      </w:r>
      <w:r>
        <w:rPr>
          <w:rFonts w:hint="eastAsia" w:ascii="宋体" w:hAnsi="宋体" w:cs="宋体"/>
          <w:bCs/>
          <w:color w:val="auto"/>
          <w:kern w:val="0"/>
          <w:sz w:val="24"/>
          <w:szCs w:val="24"/>
          <w:highlight w:val="none"/>
        </w:rPr>
        <w:t>第二章 拟签订合同的主要条款</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_Toc32602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35</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84FD115">
      <w:pPr>
        <w:pStyle w:val="20"/>
        <w:tabs>
          <w:tab w:val="right" w:leader="dot" w:pos="9745"/>
        </w:tabs>
        <w:spacing w:line="288"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"_Toc21311" </w:instrText>
      </w:r>
      <w:r>
        <w:rPr>
          <w:color w:val="auto"/>
          <w:highlight w:val="none"/>
        </w:rPr>
        <w:fldChar w:fldCharType="separate"/>
      </w:r>
      <w:r>
        <w:rPr>
          <w:rFonts w:hint="eastAsia" w:ascii="宋体" w:hAnsi="宋体" w:cs="宋体"/>
          <w:bCs/>
          <w:color w:val="auto"/>
          <w:kern w:val="0"/>
          <w:sz w:val="24"/>
          <w:szCs w:val="24"/>
          <w:highlight w:val="none"/>
        </w:rPr>
        <w:t>第三章 中标人须知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_Toc21311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B7E4CE2">
      <w:pPr>
        <w:pStyle w:val="20"/>
        <w:tabs>
          <w:tab w:val="right" w:leader="dot" w:pos="9745"/>
        </w:tabs>
        <w:spacing w:line="288"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"_Toc2787" </w:instrText>
      </w:r>
      <w:r>
        <w:rPr>
          <w:color w:val="auto"/>
          <w:highlight w:val="none"/>
        </w:rPr>
        <w:fldChar w:fldCharType="separate"/>
      </w:r>
      <w:r>
        <w:rPr>
          <w:rFonts w:hint="eastAsia" w:ascii="宋体" w:hAnsi="宋体" w:cs="宋体"/>
          <w:bCs/>
          <w:color w:val="auto"/>
          <w:kern w:val="0"/>
          <w:sz w:val="24"/>
          <w:szCs w:val="24"/>
          <w:highlight w:val="none"/>
        </w:rPr>
        <w:t>第四章 招标项目的设计要求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_Toc2787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41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672ECAB">
      <w:pPr>
        <w:pStyle w:val="20"/>
        <w:tabs>
          <w:tab w:val="right" w:leader="dot" w:pos="9745"/>
        </w:tabs>
        <w:spacing w:line="288"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"_Toc20014" </w:instrText>
      </w:r>
      <w:r>
        <w:rPr>
          <w:color w:val="auto"/>
          <w:highlight w:val="none"/>
        </w:rPr>
        <w:fldChar w:fldCharType="separate"/>
      </w:r>
      <w:r>
        <w:rPr>
          <w:rFonts w:hint="eastAsia" w:ascii="宋体" w:hAnsi="宋体" w:cs="宋体"/>
          <w:bCs/>
          <w:color w:val="auto"/>
          <w:kern w:val="0"/>
          <w:sz w:val="24"/>
          <w:szCs w:val="24"/>
          <w:highlight w:val="none"/>
        </w:rPr>
        <w:t>第五章 投标文件格式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_Toc20014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43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39C9785">
      <w:pPr>
        <w:pStyle w:val="20"/>
        <w:tabs>
          <w:tab w:val="right" w:leader="dot" w:pos="9745"/>
        </w:tabs>
        <w:spacing w:line="288"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"_Toc21968" </w:instrText>
      </w:r>
      <w:r>
        <w:rPr>
          <w:color w:val="auto"/>
          <w:highlight w:val="none"/>
        </w:rPr>
        <w:fldChar w:fldCharType="separate"/>
      </w:r>
      <w:r>
        <w:rPr>
          <w:rFonts w:hint="eastAsia" w:ascii="宋体" w:hAnsi="宋体" w:cs="宋体"/>
          <w:color w:val="auto"/>
          <w:sz w:val="24"/>
          <w:szCs w:val="24"/>
          <w:highlight w:val="none"/>
        </w:rPr>
        <w:t>第六章 勘察、初步设计任务书</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_Toc21968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56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C679E4F">
      <w:pPr>
        <w:pStyle w:val="35"/>
        <w:spacing w:line="440" w:lineRule="exact"/>
        <w:ind w:left="0" w:firstLine="480" w:firstLineChars="200"/>
        <w:jc w:val="center"/>
        <w:rPr>
          <w:rFonts w:hAnsi="宋体" w:cs="宋体"/>
          <w:color w:val="auto"/>
          <w:szCs w:val="24"/>
          <w:highlight w:val="none"/>
        </w:rPr>
      </w:pPr>
      <w:r>
        <w:rPr>
          <w:rFonts w:hint="eastAsia" w:hAnsi="宋体" w:cs="宋体"/>
          <w:color w:val="auto"/>
          <w:szCs w:val="24"/>
          <w:highlight w:val="none"/>
        </w:rPr>
        <w:fldChar w:fldCharType="end"/>
      </w:r>
      <w:bookmarkEnd w:id="1"/>
      <w:bookmarkEnd w:id="2"/>
    </w:p>
    <w:p w14:paraId="661B11FD">
      <w:pPr>
        <w:pStyle w:val="35"/>
        <w:spacing w:line="440" w:lineRule="exact"/>
        <w:ind w:left="0" w:firstLine="482" w:firstLineChars="200"/>
        <w:jc w:val="center"/>
        <w:rPr>
          <w:rFonts w:hAnsi="宋体" w:cs="宋体"/>
          <w:b/>
          <w:bCs/>
          <w:color w:val="auto"/>
          <w:szCs w:val="24"/>
          <w:highlight w:val="none"/>
        </w:rPr>
        <w:sectPr>
          <w:footerReference r:id="rId6" w:type="default"/>
          <w:endnotePr>
            <w:numFmt w:val="decimal"/>
          </w:endnotePr>
          <w:pgSz w:w="11905" w:h="16838"/>
          <w:pgMar w:top="1440" w:right="1080" w:bottom="1440" w:left="1080" w:header="850" w:footer="992" w:gutter="0"/>
          <w:pgBorders>
            <w:top w:val="none" w:sz="0" w:space="0"/>
            <w:left w:val="none" w:sz="0" w:space="0"/>
            <w:bottom w:val="none" w:sz="0" w:space="0"/>
            <w:right w:val="none" w:sz="0" w:space="0"/>
          </w:pgBorders>
          <w:pgNumType w:start="1"/>
          <w:cols w:space="720" w:num="1"/>
          <w:docGrid w:type="lines" w:linePitch="317" w:charSpace="0"/>
        </w:sectPr>
      </w:pPr>
    </w:p>
    <w:p w14:paraId="089E0A81">
      <w:pPr>
        <w:pStyle w:val="35"/>
        <w:spacing w:line="440" w:lineRule="exact"/>
        <w:ind w:left="0" w:firstLine="643" w:firstLineChars="200"/>
        <w:jc w:val="center"/>
        <w:rPr>
          <w:b/>
          <w:bCs/>
          <w:color w:val="auto"/>
          <w:sz w:val="32"/>
          <w:szCs w:val="21"/>
          <w:highlight w:val="none"/>
        </w:rPr>
      </w:pPr>
      <w:r>
        <w:rPr>
          <w:rFonts w:hint="eastAsia"/>
          <w:b/>
          <w:bCs/>
          <w:color w:val="auto"/>
          <w:sz w:val="32"/>
          <w:szCs w:val="21"/>
          <w:highlight w:val="none"/>
        </w:rPr>
        <w:t>第一章 投标人须知</w:t>
      </w:r>
    </w:p>
    <w:p w14:paraId="1FB1350B">
      <w:pPr>
        <w:pStyle w:val="3"/>
        <w:keepNext w:val="0"/>
        <w:keepLines w:val="0"/>
        <w:numPr>
          <w:ilvl w:val="1"/>
          <w:numId w:val="0"/>
        </w:numPr>
        <w:autoSpaceDE w:val="0"/>
        <w:autoSpaceDN w:val="0"/>
        <w:adjustRightInd w:val="0"/>
        <w:spacing w:before="158" w:after="158"/>
        <w:ind w:left="420" w:leftChars="200"/>
        <w:jc w:val="center"/>
        <w:rPr>
          <w:color w:val="auto"/>
          <w:szCs w:val="24"/>
          <w:highlight w:val="none"/>
        </w:rPr>
      </w:pPr>
      <w:bookmarkStart w:id="3" w:name="_Hlt127175444"/>
      <w:bookmarkEnd w:id="3"/>
      <w:bookmarkStart w:id="4" w:name="_Toc2102"/>
      <w:bookmarkStart w:id="5" w:name="_Toc12674"/>
      <w:bookmarkStart w:id="6" w:name="_Toc7880"/>
      <w:bookmarkStart w:id="7" w:name="_Toc4203"/>
      <w:bookmarkStart w:id="8" w:name="_Hlt120077520"/>
      <w:r>
        <w:rPr>
          <w:rFonts w:hint="eastAsia"/>
          <w:color w:val="auto"/>
          <w:szCs w:val="24"/>
          <w:highlight w:val="none"/>
        </w:rPr>
        <w:t>第一节 投标人须知前附表</w:t>
      </w:r>
      <w:bookmarkEnd w:id="4"/>
      <w:bookmarkEnd w:id="5"/>
      <w:bookmarkEnd w:id="6"/>
      <w:bookmarkEnd w:id="7"/>
    </w:p>
    <w:tbl>
      <w:tblPr>
        <w:tblStyle w:val="27"/>
        <w:tblW w:w="96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597"/>
        <w:gridCol w:w="1725"/>
        <w:gridCol w:w="7282"/>
      </w:tblGrid>
      <w:tr w14:paraId="38CEC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45A0C763">
            <w:pPr>
              <w:pStyle w:val="36"/>
              <w:spacing w:line="240" w:lineRule="auto"/>
              <w:jc w:val="center"/>
              <w:rPr>
                <w:rFonts w:hAnsi="宋体" w:cs="宋体"/>
                <w:color w:val="auto"/>
                <w:highlight w:val="none"/>
              </w:rPr>
            </w:pPr>
            <w:r>
              <w:rPr>
                <w:rFonts w:hint="eastAsia" w:hAnsi="宋体" w:cs="宋体"/>
                <w:color w:val="auto"/>
                <w:highlight w:val="none"/>
              </w:rPr>
              <w:t>序号</w:t>
            </w:r>
          </w:p>
        </w:tc>
        <w:tc>
          <w:tcPr>
            <w:tcW w:w="1725" w:type="dxa"/>
            <w:tcBorders>
              <w:top w:val="single" w:color="auto" w:sz="4" w:space="0"/>
              <w:left w:val="single" w:color="auto" w:sz="4" w:space="0"/>
              <w:bottom w:val="single" w:color="auto" w:sz="4" w:space="0"/>
              <w:right w:val="single" w:color="auto" w:sz="4" w:space="0"/>
            </w:tcBorders>
            <w:vAlign w:val="center"/>
          </w:tcPr>
          <w:p w14:paraId="7C429297">
            <w:pPr>
              <w:pStyle w:val="36"/>
              <w:spacing w:line="240" w:lineRule="auto"/>
              <w:jc w:val="center"/>
              <w:rPr>
                <w:rFonts w:hAnsi="宋体" w:cs="宋体"/>
                <w:color w:val="auto"/>
                <w:highlight w:val="none"/>
              </w:rPr>
            </w:pPr>
            <w:r>
              <w:rPr>
                <w:rFonts w:hint="eastAsia" w:hAnsi="宋体" w:cs="宋体"/>
                <w:color w:val="auto"/>
                <w:highlight w:val="none"/>
              </w:rPr>
              <w:t>内容</w:t>
            </w:r>
          </w:p>
        </w:tc>
        <w:tc>
          <w:tcPr>
            <w:tcW w:w="7282" w:type="dxa"/>
            <w:tcBorders>
              <w:top w:val="single" w:color="auto" w:sz="4" w:space="0"/>
              <w:left w:val="single" w:color="auto" w:sz="4" w:space="0"/>
              <w:bottom w:val="single" w:color="auto" w:sz="4" w:space="0"/>
              <w:right w:val="single" w:color="auto" w:sz="4" w:space="0"/>
            </w:tcBorders>
            <w:vAlign w:val="center"/>
          </w:tcPr>
          <w:p w14:paraId="30A563D9">
            <w:pPr>
              <w:pStyle w:val="36"/>
              <w:tabs>
                <w:tab w:val="left" w:pos="1180"/>
              </w:tabs>
              <w:spacing w:line="240" w:lineRule="auto"/>
              <w:jc w:val="center"/>
              <w:rPr>
                <w:rFonts w:hAnsi="宋体" w:cs="宋体"/>
                <w:color w:val="auto"/>
                <w:highlight w:val="none"/>
              </w:rPr>
            </w:pPr>
            <w:r>
              <w:rPr>
                <w:rFonts w:hint="eastAsia" w:hAnsi="宋体" w:cs="宋体"/>
                <w:color w:val="auto"/>
                <w:highlight w:val="none"/>
              </w:rPr>
              <w:t>说明与要求</w:t>
            </w:r>
          </w:p>
        </w:tc>
      </w:tr>
      <w:tr w14:paraId="21AC88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2252D3C4">
            <w:pPr>
              <w:pStyle w:val="36"/>
              <w:spacing w:line="240" w:lineRule="auto"/>
              <w:jc w:val="center"/>
              <w:rPr>
                <w:rFonts w:hAnsi="宋体" w:cs="宋体"/>
                <w:color w:val="auto"/>
                <w:highlight w:val="none"/>
              </w:rPr>
            </w:pPr>
            <w:r>
              <w:rPr>
                <w:rFonts w:hint="eastAsia" w:hAnsi="宋体" w:cs="宋体"/>
                <w:color w:val="auto"/>
                <w:highlight w:val="none"/>
              </w:rPr>
              <w:t>1</w:t>
            </w:r>
          </w:p>
        </w:tc>
        <w:tc>
          <w:tcPr>
            <w:tcW w:w="1725" w:type="dxa"/>
            <w:tcBorders>
              <w:top w:val="single" w:color="auto" w:sz="4" w:space="0"/>
              <w:left w:val="single" w:color="auto" w:sz="4" w:space="0"/>
              <w:bottom w:val="single" w:color="auto" w:sz="4" w:space="0"/>
              <w:right w:val="single" w:color="auto" w:sz="4" w:space="0"/>
            </w:tcBorders>
            <w:vAlign w:val="center"/>
          </w:tcPr>
          <w:p w14:paraId="266FBF09">
            <w:pPr>
              <w:pStyle w:val="36"/>
              <w:spacing w:line="240" w:lineRule="auto"/>
              <w:jc w:val="center"/>
              <w:rPr>
                <w:rFonts w:hAnsi="宋体" w:cs="宋体"/>
                <w:color w:val="auto"/>
                <w:highlight w:val="none"/>
              </w:rPr>
            </w:pPr>
            <w:r>
              <w:rPr>
                <w:rFonts w:hAnsi="宋体" w:cs="宋体"/>
                <w:color w:val="auto"/>
                <w:highlight w:val="none"/>
              </w:rPr>
              <w:t>项目业主</w:t>
            </w:r>
          </w:p>
        </w:tc>
        <w:tc>
          <w:tcPr>
            <w:tcW w:w="7282" w:type="dxa"/>
            <w:tcBorders>
              <w:top w:val="single" w:color="auto" w:sz="4" w:space="0"/>
              <w:left w:val="single" w:color="auto" w:sz="4" w:space="0"/>
              <w:bottom w:val="single" w:color="auto" w:sz="4" w:space="0"/>
              <w:right w:val="single" w:color="auto" w:sz="4" w:space="0"/>
            </w:tcBorders>
            <w:vAlign w:val="center"/>
          </w:tcPr>
          <w:p w14:paraId="1F2F99EC">
            <w:pPr>
              <w:pStyle w:val="36"/>
              <w:spacing w:line="240" w:lineRule="auto"/>
              <w:ind w:firstLine="240" w:firstLineChars="100"/>
              <w:jc w:val="left"/>
              <w:rPr>
                <w:rFonts w:hint="eastAsia" w:hAnsi="宋体" w:eastAsia="宋体" w:cs="宋体"/>
                <w:color w:val="auto"/>
                <w:szCs w:val="22"/>
                <w:highlight w:val="none"/>
                <w:lang w:eastAsia="zh-CN"/>
              </w:rPr>
            </w:pPr>
            <w:r>
              <w:rPr>
                <w:rFonts w:hint="eastAsia" w:hAnsi="宋体" w:cs="宋体"/>
                <w:color w:val="auto"/>
                <w:szCs w:val="22"/>
                <w:highlight w:val="none"/>
                <w:lang w:eastAsia="zh-CN"/>
              </w:rPr>
              <w:t>韶关市第一人民医院</w:t>
            </w:r>
          </w:p>
        </w:tc>
      </w:tr>
      <w:tr w14:paraId="1BAD00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16"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2E60F12B">
            <w:pPr>
              <w:pStyle w:val="36"/>
              <w:spacing w:line="240" w:lineRule="auto"/>
              <w:jc w:val="center"/>
              <w:rPr>
                <w:rFonts w:hAnsi="宋体" w:cs="宋体"/>
                <w:color w:val="auto"/>
                <w:highlight w:val="none"/>
              </w:rPr>
            </w:pPr>
            <w:r>
              <w:rPr>
                <w:rFonts w:hint="eastAsia" w:hAnsi="宋体" w:cs="宋体"/>
                <w:color w:val="auto"/>
                <w:highlight w:val="none"/>
              </w:rPr>
              <w:t>2</w:t>
            </w:r>
          </w:p>
        </w:tc>
        <w:tc>
          <w:tcPr>
            <w:tcW w:w="1725" w:type="dxa"/>
            <w:tcBorders>
              <w:top w:val="single" w:color="auto" w:sz="4" w:space="0"/>
              <w:left w:val="single" w:color="auto" w:sz="4" w:space="0"/>
              <w:bottom w:val="single" w:color="auto" w:sz="4" w:space="0"/>
              <w:right w:val="single" w:color="auto" w:sz="4" w:space="0"/>
            </w:tcBorders>
            <w:vAlign w:val="center"/>
          </w:tcPr>
          <w:p w14:paraId="43BCAFC4">
            <w:pPr>
              <w:pStyle w:val="36"/>
              <w:spacing w:line="240" w:lineRule="auto"/>
              <w:jc w:val="center"/>
              <w:rPr>
                <w:rFonts w:hAnsi="宋体" w:cs="宋体"/>
                <w:color w:val="auto"/>
                <w:szCs w:val="22"/>
                <w:highlight w:val="none"/>
              </w:rPr>
            </w:pPr>
            <w:r>
              <w:rPr>
                <w:rFonts w:hint="eastAsia" w:hAnsi="宋体" w:cs="宋体"/>
                <w:color w:val="auto"/>
                <w:highlight w:val="none"/>
              </w:rPr>
              <w:t>项目名称</w:t>
            </w:r>
          </w:p>
        </w:tc>
        <w:tc>
          <w:tcPr>
            <w:tcW w:w="7282" w:type="dxa"/>
            <w:tcBorders>
              <w:top w:val="single" w:color="auto" w:sz="4" w:space="0"/>
              <w:left w:val="single" w:color="auto" w:sz="4" w:space="0"/>
              <w:bottom w:val="single" w:color="auto" w:sz="4" w:space="0"/>
              <w:right w:val="single" w:color="auto" w:sz="4" w:space="0"/>
            </w:tcBorders>
            <w:vAlign w:val="center"/>
          </w:tcPr>
          <w:p w14:paraId="78D95F42">
            <w:pPr>
              <w:pStyle w:val="36"/>
              <w:spacing w:line="240" w:lineRule="auto"/>
              <w:ind w:firstLine="240" w:firstLineChars="100"/>
              <w:jc w:val="left"/>
              <w:rPr>
                <w:rFonts w:hint="eastAsia" w:hAnsi="宋体" w:eastAsia="宋体" w:cs="宋体"/>
                <w:color w:val="auto"/>
                <w:szCs w:val="22"/>
                <w:highlight w:val="none"/>
                <w:lang w:eastAsia="zh-CN"/>
              </w:rPr>
            </w:pPr>
            <w:r>
              <w:rPr>
                <w:rFonts w:hint="eastAsia" w:hAnsi="宋体" w:cs="宋体"/>
                <w:color w:val="auto"/>
                <w:szCs w:val="22"/>
                <w:highlight w:val="none"/>
                <w:lang w:eastAsia="zh-CN"/>
              </w:rPr>
              <w:t>韶关市第一人民医院旧院区病房改造及能力提升建设项目方案、初步设计、概算编制项目</w:t>
            </w:r>
          </w:p>
        </w:tc>
      </w:tr>
      <w:tr w14:paraId="4A8EB3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6272DEA2">
            <w:pPr>
              <w:pStyle w:val="36"/>
              <w:spacing w:line="240" w:lineRule="auto"/>
              <w:jc w:val="center"/>
              <w:rPr>
                <w:rFonts w:hAnsi="宋体" w:cs="宋体"/>
                <w:color w:val="auto"/>
                <w:highlight w:val="none"/>
              </w:rPr>
            </w:pPr>
            <w:r>
              <w:rPr>
                <w:rFonts w:hint="eastAsia" w:hAnsi="宋体" w:cs="宋体"/>
                <w:color w:val="auto"/>
                <w:highlight w:val="none"/>
              </w:rPr>
              <w:t>3</w:t>
            </w:r>
          </w:p>
        </w:tc>
        <w:tc>
          <w:tcPr>
            <w:tcW w:w="1725" w:type="dxa"/>
            <w:tcBorders>
              <w:top w:val="single" w:color="auto" w:sz="4" w:space="0"/>
              <w:left w:val="single" w:color="auto" w:sz="4" w:space="0"/>
              <w:bottom w:val="single" w:color="auto" w:sz="4" w:space="0"/>
              <w:right w:val="single" w:color="auto" w:sz="4" w:space="0"/>
            </w:tcBorders>
            <w:vAlign w:val="center"/>
          </w:tcPr>
          <w:p w14:paraId="3FED51E7">
            <w:pPr>
              <w:snapToGrid w:val="0"/>
              <w:jc w:val="center"/>
              <w:rPr>
                <w:rFonts w:ascii="宋体" w:hAnsi="宋体" w:cs="宋体"/>
                <w:color w:val="auto"/>
                <w:highlight w:val="none"/>
              </w:rPr>
            </w:pPr>
            <w:r>
              <w:rPr>
                <w:rFonts w:hint="eastAsia" w:ascii="宋体" w:hAnsi="宋体" w:cs="宋体"/>
                <w:color w:val="auto"/>
                <w:kern w:val="0"/>
                <w:sz w:val="24"/>
                <w:szCs w:val="24"/>
                <w:highlight w:val="none"/>
              </w:rPr>
              <w:t>项目</w:t>
            </w:r>
            <w:r>
              <w:rPr>
                <w:rFonts w:hint="eastAsia" w:ascii="宋体" w:hAnsi="宋体" w:cs="宋体"/>
                <w:color w:val="auto"/>
                <w:kern w:val="0"/>
                <w:sz w:val="24"/>
                <w:szCs w:val="22"/>
                <w:highlight w:val="none"/>
              </w:rPr>
              <w:t>批准</w:t>
            </w:r>
            <w:r>
              <w:rPr>
                <w:rFonts w:hint="eastAsia" w:ascii="宋体" w:hAnsi="宋体" w:cs="宋体"/>
                <w:color w:val="auto"/>
                <w:kern w:val="0"/>
                <w:sz w:val="24"/>
                <w:szCs w:val="24"/>
                <w:highlight w:val="none"/>
              </w:rPr>
              <w:t>部门</w:t>
            </w:r>
          </w:p>
        </w:tc>
        <w:tc>
          <w:tcPr>
            <w:tcW w:w="7282" w:type="dxa"/>
            <w:tcBorders>
              <w:top w:val="single" w:color="auto" w:sz="4" w:space="0"/>
              <w:left w:val="single" w:color="auto" w:sz="4" w:space="0"/>
              <w:bottom w:val="single" w:color="auto" w:sz="4" w:space="0"/>
              <w:right w:val="single" w:color="auto" w:sz="4" w:space="0"/>
            </w:tcBorders>
            <w:vAlign w:val="center"/>
          </w:tcPr>
          <w:p w14:paraId="55F05D56">
            <w:pPr>
              <w:pStyle w:val="36"/>
              <w:spacing w:line="240" w:lineRule="auto"/>
              <w:ind w:firstLine="240" w:firstLineChars="100"/>
              <w:jc w:val="left"/>
              <w:rPr>
                <w:rFonts w:hAnsi="宋体" w:cs="宋体"/>
                <w:color w:val="auto"/>
                <w:szCs w:val="22"/>
                <w:highlight w:val="none"/>
              </w:rPr>
            </w:pPr>
            <w:r>
              <w:rPr>
                <w:rFonts w:hint="eastAsia" w:hAnsi="宋体"/>
                <w:bCs/>
                <w:snapToGrid w:val="0"/>
                <w:color w:val="auto"/>
                <w:kern w:val="0"/>
                <w:szCs w:val="24"/>
                <w:highlight w:val="none"/>
                <w:lang w:eastAsia="zh-CN"/>
              </w:rPr>
              <w:t>韶关市发展和改革局</w:t>
            </w:r>
          </w:p>
        </w:tc>
      </w:tr>
      <w:tr w14:paraId="2714E2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040361A1">
            <w:pPr>
              <w:pStyle w:val="36"/>
              <w:spacing w:line="240" w:lineRule="auto"/>
              <w:jc w:val="center"/>
              <w:rPr>
                <w:rFonts w:hAnsi="宋体" w:cs="宋体"/>
                <w:color w:val="auto"/>
                <w:highlight w:val="none"/>
              </w:rPr>
            </w:pPr>
            <w:r>
              <w:rPr>
                <w:rFonts w:hint="eastAsia" w:hAnsi="宋体" w:cs="宋体"/>
                <w:color w:val="auto"/>
                <w:highlight w:val="none"/>
              </w:rPr>
              <w:t>4</w:t>
            </w:r>
          </w:p>
        </w:tc>
        <w:tc>
          <w:tcPr>
            <w:tcW w:w="1725" w:type="dxa"/>
            <w:tcBorders>
              <w:top w:val="single" w:color="auto" w:sz="4" w:space="0"/>
              <w:left w:val="single" w:color="auto" w:sz="4" w:space="0"/>
              <w:bottom w:val="single" w:color="auto" w:sz="4" w:space="0"/>
              <w:right w:val="single" w:color="auto" w:sz="4" w:space="0"/>
            </w:tcBorders>
            <w:vAlign w:val="center"/>
          </w:tcPr>
          <w:p w14:paraId="0C20F7CE">
            <w:pPr>
              <w:snapToGrid w:val="0"/>
              <w:jc w:val="center"/>
              <w:rPr>
                <w:rFonts w:ascii="宋体" w:hAnsi="宋体" w:cs="宋体"/>
                <w:color w:val="auto"/>
                <w:kern w:val="0"/>
                <w:sz w:val="24"/>
                <w:szCs w:val="22"/>
                <w:highlight w:val="none"/>
              </w:rPr>
            </w:pPr>
            <w:r>
              <w:rPr>
                <w:rFonts w:hint="eastAsia" w:ascii="宋体" w:hAnsi="宋体" w:cs="宋体"/>
                <w:color w:val="auto"/>
                <w:kern w:val="0"/>
                <w:sz w:val="24"/>
                <w:szCs w:val="22"/>
                <w:highlight w:val="none"/>
              </w:rPr>
              <w:t>项目批准文件</w:t>
            </w:r>
          </w:p>
        </w:tc>
        <w:tc>
          <w:tcPr>
            <w:tcW w:w="7282" w:type="dxa"/>
            <w:tcBorders>
              <w:top w:val="single" w:color="auto" w:sz="4" w:space="0"/>
              <w:left w:val="single" w:color="auto" w:sz="4" w:space="0"/>
              <w:bottom w:val="single" w:color="auto" w:sz="4" w:space="0"/>
              <w:right w:val="single" w:color="auto" w:sz="4" w:space="0"/>
            </w:tcBorders>
            <w:vAlign w:val="center"/>
          </w:tcPr>
          <w:p w14:paraId="4C1C51A1">
            <w:pPr>
              <w:pStyle w:val="36"/>
              <w:spacing w:line="240" w:lineRule="auto"/>
              <w:ind w:firstLine="240" w:firstLineChars="100"/>
              <w:jc w:val="left"/>
              <w:rPr>
                <w:rFonts w:hAnsi="宋体" w:cs="宋体"/>
                <w:color w:val="auto"/>
                <w:kern w:val="0"/>
                <w:szCs w:val="22"/>
                <w:highlight w:val="none"/>
              </w:rPr>
            </w:pPr>
            <w:r>
              <w:rPr>
                <w:rFonts w:hint="eastAsia"/>
                <w:color w:val="auto"/>
                <w:highlight w:val="none"/>
              </w:rPr>
              <w:t>韶发改投审〔2026〕31号</w:t>
            </w:r>
          </w:p>
        </w:tc>
      </w:tr>
      <w:tr w14:paraId="1D8B9D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6470174E">
            <w:pPr>
              <w:pStyle w:val="36"/>
              <w:spacing w:line="240" w:lineRule="auto"/>
              <w:jc w:val="center"/>
              <w:rPr>
                <w:rFonts w:hAnsi="宋体" w:cs="宋体"/>
                <w:color w:val="auto"/>
                <w:highlight w:val="none"/>
              </w:rPr>
            </w:pPr>
            <w:r>
              <w:rPr>
                <w:rFonts w:hint="eastAsia" w:hAnsi="宋体" w:cs="宋体"/>
                <w:color w:val="auto"/>
                <w:highlight w:val="none"/>
              </w:rPr>
              <w:t>5</w:t>
            </w:r>
          </w:p>
        </w:tc>
        <w:tc>
          <w:tcPr>
            <w:tcW w:w="1725" w:type="dxa"/>
            <w:tcBorders>
              <w:top w:val="single" w:color="auto" w:sz="4" w:space="0"/>
              <w:left w:val="single" w:color="auto" w:sz="4" w:space="0"/>
              <w:bottom w:val="single" w:color="auto" w:sz="4" w:space="0"/>
              <w:right w:val="single" w:color="auto" w:sz="4" w:space="0"/>
            </w:tcBorders>
            <w:vAlign w:val="center"/>
          </w:tcPr>
          <w:p w14:paraId="7228AE0D">
            <w:pPr>
              <w:pStyle w:val="36"/>
              <w:spacing w:line="240" w:lineRule="auto"/>
              <w:jc w:val="center"/>
              <w:rPr>
                <w:rFonts w:hAnsi="宋体" w:cs="宋体"/>
                <w:color w:val="auto"/>
                <w:highlight w:val="none"/>
              </w:rPr>
            </w:pPr>
            <w:r>
              <w:rPr>
                <w:rFonts w:hint="eastAsia" w:hAnsi="宋体" w:cs="宋体"/>
                <w:color w:val="auto"/>
                <w:highlight w:val="none"/>
              </w:rPr>
              <w:t>项目代码</w:t>
            </w:r>
          </w:p>
        </w:tc>
        <w:tc>
          <w:tcPr>
            <w:tcW w:w="7282" w:type="dxa"/>
            <w:tcBorders>
              <w:top w:val="single" w:color="auto" w:sz="4" w:space="0"/>
              <w:left w:val="single" w:color="auto" w:sz="4" w:space="0"/>
              <w:bottom w:val="single" w:color="auto" w:sz="4" w:space="0"/>
              <w:right w:val="single" w:color="auto" w:sz="4" w:space="0"/>
            </w:tcBorders>
            <w:vAlign w:val="center"/>
          </w:tcPr>
          <w:p w14:paraId="295640BE">
            <w:pPr>
              <w:pStyle w:val="36"/>
              <w:spacing w:line="240" w:lineRule="auto"/>
              <w:ind w:firstLine="240" w:firstLineChars="100"/>
              <w:jc w:val="left"/>
              <w:rPr>
                <w:rFonts w:hAnsi="宋体" w:cs="宋体"/>
                <w:color w:val="auto"/>
                <w:szCs w:val="22"/>
                <w:highlight w:val="none"/>
              </w:rPr>
            </w:pPr>
            <w:r>
              <w:rPr>
                <w:rFonts w:hint="eastAsia" w:hAnsi="宋体" w:cs="宋体"/>
                <w:color w:val="auto"/>
                <w:szCs w:val="22"/>
                <w:highlight w:val="none"/>
              </w:rPr>
              <w:t>2604-440204-04-01-911977</w:t>
            </w:r>
          </w:p>
        </w:tc>
      </w:tr>
      <w:tr w14:paraId="314F65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4"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69033C91">
            <w:pPr>
              <w:pStyle w:val="36"/>
              <w:spacing w:line="240" w:lineRule="auto"/>
              <w:jc w:val="center"/>
              <w:rPr>
                <w:rFonts w:hAnsi="宋体" w:cs="宋体"/>
                <w:color w:val="auto"/>
                <w:highlight w:val="none"/>
              </w:rPr>
            </w:pPr>
            <w:r>
              <w:rPr>
                <w:rFonts w:hint="eastAsia" w:hAnsi="宋体" w:cs="宋体"/>
                <w:color w:val="auto"/>
                <w:highlight w:val="none"/>
              </w:rPr>
              <w:t>6</w:t>
            </w:r>
          </w:p>
        </w:tc>
        <w:tc>
          <w:tcPr>
            <w:tcW w:w="1725" w:type="dxa"/>
            <w:tcBorders>
              <w:top w:val="single" w:color="auto" w:sz="4" w:space="0"/>
              <w:left w:val="single" w:color="auto" w:sz="4" w:space="0"/>
              <w:bottom w:val="single" w:color="auto" w:sz="4" w:space="0"/>
              <w:right w:val="single" w:color="auto" w:sz="4" w:space="0"/>
            </w:tcBorders>
            <w:vAlign w:val="center"/>
          </w:tcPr>
          <w:p w14:paraId="71BBC72D">
            <w:pPr>
              <w:pStyle w:val="36"/>
              <w:spacing w:line="240" w:lineRule="auto"/>
              <w:jc w:val="center"/>
              <w:rPr>
                <w:rFonts w:hAnsi="宋体" w:cs="宋体"/>
                <w:color w:val="auto"/>
                <w:highlight w:val="none"/>
              </w:rPr>
            </w:pPr>
            <w:r>
              <w:rPr>
                <w:rFonts w:hint="eastAsia" w:hAnsi="宋体" w:cs="宋体"/>
                <w:color w:val="auto"/>
                <w:highlight w:val="none"/>
              </w:rPr>
              <w:t>项目总投资</w:t>
            </w:r>
          </w:p>
        </w:tc>
        <w:tc>
          <w:tcPr>
            <w:tcW w:w="7282" w:type="dxa"/>
            <w:tcBorders>
              <w:top w:val="single" w:color="auto" w:sz="4" w:space="0"/>
              <w:left w:val="single" w:color="auto" w:sz="4" w:space="0"/>
              <w:bottom w:val="single" w:color="auto" w:sz="4" w:space="0"/>
              <w:right w:val="single" w:color="auto" w:sz="4" w:space="0"/>
            </w:tcBorders>
            <w:vAlign w:val="center"/>
          </w:tcPr>
          <w:p w14:paraId="4138D90A">
            <w:pPr>
              <w:pStyle w:val="36"/>
              <w:spacing w:line="240" w:lineRule="auto"/>
              <w:ind w:firstLine="240" w:firstLineChars="100"/>
              <w:jc w:val="left"/>
              <w:rPr>
                <w:rFonts w:hAnsi="宋体" w:cs="宋体"/>
                <w:color w:val="auto"/>
                <w:highlight w:val="none"/>
              </w:rPr>
            </w:pPr>
            <w:r>
              <w:rPr>
                <w:rFonts w:hint="eastAsia" w:hAnsi="宋体" w:cs="宋体"/>
                <w:color w:val="auto"/>
                <w:highlight w:val="none"/>
              </w:rPr>
              <w:t>项目总投资估算约为12</w:t>
            </w:r>
            <w:r>
              <w:rPr>
                <w:rFonts w:hint="eastAsia" w:hAnsi="宋体" w:cs="宋体"/>
                <w:color w:val="auto"/>
                <w:highlight w:val="none"/>
                <w:lang w:eastAsia="zh-CN"/>
              </w:rPr>
              <w:t>4</w:t>
            </w:r>
            <w:r>
              <w:rPr>
                <w:rFonts w:hint="eastAsia" w:hAnsi="宋体" w:cs="宋体"/>
                <w:color w:val="auto"/>
                <w:highlight w:val="none"/>
                <w:lang w:val="en-US" w:eastAsia="zh-CN"/>
              </w:rPr>
              <w:t>98</w:t>
            </w:r>
            <w:r>
              <w:rPr>
                <w:rFonts w:hint="eastAsia" w:hAnsi="宋体" w:cs="宋体"/>
                <w:color w:val="auto"/>
                <w:highlight w:val="none"/>
              </w:rPr>
              <w:t>.</w:t>
            </w:r>
            <w:r>
              <w:rPr>
                <w:rFonts w:hint="eastAsia" w:hAnsi="宋体" w:cs="宋体"/>
                <w:color w:val="auto"/>
                <w:highlight w:val="none"/>
                <w:lang w:eastAsia="zh-CN"/>
              </w:rPr>
              <w:t>1</w:t>
            </w:r>
            <w:r>
              <w:rPr>
                <w:rFonts w:hint="eastAsia" w:hAnsi="宋体" w:cs="宋体"/>
                <w:color w:val="auto"/>
                <w:highlight w:val="none"/>
                <w:lang w:val="en-US" w:eastAsia="zh-CN"/>
              </w:rPr>
              <w:t>8</w:t>
            </w:r>
            <w:r>
              <w:rPr>
                <w:rFonts w:hint="eastAsia" w:hAnsi="宋体" w:cs="宋体"/>
                <w:color w:val="auto"/>
                <w:highlight w:val="none"/>
              </w:rPr>
              <w:t>万元，其中工程费用107</w:t>
            </w:r>
            <w:r>
              <w:rPr>
                <w:rFonts w:hint="eastAsia" w:hAnsi="宋体" w:cs="宋体"/>
                <w:color w:val="auto"/>
                <w:highlight w:val="none"/>
                <w:lang w:eastAsia="zh-CN"/>
              </w:rPr>
              <w:t>0</w:t>
            </w:r>
            <w:r>
              <w:rPr>
                <w:rFonts w:hint="eastAsia" w:hAnsi="宋体" w:cs="宋体"/>
                <w:color w:val="auto"/>
                <w:highlight w:val="none"/>
                <w:lang w:val="en-US" w:eastAsia="zh-CN"/>
              </w:rPr>
              <w:t>1</w:t>
            </w:r>
            <w:r>
              <w:rPr>
                <w:rFonts w:hint="eastAsia" w:hAnsi="宋体" w:cs="宋体"/>
                <w:color w:val="auto"/>
                <w:highlight w:val="none"/>
              </w:rPr>
              <w:t>.</w:t>
            </w:r>
            <w:r>
              <w:rPr>
                <w:rFonts w:hint="eastAsia" w:hAnsi="宋体" w:cs="宋体"/>
                <w:color w:val="auto"/>
                <w:highlight w:val="none"/>
                <w:lang w:eastAsia="zh-CN"/>
              </w:rPr>
              <w:t>2</w:t>
            </w:r>
            <w:r>
              <w:rPr>
                <w:rFonts w:hint="eastAsia" w:hAnsi="宋体" w:cs="宋体"/>
                <w:color w:val="auto"/>
                <w:highlight w:val="none"/>
                <w:lang w:val="en-US" w:eastAsia="zh-CN"/>
              </w:rPr>
              <w:t>9</w:t>
            </w:r>
            <w:r>
              <w:rPr>
                <w:rFonts w:hint="eastAsia" w:hAnsi="宋体" w:cs="宋体"/>
                <w:color w:val="auto"/>
                <w:highlight w:val="none"/>
              </w:rPr>
              <w:t>万元， 工程建设其他费用12</w:t>
            </w:r>
            <w:r>
              <w:rPr>
                <w:rFonts w:hint="eastAsia" w:hAnsi="宋体" w:cs="宋体"/>
                <w:color w:val="auto"/>
                <w:highlight w:val="none"/>
                <w:lang w:eastAsia="zh-CN"/>
              </w:rPr>
              <w:t>0</w:t>
            </w:r>
            <w:r>
              <w:rPr>
                <w:rFonts w:hint="eastAsia" w:hAnsi="宋体" w:cs="宋体"/>
                <w:color w:val="auto"/>
                <w:highlight w:val="none"/>
                <w:lang w:val="en-US" w:eastAsia="zh-CN"/>
              </w:rPr>
              <w:t>1</w:t>
            </w:r>
            <w:r>
              <w:rPr>
                <w:rFonts w:hint="eastAsia" w:hAnsi="宋体" w:cs="宋体"/>
                <w:color w:val="auto"/>
                <w:highlight w:val="none"/>
              </w:rPr>
              <w:t>.7</w:t>
            </w:r>
            <w:r>
              <w:rPr>
                <w:rFonts w:hint="eastAsia" w:hAnsi="宋体" w:cs="宋体"/>
                <w:color w:val="auto"/>
                <w:highlight w:val="none"/>
                <w:lang w:eastAsia="zh-CN"/>
              </w:rPr>
              <w:t>4</w:t>
            </w:r>
            <w:r>
              <w:rPr>
                <w:rFonts w:hint="eastAsia" w:hAnsi="宋体" w:cs="宋体"/>
                <w:color w:val="auto"/>
                <w:highlight w:val="none"/>
              </w:rPr>
              <w:t>万元，预备费</w:t>
            </w:r>
            <w:r>
              <w:rPr>
                <w:rFonts w:hint="eastAsia" w:hAnsi="宋体" w:cs="宋体"/>
                <w:color w:val="auto"/>
                <w:highlight w:val="none"/>
                <w:lang w:eastAsia="zh-CN"/>
              </w:rPr>
              <w:t>5</w:t>
            </w:r>
            <w:r>
              <w:rPr>
                <w:rFonts w:hint="eastAsia" w:hAnsi="宋体" w:cs="宋体"/>
                <w:color w:val="auto"/>
                <w:highlight w:val="none"/>
                <w:lang w:val="en-US" w:eastAsia="zh-CN"/>
              </w:rPr>
              <w:t>95</w:t>
            </w:r>
            <w:r>
              <w:rPr>
                <w:rFonts w:hint="eastAsia" w:hAnsi="宋体" w:cs="宋体"/>
                <w:color w:val="auto"/>
                <w:highlight w:val="none"/>
              </w:rPr>
              <w:t>.</w:t>
            </w:r>
            <w:r>
              <w:rPr>
                <w:rFonts w:hint="eastAsia" w:hAnsi="宋体" w:cs="宋体"/>
                <w:color w:val="auto"/>
                <w:highlight w:val="none"/>
                <w:lang w:eastAsia="zh-CN"/>
              </w:rPr>
              <w:t>1</w:t>
            </w:r>
            <w:r>
              <w:rPr>
                <w:rFonts w:hint="eastAsia" w:hAnsi="宋体" w:cs="宋体"/>
                <w:color w:val="auto"/>
                <w:highlight w:val="none"/>
                <w:lang w:val="en-US" w:eastAsia="zh-CN"/>
              </w:rPr>
              <w:t>5</w:t>
            </w:r>
            <w:r>
              <w:rPr>
                <w:rFonts w:hint="eastAsia" w:hAnsi="宋体" w:cs="宋体"/>
                <w:color w:val="auto"/>
                <w:highlight w:val="none"/>
              </w:rPr>
              <w:t>万元。</w:t>
            </w:r>
          </w:p>
        </w:tc>
      </w:tr>
      <w:tr w14:paraId="57A824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2667AB37">
            <w:pPr>
              <w:pStyle w:val="36"/>
              <w:spacing w:line="240" w:lineRule="auto"/>
              <w:jc w:val="center"/>
              <w:rPr>
                <w:rFonts w:hAnsi="宋体" w:cs="宋体"/>
                <w:color w:val="auto"/>
                <w:highlight w:val="none"/>
              </w:rPr>
            </w:pPr>
            <w:r>
              <w:rPr>
                <w:rFonts w:hint="eastAsia" w:hAnsi="宋体" w:cs="宋体"/>
                <w:color w:val="auto"/>
                <w:highlight w:val="none"/>
              </w:rPr>
              <w:t>7</w:t>
            </w:r>
          </w:p>
        </w:tc>
        <w:tc>
          <w:tcPr>
            <w:tcW w:w="1725" w:type="dxa"/>
            <w:tcBorders>
              <w:top w:val="single" w:color="auto" w:sz="4" w:space="0"/>
              <w:left w:val="single" w:color="auto" w:sz="4" w:space="0"/>
              <w:bottom w:val="single" w:color="auto" w:sz="4" w:space="0"/>
              <w:right w:val="single" w:color="auto" w:sz="4" w:space="0"/>
            </w:tcBorders>
            <w:vAlign w:val="center"/>
          </w:tcPr>
          <w:p w14:paraId="793D288F">
            <w:pPr>
              <w:snapToGrid w:val="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项目资金来源</w:t>
            </w:r>
          </w:p>
        </w:tc>
        <w:tc>
          <w:tcPr>
            <w:tcW w:w="7282" w:type="dxa"/>
            <w:tcBorders>
              <w:top w:val="single" w:color="auto" w:sz="4" w:space="0"/>
              <w:left w:val="single" w:color="auto" w:sz="4" w:space="0"/>
              <w:bottom w:val="single" w:color="auto" w:sz="4" w:space="0"/>
              <w:right w:val="single" w:color="auto" w:sz="4" w:space="0"/>
            </w:tcBorders>
            <w:vAlign w:val="center"/>
          </w:tcPr>
          <w:p w14:paraId="6F76FC05">
            <w:pPr>
              <w:pStyle w:val="36"/>
              <w:spacing w:line="240" w:lineRule="auto"/>
              <w:ind w:firstLine="240" w:firstLineChars="100"/>
              <w:jc w:val="left"/>
              <w:rPr>
                <w:rFonts w:hAnsi="宋体" w:cs="宋体"/>
                <w:color w:val="auto"/>
                <w:szCs w:val="22"/>
                <w:highlight w:val="none"/>
              </w:rPr>
            </w:pPr>
            <w:r>
              <w:rPr>
                <w:rFonts w:hint="eastAsia" w:hAnsi="宋体" w:cs="宋体"/>
                <w:color w:val="auto"/>
                <w:szCs w:val="22"/>
                <w:highlight w:val="none"/>
              </w:rPr>
              <w:t>自筹资金，并积极争取上级资金支持</w:t>
            </w:r>
          </w:p>
        </w:tc>
      </w:tr>
      <w:tr w14:paraId="354099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6"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2CA00DA2">
            <w:pPr>
              <w:pStyle w:val="36"/>
              <w:spacing w:line="240" w:lineRule="auto"/>
              <w:jc w:val="center"/>
              <w:rPr>
                <w:rFonts w:hAnsi="宋体" w:cs="宋体"/>
                <w:color w:val="auto"/>
                <w:highlight w:val="none"/>
              </w:rPr>
            </w:pPr>
            <w:r>
              <w:rPr>
                <w:rFonts w:hint="eastAsia" w:hAnsi="宋体" w:cs="宋体"/>
                <w:color w:val="auto"/>
                <w:highlight w:val="none"/>
              </w:rPr>
              <w:t>8</w:t>
            </w:r>
          </w:p>
        </w:tc>
        <w:tc>
          <w:tcPr>
            <w:tcW w:w="1725" w:type="dxa"/>
            <w:tcBorders>
              <w:top w:val="single" w:color="auto" w:sz="4" w:space="0"/>
              <w:left w:val="single" w:color="auto" w:sz="4" w:space="0"/>
              <w:bottom w:val="single" w:color="auto" w:sz="4" w:space="0"/>
              <w:right w:val="single" w:color="auto" w:sz="4" w:space="0"/>
            </w:tcBorders>
            <w:vAlign w:val="center"/>
          </w:tcPr>
          <w:p w14:paraId="5BB17BCB">
            <w:pPr>
              <w:pStyle w:val="36"/>
              <w:spacing w:line="240" w:lineRule="auto"/>
              <w:jc w:val="center"/>
              <w:rPr>
                <w:rFonts w:hAnsi="宋体" w:cs="宋体"/>
                <w:color w:val="auto"/>
                <w:kern w:val="0"/>
                <w:szCs w:val="24"/>
                <w:highlight w:val="none"/>
              </w:rPr>
            </w:pPr>
            <w:r>
              <w:rPr>
                <w:rFonts w:hint="eastAsia" w:hAnsi="宋体" w:cs="宋体"/>
                <w:color w:val="auto"/>
                <w:szCs w:val="22"/>
                <w:highlight w:val="none"/>
              </w:rPr>
              <w:t>招标人</w:t>
            </w:r>
          </w:p>
        </w:tc>
        <w:tc>
          <w:tcPr>
            <w:tcW w:w="7282" w:type="dxa"/>
            <w:tcBorders>
              <w:top w:val="single" w:color="auto" w:sz="4" w:space="0"/>
              <w:left w:val="single" w:color="auto" w:sz="4" w:space="0"/>
              <w:bottom w:val="single" w:color="auto" w:sz="4" w:space="0"/>
              <w:right w:val="single" w:color="auto" w:sz="4" w:space="0"/>
            </w:tcBorders>
            <w:vAlign w:val="center"/>
          </w:tcPr>
          <w:p w14:paraId="4CF115C1">
            <w:pPr>
              <w:pStyle w:val="36"/>
              <w:spacing w:line="240" w:lineRule="auto"/>
              <w:ind w:firstLine="240" w:firstLineChars="100"/>
              <w:jc w:val="left"/>
              <w:rPr>
                <w:rFonts w:hint="eastAsia" w:hAnsi="宋体" w:eastAsia="宋体" w:cs="宋体"/>
                <w:color w:val="auto"/>
                <w:szCs w:val="22"/>
                <w:highlight w:val="none"/>
                <w:lang w:eastAsia="zh-CN"/>
              </w:rPr>
            </w:pPr>
            <w:r>
              <w:rPr>
                <w:rFonts w:hint="eastAsia" w:hAnsi="宋体" w:cs="宋体"/>
                <w:color w:val="auto"/>
                <w:szCs w:val="22"/>
                <w:highlight w:val="none"/>
                <w:lang w:eastAsia="zh-CN"/>
              </w:rPr>
              <w:t>韶关市第一人民医院</w:t>
            </w:r>
          </w:p>
        </w:tc>
      </w:tr>
      <w:tr w14:paraId="523A4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555B7482">
            <w:pPr>
              <w:pStyle w:val="36"/>
              <w:spacing w:line="240" w:lineRule="auto"/>
              <w:jc w:val="center"/>
              <w:rPr>
                <w:rFonts w:hAnsi="宋体" w:cs="宋体"/>
                <w:color w:val="auto"/>
                <w:highlight w:val="none"/>
              </w:rPr>
            </w:pPr>
            <w:r>
              <w:rPr>
                <w:rFonts w:hint="eastAsia" w:hAnsi="宋体" w:cs="宋体"/>
                <w:color w:val="auto"/>
                <w:highlight w:val="none"/>
              </w:rPr>
              <w:t>9</w:t>
            </w:r>
          </w:p>
        </w:tc>
        <w:tc>
          <w:tcPr>
            <w:tcW w:w="1725" w:type="dxa"/>
            <w:tcBorders>
              <w:top w:val="single" w:color="auto" w:sz="4" w:space="0"/>
              <w:left w:val="single" w:color="auto" w:sz="4" w:space="0"/>
              <w:bottom w:val="single" w:color="auto" w:sz="4" w:space="0"/>
              <w:right w:val="single" w:color="auto" w:sz="4" w:space="0"/>
            </w:tcBorders>
            <w:vAlign w:val="center"/>
          </w:tcPr>
          <w:p w14:paraId="2DEB53D5">
            <w:pPr>
              <w:snapToGrid w:val="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招标代理机构</w:t>
            </w:r>
          </w:p>
        </w:tc>
        <w:tc>
          <w:tcPr>
            <w:tcW w:w="7282" w:type="dxa"/>
            <w:tcBorders>
              <w:top w:val="single" w:color="auto" w:sz="4" w:space="0"/>
              <w:left w:val="single" w:color="auto" w:sz="4" w:space="0"/>
              <w:bottom w:val="single" w:color="auto" w:sz="4" w:space="0"/>
              <w:right w:val="single" w:color="auto" w:sz="4" w:space="0"/>
            </w:tcBorders>
            <w:vAlign w:val="center"/>
          </w:tcPr>
          <w:p w14:paraId="5B3499A6">
            <w:pPr>
              <w:pStyle w:val="36"/>
              <w:spacing w:line="240" w:lineRule="auto"/>
              <w:ind w:firstLine="240" w:firstLineChars="100"/>
              <w:jc w:val="left"/>
              <w:rPr>
                <w:rFonts w:hint="eastAsia" w:hAnsi="宋体" w:eastAsia="宋体" w:cs="宋体"/>
                <w:color w:val="auto"/>
                <w:szCs w:val="22"/>
                <w:highlight w:val="none"/>
                <w:lang w:eastAsia="zh-CN"/>
              </w:rPr>
            </w:pPr>
            <w:r>
              <w:rPr>
                <w:rFonts w:hint="eastAsia" w:hAnsi="宋体" w:cs="宋体"/>
                <w:color w:val="auto"/>
                <w:szCs w:val="22"/>
                <w:highlight w:val="none"/>
                <w:lang w:eastAsia="zh-CN"/>
              </w:rPr>
              <w:t>广东省机电设备招标有限公司</w:t>
            </w:r>
          </w:p>
        </w:tc>
      </w:tr>
      <w:tr w14:paraId="68A6EA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9"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2953F486">
            <w:pPr>
              <w:pStyle w:val="36"/>
              <w:spacing w:line="240" w:lineRule="auto"/>
              <w:jc w:val="center"/>
              <w:rPr>
                <w:rFonts w:hAnsi="宋体" w:cs="宋体"/>
                <w:color w:val="auto"/>
                <w:highlight w:val="none"/>
              </w:rPr>
            </w:pPr>
            <w:r>
              <w:rPr>
                <w:rFonts w:hint="eastAsia" w:hAnsi="宋体" w:cs="宋体"/>
                <w:color w:val="auto"/>
                <w:highlight w:val="none"/>
              </w:rPr>
              <w:t>10</w:t>
            </w:r>
          </w:p>
        </w:tc>
        <w:tc>
          <w:tcPr>
            <w:tcW w:w="1725" w:type="dxa"/>
            <w:tcBorders>
              <w:top w:val="single" w:color="auto" w:sz="4" w:space="0"/>
              <w:left w:val="single" w:color="auto" w:sz="4" w:space="0"/>
              <w:bottom w:val="single" w:color="auto" w:sz="4" w:space="0"/>
              <w:right w:val="single" w:color="auto" w:sz="4" w:space="0"/>
            </w:tcBorders>
            <w:vAlign w:val="center"/>
          </w:tcPr>
          <w:p w14:paraId="46E3F6C2">
            <w:pPr>
              <w:snapToGrid w:val="0"/>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建设地点</w:t>
            </w:r>
          </w:p>
        </w:tc>
        <w:tc>
          <w:tcPr>
            <w:tcW w:w="7282" w:type="dxa"/>
            <w:tcBorders>
              <w:top w:val="single" w:color="auto" w:sz="4" w:space="0"/>
              <w:left w:val="single" w:color="auto" w:sz="4" w:space="0"/>
              <w:bottom w:val="single" w:color="auto" w:sz="4" w:space="0"/>
              <w:right w:val="single" w:color="auto" w:sz="4" w:space="0"/>
            </w:tcBorders>
            <w:vAlign w:val="center"/>
          </w:tcPr>
          <w:p w14:paraId="4CAF5B26">
            <w:pPr>
              <w:pStyle w:val="36"/>
              <w:spacing w:line="240" w:lineRule="auto"/>
              <w:ind w:firstLine="240" w:firstLineChars="100"/>
              <w:jc w:val="left"/>
              <w:rPr>
                <w:rFonts w:hAnsi="宋体" w:cs="宋体"/>
                <w:color w:val="auto"/>
                <w:szCs w:val="22"/>
                <w:highlight w:val="none"/>
              </w:rPr>
            </w:pPr>
            <w:r>
              <w:rPr>
                <w:rFonts w:hint="eastAsia" w:ascii="宋体" w:hAnsi="宋体" w:eastAsia="宋体" w:cs="宋体"/>
                <w:color w:val="auto"/>
                <w:szCs w:val="22"/>
                <w:highlight w:val="none"/>
                <w:lang w:eastAsia="zh-CN"/>
              </w:rPr>
              <w:t>广东省韶关市浈江区东堤南路3号</w:t>
            </w:r>
          </w:p>
        </w:tc>
      </w:tr>
      <w:tr w14:paraId="0FD3F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5934D325">
            <w:pPr>
              <w:pStyle w:val="36"/>
              <w:spacing w:line="240" w:lineRule="auto"/>
              <w:jc w:val="center"/>
              <w:rPr>
                <w:rFonts w:hAnsi="宋体" w:cs="宋体"/>
                <w:color w:val="auto"/>
                <w:highlight w:val="none"/>
              </w:rPr>
            </w:pPr>
            <w:r>
              <w:rPr>
                <w:rFonts w:hint="eastAsia" w:hAnsi="宋体" w:cs="宋体"/>
                <w:color w:val="auto"/>
                <w:highlight w:val="none"/>
              </w:rPr>
              <w:t>11</w:t>
            </w:r>
          </w:p>
        </w:tc>
        <w:tc>
          <w:tcPr>
            <w:tcW w:w="1725" w:type="dxa"/>
            <w:tcBorders>
              <w:top w:val="single" w:color="auto" w:sz="4" w:space="0"/>
              <w:left w:val="single" w:color="auto" w:sz="4" w:space="0"/>
              <w:bottom w:val="single" w:color="auto" w:sz="4" w:space="0"/>
              <w:right w:val="single" w:color="auto" w:sz="4" w:space="0"/>
            </w:tcBorders>
            <w:vAlign w:val="center"/>
          </w:tcPr>
          <w:p w14:paraId="792B0AD9">
            <w:pPr>
              <w:pStyle w:val="36"/>
              <w:spacing w:line="240" w:lineRule="auto"/>
              <w:jc w:val="center"/>
              <w:rPr>
                <w:rFonts w:hAnsi="宋体" w:cs="宋体"/>
                <w:color w:val="auto"/>
                <w:szCs w:val="24"/>
                <w:highlight w:val="none"/>
              </w:rPr>
            </w:pPr>
            <w:r>
              <w:rPr>
                <w:rFonts w:hint="eastAsia" w:hAnsi="宋体" w:cs="宋体"/>
                <w:color w:val="auto"/>
                <w:kern w:val="0"/>
                <w:szCs w:val="24"/>
                <w:highlight w:val="none"/>
              </w:rPr>
              <w:t>标段划分</w:t>
            </w:r>
          </w:p>
        </w:tc>
        <w:tc>
          <w:tcPr>
            <w:tcW w:w="7282" w:type="dxa"/>
            <w:tcBorders>
              <w:top w:val="single" w:color="auto" w:sz="4" w:space="0"/>
              <w:left w:val="single" w:color="auto" w:sz="4" w:space="0"/>
              <w:bottom w:val="single" w:color="auto" w:sz="4" w:space="0"/>
              <w:right w:val="single" w:color="auto" w:sz="4" w:space="0"/>
            </w:tcBorders>
            <w:vAlign w:val="center"/>
          </w:tcPr>
          <w:p w14:paraId="369487F5">
            <w:pPr>
              <w:pStyle w:val="36"/>
              <w:spacing w:line="240" w:lineRule="auto"/>
              <w:ind w:firstLine="240" w:firstLineChars="100"/>
              <w:jc w:val="left"/>
              <w:rPr>
                <w:rFonts w:hAnsi="宋体" w:cs="宋体"/>
                <w:color w:val="auto"/>
                <w:szCs w:val="22"/>
                <w:highlight w:val="none"/>
              </w:rPr>
            </w:pPr>
            <w:r>
              <w:rPr>
                <w:rFonts w:hint="eastAsia" w:hAnsi="宋体" w:cs="宋体"/>
                <w:color w:val="auto"/>
                <w:szCs w:val="22"/>
                <w:highlight w:val="none"/>
              </w:rPr>
              <w:t>本项目不划分标段</w:t>
            </w:r>
          </w:p>
        </w:tc>
      </w:tr>
      <w:tr w14:paraId="5EB99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3EE60A5D">
            <w:pPr>
              <w:pStyle w:val="36"/>
              <w:spacing w:line="240" w:lineRule="auto"/>
              <w:jc w:val="center"/>
              <w:rPr>
                <w:rFonts w:hAnsi="宋体" w:cs="宋体"/>
                <w:color w:val="auto"/>
                <w:highlight w:val="none"/>
              </w:rPr>
            </w:pPr>
            <w:r>
              <w:rPr>
                <w:rFonts w:hint="eastAsia" w:hAnsi="宋体" w:cs="宋体"/>
                <w:color w:val="auto"/>
                <w:highlight w:val="none"/>
              </w:rPr>
              <w:t>12</w:t>
            </w:r>
          </w:p>
        </w:tc>
        <w:tc>
          <w:tcPr>
            <w:tcW w:w="1725" w:type="dxa"/>
            <w:tcBorders>
              <w:top w:val="single" w:color="auto" w:sz="4" w:space="0"/>
              <w:left w:val="single" w:color="auto" w:sz="4" w:space="0"/>
              <w:bottom w:val="single" w:color="auto" w:sz="4" w:space="0"/>
              <w:right w:val="single" w:color="auto" w:sz="4" w:space="0"/>
            </w:tcBorders>
            <w:vAlign w:val="center"/>
          </w:tcPr>
          <w:p w14:paraId="4C46899C">
            <w:pPr>
              <w:pStyle w:val="36"/>
              <w:spacing w:line="240" w:lineRule="auto"/>
              <w:jc w:val="center"/>
              <w:rPr>
                <w:rFonts w:hAnsi="宋体" w:cs="宋体"/>
                <w:color w:val="auto"/>
                <w:szCs w:val="24"/>
                <w:highlight w:val="none"/>
              </w:rPr>
            </w:pPr>
            <w:r>
              <w:rPr>
                <w:rFonts w:hint="eastAsia" w:hAnsi="宋体" w:cs="宋体"/>
                <w:color w:val="auto"/>
                <w:szCs w:val="24"/>
                <w:highlight w:val="none"/>
              </w:rPr>
              <w:t>建设内容和规模</w:t>
            </w:r>
          </w:p>
        </w:tc>
        <w:tc>
          <w:tcPr>
            <w:tcW w:w="7282" w:type="dxa"/>
            <w:tcBorders>
              <w:top w:val="single" w:color="auto" w:sz="4" w:space="0"/>
              <w:left w:val="single" w:color="auto" w:sz="4" w:space="0"/>
              <w:bottom w:val="single" w:color="auto" w:sz="4" w:space="0"/>
              <w:right w:val="single" w:color="auto" w:sz="4" w:space="0"/>
            </w:tcBorders>
            <w:vAlign w:val="center"/>
          </w:tcPr>
          <w:p w14:paraId="67FB87C7">
            <w:pPr>
              <w:pStyle w:val="36"/>
              <w:adjustRightInd w:val="0"/>
              <w:snapToGrid w:val="0"/>
              <w:spacing w:line="400" w:lineRule="exact"/>
              <w:ind w:firstLine="240" w:firstLineChars="100"/>
              <w:rPr>
                <w:rFonts w:hint="eastAsia" w:ascii="宋体" w:eastAsia="宋体"/>
                <w:color w:val="auto"/>
                <w:highlight w:val="none"/>
              </w:rPr>
            </w:pPr>
            <w:r>
              <w:rPr>
                <w:rFonts w:hint="eastAsia" w:ascii="宋体" w:eastAsia="宋体"/>
                <w:color w:val="auto"/>
                <w:highlight w:val="none"/>
              </w:rPr>
              <w:t>项目拟对韶关市第一人民医院旧院区进行病房改造及能力提升，项目涉及总建筑面积约4.3万平方米，其中改造面积约4.3万平方米，改造床位约500张，主要改造内容为254个病房楼多人间（3-8人间）病房改造为2人间及卫生间改造、供电供水系统改造等。本项目完成后，医院床位数保持不变。</w:t>
            </w:r>
          </w:p>
        </w:tc>
      </w:tr>
      <w:tr w14:paraId="742B9D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5FA148B4">
            <w:pPr>
              <w:pStyle w:val="36"/>
              <w:spacing w:line="240" w:lineRule="auto"/>
              <w:jc w:val="center"/>
              <w:rPr>
                <w:rFonts w:hAnsi="宋体" w:cs="宋体"/>
                <w:color w:val="auto"/>
                <w:highlight w:val="none"/>
              </w:rPr>
            </w:pPr>
            <w:r>
              <w:rPr>
                <w:rFonts w:hint="eastAsia" w:hAnsi="宋体" w:cs="宋体"/>
                <w:color w:val="auto"/>
                <w:highlight w:val="none"/>
              </w:rPr>
              <w:t>13</w:t>
            </w:r>
          </w:p>
        </w:tc>
        <w:tc>
          <w:tcPr>
            <w:tcW w:w="1725" w:type="dxa"/>
            <w:tcBorders>
              <w:top w:val="single" w:color="auto" w:sz="4" w:space="0"/>
              <w:left w:val="single" w:color="auto" w:sz="4" w:space="0"/>
              <w:bottom w:val="single" w:color="auto" w:sz="4" w:space="0"/>
              <w:right w:val="single" w:color="auto" w:sz="4" w:space="0"/>
            </w:tcBorders>
            <w:vAlign w:val="center"/>
          </w:tcPr>
          <w:p w14:paraId="27C1F672">
            <w:pPr>
              <w:pStyle w:val="36"/>
              <w:spacing w:line="240" w:lineRule="auto"/>
              <w:jc w:val="center"/>
              <w:rPr>
                <w:rFonts w:hAnsi="宋体" w:cs="宋体"/>
                <w:strike/>
                <w:color w:val="auto"/>
                <w:szCs w:val="24"/>
                <w:highlight w:val="none"/>
              </w:rPr>
            </w:pPr>
            <w:r>
              <w:rPr>
                <w:rFonts w:hint="eastAsia" w:hAnsi="宋体" w:cs="宋体"/>
                <w:color w:val="auto"/>
                <w:szCs w:val="24"/>
                <w:highlight w:val="none"/>
              </w:rPr>
              <w:t>招标范围</w:t>
            </w:r>
          </w:p>
        </w:tc>
        <w:tc>
          <w:tcPr>
            <w:tcW w:w="7282" w:type="dxa"/>
            <w:tcBorders>
              <w:top w:val="single" w:color="auto" w:sz="4" w:space="0"/>
              <w:left w:val="single" w:color="auto" w:sz="4" w:space="0"/>
              <w:bottom w:val="single" w:color="auto" w:sz="4" w:space="0"/>
              <w:right w:val="single" w:color="auto" w:sz="4" w:space="0"/>
            </w:tcBorders>
            <w:vAlign w:val="center"/>
          </w:tcPr>
          <w:p w14:paraId="51756049">
            <w:pPr>
              <w:pStyle w:val="36"/>
              <w:adjustRightInd w:val="0"/>
              <w:snapToGrid w:val="0"/>
              <w:spacing w:line="400" w:lineRule="exact"/>
              <w:ind w:firstLine="240" w:firstLineChars="100"/>
              <w:rPr>
                <w:rFonts w:hint="eastAsia" w:ascii="宋体" w:eastAsia="宋体"/>
                <w:color w:val="auto"/>
                <w:highlight w:val="none"/>
                <w:lang w:eastAsia="zh-CN"/>
              </w:rPr>
            </w:pPr>
            <w:bookmarkStart w:id="9" w:name="_Hlt106417017"/>
            <w:bookmarkEnd w:id="9"/>
            <w:r>
              <w:rPr>
                <w:rFonts w:hint="eastAsia" w:ascii="宋体" w:eastAsia="宋体"/>
                <w:color w:val="auto"/>
                <w:highlight w:val="none"/>
                <w:lang w:eastAsia="zh-CN"/>
              </w:rPr>
              <w:t>包括但不限于完成本项目方案设计、初步设计（含概算编制）、配合相关评审会议的汇报工作。（具体工作内容由招标人在合同中确定）</w:t>
            </w:r>
          </w:p>
        </w:tc>
      </w:tr>
      <w:tr w14:paraId="42D91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14"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4FE93D39">
            <w:pPr>
              <w:pStyle w:val="36"/>
              <w:spacing w:line="240" w:lineRule="auto"/>
              <w:jc w:val="center"/>
              <w:rPr>
                <w:rFonts w:hAnsi="宋体" w:cs="宋体"/>
                <w:color w:val="auto"/>
                <w:highlight w:val="none"/>
              </w:rPr>
            </w:pPr>
            <w:r>
              <w:rPr>
                <w:rFonts w:hint="eastAsia" w:hAnsi="宋体" w:cs="宋体"/>
                <w:color w:val="auto"/>
                <w:highlight w:val="none"/>
              </w:rPr>
              <w:t>14</w:t>
            </w:r>
          </w:p>
        </w:tc>
        <w:tc>
          <w:tcPr>
            <w:tcW w:w="1725" w:type="dxa"/>
            <w:tcBorders>
              <w:top w:val="single" w:color="auto" w:sz="4" w:space="0"/>
              <w:left w:val="single" w:color="auto" w:sz="4" w:space="0"/>
              <w:bottom w:val="single" w:color="auto" w:sz="4" w:space="0"/>
              <w:right w:val="single" w:color="auto" w:sz="4" w:space="0"/>
            </w:tcBorders>
            <w:vAlign w:val="center"/>
          </w:tcPr>
          <w:p w14:paraId="6891ACCD">
            <w:pPr>
              <w:pStyle w:val="36"/>
              <w:spacing w:line="240" w:lineRule="auto"/>
              <w:jc w:val="center"/>
              <w:rPr>
                <w:rFonts w:hAnsi="宋体" w:cs="宋体"/>
                <w:color w:val="auto"/>
                <w:szCs w:val="24"/>
                <w:highlight w:val="none"/>
              </w:rPr>
            </w:pPr>
            <w:r>
              <w:rPr>
                <w:rFonts w:hint="eastAsia" w:hAnsi="宋体" w:cs="宋体"/>
                <w:color w:val="auto"/>
                <w:szCs w:val="24"/>
                <w:highlight w:val="none"/>
              </w:rPr>
              <w:t>工期要求</w:t>
            </w:r>
          </w:p>
        </w:tc>
        <w:tc>
          <w:tcPr>
            <w:tcW w:w="7282" w:type="dxa"/>
            <w:tcBorders>
              <w:top w:val="single" w:color="auto" w:sz="4" w:space="0"/>
              <w:left w:val="single" w:color="auto" w:sz="4" w:space="0"/>
              <w:bottom w:val="single" w:color="auto" w:sz="4" w:space="0"/>
              <w:right w:val="single" w:color="auto" w:sz="4" w:space="0"/>
            </w:tcBorders>
            <w:vAlign w:val="center"/>
          </w:tcPr>
          <w:p w14:paraId="26C2FB60">
            <w:pPr>
              <w:pStyle w:val="36"/>
              <w:adjustRightInd w:val="0"/>
              <w:snapToGrid w:val="0"/>
              <w:spacing w:line="400" w:lineRule="exact"/>
              <w:ind w:firstLine="240" w:firstLineChars="100"/>
              <w:rPr>
                <w:rFonts w:hint="eastAsia" w:ascii="宋体" w:eastAsia="宋体"/>
                <w:color w:val="auto"/>
                <w:highlight w:val="none"/>
                <w:lang w:eastAsia="zh-CN"/>
              </w:rPr>
            </w:pPr>
            <w:r>
              <w:rPr>
                <w:rFonts w:hint="eastAsia" w:ascii="宋体" w:eastAsia="宋体"/>
                <w:color w:val="auto"/>
                <w:highlight w:val="none"/>
                <w:lang w:eastAsia="zh-CN"/>
              </w:rPr>
              <w:t>设计计划总工期</w:t>
            </w:r>
            <w:r>
              <w:rPr>
                <w:rFonts w:hint="eastAsia"/>
                <w:color w:val="auto"/>
                <w:highlight w:val="none"/>
                <w:lang w:val="en-US" w:eastAsia="zh-CN"/>
              </w:rPr>
              <w:t>30</w:t>
            </w:r>
            <w:r>
              <w:rPr>
                <w:rFonts w:hint="eastAsia" w:ascii="宋体" w:eastAsia="宋体"/>
                <w:color w:val="auto"/>
                <w:highlight w:val="none"/>
                <w:lang w:eastAsia="zh-CN"/>
              </w:rPr>
              <w:t>个日历天（不含评审时间）。中标人应在合同签订后</w:t>
            </w:r>
            <w:r>
              <w:rPr>
                <w:rFonts w:hint="eastAsia"/>
                <w:color w:val="auto"/>
                <w:highlight w:val="none"/>
                <w:lang w:val="en-US" w:eastAsia="zh-CN"/>
              </w:rPr>
              <w:t>30</w:t>
            </w:r>
            <w:r>
              <w:rPr>
                <w:rFonts w:hint="eastAsia" w:ascii="宋体" w:eastAsia="宋体"/>
                <w:color w:val="auto"/>
                <w:highlight w:val="none"/>
                <w:lang w:eastAsia="zh-CN"/>
              </w:rPr>
              <w:t>个日历天内完成规划方案设计、初步设计及概算编制并提供相应成果资料。</w:t>
            </w:r>
          </w:p>
          <w:p w14:paraId="3EFFE9EC">
            <w:pPr>
              <w:pStyle w:val="36"/>
              <w:adjustRightInd w:val="0"/>
              <w:snapToGrid w:val="0"/>
              <w:spacing w:line="400" w:lineRule="exact"/>
              <w:ind w:firstLine="240" w:firstLineChars="100"/>
              <w:rPr>
                <w:rFonts w:hint="eastAsia" w:ascii="宋体" w:eastAsia="宋体"/>
                <w:color w:val="auto"/>
                <w:highlight w:val="none"/>
                <w:lang w:eastAsia="zh-CN"/>
              </w:rPr>
            </w:pPr>
            <w:r>
              <w:rPr>
                <w:rFonts w:hint="eastAsia" w:ascii="宋体" w:eastAsia="宋体"/>
                <w:color w:val="auto"/>
                <w:highlight w:val="none"/>
                <w:lang w:eastAsia="zh-CN"/>
              </w:rPr>
              <w:t>设计文件报批、送审时间不计入以上工期。如因招标人或相关审批部门原因导致的设计文件审批、规划报建等时间延误，则以上工期应相应合理顺延。</w:t>
            </w:r>
          </w:p>
        </w:tc>
      </w:tr>
      <w:tr w14:paraId="1F0C24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14"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56C6DE60">
            <w:pPr>
              <w:pStyle w:val="36"/>
              <w:spacing w:line="240" w:lineRule="auto"/>
              <w:jc w:val="center"/>
              <w:rPr>
                <w:rFonts w:hAnsi="宋体" w:cs="宋体"/>
                <w:color w:val="auto"/>
                <w:highlight w:val="none"/>
              </w:rPr>
            </w:pPr>
            <w:r>
              <w:rPr>
                <w:rFonts w:hint="eastAsia" w:hAnsi="宋体" w:cs="宋体"/>
                <w:color w:val="auto"/>
                <w:highlight w:val="none"/>
              </w:rPr>
              <w:t>15</w:t>
            </w:r>
          </w:p>
        </w:tc>
        <w:tc>
          <w:tcPr>
            <w:tcW w:w="1725" w:type="dxa"/>
            <w:tcBorders>
              <w:top w:val="single" w:color="auto" w:sz="4" w:space="0"/>
              <w:left w:val="single" w:color="auto" w:sz="4" w:space="0"/>
              <w:bottom w:val="single" w:color="auto" w:sz="4" w:space="0"/>
              <w:right w:val="single" w:color="auto" w:sz="4" w:space="0"/>
            </w:tcBorders>
            <w:vAlign w:val="center"/>
          </w:tcPr>
          <w:p w14:paraId="7BC8D57F">
            <w:pPr>
              <w:wordWrap w:val="0"/>
              <w:adjustRightInd w:val="0"/>
              <w:snapToGri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房屋建筑工程</w:t>
            </w:r>
          </w:p>
          <w:p w14:paraId="3EFA1B01">
            <w:pPr>
              <w:pStyle w:val="36"/>
              <w:spacing w:line="240" w:lineRule="auto"/>
              <w:jc w:val="center"/>
              <w:rPr>
                <w:rFonts w:hAnsi="宋体" w:cs="宋体"/>
                <w:color w:val="auto"/>
                <w:szCs w:val="24"/>
                <w:highlight w:val="none"/>
              </w:rPr>
            </w:pPr>
            <w:r>
              <w:rPr>
                <w:rFonts w:hint="eastAsia" w:hAnsi="宋体" w:cs="宋体"/>
                <w:color w:val="auto"/>
                <w:szCs w:val="24"/>
                <w:highlight w:val="none"/>
              </w:rPr>
              <w:t>绿色建筑标准</w:t>
            </w:r>
          </w:p>
        </w:tc>
        <w:tc>
          <w:tcPr>
            <w:tcW w:w="7282" w:type="dxa"/>
            <w:tcBorders>
              <w:top w:val="single" w:color="auto" w:sz="4" w:space="0"/>
              <w:left w:val="single" w:color="auto" w:sz="4" w:space="0"/>
              <w:bottom w:val="single" w:color="auto" w:sz="4" w:space="0"/>
              <w:right w:val="single" w:color="auto" w:sz="4" w:space="0"/>
            </w:tcBorders>
            <w:vAlign w:val="center"/>
          </w:tcPr>
          <w:p w14:paraId="04D55F60">
            <w:pPr>
              <w:pStyle w:val="36"/>
              <w:adjustRightInd w:val="0"/>
              <w:snapToGrid w:val="0"/>
              <w:spacing w:line="400" w:lineRule="exact"/>
              <w:ind w:firstLine="240" w:firstLineChars="100"/>
              <w:rPr>
                <w:rFonts w:hint="eastAsia" w:ascii="宋体" w:eastAsia="宋体"/>
                <w:color w:val="auto"/>
                <w:highlight w:val="none"/>
              </w:rPr>
            </w:pPr>
            <w:r>
              <w:rPr>
                <w:rFonts w:hint="eastAsia" w:ascii="宋体" w:eastAsia="宋体"/>
                <w:color w:val="auto"/>
                <w:highlight w:val="none"/>
              </w:rPr>
              <w:t>本招标项目不纳入绿色建筑实施范围。</w:t>
            </w:r>
          </w:p>
        </w:tc>
      </w:tr>
      <w:tr w14:paraId="2F03B2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3"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0EB2BF66">
            <w:pPr>
              <w:pStyle w:val="36"/>
              <w:spacing w:line="240" w:lineRule="auto"/>
              <w:jc w:val="center"/>
              <w:rPr>
                <w:rFonts w:hAnsi="宋体" w:cs="宋体"/>
                <w:color w:val="auto"/>
                <w:highlight w:val="none"/>
              </w:rPr>
            </w:pPr>
            <w:r>
              <w:rPr>
                <w:rFonts w:hint="eastAsia" w:hAnsi="宋体" w:cs="宋体"/>
                <w:color w:val="auto"/>
                <w:highlight w:val="none"/>
              </w:rPr>
              <w:t>16</w:t>
            </w:r>
          </w:p>
        </w:tc>
        <w:tc>
          <w:tcPr>
            <w:tcW w:w="1725" w:type="dxa"/>
            <w:tcBorders>
              <w:top w:val="single" w:color="auto" w:sz="4" w:space="0"/>
              <w:left w:val="single" w:color="auto" w:sz="4" w:space="0"/>
              <w:bottom w:val="single" w:color="auto" w:sz="4" w:space="0"/>
              <w:right w:val="single" w:color="auto" w:sz="4" w:space="0"/>
            </w:tcBorders>
            <w:vAlign w:val="center"/>
          </w:tcPr>
          <w:p w14:paraId="1D81D506">
            <w:pPr>
              <w:pStyle w:val="36"/>
              <w:spacing w:line="240" w:lineRule="auto"/>
              <w:jc w:val="center"/>
              <w:rPr>
                <w:rFonts w:hAnsi="宋体" w:cs="宋体"/>
                <w:color w:val="auto"/>
                <w:szCs w:val="24"/>
                <w:highlight w:val="none"/>
              </w:rPr>
            </w:pPr>
            <w:r>
              <w:rPr>
                <w:rFonts w:hint="eastAsia" w:hAnsi="宋体" w:cs="宋体"/>
                <w:color w:val="auto"/>
                <w:szCs w:val="24"/>
                <w:highlight w:val="none"/>
              </w:rPr>
              <w:t>最高投标限价</w:t>
            </w:r>
          </w:p>
        </w:tc>
        <w:tc>
          <w:tcPr>
            <w:tcW w:w="7282" w:type="dxa"/>
            <w:tcBorders>
              <w:top w:val="single" w:color="auto" w:sz="4" w:space="0"/>
              <w:left w:val="single" w:color="auto" w:sz="4" w:space="0"/>
              <w:bottom w:val="single" w:color="auto" w:sz="4" w:space="0"/>
              <w:right w:val="single" w:color="auto" w:sz="4" w:space="0"/>
            </w:tcBorders>
            <w:vAlign w:val="center"/>
          </w:tcPr>
          <w:p w14:paraId="1298A687">
            <w:pPr>
              <w:pStyle w:val="36"/>
              <w:spacing w:line="240" w:lineRule="auto"/>
              <w:ind w:firstLine="240" w:firstLineChars="100"/>
              <w:rPr>
                <w:rFonts w:hAnsi="宋体" w:cs="宋体"/>
                <w:color w:val="auto"/>
                <w:highlight w:val="none"/>
              </w:rPr>
            </w:pPr>
            <w:r>
              <w:rPr>
                <w:rFonts w:hint="eastAsia" w:hAnsi="宋体" w:cs="宋体"/>
                <w:bCs/>
                <w:color w:val="auto"/>
                <w:szCs w:val="22"/>
                <w:highlight w:val="none"/>
              </w:rPr>
              <w:t>详见招标文件“9、</w:t>
            </w:r>
            <w:r>
              <w:rPr>
                <w:rFonts w:hint="eastAsia" w:hAnsi="宋体" w:cs="宋体"/>
                <w:bCs/>
                <w:color w:val="auto"/>
                <w:szCs w:val="40"/>
                <w:highlight w:val="none"/>
              </w:rPr>
              <w:t>最高投标限价的确定及投标报价的约定</w:t>
            </w:r>
            <w:r>
              <w:rPr>
                <w:rFonts w:hint="eastAsia" w:hAnsi="宋体" w:cs="宋体"/>
                <w:bCs/>
                <w:color w:val="auto"/>
                <w:szCs w:val="22"/>
                <w:highlight w:val="none"/>
              </w:rPr>
              <w:t>”</w:t>
            </w:r>
          </w:p>
        </w:tc>
      </w:tr>
      <w:tr w14:paraId="04B763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5"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3E565A1B">
            <w:pPr>
              <w:pStyle w:val="36"/>
              <w:spacing w:line="240" w:lineRule="auto"/>
              <w:jc w:val="center"/>
              <w:rPr>
                <w:rFonts w:hAnsi="宋体" w:cs="宋体"/>
                <w:color w:val="auto"/>
                <w:highlight w:val="none"/>
              </w:rPr>
            </w:pPr>
            <w:r>
              <w:rPr>
                <w:rFonts w:hint="eastAsia" w:hAnsi="宋体" w:cs="宋体"/>
                <w:color w:val="auto"/>
                <w:highlight w:val="none"/>
              </w:rPr>
              <w:t>17</w:t>
            </w:r>
          </w:p>
        </w:tc>
        <w:tc>
          <w:tcPr>
            <w:tcW w:w="1725" w:type="dxa"/>
            <w:tcBorders>
              <w:top w:val="single" w:color="auto" w:sz="4" w:space="0"/>
              <w:left w:val="single" w:color="auto" w:sz="4" w:space="0"/>
              <w:bottom w:val="single" w:color="auto" w:sz="4" w:space="0"/>
              <w:right w:val="single" w:color="auto" w:sz="4" w:space="0"/>
            </w:tcBorders>
            <w:vAlign w:val="center"/>
          </w:tcPr>
          <w:p w14:paraId="18C50E68">
            <w:pPr>
              <w:pStyle w:val="36"/>
              <w:spacing w:line="240" w:lineRule="auto"/>
              <w:jc w:val="center"/>
              <w:rPr>
                <w:rFonts w:hAnsi="宋体" w:cs="宋体"/>
                <w:color w:val="auto"/>
                <w:highlight w:val="none"/>
              </w:rPr>
            </w:pPr>
            <w:r>
              <w:rPr>
                <w:rFonts w:hint="eastAsia" w:hAnsi="宋体" w:cs="宋体"/>
                <w:color w:val="auto"/>
                <w:highlight w:val="none"/>
              </w:rPr>
              <w:t>质量标准</w:t>
            </w:r>
          </w:p>
        </w:tc>
        <w:tc>
          <w:tcPr>
            <w:tcW w:w="7282" w:type="dxa"/>
            <w:tcBorders>
              <w:top w:val="single" w:color="auto" w:sz="4" w:space="0"/>
              <w:left w:val="single" w:color="auto" w:sz="4" w:space="0"/>
              <w:bottom w:val="single" w:color="auto" w:sz="4" w:space="0"/>
              <w:right w:val="single" w:color="auto" w:sz="4" w:space="0"/>
            </w:tcBorders>
            <w:vAlign w:val="center"/>
          </w:tcPr>
          <w:p w14:paraId="391B5388">
            <w:pPr>
              <w:pStyle w:val="36"/>
              <w:spacing w:line="380" w:lineRule="exact"/>
              <w:ind w:firstLine="240" w:firstLineChars="100"/>
              <w:rPr>
                <w:rFonts w:hAnsi="宋体" w:cs="宋体"/>
                <w:color w:val="auto"/>
                <w:highlight w:val="none"/>
              </w:rPr>
            </w:pPr>
            <w:r>
              <w:rPr>
                <w:rFonts w:hint="eastAsia" w:hAnsi="宋体" w:cs="宋体"/>
                <w:color w:val="auto"/>
                <w:highlight w:val="none"/>
              </w:rPr>
              <w:t>初步设计要求：符合国家及地方现行有效的有关设计规范、标准、规定等；必须经有关部门或招标人组织的专家评审通过。</w:t>
            </w:r>
          </w:p>
        </w:tc>
      </w:tr>
      <w:tr w14:paraId="5EDD4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513864AE">
            <w:pPr>
              <w:pStyle w:val="36"/>
              <w:spacing w:line="240" w:lineRule="auto"/>
              <w:jc w:val="center"/>
              <w:rPr>
                <w:rFonts w:hAnsi="宋体" w:cs="宋体"/>
                <w:color w:val="auto"/>
                <w:highlight w:val="none"/>
              </w:rPr>
            </w:pPr>
            <w:r>
              <w:rPr>
                <w:rFonts w:hint="eastAsia" w:hAnsi="宋体" w:cs="宋体"/>
                <w:color w:val="auto"/>
                <w:highlight w:val="none"/>
              </w:rPr>
              <w:t>18</w:t>
            </w:r>
          </w:p>
        </w:tc>
        <w:tc>
          <w:tcPr>
            <w:tcW w:w="1725" w:type="dxa"/>
            <w:tcBorders>
              <w:top w:val="single" w:color="auto" w:sz="4" w:space="0"/>
              <w:left w:val="single" w:color="auto" w:sz="4" w:space="0"/>
              <w:bottom w:val="single" w:color="auto" w:sz="4" w:space="0"/>
              <w:right w:val="single" w:color="auto" w:sz="4" w:space="0"/>
            </w:tcBorders>
            <w:vAlign w:val="center"/>
          </w:tcPr>
          <w:p w14:paraId="05DB6ACB">
            <w:pPr>
              <w:pStyle w:val="36"/>
              <w:spacing w:line="240" w:lineRule="auto"/>
              <w:jc w:val="center"/>
              <w:rPr>
                <w:rFonts w:hAnsi="宋体" w:cs="宋体"/>
                <w:color w:val="auto"/>
                <w:highlight w:val="none"/>
              </w:rPr>
            </w:pPr>
            <w:r>
              <w:rPr>
                <w:rFonts w:hint="eastAsia" w:hAnsi="宋体" w:cs="宋体"/>
                <w:color w:val="auto"/>
                <w:highlight w:val="none"/>
              </w:rPr>
              <w:t>投标人资质</w:t>
            </w:r>
          </w:p>
          <w:p w14:paraId="4B85DE8D">
            <w:pPr>
              <w:pStyle w:val="36"/>
              <w:spacing w:line="240" w:lineRule="auto"/>
              <w:jc w:val="center"/>
              <w:rPr>
                <w:rFonts w:hAnsi="宋体" w:cs="宋体"/>
                <w:color w:val="auto"/>
                <w:highlight w:val="none"/>
              </w:rPr>
            </w:pPr>
            <w:r>
              <w:rPr>
                <w:rFonts w:hint="eastAsia" w:hAnsi="宋体" w:cs="宋体"/>
                <w:color w:val="auto"/>
                <w:highlight w:val="none"/>
              </w:rPr>
              <w:t>及条件要求</w:t>
            </w:r>
          </w:p>
        </w:tc>
        <w:tc>
          <w:tcPr>
            <w:tcW w:w="7282" w:type="dxa"/>
            <w:tcBorders>
              <w:top w:val="single" w:color="auto" w:sz="4" w:space="0"/>
              <w:left w:val="single" w:color="auto" w:sz="4" w:space="0"/>
              <w:bottom w:val="single" w:color="auto" w:sz="4" w:space="0"/>
              <w:right w:val="single" w:color="auto" w:sz="4" w:space="0"/>
            </w:tcBorders>
            <w:vAlign w:val="center"/>
          </w:tcPr>
          <w:p w14:paraId="21AE6ADC">
            <w:pPr>
              <w:pStyle w:val="37"/>
              <w:widowControl/>
              <w:adjustRightInd w:val="0"/>
              <w:snapToGrid w:val="0"/>
              <w:spacing w:line="380" w:lineRule="exact"/>
              <w:ind w:firstLine="241" w:firstLineChars="100"/>
              <w:jc w:val="left"/>
              <w:rPr>
                <w:rFonts w:ascii="宋体" w:hAnsi="宋体" w:cs="宋体"/>
                <w:b/>
                <w:bCs/>
                <w:color w:val="auto"/>
                <w:kern w:val="0"/>
                <w:sz w:val="24"/>
                <w:highlight w:val="none"/>
                <w:u w:val="single"/>
              </w:rPr>
            </w:pPr>
            <w:r>
              <w:rPr>
                <w:rFonts w:hint="eastAsia" w:ascii="宋体" w:hAnsi="宋体" w:cs="宋体"/>
                <w:b/>
                <w:bCs/>
                <w:color w:val="auto"/>
                <w:kern w:val="0"/>
                <w:sz w:val="24"/>
                <w:highlight w:val="none"/>
                <w:u w:val="single"/>
              </w:rPr>
              <w:t>投标人必须具备以下资质及条件：</w:t>
            </w:r>
          </w:p>
          <w:p w14:paraId="5DC4FB12">
            <w:pPr>
              <w:pStyle w:val="37"/>
              <w:wordWrap w:val="0"/>
              <w:adjustRightInd w:val="0"/>
              <w:snapToGrid w:val="0"/>
              <w:spacing w:line="448" w:lineRule="exact"/>
              <w:ind w:firstLine="240" w:firstLineChars="1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1.本工程</w:t>
            </w:r>
            <w:r>
              <w:rPr>
                <w:rFonts w:hint="eastAsia" w:ascii="宋体" w:hAnsi="宋体" w:cs="宋体"/>
                <w:b/>
                <w:bCs/>
                <w:color w:val="auto"/>
                <w:kern w:val="0"/>
                <w:sz w:val="24"/>
                <w:szCs w:val="24"/>
                <w:highlight w:val="none"/>
                <w:u w:val="single"/>
              </w:rPr>
              <w:t xml:space="preserve"> </w:t>
            </w:r>
            <w:r>
              <w:rPr>
                <w:rFonts w:hint="eastAsia" w:ascii="宋体" w:hAnsi="宋体" w:cs="宋体"/>
                <w:b/>
                <w:bCs/>
                <w:color w:val="auto"/>
                <w:kern w:val="0"/>
                <w:sz w:val="24"/>
                <w:szCs w:val="24"/>
                <w:highlight w:val="none"/>
                <w:u w:val="single"/>
                <w:lang w:val="en-US" w:eastAsia="zh-CN"/>
              </w:rPr>
              <w:t>不</w:t>
            </w:r>
            <w:r>
              <w:rPr>
                <w:rFonts w:hint="eastAsia" w:ascii="宋体" w:hAnsi="宋体" w:cs="宋体"/>
                <w:b/>
                <w:bCs/>
                <w:color w:val="auto"/>
                <w:kern w:val="0"/>
                <w:sz w:val="24"/>
                <w:szCs w:val="24"/>
                <w:highlight w:val="none"/>
                <w:u w:val="single"/>
              </w:rPr>
              <w:t>接受</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联合体投标，联合体以一个投标人的身份共同投标。</w:t>
            </w:r>
          </w:p>
          <w:p w14:paraId="63C1F77D">
            <w:pPr>
              <w:spacing w:line="448" w:lineRule="exact"/>
              <w:ind w:firstLine="241" w:firstLineChars="100"/>
              <w:rPr>
                <w:rFonts w:ascii="宋体" w:hAnsi="宋体" w:cs="宋体"/>
                <w:b/>
                <w:bCs/>
                <w:color w:val="auto"/>
                <w:sz w:val="24"/>
                <w:szCs w:val="24"/>
                <w:highlight w:val="none"/>
              </w:rPr>
            </w:pPr>
            <w:r>
              <w:rPr>
                <w:rFonts w:hint="eastAsia" w:ascii="宋体" w:hAnsi="宋体" w:cs="宋体"/>
                <w:b/>
                <w:bCs/>
                <w:color w:val="auto"/>
                <w:sz w:val="24"/>
                <w:szCs w:val="24"/>
                <w:highlight w:val="none"/>
              </w:rPr>
              <w:t>2.投标人资质要求</w:t>
            </w:r>
          </w:p>
          <w:p w14:paraId="486AA521">
            <w:pPr>
              <w:pStyle w:val="37"/>
              <w:wordWrap w:val="0"/>
              <w:adjustRightInd w:val="0"/>
              <w:snapToGrid w:val="0"/>
              <w:spacing w:line="448" w:lineRule="exact"/>
              <w:ind w:firstLine="240" w:firstLineChars="100"/>
              <w:jc w:val="left"/>
              <w:rPr>
                <w:rFonts w:ascii="宋体" w:hAnsi="宋体" w:cs="宋体"/>
                <w:color w:val="auto"/>
                <w:sz w:val="24"/>
                <w:highlight w:val="none"/>
              </w:rPr>
            </w:pPr>
            <w:r>
              <w:rPr>
                <w:rFonts w:hint="eastAsia" w:ascii="宋体" w:hAnsi="宋体" w:cs="宋体"/>
                <w:color w:val="auto"/>
                <w:sz w:val="24"/>
                <w:highlight w:val="none"/>
              </w:rPr>
              <w:t>2.1投标人须具有独立法人资格，持有工商行政管理部门核发的法人营业执照，按国家法律经营。</w:t>
            </w:r>
          </w:p>
          <w:p w14:paraId="20E05A5C">
            <w:pPr>
              <w:pStyle w:val="37"/>
              <w:wordWrap w:val="0"/>
              <w:adjustRightInd w:val="0"/>
              <w:snapToGrid w:val="0"/>
              <w:spacing w:line="448" w:lineRule="exact"/>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投标人应具备建设行政主管部门颁发的以下资质之一：</w:t>
            </w:r>
          </w:p>
          <w:p w14:paraId="1733B0FB">
            <w:pPr>
              <w:pStyle w:val="36"/>
              <w:widowControl/>
              <w:spacing w:line="380" w:lineRule="exact"/>
              <w:ind w:firstLine="240" w:firstLineChars="100"/>
              <w:rPr>
                <w:rFonts w:hAnsi="宋体" w:cs="宋体"/>
                <w:color w:val="auto"/>
                <w:kern w:val="0"/>
                <w:szCs w:val="24"/>
                <w:highlight w:val="none"/>
              </w:rPr>
            </w:pPr>
            <w:r>
              <w:rPr>
                <w:rFonts w:hint="eastAsia" w:hAnsi="宋体" w:cs="宋体"/>
                <w:color w:val="auto"/>
                <w:kern w:val="0"/>
                <w:szCs w:val="24"/>
                <w:highlight w:val="none"/>
              </w:rPr>
              <w:t>1)具备工程设计综合类甲级资质；</w:t>
            </w:r>
          </w:p>
          <w:p w14:paraId="289EDC0C">
            <w:pPr>
              <w:pStyle w:val="36"/>
              <w:widowControl/>
              <w:spacing w:line="380" w:lineRule="exact"/>
              <w:ind w:firstLine="240" w:firstLineChars="100"/>
              <w:rPr>
                <w:rFonts w:hAnsi="宋体" w:cs="宋体"/>
                <w:color w:val="auto"/>
                <w:kern w:val="0"/>
                <w:szCs w:val="24"/>
                <w:highlight w:val="none"/>
              </w:rPr>
            </w:pPr>
            <w:r>
              <w:rPr>
                <w:rFonts w:hint="eastAsia" w:hAnsi="宋体" w:cs="宋体"/>
                <w:color w:val="auto"/>
                <w:kern w:val="0"/>
                <w:szCs w:val="24"/>
                <w:highlight w:val="none"/>
              </w:rPr>
              <w:t>2)具备工程设计建筑行业</w:t>
            </w:r>
            <w:r>
              <w:rPr>
                <w:rFonts w:hint="eastAsia" w:hAnsi="宋体" w:cs="宋体"/>
                <w:color w:val="auto"/>
                <w:kern w:val="0"/>
                <w:szCs w:val="24"/>
                <w:highlight w:val="none"/>
                <w:lang w:val="en-US" w:eastAsia="zh-CN"/>
              </w:rPr>
              <w:t>甲</w:t>
            </w:r>
            <w:r>
              <w:rPr>
                <w:rFonts w:hint="eastAsia" w:hAnsi="宋体" w:cs="宋体"/>
                <w:color w:val="auto"/>
                <w:kern w:val="0"/>
                <w:szCs w:val="24"/>
                <w:highlight w:val="none"/>
              </w:rPr>
              <w:t>资质；</w:t>
            </w:r>
          </w:p>
          <w:p w14:paraId="40A5B04F">
            <w:pPr>
              <w:pStyle w:val="36"/>
              <w:widowControl/>
              <w:spacing w:line="380" w:lineRule="exact"/>
              <w:ind w:firstLine="240" w:firstLineChars="100"/>
              <w:rPr>
                <w:rFonts w:hint="eastAsia" w:hAnsi="宋体" w:eastAsia="宋体" w:cs="宋体"/>
                <w:color w:val="auto"/>
                <w:kern w:val="0"/>
                <w:szCs w:val="24"/>
                <w:highlight w:val="none"/>
                <w:lang w:eastAsia="zh-CN"/>
              </w:rPr>
            </w:pPr>
            <w:r>
              <w:rPr>
                <w:rFonts w:hint="eastAsia" w:hAnsi="宋体" w:cs="宋体"/>
                <w:color w:val="auto"/>
                <w:kern w:val="0"/>
                <w:szCs w:val="24"/>
                <w:highlight w:val="none"/>
              </w:rPr>
              <w:t>3)具备工程设计建筑行业（建筑工程）专业甲级资质</w:t>
            </w:r>
            <w:r>
              <w:rPr>
                <w:rFonts w:hint="eastAsia" w:hAnsi="宋体" w:cs="宋体"/>
                <w:color w:val="auto"/>
                <w:kern w:val="0"/>
                <w:szCs w:val="24"/>
                <w:highlight w:val="none"/>
                <w:lang w:eastAsia="zh-CN"/>
              </w:rPr>
              <w:t>。</w:t>
            </w:r>
          </w:p>
          <w:p w14:paraId="0196222C">
            <w:pPr>
              <w:pStyle w:val="36"/>
              <w:widowControl/>
              <w:spacing w:line="380" w:lineRule="exact"/>
              <w:ind w:firstLine="240" w:firstLineChars="100"/>
              <w:rPr>
                <w:rFonts w:hAnsi="宋体" w:cs="宋体"/>
                <w:color w:val="auto"/>
                <w:kern w:val="0"/>
                <w:szCs w:val="24"/>
                <w:highlight w:val="none"/>
              </w:rPr>
            </w:pPr>
            <w:r>
              <w:rPr>
                <w:rFonts w:hint="eastAsia" w:hAnsi="宋体" w:cs="宋体"/>
                <w:color w:val="auto"/>
                <w:kern w:val="0"/>
                <w:szCs w:val="24"/>
                <w:highlight w:val="none"/>
              </w:rPr>
              <w:t>2.</w:t>
            </w:r>
            <w:r>
              <w:rPr>
                <w:rFonts w:hint="eastAsia" w:hAnsi="宋体" w:cs="宋体"/>
                <w:color w:val="auto"/>
                <w:kern w:val="0"/>
                <w:szCs w:val="24"/>
                <w:highlight w:val="none"/>
                <w:lang w:val="en-US" w:eastAsia="zh-CN"/>
              </w:rPr>
              <w:t>3</w:t>
            </w:r>
            <w:r>
              <w:rPr>
                <w:rFonts w:hint="eastAsia" w:hAnsi="宋体" w:cs="宋体"/>
                <w:color w:val="auto"/>
                <w:kern w:val="0"/>
                <w:szCs w:val="24"/>
                <w:highlight w:val="none"/>
              </w:rPr>
              <w:t>投标人的企业相关证书到期的，均按该证书的发证机构相关行业主管部门最新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p>
          <w:p w14:paraId="6A6FF100">
            <w:pPr>
              <w:pStyle w:val="36"/>
              <w:widowControl/>
              <w:spacing w:line="380" w:lineRule="exact"/>
              <w:ind w:firstLine="241" w:firstLineChars="100"/>
              <w:rPr>
                <w:rFonts w:hAnsi="宋体" w:cs="宋体"/>
                <w:b/>
                <w:bCs/>
                <w:color w:val="auto"/>
                <w:kern w:val="0"/>
                <w:szCs w:val="24"/>
                <w:highlight w:val="none"/>
              </w:rPr>
            </w:pPr>
            <w:r>
              <w:rPr>
                <w:rFonts w:hint="eastAsia" w:hAnsi="宋体" w:cs="宋体"/>
                <w:b/>
                <w:bCs/>
                <w:color w:val="auto"/>
                <w:kern w:val="0"/>
                <w:szCs w:val="24"/>
                <w:highlight w:val="none"/>
              </w:rPr>
              <w:t>3.相关人员要求</w:t>
            </w:r>
          </w:p>
          <w:p w14:paraId="47217D59">
            <w:pPr>
              <w:pStyle w:val="36"/>
              <w:widowControl/>
              <w:spacing w:line="380" w:lineRule="exact"/>
              <w:ind w:firstLine="240" w:firstLineChars="1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3.1投标人拟派项目负责人须具备一级注册建筑师</w:t>
            </w:r>
            <w:r>
              <w:rPr>
                <w:rFonts w:hint="eastAsia" w:ascii="宋体" w:hAnsi="宋体" w:cs="宋体"/>
                <w:color w:val="auto"/>
                <w:kern w:val="0"/>
                <w:sz w:val="24"/>
                <w:highlight w:val="none"/>
              </w:rPr>
              <w:t>执业资格</w:t>
            </w:r>
            <w:r>
              <w:rPr>
                <w:rFonts w:hint="eastAsia" w:ascii="宋体" w:hAnsi="宋体" w:eastAsia="宋体" w:cs="宋体"/>
                <w:color w:val="auto"/>
                <w:kern w:val="0"/>
                <w:szCs w:val="24"/>
                <w:highlight w:val="none"/>
              </w:rPr>
              <w:t>。</w:t>
            </w:r>
          </w:p>
          <w:p w14:paraId="5B7B12F9">
            <w:pPr>
              <w:pStyle w:val="36"/>
              <w:widowControl/>
              <w:spacing w:line="380" w:lineRule="exact"/>
              <w:ind w:firstLine="240" w:firstLineChars="1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w:t>
            </w:r>
            <w:r>
              <w:rPr>
                <w:rFonts w:hint="eastAsia" w:ascii="宋体" w:hAnsi="宋体" w:eastAsia="宋体" w:cs="宋体"/>
                <w:color w:val="auto"/>
                <w:kern w:val="0"/>
                <w:szCs w:val="24"/>
                <w:highlight w:val="none"/>
                <w:lang w:val="en-US" w:eastAsia="zh-CN"/>
              </w:rPr>
              <w:t>2</w:t>
            </w:r>
            <w:r>
              <w:rPr>
                <w:rFonts w:hint="eastAsia" w:ascii="宋体" w:hAnsi="宋体" w:eastAsia="宋体" w:cs="宋体"/>
                <w:color w:val="auto"/>
                <w:kern w:val="0"/>
                <w:szCs w:val="24"/>
                <w:highlight w:val="none"/>
              </w:rPr>
              <w:t>投标人与其拟派往本项目所有人员之间必须具备合法、唯一的劳动聘用关系（非退休返聘人员提供在本单位(或分支机构)缴纳的社保证明即可）。拟派人员中具备注册执业资格的，其注册单位须与投标人保持一致。</w:t>
            </w:r>
          </w:p>
          <w:p w14:paraId="6B66CC55">
            <w:pPr>
              <w:pStyle w:val="37"/>
              <w:widowControl/>
              <w:spacing w:before="75" w:after="75" w:line="380" w:lineRule="exact"/>
              <w:ind w:firstLine="241" w:firstLineChars="100"/>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4.禁止投标条款</w:t>
            </w:r>
          </w:p>
          <w:p w14:paraId="3801C5AA">
            <w:pPr>
              <w:pStyle w:val="36"/>
              <w:widowControl/>
              <w:spacing w:line="380" w:lineRule="exact"/>
              <w:ind w:firstLine="240" w:firstLineChars="1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4.1投标人不得存在下列情形之一：</w:t>
            </w:r>
          </w:p>
          <w:p w14:paraId="26701915">
            <w:pPr>
              <w:pStyle w:val="36"/>
              <w:widowControl/>
              <w:spacing w:line="380" w:lineRule="exact"/>
              <w:ind w:firstLine="240" w:firstLineChars="1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（1）为招标人不具有独立法人资格的附属机构（单位）；</w:t>
            </w:r>
          </w:p>
          <w:p w14:paraId="079BE8FC">
            <w:pPr>
              <w:pStyle w:val="36"/>
              <w:widowControl/>
              <w:spacing w:line="380" w:lineRule="exact"/>
              <w:ind w:firstLine="240" w:firstLineChars="1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（2）与招标人存在利害关系且可能影响招标公正性；</w:t>
            </w:r>
          </w:p>
          <w:p w14:paraId="25DEF025">
            <w:pPr>
              <w:pStyle w:val="36"/>
              <w:widowControl/>
              <w:spacing w:line="380" w:lineRule="exact"/>
              <w:ind w:firstLine="240" w:firstLineChars="1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（3）与本招标项目的其他投标人为同一个单位负责人；</w:t>
            </w:r>
          </w:p>
          <w:p w14:paraId="478BD788">
            <w:pPr>
              <w:pStyle w:val="36"/>
              <w:widowControl/>
              <w:spacing w:line="380" w:lineRule="exact"/>
              <w:ind w:firstLine="240" w:firstLineChars="1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（4）与本招标项目的其他投标人存在控股、管理关系；</w:t>
            </w:r>
          </w:p>
          <w:p w14:paraId="33B651F0">
            <w:pPr>
              <w:pStyle w:val="36"/>
              <w:widowControl/>
              <w:spacing w:line="380" w:lineRule="exact"/>
              <w:ind w:firstLine="240" w:firstLineChars="1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（5）为本招标项目的代建人；</w:t>
            </w:r>
          </w:p>
          <w:p w14:paraId="1F22E127">
            <w:pPr>
              <w:pStyle w:val="36"/>
              <w:widowControl/>
              <w:spacing w:line="380" w:lineRule="exact"/>
              <w:ind w:firstLine="240" w:firstLineChars="1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（6）为本招标项目的招标代理机构；</w:t>
            </w:r>
          </w:p>
          <w:p w14:paraId="54F46CBE">
            <w:pPr>
              <w:pStyle w:val="36"/>
              <w:widowControl/>
              <w:spacing w:line="380" w:lineRule="exact"/>
              <w:ind w:firstLine="240" w:firstLineChars="1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（7）与本招标项目的代建人或招标代理机构同为一个法定代表人；</w:t>
            </w:r>
          </w:p>
          <w:p w14:paraId="24E4465C">
            <w:pPr>
              <w:pStyle w:val="36"/>
              <w:widowControl/>
              <w:spacing w:line="380" w:lineRule="exact"/>
              <w:ind w:firstLine="240" w:firstLineChars="1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（8）与本招标项目的代建人或招标代理机构存在控股或参股关系；</w:t>
            </w:r>
          </w:p>
          <w:p w14:paraId="6711005F">
            <w:pPr>
              <w:pStyle w:val="36"/>
              <w:widowControl/>
              <w:spacing w:line="380" w:lineRule="exact"/>
              <w:ind w:firstLine="240" w:firstLineChars="1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（9）被依法暂停或者取消投标资格；</w:t>
            </w:r>
          </w:p>
          <w:p w14:paraId="2D42E419">
            <w:pPr>
              <w:pStyle w:val="36"/>
              <w:widowControl/>
              <w:spacing w:line="380" w:lineRule="exact"/>
              <w:ind w:firstLine="240" w:firstLineChars="1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（10）被责令停产停业、暂扣或者吊销许可证、暂扣或者吊销执照；</w:t>
            </w:r>
          </w:p>
          <w:p w14:paraId="61A56ABA">
            <w:pPr>
              <w:pStyle w:val="36"/>
              <w:widowControl/>
              <w:spacing w:line="380" w:lineRule="exact"/>
              <w:ind w:firstLine="240" w:firstLineChars="1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（11）进入清算程序，或被宣告破产，或其他丧失履约能力的情形；</w:t>
            </w:r>
          </w:p>
          <w:p w14:paraId="42008C3D">
            <w:pPr>
              <w:pStyle w:val="36"/>
              <w:widowControl/>
              <w:spacing w:line="380" w:lineRule="exact"/>
              <w:ind w:firstLine="240" w:firstLineChars="1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（12）在最近三年内发生重大质量或安全问题（以相关行业主管部门的行政处罚决定或司法机关出具的有关法律文书为准）；</w:t>
            </w:r>
          </w:p>
          <w:p w14:paraId="34D1A1D2">
            <w:pPr>
              <w:pStyle w:val="36"/>
              <w:widowControl/>
              <w:spacing w:line="380" w:lineRule="exact"/>
              <w:ind w:firstLine="240" w:firstLineChars="100"/>
              <w:rPr>
                <w:rFonts w:ascii="宋体" w:hAnsi="宋体" w:cs="宋体"/>
                <w:color w:val="auto"/>
                <w:kern w:val="0"/>
                <w:sz w:val="24"/>
                <w:highlight w:val="none"/>
              </w:rPr>
            </w:pPr>
            <w:r>
              <w:rPr>
                <w:rFonts w:hint="eastAsia" w:ascii="宋体" w:hAnsi="宋体" w:eastAsia="宋体" w:cs="宋体"/>
                <w:color w:val="auto"/>
                <w:kern w:val="0"/>
                <w:szCs w:val="24"/>
                <w:highlight w:val="none"/>
              </w:rPr>
              <w:t>（13）被“信用中国”网站（https://www.creditchina.gov.cn）发布的《法人和非法人组织公共信用信息报告》列为严重失信主体名单的。</w:t>
            </w:r>
          </w:p>
          <w:p w14:paraId="2A8132FD">
            <w:pPr>
              <w:pStyle w:val="37"/>
              <w:widowControl/>
              <w:adjustRightInd w:val="0"/>
              <w:snapToGrid w:val="0"/>
              <w:spacing w:line="380" w:lineRule="exact"/>
              <w:ind w:firstLine="482" w:firstLineChars="200"/>
              <w:jc w:val="left"/>
              <w:rPr>
                <w:rFonts w:ascii="宋体" w:hAnsi="宋体" w:cs="宋体"/>
                <w:color w:val="auto"/>
                <w:kern w:val="0"/>
                <w:sz w:val="24"/>
                <w:highlight w:val="none"/>
              </w:rPr>
            </w:pPr>
            <w:r>
              <w:rPr>
                <w:rFonts w:hint="eastAsia" w:ascii="宋体" w:hAnsi="宋体" w:cs="宋体"/>
                <w:b/>
                <w:bCs/>
                <w:color w:val="auto"/>
                <w:kern w:val="0"/>
                <w:sz w:val="24"/>
                <w:highlight w:val="none"/>
              </w:rPr>
              <w:t>备注：以上资料均可以由投标单位提交《企业承诺书》形式予以自我澄清。</w:t>
            </w:r>
          </w:p>
          <w:p w14:paraId="6EDDC899">
            <w:pPr>
              <w:pStyle w:val="37"/>
              <w:widowControl/>
              <w:spacing w:before="75" w:after="75" w:line="380" w:lineRule="exact"/>
              <w:ind w:firstLine="240" w:firstLineChars="100"/>
              <w:jc w:val="left"/>
              <w:rPr>
                <w:rFonts w:ascii="宋体" w:hAnsi="宋体" w:cs="宋体"/>
                <w:color w:val="auto"/>
                <w:kern w:val="0"/>
                <w:sz w:val="24"/>
                <w:highlight w:val="none"/>
              </w:rPr>
            </w:pPr>
            <w:r>
              <w:rPr>
                <w:rFonts w:hint="eastAsia" w:ascii="宋体" w:hAnsi="宋体" w:cs="宋体"/>
                <w:color w:val="auto"/>
                <w:kern w:val="0"/>
                <w:sz w:val="24"/>
                <w:highlight w:val="none"/>
              </w:rPr>
              <w:t>4.2招标人拒绝以下名单中的单位参加本次投标：</w:t>
            </w:r>
          </w:p>
          <w:tbl>
            <w:tblPr>
              <w:tblStyle w:val="27"/>
              <w:tblpPr w:leftFromText="180" w:rightFromText="180" w:vertAnchor="text" w:horzAnchor="page" w:tblpX="198" w:tblpY="95"/>
              <w:tblOverlap w:val="never"/>
              <w:tblW w:w="6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3375"/>
              <w:gridCol w:w="2714"/>
            </w:tblGrid>
            <w:tr w14:paraId="0A92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80" w:type="dxa"/>
                  <w:vAlign w:val="center"/>
                </w:tcPr>
                <w:p w14:paraId="0798E021">
                  <w:pPr>
                    <w:spacing w:line="380" w:lineRule="exact"/>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序号</w:t>
                  </w:r>
                </w:p>
              </w:tc>
              <w:tc>
                <w:tcPr>
                  <w:tcW w:w="3375" w:type="dxa"/>
                  <w:vAlign w:val="center"/>
                </w:tcPr>
                <w:p w14:paraId="7D4A74CB">
                  <w:pPr>
                    <w:spacing w:line="380" w:lineRule="exact"/>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单位名称</w:t>
                  </w:r>
                </w:p>
              </w:tc>
              <w:tc>
                <w:tcPr>
                  <w:tcW w:w="2714" w:type="dxa"/>
                  <w:vAlign w:val="center"/>
                </w:tcPr>
                <w:p w14:paraId="1E2CFF28">
                  <w:pPr>
                    <w:spacing w:line="380" w:lineRule="exact"/>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拒绝原因</w:t>
                  </w:r>
                </w:p>
              </w:tc>
            </w:tr>
            <w:tr w14:paraId="5598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80" w:type="dxa"/>
                  <w:vAlign w:val="center"/>
                </w:tcPr>
                <w:p w14:paraId="36BABA07">
                  <w:pPr>
                    <w:pStyle w:val="37"/>
                    <w:spacing w:line="380" w:lineRule="exact"/>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w:t>
                  </w:r>
                </w:p>
              </w:tc>
              <w:tc>
                <w:tcPr>
                  <w:tcW w:w="3375" w:type="dxa"/>
                  <w:vAlign w:val="center"/>
                </w:tcPr>
                <w:p w14:paraId="69B09F70">
                  <w:pPr>
                    <w:spacing w:line="448" w:lineRule="exact"/>
                    <w:jc w:val="left"/>
                    <w:rPr>
                      <w:rFonts w:hint="eastAsia" w:ascii="宋体" w:hAnsi="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lang w:eastAsia="zh-CN"/>
                    </w:rPr>
                    <w:t>韶关市第一人民医院</w:t>
                  </w:r>
                </w:p>
              </w:tc>
              <w:tc>
                <w:tcPr>
                  <w:tcW w:w="2714" w:type="dxa"/>
                  <w:vAlign w:val="center"/>
                </w:tcPr>
                <w:p w14:paraId="1CE8390C">
                  <w:pPr>
                    <w:wordWrap w:val="0"/>
                    <w:adjustRightInd w:val="0"/>
                    <w:snapToGrid w:val="0"/>
                    <w:spacing w:line="240" w:lineRule="auto"/>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为本招标项目的业主单位和招标人</w:t>
                  </w:r>
                </w:p>
              </w:tc>
            </w:tr>
            <w:tr w14:paraId="70B1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80" w:type="dxa"/>
                  <w:vAlign w:val="center"/>
                </w:tcPr>
                <w:p w14:paraId="348AE8F6">
                  <w:pPr>
                    <w:pStyle w:val="37"/>
                    <w:spacing w:line="380" w:lineRule="exact"/>
                    <w:jc w:val="center"/>
                    <w:rPr>
                      <w:rFonts w:hint="eastAsia" w:ascii="宋体" w:hAnsi="宋体" w:eastAsia="宋体" w:cs="宋体"/>
                      <w:snapToGrid w:val="0"/>
                      <w:color w:val="auto"/>
                      <w:kern w:val="0"/>
                      <w:sz w:val="24"/>
                      <w:highlight w:val="none"/>
                      <w:lang w:val="en-US" w:eastAsia="zh-CN"/>
                    </w:rPr>
                  </w:pPr>
                  <w:r>
                    <w:rPr>
                      <w:rFonts w:hint="eastAsia" w:ascii="宋体" w:hAnsi="宋体" w:cs="宋体"/>
                      <w:snapToGrid w:val="0"/>
                      <w:color w:val="auto"/>
                      <w:kern w:val="0"/>
                      <w:sz w:val="24"/>
                      <w:highlight w:val="none"/>
                      <w:lang w:val="en-US" w:eastAsia="zh-CN"/>
                    </w:rPr>
                    <w:t>2</w:t>
                  </w:r>
                </w:p>
              </w:tc>
              <w:tc>
                <w:tcPr>
                  <w:tcW w:w="3375" w:type="dxa"/>
                  <w:vAlign w:val="center"/>
                </w:tcPr>
                <w:p w14:paraId="0302404A">
                  <w:pPr>
                    <w:spacing w:line="448" w:lineRule="exact"/>
                    <w:jc w:val="left"/>
                    <w:rPr>
                      <w:rFonts w:hint="eastAsia" w:ascii="宋体" w:hAnsi="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lang w:eastAsia="zh-CN"/>
                    </w:rPr>
                    <w:t>广东省国际工程咨询有限公司</w:t>
                  </w:r>
                </w:p>
              </w:tc>
              <w:tc>
                <w:tcPr>
                  <w:tcW w:w="2714" w:type="dxa"/>
                  <w:vAlign w:val="center"/>
                </w:tcPr>
                <w:p w14:paraId="7C3F4060">
                  <w:pPr>
                    <w:wordWrap w:val="0"/>
                    <w:adjustRightInd w:val="0"/>
                    <w:snapToGrid w:val="0"/>
                    <w:spacing w:line="240" w:lineRule="auto"/>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为本项目的可研编制单位</w:t>
                  </w:r>
                </w:p>
              </w:tc>
            </w:tr>
            <w:tr w14:paraId="128B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80" w:type="dxa"/>
                  <w:vAlign w:val="center"/>
                </w:tcPr>
                <w:p w14:paraId="5F605DF4">
                  <w:pPr>
                    <w:pStyle w:val="37"/>
                    <w:spacing w:line="380" w:lineRule="exact"/>
                    <w:jc w:val="center"/>
                    <w:rPr>
                      <w:rFonts w:hint="eastAsia" w:ascii="宋体" w:hAnsi="宋体" w:eastAsia="宋体" w:cs="宋体"/>
                      <w:snapToGrid w:val="0"/>
                      <w:color w:val="auto"/>
                      <w:kern w:val="0"/>
                      <w:sz w:val="24"/>
                      <w:highlight w:val="none"/>
                      <w:lang w:eastAsia="zh-CN"/>
                    </w:rPr>
                  </w:pPr>
                  <w:r>
                    <w:rPr>
                      <w:rFonts w:hint="eastAsia" w:ascii="宋体" w:hAnsi="宋体" w:cs="宋体"/>
                      <w:snapToGrid w:val="0"/>
                      <w:color w:val="auto"/>
                      <w:kern w:val="0"/>
                      <w:sz w:val="24"/>
                      <w:highlight w:val="none"/>
                      <w:lang w:val="en-US" w:eastAsia="zh-CN"/>
                    </w:rPr>
                    <w:t>3</w:t>
                  </w:r>
                </w:p>
              </w:tc>
              <w:tc>
                <w:tcPr>
                  <w:tcW w:w="3375" w:type="dxa"/>
                  <w:vAlign w:val="center"/>
                </w:tcPr>
                <w:p w14:paraId="43DA63C2">
                  <w:pPr>
                    <w:spacing w:line="448" w:lineRule="exact"/>
                    <w:jc w:val="left"/>
                    <w:rPr>
                      <w:rFonts w:hint="eastAsia" w:ascii="宋体" w:hAnsi="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lang w:eastAsia="zh-CN"/>
                    </w:rPr>
                    <w:t>广东省机电设备招标有限公司</w:t>
                  </w:r>
                </w:p>
              </w:tc>
              <w:tc>
                <w:tcPr>
                  <w:tcW w:w="2714" w:type="dxa"/>
                  <w:vAlign w:val="center"/>
                </w:tcPr>
                <w:p w14:paraId="079A012F">
                  <w:pPr>
                    <w:wordWrap w:val="0"/>
                    <w:adjustRightInd w:val="0"/>
                    <w:snapToGrid w:val="0"/>
                    <w:spacing w:line="240" w:lineRule="auto"/>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为本招标项目的招标代理机构</w:t>
                  </w:r>
                </w:p>
              </w:tc>
            </w:tr>
          </w:tbl>
          <w:p w14:paraId="02F6CF47">
            <w:pPr>
              <w:pStyle w:val="37"/>
              <w:widowControl/>
              <w:spacing w:before="75" w:after="75" w:line="380" w:lineRule="exact"/>
              <w:ind w:firstLine="241" w:firstLineChars="100"/>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5．其他要求</w:t>
            </w:r>
          </w:p>
          <w:p w14:paraId="06FC0CD0">
            <w:pPr>
              <w:pStyle w:val="37"/>
              <w:widowControl/>
              <w:spacing w:line="3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省外建筑企业（组成联合体时指联合体各方）按《广东省住房和城乡建设厅关于取消省外建筑企业和人员进粤信息备案有关工作的通知》（粤建市﹝2015﹞52号）要求在“进粤企业和人员诚信信息登记平台”录入相关信息并通过数据规范检查。</w:t>
            </w:r>
          </w:p>
        </w:tc>
      </w:tr>
      <w:tr w14:paraId="5D33C6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7F2F1C90">
            <w:pPr>
              <w:pStyle w:val="36"/>
              <w:spacing w:line="240" w:lineRule="auto"/>
              <w:jc w:val="center"/>
              <w:rPr>
                <w:rFonts w:hAnsi="宋体" w:cs="宋体"/>
                <w:color w:val="auto"/>
                <w:highlight w:val="none"/>
              </w:rPr>
            </w:pPr>
            <w:r>
              <w:rPr>
                <w:rFonts w:hint="eastAsia" w:hAnsi="宋体" w:cs="宋体"/>
                <w:color w:val="auto"/>
                <w:highlight w:val="none"/>
              </w:rPr>
              <w:t>19</w:t>
            </w:r>
          </w:p>
        </w:tc>
        <w:tc>
          <w:tcPr>
            <w:tcW w:w="1725" w:type="dxa"/>
            <w:tcBorders>
              <w:top w:val="single" w:color="auto" w:sz="4" w:space="0"/>
              <w:left w:val="single" w:color="auto" w:sz="4" w:space="0"/>
              <w:bottom w:val="single" w:color="auto" w:sz="4" w:space="0"/>
              <w:right w:val="single" w:color="auto" w:sz="4" w:space="0"/>
            </w:tcBorders>
            <w:vAlign w:val="center"/>
          </w:tcPr>
          <w:p w14:paraId="479DF761">
            <w:pPr>
              <w:pStyle w:val="36"/>
              <w:spacing w:line="240" w:lineRule="auto"/>
              <w:jc w:val="center"/>
              <w:rPr>
                <w:rFonts w:hAnsi="宋体" w:cs="宋体"/>
                <w:color w:val="auto"/>
                <w:highlight w:val="none"/>
              </w:rPr>
            </w:pPr>
            <w:r>
              <w:rPr>
                <w:rFonts w:hint="eastAsia" w:hAnsi="宋体" w:cs="宋体"/>
                <w:color w:val="auto"/>
                <w:highlight w:val="none"/>
              </w:rPr>
              <w:t>评标定标方法</w:t>
            </w:r>
          </w:p>
        </w:tc>
        <w:tc>
          <w:tcPr>
            <w:tcW w:w="7282" w:type="dxa"/>
            <w:tcBorders>
              <w:top w:val="single" w:color="auto" w:sz="4" w:space="0"/>
              <w:left w:val="single" w:color="auto" w:sz="4" w:space="0"/>
              <w:bottom w:val="single" w:color="auto" w:sz="4" w:space="0"/>
              <w:right w:val="single" w:color="auto" w:sz="4" w:space="0"/>
            </w:tcBorders>
            <w:vAlign w:val="center"/>
          </w:tcPr>
          <w:p w14:paraId="306334DE">
            <w:pPr>
              <w:pStyle w:val="36"/>
              <w:spacing w:line="240" w:lineRule="auto"/>
              <w:ind w:firstLine="240" w:firstLineChars="100"/>
              <w:rPr>
                <w:rFonts w:hAnsi="宋体" w:cs="宋体"/>
                <w:color w:val="auto"/>
                <w:highlight w:val="none"/>
              </w:rPr>
            </w:pPr>
            <w:r>
              <w:rPr>
                <w:rFonts w:hint="eastAsia" w:hAnsi="宋体" w:cs="宋体"/>
                <w:color w:val="auto"/>
                <w:highlight w:val="none"/>
              </w:rPr>
              <w:t>综合评分法</w:t>
            </w:r>
          </w:p>
        </w:tc>
      </w:tr>
      <w:tr w14:paraId="2F598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25"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4EAF6AFD">
            <w:pPr>
              <w:pStyle w:val="36"/>
              <w:spacing w:line="240" w:lineRule="auto"/>
              <w:jc w:val="center"/>
              <w:rPr>
                <w:rFonts w:hAnsi="宋体" w:cs="宋体"/>
                <w:color w:val="auto"/>
                <w:highlight w:val="none"/>
              </w:rPr>
            </w:pPr>
            <w:r>
              <w:rPr>
                <w:rFonts w:hint="eastAsia" w:hAnsi="宋体" w:cs="宋体"/>
                <w:color w:val="auto"/>
                <w:highlight w:val="none"/>
              </w:rPr>
              <w:t>20</w:t>
            </w:r>
          </w:p>
        </w:tc>
        <w:tc>
          <w:tcPr>
            <w:tcW w:w="1725" w:type="dxa"/>
            <w:tcBorders>
              <w:top w:val="single" w:color="auto" w:sz="4" w:space="0"/>
              <w:left w:val="single" w:color="auto" w:sz="4" w:space="0"/>
              <w:bottom w:val="single" w:color="auto" w:sz="4" w:space="0"/>
              <w:right w:val="single" w:color="auto" w:sz="4" w:space="0"/>
            </w:tcBorders>
            <w:vAlign w:val="center"/>
          </w:tcPr>
          <w:p w14:paraId="690EAE72">
            <w:pPr>
              <w:pStyle w:val="36"/>
              <w:spacing w:line="240" w:lineRule="auto"/>
              <w:jc w:val="center"/>
              <w:rPr>
                <w:rFonts w:hAnsi="宋体" w:cs="宋体"/>
                <w:color w:val="auto"/>
                <w:highlight w:val="none"/>
              </w:rPr>
            </w:pPr>
            <w:r>
              <w:rPr>
                <w:rFonts w:hint="eastAsia" w:hAnsi="宋体" w:cs="宋体"/>
                <w:color w:val="auto"/>
                <w:highlight w:val="none"/>
              </w:rPr>
              <w:t>评标委员会组成</w:t>
            </w:r>
          </w:p>
        </w:tc>
        <w:tc>
          <w:tcPr>
            <w:tcW w:w="7282" w:type="dxa"/>
            <w:tcBorders>
              <w:top w:val="single" w:color="auto" w:sz="4" w:space="0"/>
              <w:left w:val="single" w:color="auto" w:sz="4" w:space="0"/>
              <w:bottom w:val="single" w:color="auto" w:sz="4" w:space="0"/>
              <w:right w:val="single" w:color="auto" w:sz="4" w:space="0"/>
            </w:tcBorders>
            <w:vAlign w:val="center"/>
          </w:tcPr>
          <w:p w14:paraId="48B4627B">
            <w:pPr>
              <w:pStyle w:val="36"/>
              <w:spacing w:line="240" w:lineRule="auto"/>
              <w:ind w:firstLine="240" w:firstLineChars="100"/>
              <w:rPr>
                <w:rFonts w:hAnsi="宋体" w:cs="宋体"/>
                <w:bCs/>
                <w:color w:val="auto"/>
                <w:highlight w:val="none"/>
              </w:rPr>
            </w:pPr>
            <w:r>
              <w:rPr>
                <w:rFonts w:hint="eastAsia" w:hAnsi="宋体" w:cs="宋体"/>
                <w:color w:val="auto"/>
                <w:kern w:val="0"/>
                <w:szCs w:val="24"/>
                <w:highlight w:val="none"/>
              </w:rPr>
              <w:t>评标委员会由</w:t>
            </w:r>
            <w:r>
              <w:rPr>
                <w:rFonts w:hint="eastAsia" w:hAnsi="宋体" w:cs="宋体"/>
                <w:color w:val="auto"/>
                <w:kern w:val="0"/>
                <w:szCs w:val="24"/>
                <w:highlight w:val="none"/>
                <w:u w:val="single"/>
              </w:rPr>
              <w:t xml:space="preserve"> </w:t>
            </w:r>
            <w:r>
              <w:rPr>
                <w:rFonts w:hint="eastAsia" w:hAnsi="宋体" w:cs="宋体"/>
                <w:color w:val="auto"/>
                <w:kern w:val="0"/>
                <w:szCs w:val="24"/>
                <w:highlight w:val="none"/>
                <w:u w:val="single"/>
                <w:lang w:val="en-US" w:eastAsia="zh-CN"/>
              </w:rPr>
              <w:t>7</w:t>
            </w:r>
            <w:r>
              <w:rPr>
                <w:rFonts w:hint="eastAsia" w:hAnsi="宋体" w:cs="宋体"/>
                <w:color w:val="auto"/>
                <w:kern w:val="0"/>
                <w:szCs w:val="24"/>
                <w:highlight w:val="none"/>
                <w:u w:val="single"/>
              </w:rPr>
              <w:t xml:space="preserve"> </w:t>
            </w:r>
            <w:r>
              <w:rPr>
                <w:rFonts w:hint="eastAsia" w:hAnsi="宋体" w:cs="宋体"/>
                <w:color w:val="auto"/>
                <w:kern w:val="0"/>
                <w:szCs w:val="24"/>
                <w:highlight w:val="none"/>
              </w:rPr>
              <w:t>人组成，其中招标人代表</w:t>
            </w:r>
            <w:r>
              <w:rPr>
                <w:rFonts w:hint="eastAsia" w:hAnsi="宋体" w:cs="宋体"/>
                <w:color w:val="auto"/>
                <w:kern w:val="0"/>
                <w:szCs w:val="24"/>
                <w:highlight w:val="none"/>
                <w:u w:val="single"/>
              </w:rPr>
              <w:t xml:space="preserve"> </w:t>
            </w:r>
            <w:r>
              <w:rPr>
                <w:rFonts w:hint="eastAsia" w:hAnsi="宋体" w:cs="宋体"/>
                <w:color w:val="auto"/>
                <w:kern w:val="0"/>
                <w:szCs w:val="24"/>
                <w:highlight w:val="none"/>
                <w:u w:val="single"/>
                <w:lang w:val="en-US" w:eastAsia="zh-CN"/>
              </w:rPr>
              <w:t>2</w:t>
            </w:r>
            <w:r>
              <w:rPr>
                <w:rFonts w:hint="eastAsia" w:hAnsi="宋体" w:cs="宋体"/>
                <w:color w:val="auto"/>
                <w:kern w:val="0"/>
                <w:szCs w:val="24"/>
                <w:highlight w:val="none"/>
                <w:u w:val="single"/>
              </w:rPr>
              <w:t xml:space="preserve"> </w:t>
            </w:r>
            <w:r>
              <w:rPr>
                <w:rFonts w:hint="eastAsia" w:hAnsi="宋体" w:cs="宋体"/>
                <w:color w:val="auto"/>
                <w:kern w:val="0"/>
                <w:szCs w:val="24"/>
                <w:highlight w:val="none"/>
              </w:rPr>
              <w:t>人，专家</w:t>
            </w:r>
            <w:r>
              <w:rPr>
                <w:rFonts w:hint="eastAsia" w:hAnsi="宋体" w:cs="宋体"/>
                <w:color w:val="auto"/>
                <w:kern w:val="0"/>
                <w:szCs w:val="24"/>
                <w:highlight w:val="none"/>
                <w:u w:val="single"/>
              </w:rPr>
              <w:t xml:space="preserve"> 5 </w:t>
            </w:r>
            <w:r>
              <w:rPr>
                <w:rFonts w:hint="eastAsia" w:hAnsi="宋体" w:cs="宋体"/>
                <w:color w:val="auto"/>
                <w:kern w:val="0"/>
                <w:szCs w:val="24"/>
                <w:highlight w:val="none"/>
              </w:rPr>
              <w:t>人。专家从</w:t>
            </w:r>
            <w:r>
              <w:rPr>
                <w:rFonts w:hint="eastAsia" w:hAnsi="宋体" w:cs="宋体"/>
                <w:color w:val="auto"/>
                <w:kern w:val="0"/>
                <w:szCs w:val="24"/>
                <w:highlight w:val="none"/>
                <w:u w:val="single"/>
              </w:rPr>
              <w:t>广东省综合评标评审专家库--韶关市区域中</w:t>
            </w:r>
            <w:r>
              <w:rPr>
                <w:rFonts w:hint="eastAsia" w:hAnsi="宋体" w:cs="宋体"/>
                <w:color w:val="auto"/>
                <w:kern w:val="0"/>
                <w:szCs w:val="24"/>
                <w:highlight w:val="none"/>
              </w:rPr>
              <w:t>随机抽取，其中技术类专家</w:t>
            </w:r>
            <w:r>
              <w:rPr>
                <w:rFonts w:hint="eastAsia" w:hAnsi="宋体" w:cs="宋体"/>
                <w:color w:val="auto"/>
                <w:kern w:val="0"/>
                <w:szCs w:val="24"/>
                <w:highlight w:val="none"/>
                <w:u w:val="single"/>
              </w:rPr>
              <w:t xml:space="preserve"> 3 </w:t>
            </w:r>
            <w:r>
              <w:rPr>
                <w:rFonts w:hint="eastAsia" w:hAnsi="宋体" w:cs="宋体"/>
                <w:color w:val="auto"/>
                <w:kern w:val="0"/>
                <w:szCs w:val="24"/>
                <w:highlight w:val="none"/>
              </w:rPr>
              <w:t>人，经济类专家</w:t>
            </w:r>
            <w:r>
              <w:rPr>
                <w:rFonts w:hint="eastAsia" w:hAnsi="宋体" w:cs="宋体"/>
                <w:color w:val="auto"/>
                <w:kern w:val="0"/>
                <w:szCs w:val="24"/>
                <w:highlight w:val="none"/>
                <w:u w:val="single"/>
              </w:rPr>
              <w:t xml:space="preserve"> 2 </w:t>
            </w:r>
            <w:r>
              <w:rPr>
                <w:rFonts w:hint="eastAsia" w:hAnsi="宋体" w:cs="宋体"/>
                <w:color w:val="auto"/>
                <w:kern w:val="0"/>
                <w:szCs w:val="24"/>
                <w:highlight w:val="none"/>
              </w:rPr>
              <w:t>人。</w:t>
            </w:r>
          </w:p>
        </w:tc>
      </w:tr>
      <w:tr w14:paraId="00741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31"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1E3E1634">
            <w:pPr>
              <w:pStyle w:val="36"/>
              <w:spacing w:line="240" w:lineRule="auto"/>
              <w:jc w:val="center"/>
              <w:rPr>
                <w:rFonts w:hAnsi="宋体" w:cs="宋体"/>
                <w:color w:val="auto"/>
                <w:highlight w:val="none"/>
              </w:rPr>
            </w:pPr>
            <w:r>
              <w:rPr>
                <w:rFonts w:hint="eastAsia" w:hAnsi="宋体" w:cs="宋体"/>
                <w:color w:val="auto"/>
                <w:highlight w:val="none"/>
              </w:rPr>
              <w:t>21</w:t>
            </w:r>
          </w:p>
        </w:tc>
        <w:tc>
          <w:tcPr>
            <w:tcW w:w="1725" w:type="dxa"/>
            <w:tcBorders>
              <w:top w:val="single" w:color="auto" w:sz="4" w:space="0"/>
              <w:left w:val="single" w:color="auto" w:sz="4" w:space="0"/>
              <w:bottom w:val="single" w:color="auto" w:sz="4" w:space="0"/>
              <w:right w:val="single" w:color="auto" w:sz="4" w:space="0"/>
            </w:tcBorders>
            <w:vAlign w:val="center"/>
          </w:tcPr>
          <w:p w14:paraId="71F4B610">
            <w:pPr>
              <w:pStyle w:val="36"/>
              <w:spacing w:line="240" w:lineRule="auto"/>
              <w:jc w:val="center"/>
              <w:rPr>
                <w:rFonts w:hAnsi="宋体" w:cs="宋体"/>
                <w:color w:val="auto"/>
                <w:highlight w:val="none"/>
              </w:rPr>
            </w:pPr>
            <w:r>
              <w:rPr>
                <w:rFonts w:hint="eastAsia" w:hAnsi="宋体" w:cs="宋体"/>
                <w:color w:val="auto"/>
                <w:highlight w:val="none"/>
              </w:rPr>
              <w:t>投标文件组成</w:t>
            </w:r>
          </w:p>
        </w:tc>
        <w:tc>
          <w:tcPr>
            <w:tcW w:w="7282" w:type="dxa"/>
            <w:tcBorders>
              <w:top w:val="single" w:color="auto" w:sz="4" w:space="0"/>
              <w:left w:val="single" w:color="auto" w:sz="4" w:space="0"/>
              <w:bottom w:val="single" w:color="auto" w:sz="4" w:space="0"/>
              <w:right w:val="single" w:color="auto" w:sz="4" w:space="0"/>
            </w:tcBorders>
            <w:vAlign w:val="center"/>
          </w:tcPr>
          <w:p w14:paraId="039A9A65">
            <w:pPr>
              <w:pStyle w:val="36"/>
              <w:spacing w:line="240" w:lineRule="auto"/>
              <w:ind w:firstLine="240" w:firstLineChars="100"/>
              <w:rPr>
                <w:rFonts w:hAnsi="宋体" w:cs="宋体"/>
                <w:color w:val="auto"/>
                <w:highlight w:val="none"/>
              </w:rPr>
            </w:pPr>
            <w:r>
              <w:rPr>
                <w:rFonts w:hint="eastAsia" w:hAnsi="宋体" w:cs="宋体"/>
                <w:color w:val="auto"/>
                <w:highlight w:val="none"/>
              </w:rPr>
              <w:t>投标文件包括商务经济标书、技术标书。</w:t>
            </w:r>
          </w:p>
        </w:tc>
      </w:tr>
      <w:tr w14:paraId="0568A8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550EF52D">
            <w:pPr>
              <w:pStyle w:val="36"/>
              <w:spacing w:line="240" w:lineRule="auto"/>
              <w:jc w:val="center"/>
              <w:rPr>
                <w:rFonts w:hAnsi="宋体" w:cs="宋体"/>
                <w:color w:val="auto"/>
                <w:highlight w:val="none"/>
              </w:rPr>
            </w:pPr>
            <w:r>
              <w:rPr>
                <w:rFonts w:hint="eastAsia" w:hAnsi="宋体" w:cs="宋体"/>
                <w:color w:val="auto"/>
                <w:highlight w:val="none"/>
              </w:rPr>
              <w:t>22</w:t>
            </w:r>
          </w:p>
        </w:tc>
        <w:tc>
          <w:tcPr>
            <w:tcW w:w="1725" w:type="dxa"/>
            <w:tcBorders>
              <w:top w:val="single" w:color="auto" w:sz="4" w:space="0"/>
              <w:left w:val="single" w:color="auto" w:sz="4" w:space="0"/>
              <w:bottom w:val="single" w:color="auto" w:sz="4" w:space="0"/>
              <w:right w:val="single" w:color="auto" w:sz="4" w:space="0"/>
            </w:tcBorders>
            <w:vAlign w:val="center"/>
          </w:tcPr>
          <w:p w14:paraId="56B8D758">
            <w:pPr>
              <w:pStyle w:val="36"/>
              <w:spacing w:line="240" w:lineRule="auto"/>
              <w:ind w:firstLine="0" w:firstLineChars="0"/>
              <w:jc w:val="center"/>
              <w:rPr>
                <w:rFonts w:hAnsi="宋体" w:cs="宋体"/>
                <w:color w:val="auto"/>
                <w:highlight w:val="none"/>
              </w:rPr>
            </w:pPr>
            <w:r>
              <w:rPr>
                <w:rFonts w:hint="eastAsia" w:hAnsi="宋体" w:cs="宋体"/>
                <w:color w:val="auto"/>
                <w:highlight w:val="none"/>
              </w:rPr>
              <w:t>技术标书评审方式</w:t>
            </w:r>
          </w:p>
        </w:tc>
        <w:tc>
          <w:tcPr>
            <w:tcW w:w="7282" w:type="dxa"/>
            <w:tcBorders>
              <w:top w:val="single" w:color="auto" w:sz="4" w:space="0"/>
              <w:left w:val="single" w:color="auto" w:sz="4" w:space="0"/>
              <w:bottom w:val="single" w:color="auto" w:sz="4" w:space="0"/>
              <w:right w:val="single" w:color="auto" w:sz="4" w:space="0"/>
            </w:tcBorders>
            <w:vAlign w:val="center"/>
          </w:tcPr>
          <w:p w14:paraId="46AD2CCF">
            <w:pPr>
              <w:pStyle w:val="36"/>
              <w:spacing w:line="240" w:lineRule="auto"/>
              <w:ind w:firstLine="240" w:firstLineChars="100"/>
              <w:rPr>
                <w:rFonts w:hAnsi="宋体" w:cs="宋体"/>
                <w:color w:val="auto"/>
                <w:highlight w:val="none"/>
              </w:rPr>
            </w:pPr>
            <w:r>
              <w:rPr>
                <w:rFonts w:hint="eastAsia" w:hAnsi="宋体" w:cs="宋体"/>
                <w:color w:val="auto"/>
                <w:highlight w:val="none"/>
              </w:rPr>
              <w:t>本次招标技术标书</w:t>
            </w:r>
            <w:r>
              <w:rPr>
                <w:rFonts w:hint="eastAsia" w:hAnsi="宋体" w:cs="宋体"/>
                <w:color w:val="auto"/>
                <w:highlight w:val="none"/>
                <w:u w:val="single"/>
              </w:rPr>
              <w:t xml:space="preserve"> 不采用 </w:t>
            </w:r>
            <w:r>
              <w:rPr>
                <w:rFonts w:hint="eastAsia" w:hAnsi="宋体" w:cs="宋体"/>
                <w:color w:val="auto"/>
                <w:highlight w:val="none"/>
              </w:rPr>
              <w:t>“暗标”方式进行评审。</w:t>
            </w:r>
          </w:p>
        </w:tc>
      </w:tr>
      <w:tr w14:paraId="1B8F5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58B66778">
            <w:pPr>
              <w:pStyle w:val="36"/>
              <w:spacing w:line="240" w:lineRule="auto"/>
              <w:jc w:val="center"/>
              <w:rPr>
                <w:rFonts w:hAnsi="宋体" w:cs="宋体"/>
                <w:color w:val="auto"/>
                <w:highlight w:val="none"/>
              </w:rPr>
            </w:pPr>
            <w:r>
              <w:rPr>
                <w:rFonts w:hint="eastAsia" w:hAnsi="宋体" w:cs="宋体"/>
                <w:color w:val="auto"/>
                <w:highlight w:val="none"/>
              </w:rPr>
              <w:t>23</w:t>
            </w:r>
          </w:p>
        </w:tc>
        <w:tc>
          <w:tcPr>
            <w:tcW w:w="1725" w:type="dxa"/>
            <w:tcBorders>
              <w:top w:val="single" w:color="auto" w:sz="4" w:space="0"/>
              <w:left w:val="single" w:color="auto" w:sz="4" w:space="0"/>
              <w:bottom w:val="single" w:color="auto" w:sz="4" w:space="0"/>
              <w:right w:val="single" w:color="auto" w:sz="4" w:space="0"/>
            </w:tcBorders>
            <w:vAlign w:val="center"/>
          </w:tcPr>
          <w:p w14:paraId="0658173B">
            <w:pPr>
              <w:pStyle w:val="36"/>
              <w:spacing w:line="240" w:lineRule="auto"/>
              <w:jc w:val="center"/>
              <w:rPr>
                <w:rFonts w:hAnsi="宋体" w:cs="宋体"/>
                <w:color w:val="auto"/>
                <w:highlight w:val="none"/>
              </w:rPr>
            </w:pPr>
            <w:r>
              <w:rPr>
                <w:rFonts w:hint="eastAsia" w:hAnsi="宋体" w:cs="宋体"/>
                <w:color w:val="auto"/>
                <w:highlight w:val="none"/>
              </w:rPr>
              <w:t>投标保证金</w:t>
            </w:r>
          </w:p>
        </w:tc>
        <w:tc>
          <w:tcPr>
            <w:tcW w:w="7282" w:type="dxa"/>
            <w:tcBorders>
              <w:top w:val="single" w:color="auto" w:sz="4" w:space="0"/>
              <w:left w:val="single" w:color="auto" w:sz="4" w:space="0"/>
              <w:bottom w:val="single" w:color="auto" w:sz="4" w:space="0"/>
              <w:right w:val="single" w:color="auto" w:sz="4" w:space="0"/>
            </w:tcBorders>
            <w:vAlign w:val="center"/>
          </w:tcPr>
          <w:p w14:paraId="669BF25D">
            <w:pPr>
              <w:numPr>
                <w:ilvl w:val="0"/>
                <w:numId w:val="0"/>
              </w:numPr>
              <w:snapToGrid w:val="0"/>
              <w:spacing w:line="380" w:lineRule="exact"/>
              <w:ind w:firstLine="240" w:firstLineChars="100"/>
              <w:rPr>
                <w:rFonts w:hint="eastAsia" w:ascii="宋体" w:hAnsi="宋体" w:cs="宋体"/>
                <w:color w:val="auto"/>
                <w:sz w:val="24"/>
                <w:highlight w:val="none"/>
              </w:rPr>
            </w:pPr>
            <w:r>
              <w:rPr>
                <w:rFonts w:hint="eastAsia" w:ascii="宋体" w:hAnsi="宋体" w:eastAsia="宋体" w:cs="宋体"/>
                <w:color w:val="auto"/>
                <w:kern w:val="2"/>
                <w:sz w:val="24"/>
                <w:highlight w:val="none"/>
                <w:lang w:val="en-US" w:eastAsia="zh-CN" w:bidi="ar-SA"/>
              </w:rPr>
              <w:t>1.</w:t>
            </w:r>
            <w:r>
              <w:rPr>
                <w:rFonts w:hint="eastAsia" w:ascii="宋体" w:hAnsi="宋体" w:cs="宋体"/>
                <w:color w:val="auto"/>
                <w:sz w:val="24"/>
                <w:highlight w:val="none"/>
              </w:rPr>
              <w:t>投标人须缴纳金额为</w:t>
            </w:r>
            <w:r>
              <w:rPr>
                <w:rFonts w:hint="eastAsia" w:ascii="宋体" w:hAnsi="宋体" w:cs="宋体"/>
                <w:color w:val="auto"/>
                <w:sz w:val="24"/>
                <w:highlight w:val="none"/>
                <w:u w:val="single"/>
              </w:rPr>
              <w:t xml:space="preserve"> </w:t>
            </w:r>
            <w:r>
              <w:rPr>
                <w:rFonts w:hint="eastAsia" w:hAnsi="宋体" w:cs="宋体"/>
                <w:color w:val="auto"/>
                <w:sz w:val="24"/>
                <w:highlight w:val="none"/>
                <w:u w:val="single"/>
                <w:lang w:val="en-US" w:eastAsia="zh-CN"/>
              </w:rPr>
              <w:t>壹</w:t>
            </w:r>
            <w:r>
              <w:rPr>
                <w:rFonts w:hint="eastAsia" w:ascii="宋体" w:hAnsi="宋体" w:cs="宋体"/>
                <w:color w:val="auto"/>
                <w:sz w:val="24"/>
                <w:highlight w:val="none"/>
                <w:u w:val="single"/>
              </w:rPr>
              <w:t>万元整（¥</w:t>
            </w:r>
            <w:r>
              <w:rPr>
                <w:rFonts w:hint="eastAsia" w:hAnsi="宋体" w:cs="宋体"/>
                <w:color w:val="auto"/>
                <w:sz w:val="24"/>
                <w:highlight w:val="none"/>
                <w:u w:val="single"/>
                <w:lang w:val="en-US" w:eastAsia="zh-CN"/>
              </w:rPr>
              <w:t>1</w:t>
            </w:r>
            <w:r>
              <w:rPr>
                <w:rFonts w:hint="eastAsia" w:ascii="宋体" w:hAnsi="宋体" w:cs="宋体"/>
                <w:color w:val="auto"/>
                <w:sz w:val="24"/>
                <w:highlight w:val="none"/>
                <w:u w:val="single"/>
              </w:rPr>
              <w:t>0</w:t>
            </w:r>
            <w:r>
              <w:rPr>
                <w:rFonts w:hint="eastAsia" w:hAnsi="宋体" w:cs="宋体"/>
                <w:color w:val="auto"/>
                <w:sz w:val="24"/>
                <w:highlight w:val="none"/>
                <w:u w:val="single"/>
                <w:lang w:val="en-US" w:eastAsia="zh-CN"/>
              </w:rPr>
              <w:t>,</w:t>
            </w:r>
            <w:r>
              <w:rPr>
                <w:rFonts w:hint="eastAsia" w:ascii="宋体" w:hAnsi="宋体" w:cs="宋体"/>
                <w:color w:val="auto"/>
                <w:sz w:val="24"/>
                <w:highlight w:val="none"/>
                <w:u w:val="single"/>
              </w:rPr>
              <w:t>000.00）</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的投标保证。</w:t>
            </w:r>
          </w:p>
          <w:p w14:paraId="44B1A709">
            <w:pPr>
              <w:snapToGrid w:val="0"/>
              <w:spacing w:line="38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2.投标保证的形式包括投标保证金、投标保证担保、投标保证保险三种，由投标人自主选择。</w:t>
            </w:r>
          </w:p>
          <w:p w14:paraId="195CA951">
            <w:pPr>
              <w:snapToGrid w:val="0"/>
              <w:spacing w:line="400" w:lineRule="exact"/>
              <w:ind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采用投标保证金的，投标人在建设工程交易系统报名完毕后，即可在系统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 </w:t>
            </w:r>
          </w:p>
          <w:p w14:paraId="1D43790F">
            <w:pPr>
              <w:snapToGrid w:val="0"/>
              <w:spacing w:line="400" w:lineRule="exact"/>
              <w:ind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前，使用工程建设交易系统完成网上办理电子保函或保证保险。</w:t>
            </w:r>
          </w:p>
          <w:p w14:paraId="571D77DF">
            <w:pPr>
              <w:snapToGrid w:val="0"/>
              <w:spacing w:line="400" w:lineRule="exact"/>
              <w:ind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sz w:val="24"/>
                <w:szCs w:val="24"/>
                <w:highlight w:val="none"/>
              </w:rPr>
              <w:t>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w:t>
            </w:r>
            <w:r>
              <w:rPr>
                <w:rFonts w:hint="eastAsia" w:ascii="宋体" w:hAnsi="宋体" w:cs="宋体"/>
                <w:color w:val="auto"/>
                <w:kern w:val="0"/>
                <w:sz w:val="24"/>
                <w:szCs w:val="24"/>
                <w:highlight w:val="none"/>
              </w:rPr>
              <w:t>全国公共资源交易平台（广东省·韶关市）(https://ygp.gdzwfw.gov.cn/ggzy-portal/#/440200/index)</w:t>
            </w:r>
            <w:r>
              <w:rPr>
                <w:rFonts w:hint="eastAsia" w:ascii="宋体" w:hAnsi="宋体" w:cs="宋体"/>
                <w:color w:val="auto"/>
                <w:sz w:val="24"/>
                <w:szCs w:val="24"/>
                <w:highlight w:val="none"/>
              </w:rPr>
              <w:t>，在【交易指引】栏目中下载《建设工程网上交易系统保险保证金缴纳操作指南》，了解网上投保具体操作流程。逾期投保的，其投标无效。</w:t>
            </w:r>
          </w:p>
          <w:p w14:paraId="2E1B3B41">
            <w:pPr>
              <w:snapToGrid w:val="0"/>
              <w:spacing w:line="380" w:lineRule="exact"/>
              <w:ind w:firstLine="240" w:firstLineChars="100"/>
              <w:rPr>
                <w:rFonts w:ascii="宋体" w:hAnsi="宋体" w:cs="宋体"/>
                <w:color w:val="auto"/>
                <w:kern w:val="0"/>
                <w:sz w:val="24"/>
                <w:highlight w:val="none"/>
              </w:rPr>
            </w:pPr>
            <w:r>
              <w:rPr>
                <w:rFonts w:hint="eastAsia" w:ascii="宋体" w:hAnsi="宋体" w:cs="宋体"/>
                <w:color w:val="auto"/>
                <w:kern w:val="0"/>
                <w:sz w:val="24"/>
                <w:szCs w:val="24"/>
                <w:highlight w:val="none"/>
              </w:rPr>
              <w:t>温馨提醒：投标人采用投标保证担保或投标保证保险的，为避免在评标过程中因有效期发生争议，建议投标人将银行保函有效期设置为较招标文件规定的投标有效期延长不少于20个日历天。</w:t>
            </w:r>
          </w:p>
        </w:tc>
      </w:tr>
      <w:tr w14:paraId="74026E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18"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7B605A5C">
            <w:pPr>
              <w:pStyle w:val="36"/>
              <w:spacing w:line="240" w:lineRule="auto"/>
              <w:jc w:val="center"/>
              <w:rPr>
                <w:rFonts w:hAnsi="宋体" w:cs="宋体"/>
                <w:color w:val="auto"/>
                <w:highlight w:val="none"/>
              </w:rPr>
            </w:pPr>
            <w:r>
              <w:rPr>
                <w:rFonts w:hint="eastAsia" w:hAnsi="宋体" w:cs="宋体"/>
                <w:color w:val="auto"/>
                <w:highlight w:val="none"/>
              </w:rPr>
              <w:t>24</w:t>
            </w:r>
          </w:p>
        </w:tc>
        <w:tc>
          <w:tcPr>
            <w:tcW w:w="1725" w:type="dxa"/>
            <w:tcBorders>
              <w:top w:val="single" w:color="auto" w:sz="4" w:space="0"/>
              <w:left w:val="single" w:color="auto" w:sz="4" w:space="0"/>
              <w:bottom w:val="single" w:color="auto" w:sz="4" w:space="0"/>
              <w:right w:val="single" w:color="auto" w:sz="4" w:space="0"/>
            </w:tcBorders>
            <w:vAlign w:val="center"/>
          </w:tcPr>
          <w:p w14:paraId="1BE48541">
            <w:pPr>
              <w:pStyle w:val="36"/>
              <w:spacing w:line="240" w:lineRule="auto"/>
              <w:jc w:val="center"/>
              <w:rPr>
                <w:rFonts w:hAnsi="宋体" w:cs="宋体"/>
                <w:color w:val="auto"/>
                <w:highlight w:val="none"/>
              </w:rPr>
            </w:pPr>
            <w:r>
              <w:rPr>
                <w:rFonts w:hint="eastAsia" w:hAnsi="宋体" w:cs="宋体"/>
                <w:color w:val="auto"/>
                <w:highlight w:val="none"/>
              </w:rPr>
              <w:t>合同价款支付</w:t>
            </w:r>
          </w:p>
        </w:tc>
        <w:tc>
          <w:tcPr>
            <w:tcW w:w="7282" w:type="dxa"/>
            <w:tcBorders>
              <w:top w:val="single" w:color="auto" w:sz="4" w:space="0"/>
              <w:left w:val="single" w:color="auto" w:sz="4" w:space="0"/>
              <w:bottom w:val="single" w:color="auto" w:sz="4" w:space="0"/>
              <w:right w:val="single" w:color="auto" w:sz="4" w:space="0"/>
            </w:tcBorders>
            <w:vAlign w:val="center"/>
          </w:tcPr>
          <w:p w14:paraId="46A8C931">
            <w:pPr>
              <w:pStyle w:val="36"/>
              <w:spacing w:line="380" w:lineRule="exact"/>
              <w:ind w:firstLine="480" w:firstLineChars="200"/>
              <w:rPr>
                <w:rFonts w:hAnsi="宋体" w:cs="宋体"/>
                <w:color w:val="auto"/>
                <w:szCs w:val="24"/>
                <w:highlight w:val="none"/>
              </w:rPr>
            </w:pPr>
            <w:r>
              <w:rPr>
                <w:rFonts w:hint="eastAsia" w:hAnsi="宋体" w:cs="宋体"/>
                <w:color w:val="auto"/>
                <w:highlight w:val="none"/>
              </w:rPr>
              <w:t>详见本招标文件 第二章 拟签订合同的主要条款。</w:t>
            </w:r>
          </w:p>
        </w:tc>
      </w:tr>
      <w:tr w14:paraId="110BF8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98"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308B88F5">
            <w:pPr>
              <w:pStyle w:val="36"/>
              <w:spacing w:line="240" w:lineRule="auto"/>
              <w:jc w:val="center"/>
              <w:rPr>
                <w:rFonts w:hAnsi="宋体" w:cs="宋体"/>
                <w:color w:val="auto"/>
                <w:highlight w:val="none"/>
              </w:rPr>
            </w:pPr>
            <w:r>
              <w:rPr>
                <w:rFonts w:hint="eastAsia" w:hAnsi="宋体" w:cs="宋体"/>
                <w:color w:val="auto"/>
                <w:highlight w:val="none"/>
              </w:rPr>
              <w:t>25</w:t>
            </w:r>
          </w:p>
        </w:tc>
        <w:tc>
          <w:tcPr>
            <w:tcW w:w="1725" w:type="dxa"/>
            <w:tcBorders>
              <w:top w:val="single" w:color="auto" w:sz="4" w:space="0"/>
              <w:left w:val="single" w:color="auto" w:sz="4" w:space="0"/>
              <w:bottom w:val="single" w:color="auto" w:sz="4" w:space="0"/>
              <w:right w:val="single" w:color="auto" w:sz="4" w:space="0"/>
            </w:tcBorders>
            <w:vAlign w:val="center"/>
          </w:tcPr>
          <w:p w14:paraId="3D61B868">
            <w:pPr>
              <w:snapToGrid w:val="0"/>
              <w:spacing w:line="380" w:lineRule="exact"/>
              <w:jc w:val="center"/>
              <w:rPr>
                <w:rFonts w:ascii="宋体" w:hAnsi="宋体" w:cs="宋体"/>
                <w:color w:val="auto"/>
                <w:sz w:val="24"/>
                <w:highlight w:val="none"/>
              </w:rPr>
            </w:pPr>
            <w:r>
              <w:rPr>
                <w:rFonts w:hint="eastAsia" w:ascii="宋体" w:hAnsi="宋体" w:cs="宋体"/>
                <w:snapToGrid w:val="0"/>
                <w:color w:val="auto"/>
                <w:kern w:val="0"/>
                <w:sz w:val="24"/>
                <w:szCs w:val="24"/>
                <w:highlight w:val="none"/>
              </w:rPr>
              <w:t>招标代理服务费</w:t>
            </w:r>
          </w:p>
        </w:tc>
        <w:tc>
          <w:tcPr>
            <w:tcW w:w="7282" w:type="dxa"/>
            <w:tcBorders>
              <w:top w:val="single" w:color="auto" w:sz="4" w:space="0"/>
              <w:left w:val="single" w:color="auto" w:sz="4" w:space="0"/>
              <w:bottom w:val="single" w:color="auto" w:sz="4" w:space="0"/>
              <w:right w:val="single" w:color="auto" w:sz="4" w:space="0"/>
            </w:tcBorders>
            <w:vAlign w:val="center"/>
          </w:tcPr>
          <w:p w14:paraId="05AA290A">
            <w:pPr>
              <w:snapToGrid w:val="0"/>
              <w:spacing w:line="40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招标代理服务费参照国家计委颁布的《招标代理服务收费管理暂行办法》(审计价格【2002】1980号）和国家发展改革委办公厅颁布的《国家发展改革委办公厅关于招标代理服务收费有关问题的通知》（发改价格【2011】534 号）、国家发展和改革委员会《关于进一步放开建设项目专业服务价格的通知》（发改价格〔2015〕299号）的规定</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以中标通知书中的中标金额作计算基数，计费标准为</w:t>
            </w:r>
            <w:r>
              <w:rPr>
                <w:rFonts w:hint="eastAsia" w:ascii="宋体" w:hAnsi="宋体" w:eastAsia="宋体" w:cs="宋体"/>
                <w:color w:val="auto"/>
                <w:kern w:val="0"/>
                <w:sz w:val="24"/>
                <w:szCs w:val="24"/>
                <w:highlight w:val="none"/>
              </w:rPr>
              <w:t>“服务类”</w:t>
            </w:r>
            <w:r>
              <w:rPr>
                <w:rFonts w:hint="eastAsia" w:ascii="宋体" w:hAnsi="宋体" w:eastAsia="宋体" w:cs="宋体"/>
                <w:color w:val="auto"/>
                <w:kern w:val="0"/>
                <w:sz w:val="24"/>
                <w:szCs w:val="24"/>
                <w:highlight w:val="none"/>
                <w:lang w:val="en-US" w:eastAsia="zh-CN"/>
              </w:rPr>
              <w:t>按差额定率累进法计算后下浮20%向中标人收取</w:t>
            </w:r>
            <w:r>
              <w:rPr>
                <w:rFonts w:hint="eastAsia" w:ascii="宋体" w:hAnsi="宋体" w:eastAsia="宋体" w:cs="宋体"/>
                <w:color w:val="auto"/>
                <w:kern w:val="0"/>
                <w:sz w:val="24"/>
                <w:szCs w:val="24"/>
                <w:highlight w:val="none"/>
              </w:rPr>
              <w:t>；中标人须在中标公告公示期结束后，领取中标通知书前向招标代理机构一次性付清招标代理费，方可领取中标通知书。</w:t>
            </w:r>
          </w:p>
          <w:p w14:paraId="04214BCC">
            <w:pPr>
              <w:snapToGrid w:val="0"/>
              <w:spacing w:line="400" w:lineRule="exact"/>
              <w:ind w:firstLine="240" w:firstLineChars="100"/>
              <w:rPr>
                <w:color w:val="auto"/>
                <w:highlight w:val="none"/>
              </w:rPr>
            </w:pPr>
            <w:r>
              <w:rPr>
                <w:rFonts w:hint="eastAsia" w:ascii="宋体" w:hAnsi="宋体" w:eastAsia="宋体" w:cs="宋体"/>
                <w:color w:val="auto"/>
                <w:kern w:val="0"/>
                <w:sz w:val="24"/>
                <w:szCs w:val="24"/>
                <w:highlight w:val="none"/>
              </w:rPr>
              <w:t>注：参与投标视为认可该条款。</w:t>
            </w:r>
          </w:p>
        </w:tc>
      </w:tr>
      <w:tr w14:paraId="317B51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76"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04AF340E">
            <w:pPr>
              <w:pStyle w:val="36"/>
              <w:spacing w:line="240" w:lineRule="auto"/>
              <w:jc w:val="center"/>
              <w:rPr>
                <w:rFonts w:hAnsi="宋体" w:cs="宋体"/>
                <w:color w:val="auto"/>
                <w:highlight w:val="none"/>
              </w:rPr>
            </w:pPr>
            <w:r>
              <w:rPr>
                <w:rFonts w:hint="eastAsia" w:hAnsi="宋体" w:cs="宋体"/>
                <w:color w:val="auto"/>
                <w:highlight w:val="none"/>
              </w:rPr>
              <w:t>26</w:t>
            </w:r>
          </w:p>
        </w:tc>
        <w:tc>
          <w:tcPr>
            <w:tcW w:w="1725" w:type="dxa"/>
            <w:tcBorders>
              <w:top w:val="single" w:color="auto" w:sz="4" w:space="0"/>
              <w:left w:val="single" w:color="auto" w:sz="4" w:space="0"/>
              <w:bottom w:val="single" w:color="auto" w:sz="4" w:space="0"/>
              <w:right w:val="single" w:color="auto" w:sz="4" w:space="0"/>
            </w:tcBorders>
            <w:vAlign w:val="center"/>
          </w:tcPr>
          <w:p w14:paraId="091CFB92">
            <w:pPr>
              <w:pStyle w:val="36"/>
              <w:spacing w:line="240" w:lineRule="auto"/>
              <w:ind w:firstLine="480" w:firstLineChars="200"/>
              <w:rPr>
                <w:rFonts w:hAnsi="宋体" w:cs="宋体"/>
                <w:color w:val="auto"/>
                <w:highlight w:val="none"/>
              </w:rPr>
            </w:pPr>
            <w:r>
              <w:rPr>
                <w:rFonts w:hint="eastAsia" w:hAnsi="宋体" w:cs="宋体"/>
                <w:color w:val="auto"/>
                <w:highlight w:val="none"/>
              </w:rPr>
              <w:t>招标人</w:t>
            </w:r>
          </w:p>
          <w:p w14:paraId="4FD801F6">
            <w:pPr>
              <w:pStyle w:val="36"/>
              <w:spacing w:line="240" w:lineRule="auto"/>
              <w:ind w:firstLine="480" w:firstLineChars="200"/>
              <w:rPr>
                <w:rFonts w:hAnsi="宋体" w:cs="宋体"/>
                <w:color w:val="auto"/>
                <w:highlight w:val="none"/>
              </w:rPr>
            </w:pPr>
            <w:r>
              <w:rPr>
                <w:rFonts w:hint="eastAsia" w:hAnsi="宋体" w:cs="宋体"/>
                <w:color w:val="auto"/>
                <w:highlight w:val="none"/>
              </w:rPr>
              <w:t>联系方法</w:t>
            </w:r>
          </w:p>
        </w:tc>
        <w:tc>
          <w:tcPr>
            <w:tcW w:w="7282" w:type="dxa"/>
            <w:tcBorders>
              <w:top w:val="single" w:color="auto" w:sz="4" w:space="0"/>
              <w:left w:val="single" w:color="auto" w:sz="4" w:space="0"/>
              <w:bottom w:val="single" w:color="auto" w:sz="4" w:space="0"/>
              <w:right w:val="single" w:color="auto" w:sz="4" w:space="0"/>
            </w:tcBorders>
            <w:vAlign w:val="center"/>
          </w:tcPr>
          <w:p w14:paraId="49F65B96">
            <w:pPr>
              <w:spacing w:line="380" w:lineRule="exact"/>
              <w:ind w:firstLine="240" w:firstLineChars="1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单位名称：</w:t>
            </w:r>
            <w:r>
              <w:rPr>
                <w:rFonts w:hint="eastAsia" w:ascii="宋体" w:hAnsi="宋体" w:cs="宋体"/>
                <w:color w:val="auto"/>
                <w:sz w:val="24"/>
                <w:szCs w:val="24"/>
                <w:highlight w:val="none"/>
                <w:lang w:eastAsia="zh-CN"/>
              </w:rPr>
              <w:t>韶关市第一人民医院</w:t>
            </w:r>
          </w:p>
          <w:p w14:paraId="52782A58">
            <w:pPr>
              <w:spacing w:line="380" w:lineRule="exact"/>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办公地址：韶关市浈江区东堤南路3号</w:t>
            </w:r>
          </w:p>
          <w:p w14:paraId="6043047F">
            <w:pPr>
              <w:spacing w:line="380" w:lineRule="exact"/>
              <w:ind w:firstLine="240" w:firstLineChars="10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联系人(部门)：</w:t>
            </w:r>
            <w:r>
              <w:rPr>
                <w:rFonts w:hint="eastAsia" w:ascii="宋体" w:hAnsi="宋体" w:cs="宋体"/>
                <w:color w:val="auto"/>
                <w:sz w:val="24"/>
                <w:szCs w:val="24"/>
                <w:highlight w:val="none"/>
                <w:lang w:val="en-US" w:eastAsia="zh-CN"/>
              </w:rPr>
              <w:t>黄小姐</w:t>
            </w:r>
          </w:p>
          <w:p w14:paraId="049D41EC">
            <w:pPr>
              <w:spacing w:line="380" w:lineRule="exact"/>
              <w:ind w:firstLine="240" w:firstLineChars="100"/>
              <w:jc w:val="left"/>
              <w:rPr>
                <w:rFonts w:ascii="宋体" w:hAnsi="宋体" w:cs="宋体"/>
                <w:color w:val="auto"/>
                <w:sz w:val="24"/>
                <w:highlight w:val="none"/>
              </w:rPr>
            </w:pPr>
            <w:r>
              <w:rPr>
                <w:rFonts w:hint="eastAsia" w:ascii="宋体" w:hAnsi="宋体" w:cs="宋体"/>
                <w:color w:val="auto"/>
                <w:sz w:val="24"/>
                <w:szCs w:val="24"/>
                <w:highlight w:val="none"/>
              </w:rPr>
              <w:t>联系电话：0751-8899272</w:t>
            </w:r>
          </w:p>
        </w:tc>
      </w:tr>
      <w:tr w14:paraId="2F38C8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57"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00D04CA1">
            <w:pPr>
              <w:pStyle w:val="36"/>
              <w:spacing w:line="240" w:lineRule="auto"/>
              <w:jc w:val="center"/>
              <w:rPr>
                <w:rFonts w:hAnsi="宋体" w:cs="宋体"/>
                <w:color w:val="auto"/>
                <w:highlight w:val="none"/>
              </w:rPr>
            </w:pPr>
            <w:r>
              <w:rPr>
                <w:rFonts w:hint="eastAsia" w:hAnsi="宋体" w:cs="宋体"/>
                <w:color w:val="auto"/>
                <w:highlight w:val="none"/>
              </w:rPr>
              <w:t>27</w:t>
            </w:r>
          </w:p>
        </w:tc>
        <w:tc>
          <w:tcPr>
            <w:tcW w:w="1725" w:type="dxa"/>
            <w:tcBorders>
              <w:top w:val="single" w:color="auto" w:sz="4" w:space="0"/>
              <w:left w:val="single" w:color="auto" w:sz="4" w:space="0"/>
              <w:bottom w:val="single" w:color="auto" w:sz="4" w:space="0"/>
              <w:right w:val="single" w:color="auto" w:sz="4" w:space="0"/>
            </w:tcBorders>
            <w:vAlign w:val="center"/>
          </w:tcPr>
          <w:p w14:paraId="0DAC760E">
            <w:pPr>
              <w:wordWrap w:val="0"/>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招标代理机构</w:t>
            </w:r>
          </w:p>
          <w:p w14:paraId="669AC99B">
            <w:pPr>
              <w:wordWrap w:val="0"/>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联系方法</w:t>
            </w:r>
          </w:p>
        </w:tc>
        <w:tc>
          <w:tcPr>
            <w:tcW w:w="7282" w:type="dxa"/>
            <w:tcBorders>
              <w:top w:val="single" w:color="auto" w:sz="4" w:space="0"/>
              <w:left w:val="single" w:color="auto" w:sz="4" w:space="0"/>
              <w:bottom w:val="single" w:color="auto" w:sz="4" w:space="0"/>
              <w:right w:val="single" w:color="auto" w:sz="4" w:space="0"/>
            </w:tcBorders>
            <w:vAlign w:val="center"/>
          </w:tcPr>
          <w:p w14:paraId="7D09C505">
            <w:pPr>
              <w:spacing w:line="380" w:lineRule="exact"/>
              <w:ind w:firstLine="240" w:firstLineChars="1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单位名称：</w:t>
            </w:r>
            <w:r>
              <w:rPr>
                <w:rFonts w:hint="eastAsia" w:ascii="宋体" w:hAnsi="宋体" w:cs="宋体"/>
                <w:color w:val="auto"/>
                <w:sz w:val="24"/>
                <w:szCs w:val="24"/>
                <w:highlight w:val="none"/>
                <w:lang w:eastAsia="zh-CN"/>
              </w:rPr>
              <w:t>广东省机电设备招标有限公司</w:t>
            </w:r>
          </w:p>
          <w:p w14:paraId="61D43217">
            <w:pPr>
              <w:spacing w:line="380" w:lineRule="exact"/>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办公地址：广州市越秀区环市中路316号金鹰大厦13楼</w:t>
            </w:r>
          </w:p>
          <w:p w14:paraId="31E6DE42">
            <w:pPr>
              <w:spacing w:line="380" w:lineRule="exact"/>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联系人（部门）：黄</w:t>
            </w:r>
            <w:r>
              <w:rPr>
                <w:rFonts w:hint="eastAsia" w:ascii="宋体" w:hAnsi="宋体" w:cs="宋体"/>
                <w:color w:val="auto"/>
                <w:sz w:val="24"/>
                <w:szCs w:val="24"/>
                <w:highlight w:val="none"/>
                <w:lang w:val="en-US" w:eastAsia="zh-CN"/>
              </w:rPr>
              <w:t>志轩</w:t>
            </w:r>
          </w:p>
          <w:p w14:paraId="0927BCEF">
            <w:pPr>
              <w:spacing w:line="380" w:lineRule="exact"/>
              <w:ind w:firstLine="240" w:firstLineChars="100"/>
              <w:jc w:val="left"/>
              <w:rPr>
                <w:rFonts w:ascii="宋体" w:hAnsi="宋体" w:cs="宋体"/>
                <w:color w:val="auto"/>
                <w:szCs w:val="22"/>
                <w:highlight w:val="none"/>
              </w:rPr>
            </w:pPr>
            <w:r>
              <w:rPr>
                <w:rFonts w:hint="eastAsia" w:ascii="宋体" w:hAnsi="宋体" w:cs="宋体"/>
                <w:color w:val="auto"/>
                <w:sz w:val="24"/>
                <w:szCs w:val="24"/>
                <w:highlight w:val="none"/>
              </w:rPr>
              <w:t>联系电话：020-83545535</w:t>
            </w:r>
          </w:p>
        </w:tc>
      </w:tr>
      <w:tr w14:paraId="1C6F6A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945"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21652A92">
            <w:pPr>
              <w:pStyle w:val="36"/>
              <w:spacing w:line="240" w:lineRule="auto"/>
              <w:jc w:val="center"/>
              <w:rPr>
                <w:rFonts w:hAnsi="宋体" w:cs="宋体"/>
                <w:color w:val="auto"/>
                <w:highlight w:val="none"/>
              </w:rPr>
            </w:pPr>
            <w:r>
              <w:rPr>
                <w:rFonts w:hint="eastAsia" w:hAnsi="宋体" w:cs="宋体"/>
                <w:color w:val="auto"/>
                <w:highlight w:val="none"/>
              </w:rPr>
              <w:t>28</w:t>
            </w:r>
          </w:p>
        </w:tc>
        <w:tc>
          <w:tcPr>
            <w:tcW w:w="1725" w:type="dxa"/>
            <w:tcBorders>
              <w:top w:val="single" w:color="auto" w:sz="4" w:space="0"/>
              <w:left w:val="single" w:color="auto" w:sz="4" w:space="0"/>
              <w:bottom w:val="single" w:color="auto" w:sz="4" w:space="0"/>
              <w:right w:val="single" w:color="auto" w:sz="4" w:space="0"/>
            </w:tcBorders>
            <w:vAlign w:val="center"/>
          </w:tcPr>
          <w:p w14:paraId="58D15092">
            <w:pPr>
              <w:wordWrap w:val="0"/>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交易场所</w:t>
            </w:r>
          </w:p>
          <w:p w14:paraId="73005FE3">
            <w:pPr>
              <w:wordWrap w:val="0"/>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联系方法</w:t>
            </w:r>
          </w:p>
        </w:tc>
        <w:tc>
          <w:tcPr>
            <w:tcW w:w="7282" w:type="dxa"/>
            <w:tcBorders>
              <w:top w:val="single" w:color="auto" w:sz="4" w:space="0"/>
              <w:left w:val="single" w:color="auto" w:sz="4" w:space="0"/>
              <w:bottom w:val="single" w:color="auto" w:sz="4" w:space="0"/>
              <w:right w:val="single" w:color="auto" w:sz="4" w:space="0"/>
            </w:tcBorders>
            <w:vAlign w:val="center"/>
          </w:tcPr>
          <w:p w14:paraId="4E178E5C">
            <w:pPr>
              <w:spacing w:line="380" w:lineRule="exact"/>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单位名称：韶关市公共资源交易中心</w:t>
            </w:r>
          </w:p>
          <w:p w14:paraId="737BD715">
            <w:pPr>
              <w:spacing w:line="380" w:lineRule="exact"/>
              <w:ind w:left="239" w:leftChars="114"/>
              <w:jc w:val="left"/>
              <w:rPr>
                <w:rFonts w:ascii="宋体" w:hAnsi="宋体" w:cs="宋体"/>
                <w:color w:val="auto"/>
                <w:sz w:val="24"/>
                <w:szCs w:val="24"/>
                <w:highlight w:val="none"/>
              </w:rPr>
            </w:pPr>
            <w:r>
              <w:rPr>
                <w:rFonts w:hint="eastAsia" w:ascii="宋体" w:hAnsi="宋体" w:cs="宋体"/>
                <w:color w:val="auto"/>
                <w:sz w:val="24"/>
                <w:szCs w:val="24"/>
                <w:highlight w:val="none"/>
              </w:rPr>
              <w:t>办公地址：韶关市公共资源交易中心（广东省韶关市武江区西联镇）</w:t>
            </w:r>
          </w:p>
          <w:p w14:paraId="0B3EE1E2">
            <w:pPr>
              <w:spacing w:line="380" w:lineRule="exact"/>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联系人（部门）：工程交易股</w:t>
            </w:r>
          </w:p>
          <w:p w14:paraId="5F623A8B">
            <w:pPr>
              <w:spacing w:line="380" w:lineRule="exact"/>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联系电话：0751-8633071、0751-8633211</w:t>
            </w:r>
            <w:bookmarkStart w:id="376" w:name="_GoBack"/>
            <w:bookmarkEnd w:id="376"/>
          </w:p>
        </w:tc>
      </w:tr>
      <w:tr w14:paraId="7210A8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88"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14:paraId="145ED7E0">
            <w:pPr>
              <w:pStyle w:val="36"/>
              <w:spacing w:line="240" w:lineRule="auto"/>
              <w:jc w:val="center"/>
              <w:rPr>
                <w:rFonts w:hAnsi="宋体" w:cs="宋体"/>
                <w:color w:val="auto"/>
                <w:highlight w:val="none"/>
              </w:rPr>
            </w:pPr>
            <w:r>
              <w:rPr>
                <w:rFonts w:hint="eastAsia" w:hAnsi="宋体" w:cs="宋体"/>
                <w:color w:val="auto"/>
                <w:highlight w:val="none"/>
              </w:rPr>
              <w:t>29</w:t>
            </w:r>
          </w:p>
        </w:tc>
        <w:tc>
          <w:tcPr>
            <w:tcW w:w="1725" w:type="dxa"/>
            <w:tcBorders>
              <w:top w:val="single" w:color="auto" w:sz="4" w:space="0"/>
              <w:left w:val="single" w:color="auto" w:sz="4" w:space="0"/>
              <w:bottom w:val="single" w:color="auto" w:sz="4" w:space="0"/>
              <w:right w:val="single" w:color="auto" w:sz="4" w:space="0"/>
            </w:tcBorders>
            <w:vAlign w:val="center"/>
          </w:tcPr>
          <w:p w14:paraId="36D58A90">
            <w:pPr>
              <w:wordWrap w:val="0"/>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行政监督部门</w:t>
            </w:r>
          </w:p>
          <w:p w14:paraId="76954ADC">
            <w:pPr>
              <w:wordWrap w:val="0"/>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联系方式</w:t>
            </w:r>
          </w:p>
        </w:tc>
        <w:tc>
          <w:tcPr>
            <w:tcW w:w="7282" w:type="dxa"/>
            <w:tcBorders>
              <w:top w:val="single" w:color="auto" w:sz="4" w:space="0"/>
              <w:left w:val="single" w:color="auto" w:sz="4" w:space="0"/>
              <w:bottom w:val="single" w:color="auto" w:sz="4" w:space="0"/>
              <w:right w:val="single" w:color="auto" w:sz="4" w:space="0"/>
            </w:tcBorders>
            <w:vAlign w:val="center"/>
          </w:tcPr>
          <w:p w14:paraId="4216AB65">
            <w:pPr>
              <w:spacing w:line="380" w:lineRule="exact"/>
              <w:ind w:firstLine="240" w:firstLineChars="1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单位名称：韶关市住房和城乡建设管理局</w:t>
            </w:r>
          </w:p>
          <w:p w14:paraId="69FBBE8F">
            <w:pPr>
              <w:spacing w:line="380" w:lineRule="exact"/>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办公地址：广东省韶关市武江区芙蓉东路5号</w:t>
            </w:r>
          </w:p>
          <w:p w14:paraId="02854B07">
            <w:pPr>
              <w:spacing w:line="380" w:lineRule="exact"/>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联系人(部门)：建筑业市场管理科</w:t>
            </w:r>
          </w:p>
          <w:p w14:paraId="547A22AB">
            <w:pPr>
              <w:spacing w:line="380" w:lineRule="exact"/>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联系电话：0751-8892601</w:t>
            </w:r>
          </w:p>
        </w:tc>
      </w:tr>
      <w:bookmarkEnd w:id="8"/>
    </w:tbl>
    <w:p w14:paraId="7D64A03B">
      <w:pPr>
        <w:pStyle w:val="38"/>
        <w:keepNext/>
        <w:keepLines/>
        <w:autoSpaceDE/>
        <w:autoSpaceDN/>
        <w:adjustRightInd/>
        <w:spacing w:after="317" w:afterLines="100" w:line="360" w:lineRule="exact"/>
        <w:ind w:firstLine="482" w:firstLineChars="200"/>
        <w:jc w:val="center"/>
        <w:rPr>
          <w:rStyle w:val="39"/>
          <w:color w:val="auto"/>
          <w:highlight w:val="none"/>
        </w:rPr>
      </w:pPr>
      <w:bookmarkStart w:id="10" w:name="_Toc122859103"/>
      <w:bookmarkStart w:id="11" w:name="_Toc122769943"/>
      <w:bookmarkStart w:id="12" w:name="_Toc122671103"/>
      <w:r>
        <w:rPr>
          <w:rFonts w:hint="eastAsia" w:ascii="宋体" w:hAnsi="宋体" w:cs="宋体"/>
          <w:b/>
          <w:color w:val="auto"/>
          <w:kern w:val="2"/>
          <w:highlight w:val="none"/>
        </w:rPr>
        <w:br w:type="page"/>
      </w:r>
      <w:bookmarkEnd w:id="10"/>
      <w:bookmarkEnd w:id="11"/>
      <w:bookmarkEnd w:id="12"/>
      <w:bookmarkStart w:id="13" w:name="_Toc10094"/>
      <w:r>
        <w:rPr>
          <w:rFonts w:hint="eastAsia" w:ascii="宋体" w:hAnsi="宋体" w:cs="宋体"/>
          <w:b/>
          <w:color w:val="auto"/>
          <w:kern w:val="2"/>
          <w:highlight w:val="none"/>
        </w:rPr>
        <w:t xml:space="preserve">第二节 </w:t>
      </w:r>
      <w:r>
        <w:rPr>
          <w:rStyle w:val="39"/>
          <w:rFonts w:hint="eastAsia"/>
          <w:color w:val="auto"/>
          <w:highlight w:val="none"/>
        </w:rPr>
        <w:t>重要事项时间地点一览表</w:t>
      </w:r>
      <w:bookmarkEnd w:id="13"/>
    </w:p>
    <w:tbl>
      <w:tblPr>
        <w:tblStyle w:val="27"/>
        <w:tblW w:w="9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411"/>
        <w:gridCol w:w="1795"/>
        <w:gridCol w:w="7200"/>
      </w:tblGrid>
      <w:tr w14:paraId="3B536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94" w:hRule="atLeast"/>
          <w:jc w:val="center"/>
        </w:trPr>
        <w:tc>
          <w:tcPr>
            <w:tcW w:w="411" w:type="dxa"/>
            <w:shd w:val="clear" w:color="auto" w:fill="auto"/>
            <w:vAlign w:val="center"/>
          </w:tcPr>
          <w:p w14:paraId="19CD3F5B">
            <w:pPr>
              <w:pStyle w:val="37"/>
              <w:wordWrap w:val="0"/>
              <w:adjustRightInd w:val="0"/>
              <w:snapToGrid w:val="0"/>
              <w:spacing w:after="260" w:line="440" w:lineRule="exact"/>
              <w:jc w:val="left"/>
              <w:rPr>
                <w:rFonts w:ascii="宋体" w:hAnsi="宋体" w:cs="宋体"/>
                <w:color w:val="auto"/>
                <w:sz w:val="24"/>
                <w:highlight w:val="none"/>
              </w:rPr>
            </w:pPr>
            <w:r>
              <w:rPr>
                <w:rFonts w:hint="eastAsia" w:ascii="宋体" w:hAnsi="宋体" w:cs="宋体"/>
                <w:b/>
                <w:bCs/>
                <w:snapToGrid w:val="0"/>
                <w:color w:val="auto"/>
                <w:kern w:val="0"/>
                <w:sz w:val="24"/>
                <w:highlight w:val="none"/>
              </w:rPr>
              <w:t xml:space="preserve"> </w:t>
            </w:r>
            <w:r>
              <w:rPr>
                <w:rFonts w:hint="eastAsia" w:ascii="宋体" w:hAnsi="宋体" w:cs="宋体"/>
                <w:color w:val="auto"/>
                <w:sz w:val="24"/>
                <w:highlight w:val="none"/>
              </w:rPr>
              <w:t>1</w:t>
            </w:r>
          </w:p>
        </w:tc>
        <w:tc>
          <w:tcPr>
            <w:tcW w:w="1795" w:type="dxa"/>
            <w:shd w:val="clear" w:color="auto" w:fill="auto"/>
            <w:vAlign w:val="center"/>
          </w:tcPr>
          <w:p w14:paraId="12A50A9A">
            <w:pPr>
              <w:pStyle w:val="24"/>
              <w:spacing w:before="0" w:beforeAutospacing="0" w:after="0" w:afterAutospacing="0" w:line="360" w:lineRule="atLeast"/>
              <w:jc w:val="center"/>
              <w:rPr>
                <w:rFonts w:ascii="宋体"/>
                <w:color w:val="auto"/>
                <w:sz w:val="24"/>
                <w:highlight w:val="none"/>
              </w:rPr>
            </w:pPr>
            <w:r>
              <w:rPr>
                <w:rFonts w:hint="eastAsia" w:ascii="宋体"/>
                <w:color w:val="auto"/>
                <w:sz w:val="24"/>
                <w:highlight w:val="none"/>
              </w:rPr>
              <w:t>招标公告</w:t>
            </w:r>
          </w:p>
          <w:p w14:paraId="27F1E236">
            <w:pPr>
              <w:pStyle w:val="24"/>
              <w:spacing w:before="0" w:beforeAutospacing="0" w:after="0" w:afterAutospacing="0" w:line="360" w:lineRule="atLeast"/>
              <w:jc w:val="center"/>
              <w:rPr>
                <w:rFonts w:ascii="宋体"/>
                <w:color w:val="auto"/>
                <w:sz w:val="24"/>
                <w:highlight w:val="none"/>
              </w:rPr>
            </w:pPr>
            <w:r>
              <w:rPr>
                <w:rFonts w:hint="eastAsia" w:ascii="宋体"/>
                <w:color w:val="auto"/>
                <w:sz w:val="24"/>
                <w:highlight w:val="none"/>
              </w:rPr>
              <w:t>发布时间</w:t>
            </w:r>
          </w:p>
        </w:tc>
        <w:tc>
          <w:tcPr>
            <w:tcW w:w="7200" w:type="dxa"/>
            <w:shd w:val="clear" w:color="auto" w:fill="auto"/>
            <w:vAlign w:val="center"/>
          </w:tcPr>
          <w:p w14:paraId="5F6EA72D">
            <w:pPr>
              <w:pStyle w:val="24"/>
              <w:spacing w:before="0" w:beforeAutospacing="0" w:after="150" w:afterAutospacing="0" w:line="360" w:lineRule="atLeast"/>
              <w:ind w:left="240" w:hanging="240" w:hangingChars="100"/>
              <w:rPr>
                <w:rFonts w:ascii="宋体"/>
                <w:color w:val="auto"/>
                <w:sz w:val="24"/>
                <w:highlight w:val="none"/>
              </w:rPr>
            </w:pPr>
            <w:r>
              <w:rPr>
                <w:rFonts w:hint="eastAsia" w:ascii="宋体"/>
                <w:color w:val="auto"/>
                <w:sz w:val="24"/>
                <w:highlight w:val="none"/>
              </w:rPr>
              <w:t> </w:t>
            </w:r>
            <w:r>
              <w:rPr>
                <w:rFonts w:hint="eastAsia" w:ascii="宋体"/>
                <w:color w:val="auto"/>
                <w:sz w:val="24"/>
                <w:highlight w:val="none"/>
                <w:u w:val="single"/>
              </w:rPr>
              <w:t>20</w:t>
            </w:r>
            <w:r>
              <w:rPr>
                <w:rFonts w:hint="eastAsia" w:ascii="宋体"/>
                <w:color w:val="auto"/>
                <w:sz w:val="24"/>
                <w:highlight w:val="none"/>
                <w:u w:val="single"/>
                <w:lang w:val="en-US" w:eastAsia="zh-CN"/>
              </w:rPr>
              <w:t>26</w:t>
            </w:r>
            <w:r>
              <w:rPr>
                <w:rFonts w:hint="eastAsia" w:ascii="宋体"/>
                <w:color w:val="auto"/>
                <w:sz w:val="24"/>
                <w:highlight w:val="none"/>
              </w:rPr>
              <w:t>年</w:t>
            </w:r>
            <w:r>
              <w:rPr>
                <w:rFonts w:hint="eastAsia" w:ascii="宋体"/>
                <w:color w:val="auto"/>
                <w:sz w:val="24"/>
                <w:highlight w:val="none"/>
                <w:u w:val="single"/>
                <w:lang w:val="en-US" w:eastAsia="zh-CN"/>
              </w:rPr>
              <w:t>6</w:t>
            </w:r>
            <w:r>
              <w:rPr>
                <w:rFonts w:hint="eastAsia" w:ascii="宋体"/>
                <w:color w:val="auto"/>
                <w:sz w:val="24"/>
                <w:highlight w:val="none"/>
              </w:rPr>
              <w:t>月</w:t>
            </w:r>
            <w:r>
              <w:rPr>
                <w:rFonts w:hint="eastAsia" w:ascii="宋体"/>
                <w:color w:val="auto"/>
                <w:sz w:val="24"/>
                <w:highlight w:val="none"/>
                <w:u w:val="single"/>
                <w:lang w:val="en-US" w:eastAsia="zh-CN"/>
              </w:rPr>
              <w:t>26</w:t>
            </w:r>
            <w:r>
              <w:rPr>
                <w:rFonts w:hint="eastAsia" w:ascii="宋体"/>
                <w:color w:val="auto"/>
                <w:sz w:val="24"/>
                <w:highlight w:val="none"/>
              </w:rPr>
              <w:t>日</w:t>
            </w:r>
            <w:r>
              <w:rPr>
                <w:rFonts w:hint="eastAsia" w:ascii="宋体"/>
                <w:color w:val="auto"/>
                <w:sz w:val="24"/>
                <w:highlight w:val="none"/>
                <w:u w:val="single"/>
                <w:lang w:val="en-US" w:eastAsia="zh-CN"/>
              </w:rPr>
              <w:t>17</w:t>
            </w:r>
            <w:r>
              <w:rPr>
                <w:rFonts w:hint="eastAsia" w:ascii="宋体"/>
                <w:color w:val="auto"/>
                <w:sz w:val="24"/>
                <w:highlight w:val="none"/>
              </w:rPr>
              <w:t>时</w:t>
            </w:r>
            <w:r>
              <w:rPr>
                <w:rFonts w:hint="eastAsia" w:ascii="宋体"/>
                <w:color w:val="auto"/>
                <w:sz w:val="24"/>
                <w:highlight w:val="none"/>
                <w:u w:val="single"/>
                <w:lang w:val="en-US" w:eastAsia="zh-CN"/>
              </w:rPr>
              <w:t>00</w:t>
            </w:r>
            <w:r>
              <w:rPr>
                <w:rFonts w:hint="eastAsia" w:ascii="宋体"/>
                <w:color w:val="auto"/>
                <w:sz w:val="24"/>
                <w:highlight w:val="none"/>
              </w:rPr>
              <w:t>分</w:t>
            </w:r>
          </w:p>
        </w:tc>
      </w:tr>
      <w:tr w14:paraId="601D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1" w:type="dxa"/>
            <w:shd w:val="clear" w:color="auto" w:fill="auto"/>
            <w:vAlign w:val="center"/>
          </w:tcPr>
          <w:p w14:paraId="5DD4AA7A">
            <w:pPr>
              <w:pStyle w:val="24"/>
              <w:spacing w:before="0" w:beforeAutospacing="0" w:after="150" w:afterAutospacing="0" w:line="360" w:lineRule="atLeast"/>
              <w:jc w:val="center"/>
              <w:rPr>
                <w:rFonts w:ascii="宋体"/>
                <w:color w:val="auto"/>
                <w:sz w:val="24"/>
                <w:highlight w:val="none"/>
              </w:rPr>
            </w:pPr>
            <w:r>
              <w:rPr>
                <w:rFonts w:hint="eastAsia" w:ascii="宋体"/>
                <w:color w:val="auto"/>
                <w:sz w:val="24"/>
                <w:highlight w:val="none"/>
              </w:rPr>
              <w:t>2</w:t>
            </w:r>
          </w:p>
        </w:tc>
        <w:tc>
          <w:tcPr>
            <w:tcW w:w="1795" w:type="dxa"/>
            <w:shd w:val="clear" w:color="auto" w:fill="auto"/>
            <w:vAlign w:val="center"/>
          </w:tcPr>
          <w:p w14:paraId="0F1C8D0F">
            <w:pPr>
              <w:pStyle w:val="24"/>
              <w:spacing w:before="0" w:beforeAutospacing="0" w:after="0" w:afterAutospacing="0" w:line="360" w:lineRule="atLeast"/>
              <w:jc w:val="center"/>
              <w:rPr>
                <w:rFonts w:ascii="宋体"/>
                <w:color w:val="auto"/>
                <w:sz w:val="24"/>
                <w:highlight w:val="none"/>
              </w:rPr>
            </w:pPr>
            <w:r>
              <w:rPr>
                <w:rFonts w:hint="eastAsia" w:ascii="宋体"/>
                <w:color w:val="auto"/>
                <w:sz w:val="24"/>
                <w:highlight w:val="none"/>
              </w:rPr>
              <w:t>获取招标文件截止时间</w:t>
            </w:r>
          </w:p>
        </w:tc>
        <w:tc>
          <w:tcPr>
            <w:tcW w:w="7200" w:type="dxa"/>
            <w:shd w:val="clear" w:color="auto" w:fill="auto"/>
            <w:vAlign w:val="center"/>
          </w:tcPr>
          <w:p w14:paraId="515BE11A">
            <w:pPr>
              <w:pStyle w:val="24"/>
              <w:spacing w:before="0" w:beforeAutospacing="0" w:after="150" w:afterAutospacing="0" w:line="360" w:lineRule="atLeast"/>
              <w:rPr>
                <w:rFonts w:ascii="宋体"/>
                <w:color w:val="auto"/>
                <w:sz w:val="24"/>
                <w:highlight w:val="none"/>
              </w:rPr>
            </w:pPr>
            <w:r>
              <w:rPr>
                <w:rFonts w:hint="eastAsia" w:ascii="宋体"/>
                <w:color w:val="auto"/>
                <w:sz w:val="24"/>
                <w:highlight w:val="none"/>
              </w:rPr>
              <w:t> </w:t>
            </w:r>
            <w:r>
              <w:rPr>
                <w:rFonts w:hint="eastAsia" w:ascii="宋体"/>
                <w:color w:val="auto"/>
                <w:sz w:val="24"/>
                <w:highlight w:val="none"/>
                <w:u w:val="single"/>
              </w:rPr>
              <w:t>20</w:t>
            </w:r>
            <w:r>
              <w:rPr>
                <w:rFonts w:hint="eastAsia" w:ascii="宋体"/>
                <w:color w:val="auto"/>
                <w:sz w:val="24"/>
                <w:highlight w:val="none"/>
                <w:u w:val="single"/>
                <w:lang w:val="en-US" w:eastAsia="zh-CN"/>
              </w:rPr>
              <w:t>26</w:t>
            </w:r>
            <w:r>
              <w:rPr>
                <w:rFonts w:hint="eastAsia" w:ascii="宋体"/>
                <w:color w:val="auto"/>
                <w:sz w:val="24"/>
                <w:highlight w:val="none"/>
              </w:rPr>
              <w:t>年</w:t>
            </w:r>
            <w:r>
              <w:rPr>
                <w:rFonts w:hint="eastAsia" w:ascii="宋体"/>
                <w:color w:val="auto"/>
                <w:sz w:val="24"/>
                <w:highlight w:val="none"/>
                <w:u w:val="single"/>
                <w:lang w:val="en-US" w:eastAsia="zh-CN"/>
              </w:rPr>
              <w:t>7</w:t>
            </w:r>
            <w:r>
              <w:rPr>
                <w:rFonts w:hint="eastAsia" w:ascii="宋体"/>
                <w:color w:val="auto"/>
                <w:sz w:val="24"/>
                <w:highlight w:val="none"/>
              </w:rPr>
              <w:t>月</w:t>
            </w:r>
            <w:r>
              <w:rPr>
                <w:rFonts w:hint="eastAsia" w:ascii="宋体"/>
                <w:color w:val="auto"/>
                <w:sz w:val="24"/>
                <w:highlight w:val="none"/>
                <w:u w:val="single"/>
                <w:lang w:val="en-US" w:eastAsia="zh-CN"/>
              </w:rPr>
              <w:t>17</w:t>
            </w:r>
            <w:r>
              <w:rPr>
                <w:rFonts w:hint="eastAsia" w:ascii="宋体"/>
                <w:color w:val="auto"/>
                <w:sz w:val="24"/>
                <w:highlight w:val="none"/>
              </w:rPr>
              <w:t>日</w:t>
            </w:r>
            <w:r>
              <w:rPr>
                <w:rFonts w:hint="eastAsia" w:ascii="宋体"/>
                <w:color w:val="auto"/>
                <w:sz w:val="24"/>
                <w:highlight w:val="none"/>
                <w:u w:val="single"/>
                <w:lang w:val="en-US" w:eastAsia="zh-CN"/>
              </w:rPr>
              <w:t>09</w:t>
            </w:r>
            <w:r>
              <w:rPr>
                <w:rFonts w:hint="eastAsia" w:ascii="宋体"/>
                <w:color w:val="auto"/>
                <w:sz w:val="24"/>
                <w:highlight w:val="none"/>
              </w:rPr>
              <w:t>时</w:t>
            </w:r>
            <w:r>
              <w:rPr>
                <w:rFonts w:hint="eastAsia" w:ascii="宋体"/>
                <w:color w:val="auto"/>
                <w:sz w:val="24"/>
                <w:highlight w:val="none"/>
                <w:u w:val="single"/>
                <w:lang w:val="en-US" w:eastAsia="zh-CN"/>
              </w:rPr>
              <w:t>30</w:t>
            </w:r>
            <w:r>
              <w:rPr>
                <w:rFonts w:hint="eastAsia" w:ascii="宋体"/>
                <w:color w:val="auto"/>
                <w:sz w:val="24"/>
                <w:highlight w:val="none"/>
              </w:rPr>
              <w:t>分</w:t>
            </w:r>
          </w:p>
        </w:tc>
      </w:tr>
      <w:tr w14:paraId="4958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1" w:type="dxa"/>
            <w:shd w:val="clear" w:color="auto" w:fill="auto"/>
            <w:vAlign w:val="center"/>
          </w:tcPr>
          <w:p w14:paraId="2C11C68D">
            <w:pPr>
              <w:pStyle w:val="24"/>
              <w:spacing w:before="0" w:beforeAutospacing="0" w:after="150" w:afterAutospacing="0" w:line="360" w:lineRule="atLeast"/>
              <w:jc w:val="center"/>
              <w:rPr>
                <w:rFonts w:ascii="宋体"/>
                <w:color w:val="auto"/>
                <w:sz w:val="24"/>
                <w:highlight w:val="none"/>
              </w:rPr>
            </w:pPr>
            <w:r>
              <w:rPr>
                <w:rFonts w:hint="eastAsia" w:ascii="宋体"/>
                <w:color w:val="auto"/>
                <w:sz w:val="24"/>
                <w:highlight w:val="none"/>
              </w:rPr>
              <w:t>3</w:t>
            </w:r>
          </w:p>
        </w:tc>
        <w:tc>
          <w:tcPr>
            <w:tcW w:w="1795" w:type="dxa"/>
            <w:shd w:val="clear" w:color="auto" w:fill="auto"/>
            <w:vAlign w:val="center"/>
          </w:tcPr>
          <w:p w14:paraId="264DBAB9">
            <w:pPr>
              <w:pStyle w:val="24"/>
              <w:spacing w:before="0" w:beforeAutospacing="0" w:after="0" w:afterAutospacing="0" w:line="360" w:lineRule="atLeast"/>
              <w:jc w:val="center"/>
              <w:rPr>
                <w:rFonts w:ascii="宋体"/>
                <w:color w:val="auto"/>
                <w:sz w:val="24"/>
                <w:highlight w:val="none"/>
              </w:rPr>
            </w:pPr>
            <w:r>
              <w:rPr>
                <w:rFonts w:hint="eastAsia" w:ascii="宋体"/>
                <w:color w:val="auto"/>
                <w:sz w:val="24"/>
                <w:highlight w:val="none"/>
              </w:rPr>
              <w:t>网上提问</w:t>
            </w:r>
          </w:p>
          <w:p w14:paraId="1574DF85">
            <w:pPr>
              <w:pStyle w:val="24"/>
              <w:spacing w:before="0" w:beforeAutospacing="0" w:after="0" w:afterAutospacing="0" w:line="360" w:lineRule="atLeast"/>
              <w:jc w:val="center"/>
              <w:rPr>
                <w:rFonts w:ascii="宋体"/>
                <w:color w:val="auto"/>
                <w:sz w:val="24"/>
                <w:highlight w:val="none"/>
              </w:rPr>
            </w:pPr>
            <w:r>
              <w:rPr>
                <w:rFonts w:hint="eastAsia" w:ascii="宋体"/>
                <w:color w:val="auto"/>
                <w:sz w:val="24"/>
                <w:highlight w:val="none"/>
              </w:rPr>
              <w:t>截止时间</w:t>
            </w:r>
          </w:p>
        </w:tc>
        <w:tc>
          <w:tcPr>
            <w:tcW w:w="7200" w:type="dxa"/>
            <w:shd w:val="clear" w:color="auto" w:fill="auto"/>
            <w:vAlign w:val="center"/>
          </w:tcPr>
          <w:p w14:paraId="3BD1FDC2">
            <w:pPr>
              <w:pStyle w:val="24"/>
              <w:spacing w:before="0" w:beforeAutospacing="0" w:after="150" w:afterAutospacing="0" w:line="360" w:lineRule="atLeast"/>
              <w:rPr>
                <w:rFonts w:ascii="宋体"/>
                <w:color w:val="auto"/>
                <w:sz w:val="24"/>
                <w:highlight w:val="none"/>
              </w:rPr>
            </w:pPr>
            <w:r>
              <w:rPr>
                <w:rFonts w:hint="eastAsia" w:ascii="宋体"/>
                <w:color w:val="auto"/>
                <w:sz w:val="24"/>
                <w:highlight w:val="none"/>
              </w:rPr>
              <w:t> </w:t>
            </w:r>
            <w:r>
              <w:rPr>
                <w:rFonts w:hint="eastAsia" w:ascii="宋体"/>
                <w:color w:val="auto"/>
                <w:sz w:val="24"/>
                <w:highlight w:val="none"/>
                <w:u w:val="single"/>
              </w:rPr>
              <w:t>202</w:t>
            </w:r>
            <w:r>
              <w:rPr>
                <w:rFonts w:hint="eastAsia" w:ascii="宋体"/>
                <w:color w:val="auto"/>
                <w:sz w:val="24"/>
                <w:highlight w:val="none"/>
                <w:u w:val="single"/>
                <w:lang w:val="en-US" w:eastAsia="zh-CN"/>
              </w:rPr>
              <w:t>6</w:t>
            </w:r>
            <w:r>
              <w:rPr>
                <w:rFonts w:hint="eastAsia" w:ascii="宋体"/>
                <w:color w:val="auto"/>
                <w:sz w:val="24"/>
                <w:highlight w:val="none"/>
              </w:rPr>
              <w:t>年</w:t>
            </w:r>
            <w:r>
              <w:rPr>
                <w:rFonts w:hint="eastAsia" w:ascii="宋体"/>
                <w:color w:val="auto"/>
                <w:sz w:val="24"/>
                <w:highlight w:val="none"/>
                <w:u w:val="single"/>
                <w:lang w:val="en-US" w:eastAsia="zh-CN"/>
              </w:rPr>
              <w:t>7</w:t>
            </w:r>
            <w:r>
              <w:rPr>
                <w:rFonts w:hint="eastAsia" w:ascii="宋体"/>
                <w:color w:val="auto"/>
                <w:sz w:val="24"/>
                <w:highlight w:val="none"/>
              </w:rPr>
              <w:t>月</w:t>
            </w:r>
            <w:r>
              <w:rPr>
                <w:rFonts w:hint="eastAsia" w:ascii="宋体"/>
                <w:color w:val="auto"/>
                <w:sz w:val="24"/>
                <w:highlight w:val="none"/>
                <w:u w:val="single"/>
                <w:lang w:val="en-US" w:eastAsia="zh-CN"/>
              </w:rPr>
              <w:t>7</w:t>
            </w:r>
            <w:r>
              <w:rPr>
                <w:rFonts w:hint="eastAsia" w:ascii="宋体"/>
                <w:color w:val="auto"/>
                <w:sz w:val="24"/>
                <w:highlight w:val="none"/>
              </w:rPr>
              <w:t>日</w:t>
            </w:r>
            <w:r>
              <w:rPr>
                <w:rFonts w:hint="eastAsia" w:ascii="宋体"/>
                <w:color w:val="auto"/>
                <w:sz w:val="24"/>
                <w:highlight w:val="none"/>
                <w:u w:val="single"/>
                <w:lang w:val="en-US" w:eastAsia="zh-CN"/>
              </w:rPr>
              <w:t>16</w:t>
            </w:r>
            <w:r>
              <w:rPr>
                <w:rFonts w:hint="eastAsia" w:ascii="宋体"/>
                <w:color w:val="auto"/>
                <w:sz w:val="24"/>
                <w:highlight w:val="none"/>
              </w:rPr>
              <w:t>时</w:t>
            </w:r>
            <w:r>
              <w:rPr>
                <w:rFonts w:hint="eastAsia" w:ascii="宋体"/>
                <w:color w:val="auto"/>
                <w:sz w:val="24"/>
                <w:highlight w:val="none"/>
                <w:u w:val="single"/>
              </w:rPr>
              <w:t>00</w:t>
            </w:r>
            <w:r>
              <w:rPr>
                <w:rFonts w:hint="eastAsia" w:ascii="宋体"/>
                <w:color w:val="auto"/>
                <w:sz w:val="24"/>
                <w:highlight w:val="none"/>
              </w:rPr>
              <w:t>分</w:t>
            </w:r>
          </w:p>
        </w:tc>
      </w:tr>
      <w:tr w14:paraId="248B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33" w:hRule="atLeast"/>
          <w:jc w:val="center"/>
        </w:trPr>
        <w:tc>
          <w:tcPr>
            <w:tcW w:w="411" w:type="dxa"/>
            <w:shd w:val="clear" w:color="auto" w:fill="auto"/>
            <w:vAlign w:val="center"/>
          </w:tcPr>
          <w:p w14:paraId="181A374C">
            <w:pPr>
              <w:pStyle w:val="24"/>
              <w:spacing w:before="0" w:beforeAutospacing="0" w:after="150" w:afterAutospacing="0" w:line="360" w:lineRule="atLeast"/>
              <w:jc w:val="center"/>
              <w:rPr>
                <w:rFonts w:ascii="宋体"/>
                <w:color w:val="auto"/>
                <w:sz w:val="24"/>
                <w:highlight w:val="none"/>
              </w:rPr>
            </w:pPr>
            <w:r>
              <w:rPr>
                <w:rFonts w:hint="eastAsia" w:ascii="宋体"/>
                <w:color w:val="auto"/>
                <w:sz w:val="24"/>
                <w:highlight w:val="none"/>
              </w:rPr>
              <w:t>4</w:t>
            </w:r>
          </w:p>
        </w:tc>
        <w:tc>
          <w:tcPr>
            <w:tcW w:w="1795" w:type="dxa"/>
            <w:shd w:val="clear" w:color="auto" w:fill="auto"/>
            <w:vAlign w:val="center"/>
          </w:tcPr>
          <w:p w14:paraId="6A0C4636">
            <w:pPr>
              <w:pStyle w:val="24"/>
              <w:spacing w:before="0" w:beforeAutospacing="0" w:after="0" w:afterAutospacing="0" w:line="360" w:lineRule="atLeast"/>
              <w:jc w:val="center"/>
              <w:rPr>
                <w:rFonts w:ascii="宋体"/>
                <w:color w:val="auto"/>
                <w:sz w:val="24"/>
                <w:highlight w:val="none"/>
              </w:rPr>
            </w:pPr>
            <w:r>
              <w:rPr>
                <w:rFonts w:hint="eastAsia" w:ascii="宋体"/>
                <w:color w:val="auto"/>
                <w:sz w:val="24"/>
                <w:highlight w:val="none"/>
              </w:rPr>
              <w:t>网上答疑</w:t>
            </w:r>
          </w:p>
          <w:p w14:paraId="6F0C699D">
            <w:pPr>
              <w:pStyle w:val="24"/>
              <w:spacing w:before="0" w:beforeAutospacing="0" w:after="0" w:afterAutospacing="0" w:line="360" w:lineRule="atLeast"/>
              <w:jc w:val="center"/>
              <w:rPr>
                <w:rFonts w:ascii="宋体"/>
                <w:color w:val="auto"/>
                <w:sz w:val="24"/>
                <w:highlight w:val="none"/>
              </w:rPr>
            </w:pPr>
            <w:r>
              <w:rPr>
                <w:rFonts w:hint="eastAsia" w:ascii="宋体"/>
                <w:color w:val="auto"/>
                <w:sz w:val="24"/>
                <w:highlight w:val="none"/>
              </w:rPr>
              <w:t>时间</w:t>
            </w:r>
          </w:p>
        </w:tc>
        <w:tc>
          <w:tcPr>
            <w:tcW w:w="7200" w:type="dxa"/>
            <w:shd w:val="clear" w:color="auto" w:fill="auto"/>
            <w:vAlign w:val="center"/>
          </w:tcPr>
          <w:p w14:paraId="1E3D9296">
            <w:pPr>
              <w:pStyle w:val="24"/>
              <w:spacing w:before="0" w:beforeAutospacing="0" w:after="150" w:afterAutospacing="0" w:line="360" w:lineRule="atLeast"/>
              <w:ind w:left="240" w:hanging="240" w:hangingChars="100"/>
              <w:rPr>
                <w:rFonts w:ascii="宋体"/>
                <w:color w:val="auto"/>
                <w:sz w:val="24"/>
                <w:highlight w:val="none"/>
              </w:rPr>
            </w:pPr>
            <w:r>
              <w:rPr>
                <w:rFonts w:hint="eastAsia" w:ascii="宋体"/>
                <w:color w:val="auto"/>
                <w:sz w:val="24"/>
                <w:highlight w:val="none"/>
              </w:rPr>
              <w:t> </w:t>
            </w:r>
            <w:r>
              <w:rPr>
                <w:rFonts w:hint="eastAsia" w:ascii="宋体"/>
                <w:color w:val="auto"/>
                <w:sz w:val="24"/>
                <w:highlight w:val="none"/>
                <w:u w:val="single"/>
              </w:rPr>
              <w:t>202</w:t>
            </w:r>
            <w:r>
              <w:rPr>
                <w:rFonts w:hint="eastAsia" w:ascii="宋体"/>
                <w:color w:val="auto"/>
                <w:sz w:val="24"/>
                <w:highlight w:val="none"/>
                <w:u w:val="single"/>
                <w:lang w:val="en-US" w:eastAsia="zh-CN"/>
              </w:rPr>
              <w:t>6</w:t>
            </w:r>
            <w:r>
              <w:rPr>
                <w:rFonts w:hint="eastAsia" w:ascii="宋体"/>
                <w:color w:val="auto"/>
                <w:sz w:val="24"/>
                <w:highlight w:val="none"/>
              </w:rPr>
              <w:t>年</w:t>
            </w:r>
            <w:r>
              <w:rPr>
                <w:rFonts w:hint="eastAsia" w:ascii="宋体"/>
                <w:color w:val="auto"/>
                <w:sz w:val="24"/>
                <w:highlight w:val="none"/>
                <w:u w:val="single"/>
                <w:lang w:val="en-US" w:eastAsia="zh-CN"/>
              </w:rPr>
              <w:t>7</w:t>
            </w:r>
            <w:r>
              <w:rPr>
                <w:rFonts w:hint="eastAsia" w:ascii="宋体"/>
                <w:color w:val="auto"/>
                <w:sz w:val="24"/>
                <w:highlight w:val="none"/>
              </w:rPr>
              <w:t>月</w:t>
            </w:r>
            <w:r>
              <w:rPr>
                <w:rFonts w:hint="eastAsia" w:ascii="宋体"/>
                <w:color w:val="auto"/>
                <w:sz w:val="24"/>
                <w:highlight w:val="none"/>
                <w:u w:val="single"/>
                <w:lang w:val="en-US" w:eastAsia="zh-CN"/>
              </w:rPr>
              <w:t xml:space="preserve"> 7</w:t>
            </w:r>
            <w:r>
              <w:rPr>
                <w:rFonts w:hint="eastAsia" w:ascii="宋体"/>
                <w:color w:val="auto"/>
                <w:sz w:val="24"/>
                <w:highlight w:val="none"/>
              </w:rPr>
              <w:t>日</w:t>
            </w:r>
            <w:r>
              <w:rPr>
                <w:rFonts w:hint="eastAsia" w:ascii="宋体"/>
                <w:color w:val="auto"/>
                <w:sz w:val="24"/>
                <w:highlight w:val="none"/>
                <w:u w:val="single"/>
                <w:lang w:val="en-US" w:eastAsia="zh-CN"/>
              </w:rPr>
              <w:t>16</w:t>
            </w:r>
            <w:r>
              <w:rPr>
                <w:rFonts w:hint="eastAsia" w:ascii="宋体"/>
                <w:color w:val="auto"/>
                <w:sz w:val="24"/>
                <w:highlight w:val="none"/>
              </w:rPr>
              <w:t>时</w:t>
            </w:r>
            <w:r>
              <w:rPr>
                <w:rFonts w:hint="eastAsia" w:ascii="宋体"/>
                <w:color w:val="auto"/>
                <w:sz w:val="24"/>
                <w:highlight w:val="none"/>
                <w:u w:val="single"/>
                <w:lang w:val="en-US" w:eastAsia="zh-CN"/>
              </w:rPr>
              <w:t>30</w:t>
            </w:r>
            <w:r>
              <w:rPr>
                <w:rFonts w:hint="eastAsia" w:ascii="宋体"/>
                <w:color w:val="auto"/>
                <w:sz w:val="24"/>
                <w:highlight w:val="none"/>
              </w:rPr>
              <w:t>分</w:t>
            </w:r>
            <w:r>
              <w:rPr>
                <w:rFonts w:hint="eastAsia" w:ascii="宋体"/>
                <w:color w:val="auto"/>
                <w:kern w:val="2"/>
                <w:sz w:val="24"/>
                <w:highlight w:val="none"/>
              </w:rPr>
              <w:t>至</w:t>
            </w:r>
            <w:r>
              <w:rPr>
                <w:rFonts w:hint="eastAsia" w:ascii="宋体"/>
                <w:color w:val="auto"/>
                <w:sz w:val="24"/>
                <w:highlight w:val="none"/>
                <w:u w:val="single"/>
              </w:rPr>
              <w:t>202</w:t>
            </w:r>
            <w:r>
              <w:rPr>
                <w:rFonts w:hint="eastAsia" w:ascii="宋体"/>
                <w:color w:val="auto"/>
                <w:sz w:val="24"/>
                <w:highlight w:val="none"/>
                <w:u w:val="single"/>
                <w:lang w:val="en-US" w:eastAsia="zh-CN"/>
              </w:rPr>
              <w:t>6</w:t>
            </w:r>
            <w:r>
              <w:rPr>
                <w:rFonts w:hint="eastAsia" w:ascii="宋体"/>
                <w:color w:val="auto"/>
                <w:sz w:val="24"/>
                <w:highlight w:val="none"/>
              </w:rPr>
              <w:t>年</w:t>
            </w:r>
            <w:r>
              <w:rPr>
                <w:rFonts w:hint="eastAsia" w:ascii="宋体"/>
                <w:color w:val="auto"/>
                <w:sz w:val="24"/>
                <w:highlight w:val="none"/>
                <w:u w:val="single"/>
                <w:lang w:val="en-US" w:eastAsia="zh-CN"/>
              </w:rPr>
              <w:t>7</w:t>
            </w:r>
            <w:r>
              <w:rPr>
                <w:rFonts w:hint="eastAsia" w:ascii="宋体"/>
                <w:color w:val="auto"/>
                <w:sz w:val="24"/>
                <w:highlight w:val="none"/>
              </w:rPr>
              <w:t>月</w:t>
            </w:r>
            <w:r>
              <w:rPr>
                <w:rFonts w:hint="eastAsia" w:ascii="宋体"/>
                <w:color w:val="auto"/>
                <w:sz w:val="24"/>
                <w:highlight w:val="none"/>
                <w:u w:val="single"/>
                <w:lang w:val="en-US" w:eastAsia="zh-CN"/>
              </w:rPr>
              <w:t>10</w:t>
            </w:r>
            <w:r>
              <w:rPr>
                <w:rFonts w:hint="eastAsia" w:ascii="宋体"/>
                <w:color w:val="auto"/>
                <w:sz w:val="24"/>
                <w:highlight w:val="none"/>
              </w:rPr>
              <w:t>日</w:t>
            </w:r>
            <w:r>
              <w:rPr>
                <w:rFonts w:hint="eastAsia" w:ascii="宋体"/>
                <w:color w:val="auto"/>
                <w:sz w:val="24"/>
                <w:highlight w:val="none"/>
                <w:u w:val="single"/>
                <w:lang w:val="en-US" w:eastAsia="zh-CN"/>
              </w:rPr>
              <w:t>16</w:t>
            </w:r>
            <w:r>
              <w:rPr>
                <w:rFonts w:hint="eastAsia" w:ascii="宋体"/>
                <w:color w:val="auto"/>
                <w:sz w:val="24"/>
                <w:highlight w:val="none"/>
              </w:rPr>
              <w:t>时</w:t>
            </w:r>
            <w:r>
              <w:rPr>
                <w:rFonts w:hint="eastAsia" w:ascii="宋体"/>
                <w:color w:val="auto"/>
                <w:sz w:val="24"/>
                <w:highlight w:val="none"/>
                <w:u w:val="single"/>
                <w:lang w:val="en-US" w:eastAsia="zh-CN"/>
              </w:rPr>
              <w:t>00</w:t>
            </w:r>
            <w:r>
              <w:rPr>
                <w:rFonts w:hint="eastAsia" w:ascii="宋体"/>
                <w:color w:val="auto"/>
                <w:sz w:val="24"/>
                <w:highlight w:val="none"/>
              </w:rPr>
              <w:t>分</w:t>
            </w:r>
          </w:p>
        </w:tc>
      </w:tr>
      <w:tr w14:paraId="56BC4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20" w:hRule="atLeast"/>
          <w:jc w:val="center"/>
        </w:trPr>
        <w:tc>
          <w:tcPr>
            <w:tcW w:w="411" w:type="dxa"/>
            <w:shd w:val="clear" w:color="auto" w:fill="auto"/>
            <w:vAlign w:val="center"/>
          </w:tcPr>
          <w:p w14:paraId="41799A3C">
            <w:pPr>
              <w:pStyle w:val="24"/>
              <w:spacing w:before="0" w:beforeAutospacing="0" w:after="150" w:afterAutospacing="0" w:line="360" w:lineRule="atLeast"/>
              <w:jc w:val="center"/>
              <w:rPr>
                <w:rFonts w:ascii="宋体"/>
                <w:color w:val="auto"/>
                <w:sz w:val="24"/>
                <w:highlight w:val="none"/>
              </w:rPr>
            </w:pPr>
            <w:r>
              <w:rPr>
                <w:rFonts w:hint="eastAsia" w:ascii="宋体"/>
                <w:color w:val="auto"/>
                <w:sz w:val="24"/>
                <w:highlight w:val="none"/>
              </w:rPr>
              <w:t>5</w:t>
            </w:r>
          </w:p>
        </w:tc>
        <w:tc>
          <w:tcPr>
            <w:tcW w:w="1795" w:type="dxa"/>
            <w:shd w:val="clear" w:color="auto" w:fill="auto"/>
            <w:vAlign w:val="center"/>
          </w:tcPr>
          <w:p w14:paraId="0217DA2D">
            <w:pPr>
              <w:pStyle w:val="24"/>
              <w:spacing w:before="0" w:beforeAutospacing="0" w:after="0" w:afterAutospacing="0" w:line="360" w:lineRule="atLeast"/>
              <w:jc w:val="center"/>
              <w:rPr>
                <w:rFonts w:ascii="宋体"/>
                <w:color w:val="auto"/>
                <w:sz w:val="24"/>
                <w:highlight w:val="none"/>
              </w:rPr>
            </w:pPr>
            <w:r>
              <w:rPr>
                <w:rFonts w:hint="eastAsia" w:ascii="宋体"/>
                <w:color w:val="auto"/>
                <w:sz w:val="24"/>
                <w:highlight w:val="none"/>
              </w:rPr>
              <w:t>投标保证缴</w:t>
            </w:r>
          </w:p>
          <w:p w14:paraId="13155F5C">
            <w:pPr>
              <w:pStyle w:val="24"/>
              <w:spacing w:before="0" w:beforeAutospacing="0" w:after="0" w:afterAutospacing="0" w:line="360" w:lineRule="atLeast"/>
              <w:jc w:val="center"/>
              <w:rPr>
                <w:rFonts w:ascii="宋体"/>
                <w:color w:val="auto"/>
                <w:sz w:val="24"/>
                <w:highlight w:val="none"/>
              </w:rPr>
            </w:pPr>
            <w:r>
              <w:rPr>
                <w:rFonts w:hint="eastAsia" w:ascii="宋体"/>
                <w:color w:val="auto"/>
                <w:sz w:val="24"/>
                <w:highlight w:val="none"/>
              </w:rPr>
              <w:t>纳截止时间</w:t>
            </w:r>
          </w:p>
        </w:tc>
        <w:tc>
          <w:tcPr>
            <w:tcW w:w="7200" w:type="dxa"/>
            <w:shd w:val="clear" w:color="auto" w:fill="auto"/>
            <w:vAlign w:val="center"/>
          </w:tcPr>
          <w:p w14:paraId="5E5F6815">
            <w:pPr>
              <w:pStyle w:val="24"/>
              <w:spacing w:before="0" w:beforeAutospacing="0" w:after="150" w:afterAutospacing="0" w:line="360" w:lineRule="atLeast"/>
              <w:ind w:firstLine="210"/>
              <w:rPr>
                <w:rFonts w:ascii="宋体"/>
                <w:color w:val="auto"/>
                <w:sz w:val="24"/>
                <w:highlight w:val="none"/>
              </w:rPr>
            </w:pPr>
            <w:r>
              <w:rPr>
                <w:rFonts w:hint="eastAsia" w:ascii="宋体"/>
                <w:color w:val="auto"/>
                <w:sz w:val="24"/>
                <w:highlight w:val="none"/>
              </w:rPr>
              <w:t>投标保证金到账截止时间：</w:t>
            </w:r>
            <w:r>
              <w:rPr>
                <w:rFonts w:hint="eastAsia" w:ascii="宋体"/>
                <w:color w:val="auto"/>
                <w:sz w:val="24"/>
                <w:highlight w:val="none"/>
                <w:u w:val="single"/>
              </w:rPr>
              <w:t>202</w:t>
            </w:r>
            <w:r>
              <w:rPr>
                <w:rFonts w:hint="eastAsia" w:ascii="宋体"/>
                <w:color w:val="auto"/>
                <w:sz w:val="24"/>
                <w:highlight w:val="none"/>
                <w:u w:val="single"/>
                <w:lang w:val="en-US" w:eastAsia="zh-CN"/>
              </w:rPr>
              <w:t>6</w:t>
            </w:r>
            <w:r>
              <w:rPr>
                <w:rFonts w:hint="eastAsia" w:ascii="宋体"/>
                <w:color w:val="auto"/>
                <w:sz w:val="24"/>
                <w:highlight w:val="none"/>
              </w:rPr>
              <w:t>年</w:t>
            </w:r>
            <w:r>
              <w:rPr>
                <w:rFonts w:hint="eastAsia" w:ascii="宋体"/>
                <w:color w:val="auto"/>
                <w:sz w:val="24"/>
                <w:highlight w:val="none"/>
                <w:u w:val="single"/>
                <w:lang w:val="en-US" w:eastAsia="zh-CN"/>
              </w:rPr>
              <w:t>7</w:t>
            </w:r>
            <w:r>
              <w:rPr>
                <w:rFonts w:hint="eastAsia" w:ascii="宋体"/>
                <w:color w:val="auto"/>
                <w:sz w:val="24"/>
                <w:highlight w:val="none"/>
              </w:rPr>
              <w:t>月</w:t>
            </w:r>
            <w:r>
              <w:rPr>
                <w:rFonts w:hint="eastAsia" w:ascii="宋体"/>
                <w:color w:val="auto"/>
                <w:sz w:val="24"/>
                <w:highlight w:val="none"/>
                <w:u w:val="single"/>
                <w:lang w:val="en-US" w:eastAsia="zh-CN"/>
              </w:rPr>
              <w:t>16</w:t>
            </w:r>
            <w:r>
              <w:rPr>
                <w:rFonts w:hint="eastAsia" w:ascii="宋体"/>
                <w:color w:val="auto"/>
                <w:sz w:val="24"/>
                <w:highlight w:val="none"/>
              </w:rPr>
              <w:t>日</w:t>
            </w:r>
            <w:r>
              <w:rPr>
                <w:rFonts w:hint="eastAsia" w:ascii="宋体"/>
                <w:color w:val="auto"/>
                <w:sz w:val="24"/>
                <w:highlight w:val="none"/>
                <w:u w:val="single"/>
                <w:lang w:val="en-US" w:eastAsia="zh-CN"/>
              </w:rPr>
              <w:t>09</w:t>
            </w:r>
            <w:r>
              <w:rPr>
                <w:rFonts w:hint="eastAsia" w:ascii="宋体"/>
                <w:color w:val="auto"/>
                <w:sz w:val="24"/>
                <w:highlight w:val="none"/>
              </w:rPr>
              <w:t>时</w:t>
            </w:r>
            <w:r>
              <w:rPr>
                <w:rFonts w:hint="eastAsia" w:ascii="宋体"/>
                <w:color w:val="auto"/>
                <w:sz w:val="24"/>
                <w:highlight w:val="none"/>
                <w:u w:val="single"/>
                <w:lang w:val="en-US" w:eastAsia="zh-CN"/>
              </w:rPr>
              <w:t>30</w:t>
            </w:r>
            <w:r>
              <w:rPr>
                <w:rFonts w:hint="eastAsia" w:ascii="宋体"/>
                <w:color w:val="auto"/>
                <w:sz w:val="24"/>
                <w:highlight w:val="none"/>
              </w:rPr>
              <w:t>分；</w:t>
            </w:r>
          </w:p>
          <w:p w14:paraId="5C72189C">
            <w:pPr>
              <w:pStyle w:val="24"/>
              <w:spacing w:before="0" w:beforeAutospacing="0" w:after="150" w:afterAutospacing="0" w:line="360" w:lineRule="atLeast"/>
              <w:ind w:firstLine="210"/>
              <w:rPr>
                <w:rFonts w:ascii="宋体"/>
                <w:color w:val="auto"/>
                <w:sz w:val="24"/>
                <w:highlight w:val="none"/>
              </w:rPr>
            </w:pPr>
            <w:r>
              <w:rPr>
                <w:rFonts w:hint="eastAsia" w:ascii="宋体"/>
                <w:color w:val="auto"/>
                <w:sz w:val="24"/>
                <w:highlight w:val="none"/>
              </w:rPr>
              <w:t>投标保证担保办理截止时间：</w:t>
            </w:r>
            <w:r>
              <w:rPr>
                <w:rFonts w:hint="eastAsia" w:ascii="宋体"/>
                <w:color w:val="auto"/>
                <w:sz w:val="24"/>
                <w:highlight w:val="none"/>
                <w:u w:val="single"/>
              </w:rPr>
              <w:t>202</w:t>
            </w:r>
            <w:r>
              <w:rPr>
                <w:rFonts w:hint="eastAsia" w:ascii="宋体"/>
                <w:color w:val="auto"/>
                <w:sz w:val="24"/>
                <w:highlight w:val="none"/>
                <w:u w:val="single"/>
                <w:lang w:val="en-US" w:eastAsia="zh-CN"/>
              </w:rPr>
              <w:t>6</w:t>
            </w:r>
            <w:r>
              <w:rPr>
                <w:rFonts w:hint="eastAsia" w:ascii="宋体"/>
                <w:color w:val="auto"/>
                <w:sz w:val="24"/>
                <w:highlight w:val="none"/>
              </w:rPr>
              <w:t>年</w:t>
            </w:r>
            <w:r>
              <w:rPr>
                <w:rFonts w:hint="eastAsia" w:ascii="宋体"/>
                <w:color w:val="auto"/>
                <w:sz w:val="24"/>
                <w:highlight w:val="none"/>
                <w:u w:val="single"/>
                <w:lang w:val="en-US" w:eastAsia="zh-CN"/>
              </w:rPr>
              <w:t>7</w:t>
            </w:r>
            <w:r>
              <w:rPr>
                <w:rFonts w:hint="eastAsia" w:ascii="宋体"/>
                <w:color w:val="auto"/>
                <w:sz w:val="24"/>
                <w:highlight w:val="none"/>
              </w:rPr>
              <w:t>月</w:t>
            </w:r>
            <w:r>
              <w:rPr>
                <w:rFonts w:hint="eastAsia" w:ascii="宋体"/>
                <w:color w:val="auto"/>
                <w:sz w:val="24"/>
                <w:highlight w:val="none"/>
                <w:u w:val="single"/>
                <w:lang w:val="en-US" w:eastAsia="zh-CN"/>
              </w:rPr>
              <w:t>16</w:t>
            </w:r>
            <w:r>
              <w:rPr>
                <w:rFonts w:hint="eastAsia" w:ascii="宋体"/>
                <w:color w:val="auto"/>
                <w:sz w:val="24"/>
                <w:highlight w:val="none"/>
              </w:rPr>
              <w:t>日</w:t>
            </w:r>
            <w:r>
              <w:rPr>
                <w:rFonts w:hint="eastAsia" w:ascii="宋体"/>
                <w:color w:val="auto"/>
                <w:sz w:val="24"/>
                <w:highlight w:val="none"/>
                <w:u w:val="single"/>
                <w:lang w:val="en-US" w:eastAsia="zh-CN"/>
              </w:rPr>
              <w:t>09</w:t>
            </w:r>
            <w:r>
              <w:rPr>
                <w:rFonts w:hint="eastAsia" w:ascii="宋体"/>
                <w:color w:val="auto"/>
                <w:sz w:val="24"/>
                <w:highlight w:val="none"/>
              </w:rPr>
              <w:t>时</w:t>
            </w:r>
            <w:r>
              <w:rPr>
                <w:rFonts w:hint="eastAsia" w:ascii="宋体"/>
                <w:color w:val="auto"/>
                <w:sz w:val="24"/>
                <w:highlight w:val="none"/>
                <w:u w:val="single"/>
                <w:lang w:val="en-US" w:eastAsia="zh-CN"/>
              </w:rPr>
              <w:t>30</w:t>
            </w:r>
            <w:r>
              <w:rPr>
                <w:rFonts w:hint="eastAsia" w:ascii="宋体"/>
                <w:color w:val="auto"/>
                <w:sz w:val="24"/>
                <w:highlight w:val="none"/>
              </w:rPr>
              <w:t>分；</w:t>
            </w:r>
          </w:p>
          <w:p w14:paraId="0F393BD8">
            <w:pPr>
              <w:pStyle w:val="24"/>
              <w:spacing w:before="0" w:beforeAutospacing="0" w:after="150" w:afterAutospacing="0" w:line="360" w:lineRule="atLeast"/>
              <w:ind w:firstLine="210"/>
              <w:rPr>
                <w:rFonts w:ascii="宋体"/>
                <w:color w:val="auto"/>
                <w:sz w:val="24"/>
                <w:highlight w:val="none"/>
              </w:rPr>
            </w:pPr>
            <w:r>
              <w:rPr>
                <w:rFonts w:hint="eastAsia" w:ascii="宋体"/>
                <w:snapToGrid w:val="0"/>
                <w:color w:val="auto"/>
                <w:sz w:val="24"/>
                <w:highlight w:val="none"/>
              </w:rPr>
              <w:t>投标保证保险投保截止时间：</w:t>
            </w:r>
            <w:r>
              <w:rPr>
                <w:rFonts w:hint="eastAsia" w:ascii="宋体"/>
                <w:color w:val="auto"/>
                <w:sz w:val="24"/>
                <w:highlight w:val="none"/>
                <w:u w:val="single"/>
              </w:rPr>
              <w:t>202</w:t>
            </w:r>
            <w:r>
              <w:rPr>
                <w:rFonts w:hint="eastAsia" w:ascii="宋体"/>
                <w:color w:val="auto"/>
                <w:sz w:val="24"/>
                <w:highlight w:val="none"/>
                <w:u w:val="single"/>
                <w:lang w:val="en-US" w:eastAsia="zh-CN"/>
              </w:rPr>
              <w:t>6</w:t>
            </w:r>
            <w:r>
              <w:rPr>
                <w:rFonts w:hint="eastAsia" w:ascii="宋体"/>
                <w:color w:val="auto"/>
                <w:sz w:val="24"/>
                <w:highlight w:val="none"/>
              </w:rPr>
              <w:t>年</w:t>
            </w:r>
            <w:r>
              <w:rPr>
                <w:rFonts w:hint="eastAsia" w:ascii="宋体"/>
                <w:color w:val="auto"/>
                <w:sz w:val="24"/>
                <w:highlight w:val="none"/>
                <w:u w:val="single"/>
                <w:lang w:val="en-US" w:eastAsia="zh-CN"/>
              </w:rPr>
              <w:t>7</w:t>
            </w:r>
            <w:r>
              <w:rPr>
                <w:rFonts w:hint="eastAsia" w:ascii="宋体"/>
                <w:color w:val="auto"/>
                <w:sz w:val="24"/>
                <w:highlight w:val="none"/>
              </w:rPr>
              <w:t>月</w:t>
            </w:r>
            <w:r>
              <w:rPr>
                <w:rFonts w:hint="eastAsia" w:ascii="宋体"/>
                <w:color w:val="auto"/>
                <w:sz w:val="24"/>
                <w:highlight w:val="none"/>
                <w:u w:val="single"/>
                <w:lang w:val="en-US" w:eastAsia="zh-CN"/>
              </w:rPr>
              <w:t>16</w:t>
            </w:r>
            <w:r>
              <w:rPr>
                <w:rFonts w:hint="eastAsia" w:ascii="宋体"/>
                <w:color w:val="auto"/>
                <w:sz w:val="24"/>
                <w:highlight w:val="none"/>
              </w:rPr>
              <w:t>日</w:t>
            </w:r>
            <w:r>
              <w:rPr>
                <w:rFonts w:hint="eastAsia" w:ascii="宋体"/>
                <w:color w:val="auto"/>
                <w:sz w:val="24"/>
                <w:highlight w:val="none"/>
                <w:u w:val="single"/>
                <w:lang w:val="en-US" w:eastAsia="zh-CN"/>
              </w:rPr>
              <w:t>09</w:t>
            </w:r>
            <w:r>
              <w:rPr>
                <w:rFonts w:hint="eastAsia" w:ascii="宋体"/>
                <w:color w:val="auto"/>
                <w:sz w:val="24"/>
                <w:highlight w:val="none"/>
              </w:rPr>
              <w:t>时</w:t>
            </w:r>
            <w:r>
              <w:rPr>
                <w:rFonts w:hint="eastAsia" w:ascii="宋体"/>
                <w:color w:val="auto"/>
                <w:sz w:val="24"/>
                <w:highlight w:val="none"/>
                <w:u w:val="single"/>
                <w:lang w:val="en-US" w:eastAsia="zh-CN"/>
              </w:rPr>
              <w:t>30</w:t>
            </w:r>
            <w:r>
              <w:rPr>
                <w:rFonts w:hint="eastAsia" w:ascii="宋体"/>
                <w:color w:val="auto"/>
                <w:sz w:val="24"/>
                <w:highlight w:val="none"/>
              </w:rPr>
              <w:t>分</w:t>
            </w:r>
            <w:r>
              <w:rPr>
                <w:rFonts w:hint="eastAsia" w:ascii="宋体"/>
                <w:snapToGrid w:val="0"/>
                <w:color w:val="auto"/>
                <w:sz w:val="24"/>
                <w:highlight w:val="none"/>
              </w:rPr>
              <w:t>。</w:t>
            </w:r>
          </w:p>
        </w:tc>
      </w:tr>
      <w:tr w14:paraId="06CC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jc w:val="center"/>
        </w:trPr>
        <w:tc>
          <w:tcPr>
            <w:tcW w:w="411" w:type="dxa"/>
            <w:shd w:val="clear" w:color="auto" w:fill="auto"/>
            <w:vAlign w:val="center"/>
          </w:tcPr>
          <w:p w14:paraId="55140F1A">
            <w:pPr>
              <w:pStyle w:val="24"/>
              <w:spacing w:before="0" w:beforeAutospacing="0" w:after="150" w:afterAutospacing="0" w:line="360" w:lineRule="atLeast"/>
              <w:jc w:val="center"/>
              <w:rPr>
                <w:rFonts w:ascii="宋体"/>
                <w:color w:val="auto"/>
                <w:sz w:val="24"/>
                <w:highlight w:val="none"/>
              </w:rPr>
            </w:pPr>
            <w:r>
              <w:rPr>
                <w:rFonts w:hint="eastAsia" w:ascii="宋体"/>
                <w:color w:val="auto"/>
                <w:sz w:val="24"/>
                <w:highlight w:val="none"/>
              </w:rPr>
              <w:t>6</w:t>
            </w:r>
          </w:p>
        </w:tc>
        <w:tc>
          <w:tcPr>
            <w:tcW w:w="1795" w:type="dxa"/>
            <w:shd w:val="clear" w:color="auto" w:fill="auto"/>
            <w:vAlign w:val="center"/>
          </w:tcPr>
          <w:p w14:paraId="4D0E7D2E">
            <w:pPr>
              <w:pStyle w:val="24"/>
              <w:spacing w:before="0" w:beforeAutospacing="0" w:after="0" w:afterAutospacing="0" w:line="360" w:lineRule="atLeast"/>
              <w:jc w:val="center"/>
              <w:rPr>
                <w:rFonts w:ascii="宋体"/>
                <w:color w:val="auto"/>
                <w:sz w:val="24"/>
                <w:highlight w:val="none"/>
              </w:rPr>
            </w:pPr>
            <w:r>
              <w:rPr>
                <w:rFonts w:hint="eastAsia" w:ascii="宋体"/>
                <w:color w:val="auto"/>
                <w:sz w:val="24"/>
                <w:highlight w:val="none"/>
              </w:rPr>
              <w:t>电子投标</w:t>
            </w:r>
          </w:p>
          <w:p w14:paraId="5C745476">
            <w:pPr>
              <w:pStyle w:val="24"/>
              <w:spacing w:before="0" w:beforeAutospacing="0" w:after="0" w:afterAutospacing="0" w:line="360" w:lineRule="atLeast"/>
              <w:jc w:val="center"/>
              <w:rPr>
                <w:rFonts w:ascii="宋体"/>
                <w:color w:val="auto"/>
                <w:sz w:val="24"/>
                <w:highlight w:val="none"/>
              </w:rPr>
            </w:pPr>
            <w:r>
              <w:rPr>
                <w:rFonts w:hint="eastAsia" w:ascii="宋体"/>
                <w:color w:val="auto"/>
                <w:sz w:val="24"/>
                <w:highlight w:val="none"/>
              </w:rPr>
              <w:t>截止时间</w:t>
            </w:r>
          </w:p>
        </w:tc>
        <w:tc>
          <w:tcPr>
            <w:tcW w:w="7200" w:type="dxa"/>
            <w:shd w:val="clear" w:color="auto" w:fill="auto"/>
            <w:vAlign w:val="center"/>
          </w:tcPr>
          <w:p w14:paraId="49534986">
            <w:pPr>
              <w:pStyle w:val="24"/>
              <w:spacing w:before="0" w:beforeAutospacing="0" w:after="150" w:afterAutospacing="0" w:line="360" w:lineRule="atLeast"/>
              <w:rPr>
                <w:rFonts w:ascii="宋体"/>
                <w:color w:val="auto"/>
                <w:sz w:val="24"/>
                <w:highlight w:val="none"/>
              </w:rPr>
            </w:pPr>
            <w:r>
              <w:rPr>
                <w:rFonts w:hint="eastAsia" w:ascii="宋体"/>
                <w:color w:val="auto"/>
                <w:sz w:val="24"/>
                <w:highlight w:val="none"/>
              </w:rPr>
              <w:t> </w:t>
            </w:r>
            <w:r>
              <w:rPr>
                <w:rFonts w:hint="eastAsia" w:ascii="宋体"/>
                <w:color w:val="auto"/>
                <w:sz w:val="24"/>
                <w:highlight w:val="none"/>
                <w:u w:val="single"/>
              </w:rPr>
              <w:t>202</w:t>
            </w:r>
            <w:r>
              <w:rPr>
                <w:rFonts w:hint="eastAsia" w:ascii="宋体"/>
                <w:color w:val="auto"/>
                <w:sz w:val="24"/>
                <w:highlight w:val="none"/>
                <w:u w:val="single"/>
                <w:lang w:val="en-US" w:eastAsia="zh-CN"/>
              </w:rPr>
              <w:t>6</w:t>
            </w:r>
            <w:r>
              <w:rPr>
                <w:rFonts w:hint="eastAsia" w:ascii="宋体"/>
                <w:color w:val="auto"/>
                <w:sz w:val="24"/>
                <w:highlight w:val="none"/>
              </w:rPr>
              <w:t>年</w:t>
            </w:r>
            <w:r>
              <w:rPr>
                <w:rFonts w:hint="eastAsia" w:ascii="宋体"/>
                <w:color w:val="auto"/>
                <w:sz w:val="24"/>
                <w:highlight w:val="none"/>
                <w:u w:val="single"/>
                <w:lang w:val="en-US" w:eastAsia="zh-CN"/>
              </w:rPr>
              <w:t>7</w:t>
            </w:r>
            <w:r>
              <w:rPr>
                <w:rFonts w:hint="eastAsia" w:ascii="宋体"/>
                <w:color w:val="auto"/>
                <w:sz w:val="24"/>
                <w:highlight w:val="none"/>
              </w:rPr>
              <w:t>月</w:t>
            </w:r>
            <w:r>
              <w:rPr>
                <w:rFonts w:hint="eastAsia" w:ascii="宋体"/>
                <w:color w:val="auto"/>
                <w:sz w:val="24"/>
                <w:highlight w:val="none"/>
                <w:u w:val="single"/>
                <w:lang w:val="en-US" w:eastAsia="zh-CN"/>
              </w:rPr>
              <w:t>17</w:t>
            </w:r>
            <w:r>
              <w:rPr>
                <w:rFonts w:hint="eastAsia" w:ascii="宋体"/>
                <w:color w:val="auto"/>
                <w:sz w:val="24"/>
                <w:highlight w:val="none"/>
              </w:rPr>
              <w:t>日</w:t>
            </w:r>
            <w:r>
              <w:rPr>
                <w:rFonts w:hint="eastAsia" w:ascii="宋体"/>
                <w:color w:val="auto"/>
                <w:sz w:val="24"/>
                <w:highlight w:val="none"/>
                <w:u w:val="single"/>
                <w:lang w:val="en-US" w:eastAsia="zh-CN"/>
              </w:rPr>
              <w:t>09</w:t>
            </w:r>
            <w:r>
              <w:rPr>
                <w:rFonts w:hint="eastAsia" w:ascii="宋体"/>
                <w:color w:val="auto"/>
                <w:sz w:val="24"/>
                <w:highlight w:val="none"/>
              </w:rPr>
              <w:t>时</w:t>
            </w:r>
            <w:r>
              <w:rPr>
                <w:rFonts w:hint="eastAsia" w:ascii="宋体"/>
                <w:color w:val="auto"/>
                <w:sz w:val="24"/>
                <w:highlight w:val="none"/>
                <w:u w:val="single"/>
                <w:lang w:val="en-US" w:eastAsia="zh-CN"/>
              </w:rPr>
              <w:t>30</w:t>
            </w:r>
            <w:r>
              <w:rPr>
                <w:rFonts w:hint="eastAsia" w:ascii="宋体"/>
                <w:color w:val="auto"/>
                <w:sz w:val="24"/>
                <w:highlight w:val="none"/>
              </w:rPr>
              <w:t>分</w:t>
            </w:r>
          </w:p>
        </w:tc>
      </w:tr>
      <w:tr w14:paraId="2D9E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77" w:hRule="atLeast"/>
          <w:jc w:val="center"/>
        </w:trPr>
        <w:tc>
          <w:tcPr>
            <w:tcW w:w="411" w:type="dxa"/>
            <w:shd w:val="clear" w:color="auto" w:fill="auto"/>
            <w:vAlign w:val="center"/>
          </w:tcPr>
          <w:p w14:paraId="531BC358">
            <w:pPr>
              <w:pStyle w:val="37"/>
              <w:wordWrap w:val="0"/>
              <w:adjustRightInd w:val="0"/>
              <w:snapToGrid w:val="0"/>
              <w:spacing w:line="3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7</w:t>
            </w:r>
          </w:p>
        </w:tc>
        <w:tc>
          <w:tcPr>
            <w:tcW w:w="1795" w:type="dxa"/>
            <w:shd w:val="clear" w:color="auto" w:fill="auto"/>
            <w:vAlign w:val="center"/>
          </w:tcPr>
          <w:p w14:paraId="5D9CB663">
            <w:pPr>
              <w:pStyle w:val="37"/>
              <w:wordWrap w:val="0"/>
              <w:adjustRightInd w:val="0"/>
              <w:snapToGrid w:val="0"/>
              <w:spacing w:line="3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投标评审原件（如有）</w:t>
            </w:r>
          </w:p>
          <w:p w14:paraId="15E11C51">
            <w:pPr>
              <w:pStyle w:val="37"/>
              <w:wordWrap w:val="0"/>
              <w:adjustRightInd w:val="0"/>
              <w:snapToGrid w:val="0"/>
              <w:spacing w:line="360" w:lineRule="exact"/>
              <w:jc w:val="center"/>
              <w:rPr>
                <w:rFonts w:hint="eastAsia" w:ascii="宋体"/>
                <w:color w:val="auto"/>
                <w:sz w:val="24"/>
                <w:highlight w:val="none"/>
              </w:rPr>
            </w:pPr>
            <w:r>
              <w:rPr>
                <w:rFonts w:hint="eastAsia" w:ascii="宋体" w:hAnsi="宋体" w:cs="宋体"/>
                <w:color w:val="auto"/>
                <w:kern w:val="0"/>
                <w:sz w:val="24"/>
                <w:highlight w:val="none"/>
              </w:rPr>
              <w:t>递交时间</w:t>
            </w:r>
          </w:p>
        </w:tc>
        <w:tc>
          <w:tcPr>
            <w:tcW w:w="7200" w:type="dxa"/>
            <w:shd w:val="clear" w:color="auto" w:fill="auto"/>
            <w:vAlign w:val="center"/>
          </w:tcPr>
          <w:p w14:paraId="2ABD6943">
            <w:pPr>
              <w:pStyle w:val="24"/>
              <w:spacing w:before="0" w:beforeAutospacing="0" w:after="150" w:afterAutospacing="0" w:line="360" w:lineRule="atLeast"/>
              <w:rPr>
                <w:rFonts w:ascii="宋体" w:hAnsi="宋体" w:cs="宋体"/>
                <w:color w:val="auto"/>
                <w:kern w:val="0"/>
                <w:sz w:val="24"/>
                <w:highlight w:val="none"/>
              </w:rPr>
            </w:pPr>
            <w:r>
              <w:rPr>
                <w:rFonts w:hint="eastAsia" w:ascii="宋体"/>
                <w:color w:val="auto"/>
                <w:sz w:val="24"/>
                <w:highlight w:val="none"/>
              </w:rPr>
              <w:t> </w:t>
            </w:r>
            <w:r>
              <w:rPr>
                <w:rFonts w:hint="eastAsia" w:ascii="宋体"/>
                <w:color w:val="auto"/>
                <w:sz w:val="24"/>
                <w:highlight w:val="none"/>
                <w:u w:val="single"/>
              </w:rPr>
              <w:t>202</w:t>
            </w:r>
            <w:r>
              <w:rPr>
                <w:rFonts w:hint="eastAsia" w:ascii="宋体"/>
                <w:color w:val="auto"/>
                <w:sz w:val="24"/>
                <w:highlight w:val="none"/>
                <w:u w:val="single"/>
                <w:lang w:val="en-US" w:eastAsia="zh-CN"/>
              </w:rPr>
              <w:t>6</w:t>
            </w:r>
            <w:r>
              <w:rPr>
                <w:rFonts w:hint="eastAsia" w:ascii="宋体"/>
                <w:color w:val="auto"/>
                <w:sz w:val="24"/>
                <w:highlight w:val="none"/>
              </w:rPr>
              <w:t>年</w:t>
            </w:r>
            <w:r>
              <w:rPr>
                <w:rFonts w:hint="eastAsia" w:ascii="宋体"/>
                <w:color w:val="auto"/>
                <w:sz w:val="24"/>
                <w:highlight w:val="none"/>
                <w:u w:val="single"/>
                <w:lang w:val="en-US" w:eastAsia="zh-CN"/>
              </w:rPr>
              <w:t>7</w:t>
            </w:r>
            <w:r>
              <w:rPr>
                <w:rFonts w:hint="eastAsia" w:ascii="宋体"/>
                <w:color w:val="auto"/>
                <w:sz w:val="24"/>
                <w:highlight w:val="none"/>
              </w:rPr>
              <w:t>月</w:t>
            </w:r>
            <w:r>
              <w:rPr>
                <w:rFonts w:hint="eastAsia" w:ascii="宋体"/>
                <w:color w:val="auto"/>
                <w:sz w:val="24"/>
                <w:highlight w:val="none"/>
                <w:u w:val="single"/>
                <w:lang w:val="en-US" w:eastAsia="zh-CN"/>
              </w:rPr>
              <w:t>17</w:t>
            </w:r>
            <w:r>
              <w:rPr>
                <w:rFonts w:hint="eastAsia" w:ascii="宋体"/>
                <w:color w:val="auto"/>
                <w:sz w:val="24"/>
                <w:highlight w:val="none"/>
              </w:rPr>
              <w:t>日</w:t>
            </w:r>
            <w:r>
              <w:rPr>
                <w:rFonts w:hint="eastAsia" w:ascii="宋体"/>
                <w:color w:val="auto"/>
                <w:sz w:val="24"/>
                <w:highlight w:val="none"/>
                <w:u w:val="single"/>
                <w:lang w:val="en-US" w:eastAsia="zh-CN"/>
              </w:rPr>
              <w:t>09</w:t>
            </w:r>
            <w:r>
              <w:rPr>
                <w:rFonts w:hint="eastAsia" w:ascii="宋体"/>
                <w:color w:val="auto"/>
                <w:sz w:val="24"/>
                <w:highlight w:val="none"/>
              </w:rPr>
              <w:t>时</w:t>
            </w:r>
            <w:r>
              <w:rPr>
                <w:rFonts w:hint="eastAsia" w:ascii="宋体"/>
                <w:color w:val="auto"/>
                <w:sz w:val="24"/>
                <w:highlight w:val="none"/>
                <w:u w:val="single"/>
                <w:lang w:val="en-US" w:eastAsia="zh-CN"/>
              </w:rPr>
              <w:t>00</w:t>
            </w:r>
            <w:r>
              <w:rPr>
                <w:rFonts w:hint="eastAsia" w:ascii="宋体"/>
                <w:color w:val="auto"/>
                <w:sz w:val="24"/>
                <w:highlight w:val="none"/>
              </w:rPr>
              <w:t>分</w:t>
            </w:r>
            <w:r>
              <w:rPr>
                <w:rFonts w:hint="eastAsia" w:ascii="宋体" w:hAnsi="宋体" w:cs="宋体"/>
                <w:color w:val="auto"/>
                <w:sz w:val="24"/>
                <w:highlight w:val="none"/>
              </w:rPr>
              <w:t>至</w:t>
            </w:r>
            <w:r>
              <w:rPr>
                <w:rFonts w:hint="eastAsia" w:ascii="宋体"/>
                <w:color w:val="auto"/>
                <w:sz w:val="24"/>
                <w:highlight w:val="none"/>
                <w:u w:val="single"/>
              </w:rPr>
              <w:t>20</w:t>
            </w:r>
            <w:r>
              <w:rPr>
                <w:rFonts w:hint="eastAsia" w:ascii="宋体"/>
                <w:color w:val="auto"/>
                <w:sz w:val="24"/>
                <w:highlight w:val="none"/>
                <w:u w:val="single"/>
                <w:lang w:val="en-US" w:eastAsia="zh-CN"/>
              </w:rPr>
              <w:t>26</w:t>
            </w:r>
            <w:r>
              <w:rPr>
                <w:rFonts w:hint="eastAsia" w:ascii="宋体"/>
                <w:color w:val="auto"/>
                <w:sz w:val="24"/>
                <w:highlight w:val="none"/>
              </w:rPr>
              <w:t>年</w:t>
            </w:r>
            <w:r>
              <w:rPr>
                <w:rFonts w:hint="eastAsia" w:ascii="宋体"/>
                <w:color w:val="auto"/>
                <w:sz w:val="24"/>
                <w:highlight w:val="none"/>
                <w:u w:val="single"/>
                <w:lang w:val="en-US" w:eastAsia="zh-CN"/>
              </w:rPr>
              <w:t>7</w:t>
            </w:r>
            <w:r>
              <w:rPr>
                <w:rFonts w:hint="eastAsia" w:ascii="宋体"/>
                <w:color w:val="auto"/>
                <w:sz w:val="24"/>
                <w:highlight w:val="none"/>
              </w:rPr>
              <w:t>月</w:t>
            </w:r>
            <w:r>
              <w:rPr>
                <w:rFonts w:hint="eastAsia" w:ascii="宋体"/>
                <w:color w:val="auto"/>
                <w:sz w:val="24"/>
                <w:highlight w:val="none"/>
                <w:u w:val="single"/>
                <w:lang w:val="en-US" w:eastAsia="zh-CN"/>
              </w:rPr>
              <w:t>17</w:t>
            </w:r>
            <w:r>
              <w:rPr>
                <w:rFonts w:hint="eastAsia" w:ascii="宋体"/>
                <w:color w:val="auto"/>
                <w:sz w:val="24"/>
                <w:highlight w:val="none"/>
              </w:rPr>
              <w:t>日</w:t>
            </w:r>
            <w:r>
              <w:rPr>
                <w:rFonts w:hint="eastAsia" w:ascii="宋体"/>
                <w:color w:val="auto"/>
                <w:sz w:val="24"/>
                <w:highlight w:val="none"/>
                <w:u w:val="single"/>
                <w:lang w:val="en-US" w:eastAsia="zh-CN"/>
              </w:rPr>
              <w:t>09</w:t>
            </w:r>
            <w:r>
              <w:rPr>
                <w:rFonts w:hint="eastAsia" w:ascii="宋体"/>
                <w:color w:val="auto"/>
                <w:sz w:val="24"/>
                <w:highlight w:val="none"/>
              </w:rPr>
              <w:t>时</w:t>
            </w:r>
            <w:r>
              <w:rPr>
                <w:rFonts w:hint="eastAsia" w:ascii="宋体"/>
                <w:color w:val="auto"/>
                <w:sz w:val="24"/>
                <w:highlight w:val="none"/>
                <w:u w:val="single"/>
                <w:lang w:val="en-US" w:eastAsia="zh-CN"/>
              </w:rPr>
              <w:t>30</w:t>
            </w:r>
            <w:r>
              <w:rPr>
                <w:rFonts w:hint="eastAsia" w:ascii="宋体"/>
                <w:color w:val="auto"/>
                <w:sz w:val="24"/>
                <w:highlight w:val="none"/>
              </w:rPr>
              <w:t>分</w:t>
            </w:r>
          </w:p>
        </w:tc>
      </w:tr>
      <w:tr w14:paraId="71640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77" w:hRule="atLeast"/>
          <w:jc w:val="center"/>
        </w:trPr>
        <w:tc>
          <w:tcPr>
            <w:tcW w:w="411" w:type="dxa"/>
            <w:shd w:val="clear" w:color="auto" w:fill="auto"/>
            <w:vAlign w:val="center"/>
          </w:tcPr>
          <w:p w14:paraId="4DD0647F">
            <w:pPr>
              <w:pStyle w:val="37"/>
              <w:wordWrap w:val="0"/>
              <w:adjustRightInd w:val="0"/>
              <w:snapToGrid w:val="0"/>
              <w:spacing w:line="3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8</w:t>
            </w:r>
          </w:p>
        </w:tc>
        <w:tc>
          <w:tcPr>
            <w:tcW w:w="1795" w:type="dxa"/>
            <w:shd w:val="clear" w:color="auto" w:fill="auto"/>
            <w:vAlign w:val="center"/>
          </w:tcPr>
          <w:p w14:paraId="0857FA51">
            <w:pPr>
              <w:pStyle w:val="37"/>
              <w:wordWrap w:val="0"/>
              <w:adjustRightInd w:val="0"/>
              <w:snapToGrid w:val="0"/>
              <w:spacing w:line="3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投标评审原件（如有）</w:t>
            </w:r>
          </w:p>
          <w:p w14:paraId="37EDBABE">
            <w:pPr>
              <w:pStyle w:val="37"/>
              <w:wordWrap w:val="0"/>
              <w:adjustRightInd w:val="0"/>
              <w:snapToGrid w:val="0"/>
              <w:spacing w:line="3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递交地点</w:t>
            </w:r>
          </w:p>
        </w:tc>
        <w:tc>
          <w:tcPr>
            <w:tcW w:w="7200" w:type="dxa"/>
            <w:shd w:val="clear" w:color="auto" w:fill="auto"/>
            <w:vAlign w:val="center"/>
          </w:tcPr>
          <w:p w14:paraId="65E53279">
            <w:pPr>
              <w:pStyle w:val="37"/>
              <w:wordWrap w:val="0"/>
              <w:adjustRightInd w:val="0"/>
              <w:snapToGrid w:val="0"/>
              <w:spacing w:line="400" w:lineRule="exact"/>
              <w:ind w:firstLine="240" w:firstLineChars="100"/>
              <w:jc w:val="left"/>
              <w:rPr>
                <w:rFonts w:ascii="宋体" w:hAnsi="宋体" w:cs="宋体"/>
                <w:color w:val="auto"/>
                <w:kern w:val="0"/>
                <w:sz w:val="24"/>
                <w:highlight w:val="none"/>
              </w:rPr>
            </w:pPr>
            <w:r>
              <w:rPr>
                <w:rFonts w:hint="eastAsia" w:ascii="宋体" w:hAnsi="宋体" w:cs="宋体"/>
                <w:color w:val="auto"/>
                <w:kern w:val="0"/>
                <w:sz w:val="24"/>
                <w:highlight w:val="none"/>
              </w:rPr>
              <w:t>递交场所：</w:t>
            </w:r>
            <w:r>
              <w:rPr>
                <w:rFonts w:hint="eastAsia" w:ascii="宋体" w:hAnsi="宋体" w:cs="宋体"/>
                <w:color w:val="auto"/>
                <w:sz w:val="24"/>
                <w:highlight w:val="none"/>
                <w:u w:val="single"/>
              </w:rPr>
              <w:t>韶关市公共资源交易中心</w:t>
            </w:r>
            <w:r>
              <w:rPr>
                <w:rFonts w:hint="eastAsia" w:ascii="宋体" w:hAnsi="宋体" w:cs="宋体"/>
                <w:color w:val="auto"/>
                <w:sz w:val="24"/>
                <w:highlight w:val="none"/>
              </w:rPr>
              <w:t>，地址：</w:t>
            </w:r>
            <w:r>
              <w:rPr>
                <w:rFonts w:hint="eastAsia" w:ascii="宋体" w:hAnsi="宋体" w:cs="宋体"/>
                <w:color w:val="auto"/>
                <w:sz w:val="24"/>
                <w:highlight w:val="none"/>
                <w:u w:val="single"/>
              </w:rPr>
              <w:t>广东省韶关市武江区西联镇</w:t>
            </w:r>
            <w:r>
              <w:rPr>
                <w:rFonts w:hint="eastAsia" w:ascii="宋体" w:hAnsi="宋体" w:cs="宋体"/>
                <w:color w:val="auto"/>
                <w:sz w:val="24"/>
                <w:highlight w:val="none"/>
              </w:rPr>
              <w:t>，具体房间号以当日现场通知为准。</w:t>
            </w:r>
          </w:p>
        </w:tc>
      </w:tr>
      <w:tr w14:paraId="2321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411" w:type="dxa"/>
            <w:shd w:val="clear" w:color="auto" w:fill="auto"/>
            <w:vAlign w:val="center"/>
          </w:tcPr>
          <w:p w14:paraId="1A35095F">
            <w:pPr>
              <w:pStyle w:val="24"/>
              <w:spacing w:before="0" w:beforeAutospacing="0" w:after="150" w:afterAutospacing="0" w:line="360" w:lineRule="atLeast"/>
              <w:jc w:val="center"/>
              <w:rPr>
                <w:rFonts w:ascii="宋体"/>
                <w:color w:val="auto"/>
                <w:sz w:val="24"/>
                <w:highlight w:val="none"/>
              </w:rPr>
            </w:pPr>
            <w:r>
              <w:rPr>
                <w:rFonts w:hint="eastAsia" w:ascii="宋体"/>
                <w:color w:val="auto"/>
                <w:sz w:val="24"/>
                <w:highlight w:val="none"/>
              </w:rPr>
              <w:t>9</w:t>
            </w:r>
          </w:p>
        </w:tc>
        <w:tc>
          <w:tcPr>
            <w:tcW w:w="1795" w:type="dxa"/>
            <w:shd w:val="clear" w:color="auto" w:fill="auto"/>
            <w:vAlign w:val="center"/>
          </w:tcPr>
          <w:p w14:paraId="32FA2B30">
            <w:pPr>
              <w:pStyle w:val="24"/>
              <w:spacing w:before="0" w:beforeAutospacing="0" w:after="0" w:afterAutospacing="0" w:line="360" w:lineRule="atLeast"/>
              <w:jc w:val="center"/>
              <w:rPr>
                <w:rFonts w:ascii="宋体"/>
                <w:color w:val="auto"/>
                <w:sz w:val="24"/>
                <w:highlight w:val="none"/>
              </w:rPr>
            </w:pPr>
            <w:r>
              <w:rPr>
                <w:rFonts w:hint="eastAsia" w:ascii="宋体"/>
                <w:color w:val="auto"/>
                <w:sz w:val="24"/>
                <w:highlight w:val="none"/>
              </w:rPr>
              <w:t>开标时间</w:t>
            </w:r>
          </w:p>
        </w:tc>
        <w:tc>
          <w:tcPr>
            <w:tcW w:w="7200" w:type="dxa"/>
            <w:shd w:val="clear" w:color="auto" w:fill="auto"/>
            <w:vAlign w:val="center"/>
          </w:tcPr>
          <w:p w14:paraId="6AFE26F4">
            <w:pPr>
              <w:pStyle w:val="24"/>
              <w:spacing w:before="0" w:beforeAutospacing="0" w:after="150" w:afterAutospacing="0" w:line="360" w:lineRule="atLeast"/>
              <w:rPr>
                <w:rFonts w:ascii="宋体"/>
                <w:color w:val="auto"/>
                <w:sz w:val="24"/>
                <w:highlight w:val="none"/>
              </w:rPr>
            </w:pPr>
            <w:r>
              <w:rPr>
                <w:rFonts w:hint="eastAsia" w:ascii="宋体"/>
                <w:color w:val="auto"/>
                <w:sz w:val="24"/>
                <w:highlight w:val="none"/>
              </w:rPr>
              <w:t> </w:t>
            </w:r>
            <w:r>
              <w:rPr>
                <w:rFonts w:hint="eastAsia" w:ascii="宋体"/>
                <w:color w:val="auto"/>
                <w:sz w:val="24"/>
                <w:highlight w:val="none"/>
                <w:u w:val="single"/>
              </w:rPr>
              <w:t>202</w:t>
            </w:r>
            <w:r>
              <w:rPr>
                <w:rFonts w:hint="eastAsia" w:ascii="宋体"/>
                <w:color w:val="auto"/>
                <w:sz w:val="24"/>
                <w:highlight w:val="none"/>
                <w:u w:val="single"/>
                <w:lang w:val="en-US" w:eastAsia="zh-CN"/>
              </w:rPr>
              <w:t>6</w:t>
            </w:r>
            <w:r>
              <w:rPr>
                <w:rFonts w:hint="eastAsia" w:ascii="宋体"/>
                <w:color w:val="auto"/>
                <w:sz w:val="24"/>
                <w:highlight w:val="none"/>
              </w:rPr>
              <w:t>年</w:t>
            </w:r>
            <w:r>
              <w:rPr>
                <w:rFonts w:hint="eastAsia" w:ascii="宋体"/>
                <w:color w:val="auto"/>
                <w:sz w:val="24"/>
                <w:highlight w:val="none"/>
                <w:u w:val="single"/>
                <w:lang w:val="en-US" w:eastAsia="zh-CN"/>
              </w:rPr>
              <w:t>7</w:t>
            </w:r>
            <w:r>
              <w:rPr>
                <w:rFonts w:hint="eastAsia" w:ascii="宋体"/>
                <w:color w:val="auto"/>
                <w:sz w:val="24"/>
                <w:highlight w:val="none"/>
              </w:rPr>
              <w:t>月</w:t>
            </w:r>
            <w:r>
              <w:rPr>
                <w:rFonts w:hint="eastAsia" w:ascii="宋体"/>
                <w:color w:val="auto"/>
                <w:sz w:val="24"/>
                <w:highlight w:val="none"/>
                <w:u w:val="single"/>
                <w:lang w:val="en-US" w:eastAsia="zh-CN"/>
              </w:rPr>
              <w:t>17</w:t>
            </w:r>
            <w:r>
              <w:rPr>
                <w:rFonts w:hint="eastAsia" w:ascii="宋体"/>
                <w:color w:val="auto"/>
                <w:sz w:val="24"/>
                <w:highlight w:val="none"/>
              </w:rPr>
              <w:t>日</w:t>
            </w:r>
            <w:r>
              <w:rPr>
                <w:rFonts w:hint="eastAsia" w:ascii="宋体"/>
                <w:color w:val="auto"/>
                <w:sz w:val="24"/>
                <w:highlight w:val="none"/>
                <w:u w:val="single"/>
                <w:lang w:val="en-US" w:eastAsia="zh-CN"/>
              </w:rPr>
              <w:t>09</w:t>
            </w:r>
            <w:r>
              <w:rPr>
                <w:rFonts w:hint="eastAsia" w:ascii="宋体"/>
                <w:color w:val="auto"/>
                <w:sz w:val="24"/>
                <w:highlight w:val="none"/>
              </w:rPr>
              <w:t>时</w:t>
            </w:r>
            <w:r>
              <w:rPr>
                <w:rFonts w:hint="eastAsia" w:ascii="宋体"/>
                <w:color w:val="auto"/>
                <w:sz w:val="24"/>
                <w:highlight w:val="none"/>
                <w:u w:val="single"/>
                <w:lang w:val="en-US" w:eastAsia="zh-CN"/>
              </w:rPr>
              <w:t>30</w:t>
            </w:r>
            <w:r>
              <w:rPr>
                <w:rFonts w:hint="eastAsia" w:ascii="宋体"/>
                <w:color w:val="auto"/>
                <w:sz w:val="24"/>
                <w:highlight w:val="none"/>
              </w:rPr>
              <w:t>分</w:t>
            </w:r>
          </w:p>
        </w:tc>
      </w:tr>
      <w:tr w14:paraId="77F1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5" w:hRule="atLeast"/>
          <w:jc w:val="center"/>
        </w:trPr>
        <w:tc>
          <w:tcPr>
            <w:tcW w:w="411" w:type="dxa"/>
            <w:shd w:val="clear" w:color="auto" w:fill="auto"/>
            <w:vAlign w:val="center"/>
          </w:tcPr>
          <w:p w14:paraId="7B51FDC7">
            <w:pPr>
              <w:pStyle w:val="24"/>
              <w:spacing w:before="0" w:beforeAutospacing="0" w:after="150" w:afterAutospacing="0" w:line="360" w:lineRule="atLeast"/>
              <w:jc w:val="center"/>
              <w:rPr>
                <w:rFonts w:ascii="宋体"/>
                <w:color w:val="auto"/>
                <w:sz w:val="24"/>
                <w:highlight w:val="none"/>
              </w:rPr>
            </w:pPr>
            <w:r>
              <w:rPr>
                <w:rFonts w:hint="eastAsia" w:ascii="宋体"/>
                <w:color w:val="auto"/>
                <w:sz w:val="24"/>
                <w:highlight w:val="none"/>
              </w:rPr>
              <w:t>10</w:t>
            </w:r>
          </w:p>
        </w:tc>
        <w:tc>
          <w:tcPr>
            <w:tcW w:w="1795" w:type="dxa"/>
            <w:shd w:val="clear" w:color="auto" w:fill="auto"/>
            <w:vAlign w:val="center"/>
          </w:tcPr>
          <w:p w14:paraId="32DB92C1">
            <w:pPr>
              <w:pStyle w:val="24"/>
              <w:spacing w:before="0" w:beforeAutospacing="0" w:after="0" w:afterAutospacing="0" w:line="360" w:lineRule="atLeast"/>
              <w:jc w:val="center"/>
              <w:rPr>
                <w:rFonts w:ascii="宋体"/>
                <w:color w:val="auto"/>
                <w:sz w:val="24"/>
                <w:highlight w:val="none"/>
              </w:rPr>
            </w:pPr>
            <w:r>
              <w:rPr>
                <w:rFonts w:hint="eastAsia" w:ascii="宋体"/>
                <w:color w:val="auto"/>
                <w:sz w:val="24"/>
                <w:highlight w:val="none"/>
              </w:rPr>
              <w:t>开标地点</w:t>
            </w:r>
          </w:p>
        </w:tc>
        <w:tc>
          <w:tcPr>
            <w:tcW w:w="7200" w:type="dxa"/>
            <w:shd w:val="clear" w:color="auto" w:fill="auto"/>
            <w:vAlign w:val="center"/>
          </w:tcPr>
          <w:p w14:paraId="68E4B320">
            <w:pPr>
              <w:pStyle w:val="24"/>
              <w:spacing w:before="0" w:beforeAutospacing="0" w:after="150" w:afterAutospacing="0" w:line="360" w:lineRule="atLeast"/>
              <w:ind w:firstLine="210"/>
              <w:rPr>
                <w:rFonts w:ascii="宋体"/>
                <w:color w:val="auto"/>
                <w:sz w:val="24"/>
                <w:highlight w:val="none"/>
              </w:rPr>
            </w:pPr>
            <w:r>
              <w:rPr>
                <w:rFonts w:hint="eastAsia" w:ascii="宋体"/>
                <w:color w:val="auto"/>
                <w:kern w:val="2"/>
                <w:sz w:val="24"/>
                <w:highlight w:val="none"/>
              </w:rPr>
              <w:t>开标场所：</w:t>
            </w:r>
            <w:r>
              <w:rPr>
                <w:rFonts w:hint="eastAsia" w:ascii="宋体"/>
                <w:color w:val="auto"/>
                <w:kern w:val="2"/>
                <w:sz w:val="24"/>
                <w:highlight w:val="none"/>
                <w:u w:val="single"/>
              </w:rPr>
              <w:t>韶关市公共资源交易中心</w:t>
            </w:r>
            <w:r>
              <w:rPr>
                <w:rFonts w:hint="eastAsia" w:ascii="宋体"/>
                <w:color w:val="auto"/>
                <w:kern w:val="2"/>
                <w:sz w:val="24"/>
                <w:highlight w:val="none"/>
              </w:rPr>
              <w:t>，地址：</w:t>
            </w:r>
            <w:r>
              <w:rPr>
                <w:rFonts w:hint="eastAsia" w:ascii="宋体" w:hAnsi="宋体" w:cs="宋体"/>
                <w:color w:val="auto"/>
                <w:sz w:val="24"/>
                <w:highlight w:val="none"/>
                <w:u w:val="single"/>
              </w:rPr>
              <w:t>广东省韶关市武江区西联镇</w:t>
            </w:r>
            <w:r>
              <w:rPr>
                <w:rFonts w:hint="eastAsia" w:ascii="宋体"/>
                <w:color w:val="auto"/>
                <w:kern w:val="2"/>
                <w:sz w:val="24"/>
                <w:highlight w:val="none"/>
              </w:rPr>
              <w:t>，具体房间号以当日现场通知为准。</w:t>
            </w:r>
          </w:p>
        </w:tc>
      </w:tr>
      <w:tr w14:paraId="4E47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50" w:hRule="atLeast"/>
          <w:jc w:val="center"/>
        </w:trPr>
        <w:tc>
          <w:tcPr>
            <w:tcW w:w="411" w:type="dxa"/>
            <w:shd w:val="clear" w:color="auto" w:fill="auto"/>
            <w:vAlign w:val="center"/>
          </w:tcPr>
          <w:p w14:paraId="1067B8AD">
            <w:pPr>
              <w:pStyle w:val="24"/>
              <w:spacing w:before="0" w:beforeAutospacing="0" w:after="150" w:afterAutospacing="0" w:line="360" w:lineRule="atLeast"/>
              <w:jc w:val="center"/>
              <w:rPr>
                <w:rFonts w:ascii="宋体"/>
                <w:color w:val="auto"/>
                <w:sz w:val="24"/>
                <w:highlight w:val="none"/>
              </w:rPr>
            </w:pPr>
            <w:r>
              <w:rPr>
                <w:rFonts w:hint="eastAsia" w:ascii="宋体"/>
                <w:color w:val="auto"/>
                <w:sz w:val="24"/>
                <w:highlight w:val="none"/>
              </w:rPr>
              <w:t>11</w:t>
            </w:r>
          </w:p>
        </w:tc>
        <w:tc>
          <w:tcPr>
            <w:tcW w:w="1795" w:type="dxa"/>
            <w:shd w:val="clear" w:color="auto" w:fill="auto"/>
            <w:vAlign w:val="center"/>
          </w:tcPr>
          <w:p w14:paraId="4C9DAC0E">
            <w:pPr>
              <w:pStyle w:val="37"/>
              <w:wordWrap w:val="0"/>
              <w:adjustRightInd w:val="0"/>
              <w:snapToGrid w:val="0"/>
              <w:spacing w:line="3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其他</w:t>
            </w:r>
          </w:p>
        </w:tc>
        <w:tc>
          <w:tcPr>
            <w:tcW w:w="7200" w:type="dxa"/>
            <w:shd w:val="clear" w:color="auto" w:fill="auto"/>
            <w:vAlign w:val="center"/>
          </w:tcPr>
          <w:p w14:paraId="2D31741C">
            <w:pPr>
              <w:pStyle w:val="37"/>
              <w:wordWrap w:val="0"/>
              <w:adjustRightInd w:val="0"/>
              <w:snapToGrid w:val="0"/>
              <w:spacing w:line="400" w:lineRule="exact"/>
              <w:ind w:firstLine="240" w:firstLineChars="100"/>
              <w:jc w:val="left"/>
              <w:rPr>
                <w:rFonts w:ascii="宋体" w:hAnsi="宋体" w:cs="宋体"/>
                <w:color w:val="auto"/>
                <w:kern w:val="0"/>
                <w:sz w:val="24"/>
                <w:highlight w:val="none"/>
              </w:rPr>
            </w:pPr>
            <w:r>
              <w:rPr>
                <w:rFonts w:hint="eastAsia" w:ascii="宋体" w:hAnsi="宋体" w:cs="宋体"/>
                <w:color w:val="auto"/>
                <w:kern w:val="0"/>
                <w:sz w:val="24"/>
                <w:highlight w:val="none"/>
              </w:rPr>
              <w:t>投标人应按有关计划时间安排办理企业CA认证、企业入库等，投标人自行下载招标文件、资料文件及招标答疑书等。若由于投标人自身原因未能及时取得上述资料的，由此发生的任何责任由投标人自负。</w:t>
            </w:r>
          </w:p>
        </w:tc>
      </w:tr>
    </w:tbl>
    <w:p w14:paraId="6D46E588">
      <w:pPr>
        <w:pStyle w:val="36"/>
        <w:rPr>
          <w:rFonts w:hAnsi="宋体" w:cs="宋体"/>
          <w:color w:val="auto"/>
          <w:szCs w:val="24"/>
          <w:highlight w:val="none"/>
        </w:rPr>
      </w:pPr>
    </w:p>
    <w:p w14:paraId="38F0A218">
      <w:pPr>
        <w:pStyle w:val="40"/>
        <w:keepNext/>
        <w:keepLines/>
        <w:tabs>
          <w:tab w:val="left" w:pos="885"/>
        </w:tabs>
        <w:jc w:val="center"/>
        <w:outlineLvl w:val="1"/>
        <w:rPr>
          <w:rStyle w:val="39"/>
          <w:color w:val="auto"/>
          <w:sz w:val="28"/>
          <w:szCs w:val="18"/>
          <w:highlight w:val="none"/>
        </w:rPr>
      </w:pPr>
      <w:r>
        <w:rPr>
          <w:rFonts w:hint="eastAsia" w:hAnsi="宋体" w:cs="宋体"/>
          <w:color w:val="auto"/>
          <w:sz w:val="24"/>
          <w:highlight w:val="none"/>
        </w:rPr>
        <w:br w:type="page"/>
      </w:r>
      <w:bookmarkStart w:id="14" w:name="_Hlt69669159"/>
      <w:bookmarkEnd w:id="14"/>
      <w:bookmarkStart w:id="15" w:name="_Toc31499"/>
      <w:bookmarkStart w:id="16" w:name="_Hlt69698705"/>
      <w:bookmarkStart w:id="17" w:name="_Hlt69698754"/>
      <w:r>
        <w:rPr>
          <w:rStyle w:val="39"/>
          <w:rFonts w:hint="eastAsia"/>
          <w:color w:val="auto"/>
          <w:sz w:val="28"/>
          <w:szCs w:val="18"/>
          <w:highlight w:val="none"/>
        </w:rPr>
        <w:t>第三节 投标人须知正文</w:t>
      </w:r>
      <w:bookmarkEnd w:id="15"/>
    </w:p>
    <w:bookmarkEnd w:id="16"/>
    <w:bookmarkEnd w:id="17"/>
    <w:p w14:paraId="168D6E7F">
      <w:pPr>
        <w:pStyle w:val="12"/>
        <w:kinsoku w:val="0"/>
        <w:wordWrap w:val="0"/>
        <w:overflowPunct w:val="0"/>
        <w:autoSpaceDE w:val="0"/>
        <w:autoSpaceDN w:val="0"/>
        <w:spacing w:line="460" w:lineRule="exact"/>
        <w:ind w:firstLine="480" w:firstLineChars="200"/>
        <w:jc w:val="both"/>
        <w:rPr>
          <w:rFonts w:ascii="宋体" w:hAnsi="宋体" w:cs="宋体"/>
          <w:color w:val="auto"/>
          <w:sz w:val="24"/>
          <w:highlight w:val="none"/>
        </w:rPr>
      </w:pPr>
      <w:bookmarkStart w:id="18" w:name="_Hlt74474735"/>
      <w:bookmarkEnd w:id="18"/>
      <w:bookmarkStart w:id="19" w:name="_Hlt119991399"/>
      <w:bookmarkEnd w:id="19"/>
      <w:bookmarkStart w:id="20" w:name="_Hlt109358474"/>
      <w:bookmarkEnd w:id="20"/>
      <w:bookmarkStart w:id="21" w:name="_Hlt87948285"/>
      <w:bookmarkEnd w:id="21"/>
      <w:bookmarkStart w:id="22" w:name="_Hlt78795222"/>
      <w:bookmarkEnd w:id="22"/>
      <w:bookmarkStart w:id="23" w:name="_Toc10343"/>
      <w:r>
        <w:rPr>
          <w:rFonts w:hint="eastAsia" w:ascii="宋体" w:hAnsi="宋体" w:cs="宋体"/>
          <w:color w:val="auto"/>
          <w:sz w:val="24"/>
          <w:szCs w:val="24"/>
          <w:highlight w:val="none"/>
          <w:u w:val="single"/>
        </w:rPr>
        <w:t>韶关市第一人民医院旧院区病房改造及能力提升建设项目</w:t>
      </w:r>
      <w:r>
        <w:rPr>
          <w:rFonts w:hint="eastAsia" w:ascii="宋体" w:hAnsi="宋体" w:cs="宋体"/>
          <w:color w:val="auto"/>
          <w:kern w:val="0"/>
          <w:sz w:val="24"/>
          <w:szCs w:val="22"/>
          <w:highlight w:val="none"/>
        </w:rPr>
        <w:t>经</w:t>
      </w:r>
      <w:r>
        <w:rPr>
          <w:rFonts w:hint="eastAsia" w:ascii="宋体" w:hAnsi="宋体" w:cs="宋体"/>
          <w:color w:val="auto"/>
          <w:kern w:val="0"/>
          <w:sz w:val="24"/>
          <w:szCs w:val="22"/>
          <w:highlight w:val="none"/>
          <w:u w:val="single"/>
          <w:lang w:val="en-US" w:eastAsia="zh-CN"/>
        </w:rPr>
        <w:t>韶关市</w:t>
      </w:r>
      <w:r>
        <w:rPr>
          <w:rFonts w:hint="eastAsia" w:ascii="宋体" w:hAnsi="宋体" w:cs="宋体"/>
          <w:color w:val="auto"/>
          <w:kern w:val="0"/>
          <w:sz w:val="24"/>
          <w:szCs w:val="22"/>
          <w:highlight w:val="none"/>
          <w:u w:val="single"/>
        </w:rPr>
        <w:t>发展和改革局</w:t>
      </w:r>
      <w:r>
        <w:rPr>
          <w:rFonts w:hint="eastAsia" w:ascii="宋体" w:hAnsi="宋体" w:cs="宋体"/>
          <w:color w:val="auto"/>
          <w:kern w:val="0"/>
          <w:sz w:val="24"/>
          <w:szCs w:val="22"/>
          <w:highlight w:val="none"/>
        </w:rPr>
        <w:t>以</w:t>
      </w:r>
      <w:r>
        <w:rPr>
          <w:rFonts w:hint="eastAsia" w:ascii="宋体" w:hAnsi="宋体" w:cs="宋体"/>
          <w:color w:val="auto"/>
          <w:kern w:val="0"/>
          <w:sz w:val="24"/>
          <w:szCs w:val="22"/>
          <w:highlight w:val="none"/>
          <w:u w:val="single"/>
        </w:rPr>
        <w:t>《韶关市发展和改革局关于韶关市第一人民医院旧院区病房改造及能力提升建设项目可行性研究报告的批复》</w:t>
      </w:r>
      <w:r>
        <w:rPr>
          <w:rFonts w:hint="eastAsia" w:ascii="宋体" w:hAnsi="宋体" w:cs="宋体"/>
          <w:color w:val="auto"/>
          <w:kern w:val="0"/>
          <w:sz w:val="24"/>
          <w:szCs w:val="22"/>
          <w:highlight w:val="none"/>
          <w:u w:val="single"/>
          <w:lang w:val="en-US" w:eastAsia="zh-CN"/>
        </w:rPr>
        <w:t>(韶发改投审[2026]31号)</w:t>
      </w:r>
      <w:r>
        <w:rPr>
          <w:rFonts w:hint="eastAsia" w:ascii="宋体" w:hAnsi="宋体" w:cs="宋体"/>
          <w:color w:val="auto"/>
          <w:kern w:val="0"/>
          <w:sz w:val="24"/>
          <w:szCs w:val="22"/>
          <w:highlight w:val="none"/>
        </w:rPr>
        <w:t>批准建设，项目代码为</w:t>
      </w:r>
      <w:r>
        <w:rPr>
          <w:rFonts w:hint="eastAsia" w:ascii="宋体" w:hAnsi="宋体" w:cs="宋体"/>
          <w:color w:val="auto"/>
          <w:kern w:val="0"/>
          <w:sz w:val="24"/>
          <w:szCs w:val="22"/>
          <w:highlight w:val="none"/>
          <w:u w:val="single"/>
          <w:lang w:eastAsia="zh-CN"/>
        </w:rPr>
        <w:t>2604-440204-04-01-911977</w:t>
      </w:r>
      <w:r>
        <w:rPr>
          <w:rFonts w:hint="eastAsia" w:ascii="宋体" w:hAnsi="宋体" w:cs="宋体"/>
          <w:color w:val="auto"/>
          <w:kern w:val="0"/>
          <w:sz w:val="24"/>
          <w:szCs w:val="22"/>
          <w:highlight w:val="none"/>
        </w:rPr>
        <w:t>。本项目业主为</w:t>
      </w:r>
      <w:r>
        <w:rPr>
          <w:rFonts w:hint="eastAsia" w:ascii="宋体" w:hAnsi="宋体" w:cs="宋体"/>
          <w:color w:val="auto"/>
          <w:kern w:val="0"/>
          <w:sz w:val="24"/>
          <w:szCs w:val="22"/>
          <w:highlight w:val="none"/>
          <w:u w:val="single"/>
          <w:lang w:eastAsia="zh-CN"/>
        </w:rPr>
        <w:t>韶关市第一人民医院</w:t>
      </w:r>
      <w:r>
        <w:rPr>
          <w:rFonts w:hint="eastAsia" w:ascii="宋体" w:hAnsi="宋体" w:cs="宋体"/>
          <w:color w:val="auto"/>
          <w:kern w:val="0"/>
          <w:sz w:val="24"/>
          <w:szCs w:val="22"/>
          <w:highlight w:val="none"/>
        </w:rPr>
        <w:t>，建设资金来自</w:t>
      </w:r>
      <w:r>
        <w:rPr>
          <w:rFonts w:hint="eastAsia" w:ascii="宋体" w:hAnsi="宋体" w:cs="宋体"/>
          <w:color w:val="auto"/>
          <w:kern w:val="0"/>
          <w:sz w:val="24"/>
          <w:szCs w:val="22"/>
          <w:highlight w:val="none"/>
          <w:u w:val="single"/>
        </w:rPr>
        <w:t>拟自筹资金解决，并积极争取上级资金支持</w:t>
      </w:r>
      <w:r>
        <w:rPr>
          <w:rFonts w:hint="eastAsia" w:ascii="宋体" w:hAnsi="宋体" w:cs="宋体"/>
          <w:color w:val="auto"/>
          <w:kern w:val="0"/>
          <w:sz w:val="24"/>
          <w:szCs w:val="22"/>
          <w:highlight w:val="none"/>
        </w:rPr>
        <w:t>，招标人为</w:t>
      </w:r>
      <w:r>
        <w:rPr>
          <w:rFonts w:hint="eastAsia" w:ascii="宋体" w:hAnsi="宋体" w:cs="宋体"/>
          <w:color w:val="auto"/>
          <w:kern w:val="0"/>
          <w:sz w:val="24"/>
          <w:szCs w:val="22"/>
          <w:highlight w:val="none"/>
          <w:u w:val="single"/>
          <w:lang w:eastAsia="zh-CN"/>
        </w:rPr>
        <w:t>韶关市第一人民医院</w:t>
      </w:r>
      <w:r>
        <w:rPr>
          <w:rFonts w:hint="eastAsia" w:ascii="宋体" w:hAnsi="宋体" w:cs="宋体"/>
          <w:color w:val="auto"/>
          <w:kern w:val="0"/>
          <w:sz w:val="24"/>
          <w:szCs w:val="22"/>
          <w:highlight w:val="none"/>
        </w:rPr>
        <w:t>，招标代理机构为</w:t>
      </w:r>
      <w:r>
        <w:rPr>
          <w:rFonts w:hint="eastAsia" w:ascii="宋体" w:hAnsi="宋体" w:cs="宋体"/>
          <w:color w:val="auto"/>
          <w:kern w:val="0"/>
          <w:sz w:val="24"/>
          <w:szCs w:val="22"/>
          <w:highlight w:val="none"/>
          <w:u w:val="single"/>
          <w:lang w:eastAsia="zh-CN"/>
        </w:rPr>
        <w:t>广东省机电设备招标有限公司</w:t>
      </w:r>
      <w:r>
        <w:rPr>
          <w:rFonts w:hint="eastAsia" w:ascii="宋体" w:hAnsi="宋体" w:cs="宋体"/>
          <w:color w:val="auto"/>
          <w:kern w:val="0"/>
          <w:sz w:val="24"/>
          <w:szCs w:val="22"/>
          <w:highlight w:val="none"/>
        </w:rPr>
        <w:t>。项目已具备招标条件，现对该项目</w:t>
      </w:r>
      <w:r>
        <w:rPr>
          <w:rFonts w:hint="eastAsia" w:ascii="宋体" w:hAnsi="宋体" w:cs="宋体"/>
          <w:color w:val="auto"/>
          <w:kern w:val="0"/>
          <w:sz w:val="24"/>
          <w:szCs w:val="22"/>
          <w:highlight w:val="none"/>
          <w:u w:val="single"/>
          <w:lang w:val="en-US" w:eastAsia="zh-CN"/>
        </w:rPr>
        <w:t>方案、</w:t>
      </w:r>
      <w:r>
        <w:rPr>
          <w:rFonts w:hint="eastAsia" w:ascii="宋体" w:hAnsi="宋体" w:cs="宋体"/>
          <w:color w:val="auto"/>
          <w:kern w:val="0"/>
          <w:sz w:val="24"/>
          <w:szCs w:val="22"/>
          <w:highlight w:val="none"/>
          <w:u w:val="single"/>
        </w:rPr>
        <w:t>初步设计</w:t>
      </w:r>
      <w:r>
        <w:rPr>
          <w:rFonts w:hint="eastAsia" w:ascii="宋体" w:hAnsi="宋体" w:cs="宋体"/>
          <w:color w:val="auto"/>
          <w:kern w:val="0"/>
          <w:sz w:val="24"/>
          <w:szCs w:val="22"/>
          <w:highlight w:val="none"/>
          <w:u w:val="single"/>
          <w:lang w:eastAsia="zh-CN"/>
        </w:rPr>
        <w:t>、</w:t>
      </w:r>
      <w:r>
        <w:rPr>
          <w:rFonts w:hint="eastAsia" w:ascii="宋体" w:hAnsi="宋体" w:cs="宋体"/>
          <w:color w:val="auto"/>
          <w:kern w:val="0"/>
          <w:sz w:val="24"/>
          <w:szCs w:val="22"/>
          <w:highlight w:val="none"/>
          <w:u w:val="single"/>
        </w:rPr>
        <w:t>概算编制</w:t>
      </w:r>
      <w:r>
        <w:rPr>
          <w:rFonts w:hint="eastAsia" w:ascii="宋体" w:hAnsi="宋体" w:cs="宋体"/>
          <w:color w:val="auto"/>
          <w:kern w:val="0"/>
          <w:sz w:val="24"/>
          <w:szCs w:val="22"/>
          <w:highlight w:val="none"/>
        </w:rPr>
        <w:t>进行公开招标。</w:t>
      </w:r>
    </w:p>
    <w:p w14:paraId="5859699B">
      <w:pPr>
        <w:pStyle w:val="3"/>
        <w:numPr>
          <w:ilvl w:val="1"/>
          <w:numId w:val="0"/>
        </w:numPr>
        <w:spacing w:before="158" w:after="0" w:afterLines="0"/>
        <w:ind w:left="420" w:leftChars="200"/>
        <w:rPr>
          <w:color w:val="auto"/>
          <w:highlight w:val="none"/>
        </w:rPr>
      </w:pPr>
      <w:bookmarkStart w:id="24" w:name="_Toc12018"/>
      <w:r>
        <w:rPr>
          <w:rFonts w:hint="eastAsia"/>
          <w:color w:val="auto"/>
          <w:highlight w:val="none"/>
        </w:rPr>
        <w:t>1.工程概况综合说明</w:t>
      </w:r>
      <w:bookmarkEnd w:id="23"/>
      <w:bookmarkEnd w:id="24"/>
    </w:p>
    <w:p w14:paraId="4F0DC612">
      <w:pPr>
        <w:pStyle w:val="36"/>
        <w:tabs>
          <w:tab w:val="left" w:pos="7020"/>
        </w:tabs>
        <w:ind w:firstLine="480" w:firstLineChars="200"/>
        <w:rPr>
          <w:rFonts w:hint="eastAsia" w:hAnsi="宋体" w:eastAsia="宋体" w:cs="宋体"/>
          <w:color w:val="auto"/>
          <w:szCs w:val="18"/>
          <w:highlight w:val="none"/>
          <w:lang w:eastAsia="zh-CN"/>
        </w:rPr>
      </w:pPr>
      <w:r>
        <w:rPr>
          <w:rFonts w:hint="eastAsia" w:hAnsi="宋体" w:cs="宋体"/>
          <w:color w:val="auto"/>
          <w:szCs w:val="24"/>
          <w:highlight w:val="none"/>
        </w:rPr>
        <w:t>1.1 招标人：</w:t>
      </w:r>
      <w:r>
        <w:rPr>
          <w:rFonts w:hint="eastAsia" w:hAnsi="宋体" w:cs="宋体"/>
          <w:color w:val="auto"/>
          <w:szCs w:val="24"/>
          <w:highlight w:val="none"/>
          <w:u w:val="single"/>
          <w:lang w:eastAsia="zh-CN"/>
        </w:rPr>
        <w:t>韶关市第一人民医院</w:t>
      </w:r>
    </w:p>
    <w:p w14:paraId="130EABF4">
      <w:pPr>
        <w:pStyle w:val="36"/>
        <w:tabs>
          <w:tab w:val="left" w:pos="7020"/>
        </w:tabs>
        <w:ind w:firstLine="480" w:firstLineChars="200"/>
        <w:rPr>
          <w:rFonts w:hAnsi="宋体" w:cs="宋体"/>
          <w:color w:val="auto"/>
          <w:szCs w:val="24"/>
          <w:highlight w:val="none"/>
        </w:rPr>
      </w:pPr>
      <w:r>
        <w:rPr>
          <w:rFonts w:hint="eastAsia" w:hAnsi="宋体" w:cs="宋体"/>
          <w:color w:val="auto"/>
          <w:szCs w:val="24"/>
          <w:highlight w:val="none"/>
        </w:rPr>
        <w:t>1.2 工程地点：</w:t>
      </w:r>
      <w:r>
        <w:rPr>
          <w:rFonts w:hint="eastAsia" w:hAnsi="宋体" w:cs="宋体"/>
          <w:color w:val="auto"/>
          <w:szCs w:val="24"/>
          <w:highlight w:val="none"/>
          <w:u w:val="single"/>
          <w:lang w:eastAsia="zh-CN"/>
        </w:rPr>
        <w:t>广东省韶关市浈江区东堤南路3号</w:t>
      </w:r>
      <w:r>
        <w:rPr>
          <w:rFonts w:hint="eastAsia" w:hAnsi="宋体" w:cs="宋体"/>
          <w:color w:val="auto"/>
          <w:szCs w:val="24"/>
          <w:highlight w:val="none"/>
          <w:u w:val="single"/>
        </w:rPr>
        <w:t>。</w:t>
      </w:r>
    </w:p>
    <w:p w14:paraId="7EEDE57E">
      <w:pPr>
        <w:pStyle w:val="36"/>
        <w:tabs>
          <w:tab w:val="left" w:pos="7020"/>
        </w:tabs>
        <w:ind w:firstLine="480" w:firstLineChars="200"/>
        <w:rPr>
          <w:rFonts w:hAnsi="宋体" w:cs="宋体"/>
          <w:color w:val="auto"/>
          <w:szCs w:val="24"/>
          <w:highlight w:val="none"/>
        </w:rPr>
      </w:pPr>
      <w:r>
        <w:rPr>
          <w:rFonts w:hint="eastAsia" w:hAnsi="宋体" w:cs="宋体"/>
          <w:color w:val="auto"/>
          <w:szCs w:val="24"/>
          <w:highlight w:val="none"/>
        </w:rPr>
        <w:t>1.3 工程主要建设规模：</w:t>
      </w:r>
      <w:r>
        <w:rPr>
          <w:rFonts w:hint="eastAsia" w:hAnsi="宋体" w:cs="宋体"/>
          <w:color w:val="auto"/>
          <w:szCs w:val="24"/>
          <w:highlight w:val="none"/>
          <w:u w:val="single"/>
          <w:lang w:eastAsia="zh-CN"/>
        </w:rPr>
        <w:t>项目拟对韶关市第一人民医院旧院区进行病房改造及能力提升，项目涉及总建筑面积约4.3万平方米，其中改造面积约4.3万平方米，改造床位约500张，主要改造内容为254个病房楼多人间（3-8人间）病房改造为2人间及卫生间改造、供电供水系统改造等。本项目完成后，医院床位数保持不变</w:t>
      </w:r>
      <w:r>
        <w:rPr>
          <w:rFonts w:hint="eastAsia" w:hAnsi="宋体" w:cs="宋体"/>
          <w:color w:val="auto"/>
          <w:szCs w:val="24"/>
          <w:highlight w:val="none"/>
          <w:u w:val="single"/>
        </w:rPr>
        <w:t>。</w:t>
      </w:r>
    </w:p>
    <w:p w14:paraId="256F631A">
      <w:pPr>
        <w:pStyle w:val="36"/>
        <w:tabs>
          <w:tab w:val="left" w:pos="7020"/>
        </w:tabs>
        <w:ind w:firstLine="480" w:firstLineChars="200"/>
        <w:rPr>
          <w:rFonts w:hAnsi="宋体" w:cs="宋体"/>
          <w:color w:val="auto"/>
          <w:szCs w:val="24"/>
          <w:highlight w:val="none"/>
        </w:rPr>
      </w:pPr>
      <w:r>
        <w:rPr>
          <w:rFonts w:hint="eastAsia" w:hAnsi="宋体" w:cs="宋体"/>
          <w:color w:val="auto"/>
          <w:szCs w:val="24"/>
          <w:highlight w:val="none"/>
        </w:rPr>
        <w:t>1.4 项目总投资：</w:t>
      </w:r>
      <w:r>
        <w:rPr>
          <w:rFonts w:hint="eastAsia" w:hAnsi="宋体" w:cs="宋体"/>
          <w:color w:val="auto"/>
          <w:highlight w:val="none"/>
          <w:u w:val="single"/>
        </w:rPr>
        <w:t>项目总投资估算约为12</w:t>
      </w:r>
      <w:r>
        <w:rPr>
          <w:rFonts w:hint="eastAsia" w:hAnsi="宋体" w:cs="宋体"/>
          <w:color w:val="auto"/>
          <w:highlight w:val="none"/>
          <w:u w:val="single"/>
          <w:lang w:eastAsia="zh-CN"/>
        </w:rPr>
        <w:t>4</w:t>
      </w:r>
      <w:r>
        <w:rPr>
          <w:rFonts w:hint="eastAsia" w:hAnsi="宋体" w:cs="宋体"/>
          <w:color w:val="auto"/>
          <w:highlight w:val="none"/>
          <w:u w:val="single"/>
          <w:lang w:val="en-US" w:eastAsia="zh-CN"/>
        </w:rPr>
        <w:t>98</w:t>
      </w:r>
      <w:r>
        <w:rPr>
          <w:rFonts w:hint="eastAsia" w:hAnsi="宋体" w:cs="宋体"/>
          <w:color w:val="auto"/>
          <w:highlight w:val="none"/>
          <w:u w:val="single"/>
        </w:rPr>
        <w:t>.</w:t>
      </w:r>
      <w:r>
        <w:rPr>
          <w:rFonts w:hint="eastAsia" w:hAnsi="宋体" w:cs="宋体"/>
          <w:color w:val="auto"/>
          <w:highlight w:val="none"/>
          <w:u w:val="single"/>
          <w:lang w:eastAsia="zh-CN"/>
        </w:rPr>
        <w:t>1</w:t>
      </w:r>
      <w:r>
        <w:rPr>
          <w:rFonts w:hint="eastAsia" w:hAnsi="宋体" w:cs="宋体"/>
          <w:color w:val="auto"/>
          <w:highlight w:val="none"/>
          <w:u w:val="single"/>
          <w:lang w:val="en-US" w:eastAsia="zh-CN"/>
        </w:rPr>
        <w:t>8</w:t>
      </w:r>
      <w:r>
        <w:rPr>
          <w:rFonts w:hint="eastAsia" w:hAnsi="宋体" w:cs="宋体"/>
          <w:color w:val="auto"/>
          <w:highlight w:val="none"/>
          <w:u w:val="single"/>
        </w:rPr>
        <w:t>万元，其中工程费用107</w:t>
      </w:r>
      <w:r>
        <w:rPr>
          <w:rFonts w:hint="eastAsia" w:hAnsi="宋体" w:cs="宋体"/>
          <w:color w:val="auto"/>
          <w:highlight w:val="none"/>
          <w:u w:val="single"/>
          <w:lang w:eastAsia="zh-CN"/>
        </w:rPr>
        <w:t>0</w:t>
      </w:r>
      <w:r>
        <w:rPr>
          <w:rFonts w:hint="eastAsia" w:hAnsi="宋体" w:cs="宋体"/>
          <w:color w:val="auto"/>
          <w:highlight w:val="none"/>
          <w:u w:val="single"/>
          <w:lang w:val="en-US" w:eastAsia="zh-CN"/>
        </w:rPr>
        <w:t>1</w:t>
      </w:r>
      <w:r>
        <w:rPr>
          <w:rFonts w:hint="eastAsia" w:hAnsi="宋体" w:cs="宋体"/>
          <w:color w:val="auto"/>
          <w:highlight w:val="none"/>
          <w:u w:val="single"/>
        </w:rPr>
        <w:t>.</w:t>
      </w:r>
      <w:r>
        <w:rPr>
          <w:rFonts w:hint="eastAsia" w:hAnsi="宋体" w:cs="宋体"/>
          <w:color w:val="auto"/>
          <w:highlight w:val="none"/>
          <w:u w:val="single"/>
          <w:lang w:eastAsia="zh-CN"/>
        </w:rPr>
        <w:t>2</w:t>
      </w:r>
      <w:r>
        <w:rPr>
          <w:rFonts w:hint="eastAsia" w:hAnsi="宋体" w:cs="宋体"/>
          <w:color w:val="auto"/>
          <w:highlight w:val="none"/>
          <w:u w:val="single"/>
          <w:lang w:val="en-US" w:eastAsia="zh-CN"/>
        </w:rPr>
        <w:t>9</w:t>
      </w:r>
      <w:r>
        <w:rPr>
          <w:rFonts w:hint="eastAsia" w:hAnsi="宋体" w:cs="宋体"/>
          <w:color w:val="auto"/>
          <w:highlight w:val="none"/>
          <w:u w:val="single"/>
        </w:rPr>
        <w:t>万元，工程建设其他费用12</w:t>
      </w:r>
      <w:r>
        <w:rPr>
          <w:rFonts w:hint="eastAsia" w:hAnsi="宋体" w:cs="宋体"/>
          <w:color w:val="auto"/>
          <w:highlight w:val="none"/>
          <w:u w:val="single"/>
          <w:lang w:eastAsia="zh-CN"/>
        </w:rPr>
        <w:t>0</w:t>
      </w:r>
      <w:r>
        <w:rPr>
          <w:rFonts w:hint="eastAsia" w:hAnsi="宋体" w:cs="宋体"/>
          <w:color w:val="auto"/>
          <w:highlight w:val="none"/>
          <w:u w:val="single"/>
          <w:lang w:val="en-US" w:eastAsia="zh-CN"/>
        </w:rPr>
        <w:t>1</w:t>
      </w:r>
      <w:r>
        <w:rPr>
          <w:rFonts w:hint="eastAsia" w:hAnsi="宋体" w:cs="宋体"/>
          <w:color w:val="auto"/>
          <w:highlight w:val="none"/>
          <w:u w:val="single"/>
        </w:rPr>
        <w:t>.7</w:t>
      </w:r>
      <w:r>
        <w:rPr>
          <w:rFonts w:hint="eastAsia" w:hAnsi="宋体" w:cs="宋体"/>
          <w:color w:val="auto"/>
          <w:highlight w:val="none"/>
          <w:u w:val="single"/>
          <w:lang w:eastAsia="zh-CN"/>
        </w:rPr>
        <w:t>4</w:t>
      </w:r>
      <w:r>
        <w:rPr>
          <w:rFonts w:hint="eastAsia" w:hAnsi="宋体" w:cs="宋体"/>
          <w:color w:val="auto"/>
          <w:highlight w:val="none"/>
          <w:u w:val="single"/>
        </w:rPr>
        <w:t>万元，预备费</w:t>
      </w:r>
      <w:r>
        <w:rPr>
          <w:rFonts w:hint="eastAsia" w:hAnsi="宋体" w:cs="宋体"/>
          <w:color w:val="auto"/>
          <w:highlight w:val="none"/>
          <w:u w:val="single"/>
          <w:lang w:eastAsia="zh-CN"/>
        </w:rPr>
        <w:t>5</w:t>
      </w:r>
      <w:r>
        <w:rPr>
          <w:rFonts w:hint="eastAsia" w:hAnsi="宋体" w:cs="宋体"/>
          <w:color w:val="auto"/>
          <w:highlight w:val="none"/>
          <w:u w:val="single"/>
          <w:lang w:val="en-US" w:eastAsia="zh-CN"/>
        </w:rPr>
        <w:t>95</w:t>
      </w:r>
      <w:r>
        <w:rPr>
          <w:rFonts w:hint="eastAsia" w:hAnsi="宋体" w:cs="宋体"/>
          <w:color w:val="auto"/>
          <w:highlight w:val="none"/>
          <w:u w:val="single"/>
        </w:rPr>
        <w:t>.</w:t>
      </w:r>
      <w:r>
        <w:rPr>
          <w:rFonts w:hint="eastAsia" w:hAnsi="宋体" w:cs="宋体"/>
          <w:color w:val="auto"/>
          <w:highlight w:val="none"/>
          <w:u w:val="single"/>
          <w:lang w:eastAsia="zh-CN"/>
        </w:rPr>
        <w:t>1</w:t>
      </w:r>
      <w:r>
        <w:rPr>
          <w:rFonts w:hint="eastAsia" w:hAnsi="宋体" w:cs="宋体"/>
          <w:color w:val="auto"/>
          <w:highlight w:val="none"/>
          <w:u w:val="single"/>
          <w:lang w:val="en-US" w:eastAsia="zh-CN"/>
        </w:rPr>
        <w:t>5</w:t>
      </w:r>
      <w:r>
        <w:rPr>
          <w:rFonts w:hint="eastAsia" w:hAnsi="宋体" w:cs="宋体"/>
          <w:color w:val="auto"/>
          <w:highlight w:val="none"/>
          <w:u w:val="single"/>
        </w:rPr>
        <w:t>万元。</w:t>
      </w:r>
    </w:p>
    <w:p w14:paraId="2C10286A">
      <w:pPr>
        <w:pStyle w:val="36"/>
        <w:tabs>
          <w:tab w:val="left" w:pos="7020"/>
        </w:tabs>
        <w:ind w:firstLine="480" w:firstLineChars="200"/>
        <w:rPr>
          <w:rFonts w:hAnsi="宋体" w:cs="宋体"/>
          <w:color w:val="auto"/>
          <w:szCs w:val="24"/>
          <w:highlight w:val="none"/>
        </w:rPr>
      </w:pPr>
      <w:r>
        <w:rPr>
          <w:rFonts w:hint="eastAsia" w:hAnsi="宋体" w:cs="宋体"/>
          <w:color w:val="auto"/>
          <w:szCs w:val="24"/>
          <w:highlight w:val="none"/>
        </w:rPr>
        <w:t>1.5 标段划分：</w:t>
      </w:r>
      <w:r>
        <w:rPr>
          <w:rFonts w:hint="eastAsia" w:hAnsi="宋体" w:cs="宋体"/>
          <w:color w:val="auto"/>
          <w:szCs w:val="24"/>
          <w:highlight w:val="none"/>
          <w:u w:val="single"/>
        </w:rPr>
        <w:t>本招标项目不划分标段。</w:t>
      </w:r>
    </w:p>
    <w:p w14:paraId="397F26AB">
      <w:pPr>
        <w:pStyle w:val="36"/>
        <w:tabs>
          <w:tab w:val="left" w:pos="7020"/>
        </w:tabs>
        <w:ind w:firstLine="480" w:firstLineChars="200"/>
        <w:rPr>
          <w:rFonts w:ascii="宋体" w:hAnsi="宋体"/>
          <w:color w:val="auto"/>
          <w:sz w:val="24"/>
          <w:szCs w:val="24"/>
          <w:highlight w:val="none"/>
        </w:rPr>
      </w:pPr>
      <w:bookmarkStart w:id="25" w:name="_Toc496132995"/>
      <w:bookmarkStart w:id="26" w:name="_Toc23800"/>
      <w:bookmarkStart w:id="27" w:name="_Toc71813180"/>
      <w:bookmarkStart w:id="28" w:name="_Toc71811066"/>
      <w:bookmarkStart w:id="29" w:name="_Toc8182"/>
      <w:bookmarkStart w:id="30" w:name="_Toc24018"/>
      <w:bookmarkStart w:id="31" w:name="_Toc71811299"/>
      <w:bookmarkStart w:id="32" w:name="_Toc71813686"/>
      <w:bookmarkStart w:id="33" w:name="_Toc22197"/>
      <w:bookmarkStart w:id="34" w:name="_Toc26042"/>
      <w:r>
        <w:rPr>
          <w:rFonts w:hint="eastAsia" w:ascii="宋体" w:hAnsi="宋体"/>
          <w:color w:val="auto"/>
          <w:sz w:val="24"/>
          <w:highlight w:val="none"/>
        </w:rPr>
        <w:t>1.</w:t>
      </w:r>
      <w:bookmarkEnd w:id="25"/>
      <w:r>
        <w:rPr>
          <w:rFonts w:hint="eastAsia" w:ascii="宋体" w:hAnsi="宋体"/>
          <w:color w:val="auto"/>
          <w:sz w:val="24"/>
          <w:highlight w:val="none"/>
        </w:rPr>
        <w:t>6 投标费用：</w:t>
      </w:r>
      <w:r>
        <w:rPr>
          <w:rFonts w:hint="eastAsia" w:ascii="宋体" w:hAnsi="宋体"/>
          <w:color w:val="auto"/>
          <w:sz w:val="24"/>
          <w:highlight w:val="none"/>
          <w:u w:val="single"/>
        </w:rPr>
        <w:t>投标人应承担所有准备和参加投标的相关费用，不论投标结果如何，招标</w:t>
      </w:r>
      <w:bookmarkEnd w:id="26"/>
      <w:bookmarkStart w:id="35" w:name="_Toc13289"/>
      <w:r>
        <w:rPr>
          <w:rFonts w:hint="eastAsia" w:ascii="宋体" w:hAnsi="宋体"/>
          <w:color w:val="auto"/>
          <w:sz w:val="24"/>
          <w:highlight w:val="none"/>
          <w:u w:val="single"/>
        </w:rPr>
        <w:t>人均无义务和责任承担这些费用</w:t>
      </w:r>
      <w:r>
        <w:rPr>
          <w:rFonts w:hint="eastAsia" w:ascii="宋体" w:hAnsi="宋体"/>
          <w:color w:val="auto"/>
          <w:sz w:val="24"/>
          <w:szCs w:val="24"/>
          <w:highlight w:val="none"/>
        </w:rPr>
        <w:t>。</w:t>
      </w:r>
      <w:bookmarkEnd w:id="27"/>
      <w:bookmarkEnd w:id="28"/>
      <w:bookmarkEnd w:id="29"/>
      <w:bookmarkEnd w:id="30"/>
      <w:bookmarkEnd w:id="31"/>
      <w:bookmarkEnd w:id="32"/>
      <w:bookmarkEnd w:id="33"/>
      <w:bookmarkEnd w:id="34"/>
      <w:bookmarkEnd w:id="35"/>
    </w:p>
    <w:p w14:paraId="51F1A87E">
      <w:pPr>
        <w:pStyle w:val="3"/>
        <w:numPr>
          <w:ilvl w:val="1"/>
          <w:numId w:val="0"/>
        </w:numPr>
        <w:spacing w:before="158" w:after="0" w:afterLines="0"/>
        <w:ind w:left="420" w:leftChars="200"/>
        <w:rPr>
          <w:color w:val="auto"/>
          <w:highlight w:val="none"/>
        </w:rPr>
      </w:pPr>
      <w:bookmarkStart w:id="36" w:name="_Toc9668"/>
      <w:bookmarkStart w:id="37" w:name="_Toc106184808"/>
      <w:bookmarkStart w:id="38" w:name="_Toc4477"/>
      <w:r>
        <w:rPr>
          <w:rFonts w:hint="eastAsia"/>
          <w:color w:val="auto"/>
          <w:highlight w:val="none"/>
        </w:rPr>
        <w:t>2.招标范围</w:t>
      </w:r>
      <w:bookmarkEnd w:id="36"/>
      <w:bookmarkEnd w:id="37"/>
      <w:bookmarkEnd w:id="38"/>
      <w:bookmarkStart w:id="39" w:name="_Hlt91408212"/>
      <w:bookmarkEnd w:id="39"/>
    </w:p>
    <w:p w14:paraId="70602377">
      <w:pPr>
        <w:pStyle w:val="36"/>
        <w:spacing w:line="420" w:lineRule="exact"/>
        <w:ind w:firstLine="480" w:firstLineChars="200"/>
        <w:rPr>
          <w:rFonts w:hint="eastAsia"/>
          <w:color w:val="auto"/>
          <w:highlight w:val="none"/>
        </w:rPr>
      </w:pPr>
      <w:bookmarkStart w:id="40" w:name="_Toc28822"/>
      <w:bookmarkStart w:id="41" w:name="_Toc312"/>
      <w:r>
        <w:rPr>
          <w:rFonts w:hint="eastAsia"/>
          <w:color w:val="auto"/>
          <w:highlight w:val="none"/>
        </w:rPr>
        <w:t>包括但不限于完成本项目方案设计、初步设计（含概算编制）、配合相关评审会议的汇报工作。（具体工作内容由招标人在合同中确定）</w:t>
      </w:r>
    </w:p>
    <w:p w14:paraId="52716C17">
      <w:pPr>
        <w:pStyle w:val="3"/>
        <w:numPr>
          <w:ilvl w:val="1"/>
          <w:numId w:val="0"/>
        </w:numPr>
        <w:spacing w:before="158" w:after="0" w:afterLines="0"/>
        <w:ind w:left="420" w:leftChars="200"/>
        <w:rPr>
          <w:color w:val="auto"/>
          <w:highlight w:val="none"/>
        </w:rPr>
      </w:pPr>
      <w:r>
        <w:rPr>
          <w:rFonts w:hint="eastAsia"/>
          <w:color w:val="auto"/>
          <w:highlight w:val="none"/>
        </w:rPr>
        <w:t>3</w:t>
      </w:r>
      <w:bookmarkEnd w:id="40"/>
      <w:bookmarkStart w:id="42" w:name="_Hlt66187826"/>
      <w:bookmarkEnd w:id="42"/>
      <w:r>
        <w:rPr>
          <w:rFonts w:hint="eastAsia"/>
          <w:color w:val="auto"/>
          <w:highlight w:val="none"/>
        </w:rPr>
        <w:t>.工期要求</w:t>
      </w:r>
      <w:bookmarkEnd w:id="41"/>
    </w:p>
    <w:p w14:paraId="4D614ABE">
      <w:pPr>
        <w:pStyle w:val="36"/>
        <w:spacing w:line="420" w:lineRule="exact"/>
        <w:ind w:firstLine="480" w:firstLineChars="200"/>
        <w:rPr>
          <w:rFonts w:hint="eastAsia" w:ascii="宋体" w:eastAsia="宋体"/>
          <w:color w:val="auto"/>
          <w:highlight w:val="none"/>
          <w:lang w:eastAsia="zh-CN"/>
        </w:rPr>
      </w:pPr>
      <w:bookmarkStart w:id="43" w:name="_Toc22115"/>
      <w:r>
        <w:rPr>
          <w:rFonts w:hint="eastAsia" w:hAnsi="宋体" w:cs="宋体"/>
          <w:color w:val="auto"/>
          <w:highlight w:val="none"/>
        </w:rPr>
        <w:t>3.1</w:t>
      </w:r>
      <w:r>
        <w:rPr>
          <w:rFonts w:hint="eastAsia"/>
          <w:color w:val="auto"/>
          <w:highlight w:val="none"/>
          <w:lang w:eastAsia="zh-CN"/>
        </w:rPr>
        <w:t>设计</w:t>
      </w:r>
      <w:r>
        <w:rPr>
          <w:rFonts w:hint="eastAsia" w:ascii="宋体" w:eastAsia="宋体"/>
          <w:color w:val="auto"/>
          <w:highlight w:val="none"/>
          <w:lang w:eastAsia="zh-CN"/>
        </w:rPr>
        <w:t>计划总工期</w:t>
      </w:r>
      <w:r>
        <w:rPr>
          <w:rFonts w:hint="eastAsia"/>
          <w:color w:val="auto"/>
          <w:highlight w:val="none"/>
          <w:lang w:val="en-US" w:eastAsia="zh-CN"/>
        </w:rPr>
        <w:t>30</w:t>
      </w:r>
      <w:r>
        <w:rPr>
          <w:rFonts w:hint="eastAsia" w:ascii="宋体" w:eastAsia="宋体"/>
          <w:color w:val="auto"/>
          <w:highlight w:val="none"/>
          <w:lang w:eastAsia="zh-CN"/>
        </w:rPr>
        <w:t>个日历天（不含评审时间）。中标人应在合同签订后</w:t>
      </w:r>
      <w:r>
        <w:rPr>
          <w:rFonts w:hint="eastAsia"/>
          <w:color w:val="auto"/>
          <w:highlight w:val="none"/>
          <w:lang w:val="en-US" w:eastAsia="zh-CN"/>
        </w:rPr>
        <w:t>30</w:t>
      </w:r>
      <w:r>
        <w:rPr>
          <w:rFonts w:hint="eastAsia" w:ascii="宋体" w:eastAsia="宋体"/>
          <w:color w:val="auto"/>
          <w:highlight w:val="none"/>
          <w:lang w:eastAsia="zh-CN"/>
        </w:rPr>
        <w:t>个日历天内完成</w:t>
      </w:r>
      <w:r>
        <w:rPr>
          <w:rFonts w:hint="eastAsia"/>
          <w:color w:val="auto"/>
          <w:highlight w:val="none"/>
          <w:lang w:eastAsia="zh-CN"/>
        </w:rPr>
        <w:t>规划</w:t>
      </w:r>
      <w:r>
        <w:rPr>
          <w:rFonts w:hint="eastAsia" w:ascii="宋体" w:eastAsia="宋体"/>
          <w:color w:val="auto"/>
          <w:highlight w:val="none"/>
          <w:lang w:eastAsia="zh-CN"/>
        </w:rPr>
        <w:t>方案设计、初步设计及概算编制并提供相应成果资料。</w:t>
      </w:r>
    </w:p>
    <w:p w14:paraId="4238DCDF">
      <w:pPr>
        <w:pStyle w:val="36"/>
        <w:spacing w:line="420" w:lineRule="exact"/>
        <w:ind w:firstLine="480" w:firstLineChars="200"/>
        <w:rPr>
          <w:color w:val="auto"/>
          <w:highlight w:val="none"/>
        </w:rPr>
      </w:pPr>
      <w:r>
        <w:rPr>
          <w:rFonts w:hint="eastAsia" w:ascii="宋体" w:eastAsia="宋体"/>
          <w:color w:val="auto"/>
          <w:highlight w:val="none"/>
          <w:lang w:eastAsia="zh-CN"/>
        </w:rPr>
        <w:t>设计文件报批、送审时间不计入以上工期。如因招标人或相关审批部门原因导致的设计文件审批、规划报建等时间延误，则以上工期应相应合理顺延。</w:t>
      </w:r>
    </w:p>
    <w:p w14:paraId="66756B31">
      <w:pPr>
        <w:pStyle w:val="3"/>
        <w:numPr>
          <w:ilvl w:val="1"/>
          <w:numId w:val="0"/>
        </w:numPr>
        <w:spacing w:before="158" w:after="0" w:afterLines="0"/>
        <w:ind w:left="420" w:leftChars="200"/>
        <w:rPr>
          <w:color w:val="auto"/>
          <w:highlight w:val="none"/>
        </w:rPr>
      </w:pPr>
      <w:bookmarkStart w:id="44" w:name="_Toc18834"/>
      <w:r>
        <w:rPr>
          <w:rFonts w:hint="eastAsia"/>
          <w:color w:val="auto"/>
          <w:highlight w:val="none"/>
        </w:rPr>
        <w:t>4</w:t>
      </w:r>
      <w:bookmarkStart w:id="45" w:name="_Hlt74496495"/>
      <w:bookmarkEnd w:id="45"/>
      <w:r>
        <w:rPr>
          <w:rFonts w:hint="eastAsia"/>
          <w:color w:val="auto"/>
          <w:highlight w:val="none"/>
        </w:rPr>
        <w:t>.投标人资质等级及人员要求</w:t>
      </w:r>
      <w:bookmarkEnd w:id="44"/>
      <w:bookmarkStart w:id="46" w:name="_Toc11378"/>
    </w:p>
    <w:bookmarkEnd w:id="46"/>
    <w:p w14:paraId="78B5F141">
      <w:pPr>
        <w:pStyle w:val="37"/>
        <w:widowControl/>
        <w:spacing w:before="75" w:after="75" w:line="420" w:lineRule="exact"/>
        <w:ind w:firstLine="480" w:firstLineChars="200"/>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4.1.本工程</w:t>
      </w:r>
      <w:r>
        <w:rPr>
          <w:rFonts w:hint="eastAsia" w:ascii="宋体" w:hAnsi="宋体" w:cs="宋体"/>
          <w:b/>
          <w:bCs/>
          <w:color w:val="auto"/>
          <w:kern w:val="0"/>
          <w:sz w:val="24"/>
          <w:highlight w:val="none"/>
          <w:u w:val="single"/>
        </w:rPr>
        <w:t xml:space="preserve"> </w:t>
      </w:r>
      <w:r>
        <w:rPr>
          <w:rFonts w:hint="eastAsia" w:ascii="宋体" w:hAnsi="宋体" w:cs="宋体"/>
          <w:b/>
          <w:bCs/>
          <w:color w:val="auto"/>
          <w:kern w:val="0"/>
          <w:sz w:val="24"/>
          <w:highlight w:val="none"/>
          <w:u w:val="single"/>
          <w:lang w:val="en-US" w:eastAsia="zh-CN"/>
        </w:rPr>
        <w:t>不</w:t>
      </w:r>
      <w:r>
        <w:rPr>
          <w:rFonts w:hint="eastAsia" w:ascii="宋体" w:hAnsi="宋体" w:cs="宋体"/>
          <w:b/>
          <w:bCs/>
          <w:color w:val="auto"/>
          <w:kern w:val="0"/>
          <w:sz w:val="24"/>
          <w:highlight w:val="none"/>
          <w:u w:val="single"/>
        </w:rPr>
        <w:t xml:space="preserve">接受 </w:t>
      </w:r>
      <w:r>
        <w:rPr>
          <w:rFonts w:hint="eastAsia" w:ascii="宋体" w:hAnsi="宋体" w:cs="宋体"/>
          <w:color w:val="auto"/>
          <w:kern w:val="0"/>
          <w:sz w:val="24"/>
          <w:highlight w:val="none"/>
        </w:rPr>
        <w:t>联合体投标</w:t>
      </w:r>
      <w:r>
        <w:rPr>
          <w:rFonts w:hint="eastAsia" w:ascii="宋体" w:hAnsi="宋体" w:cs="宋体"/>
          <w:color w:val="auto"/>
          <w:kern w:val="0"/>
          <w:sz w:val="24"/>
          <w:highlight w:val="none"/>
          <w:lang w:eastAsia="zh-CN"/>
        </w:rPr>
        <w:t>。</w:t>
      </w:r>
    </w:p>
    <w:p w14:paraId="001A100C">
      <w:pPr>
        <w:pStyle w:val="37"/>
        <w:widowControl/>
        <w:spacing w:before="75" w:after="75" w:line="420" w:lineRule="exact"/>
        <w:ind w:firstLine="482" w:firstLineChars="200"/>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4.2.投标人资质要求</w:t>
      </w:r>
    </w:p>
    <w:p w14:paraId="622BCE87">
      <w:pPr>
        <w:pStyle w:val="37"/>
        <w:widowControl/>
        <w:spacing w:before="75" w:after="75" w:line="4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4.2.1投标人须具有独立法人资格，持有工商行政管理部门核发的法人营业执照，按国家法律经营。</w:t>
      </w:r>
    </w:p>
    <w:p w14:paraId="19DEBB13">
      <w:pPr>
        <w:pStyle w:val="37"/>
        <w:widowControl/>
        <w:spacing w:before="75" w:after="75" w:line="42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4.2.2投标人应具备建设行政主管部门颁发的以下资质之一：</w:t>
      </w:r>
    </w:p>
    <w:p w14:paraId="34980CDF">
      <w:pPr>
        <w:pStyle w:val="37"/>
        <w:widowControl/>
        <w:spacing w:before="75" w:after="75" w:line="42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1)具备工程设计综合类甲级资质；</w:t>
      </w:r>
    </w:p>
    <w:p w14:paraId="31F20773">
      <w:pPr>
        <w:pStyle w:val="37"/>
        <w:widowControl/>
        <w:spacing w:before="75" w:after="75" w:line="42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2)具备工程设计建筑行业甲资质；</w:t>
      </w:r>
    </w:p>
    <w:p w14:paraId="7D12E140">
      <w:pPr>
        <w:pStyle w:val="37"/>
        <w:widowControl/>
        <w:spacing w:before="75" w:after="75" w:line="42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kern w:val="0"/>
          <w:sz w:val="24"/>
          <w:szCs w:val="24"/>
          <w:highlight w:val="none"/>
        </w:rPr>
        <w:t>具备工程设计建筑行业（建筑工程）专业甲级资质</w:t>
      </w:r>
      <w:r>
        <w:rPr>
          <w:rFonts w:hint="eastAsia" w:ascii="宋体" w:hAnsi="宋体" w:cs="宋体"/>
          <w:color w:val="auto"/>
          <w:kern w:val="0"/>
          <w:sz w:val="24"/>
          <w:szCs w:val="24"/>
          <w:highlight w:val="none"/>
          <w:lang w:eastAsia="zh-CN"/>
        </w:rPr>
        <w:t>。</w:t>
      </w:r>
    </w:p>
    <w:p w14:paraId="19BBD29D">
      <w:pPr>
        <w:pStyle w:val="37"/>
        <w:widowControl/>
        <w:spacing w:before="75" w:after="75" w:line="4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投标人的企业相关证书到期的，均按该证书的发证机构相关行业主管部门最新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p>
    <w:p w14:paraId="2C9B0BD4">
      <w:pPr>
        <w:pStyle w:val="37"/>
        <w:widowControl/>
        <w:spacing w:before="75" w:after="75" w:line="420" w:lineRule="exact"/>
        <w:ind w:firstLine="482" w:firstLineChars="200"/>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4.3.相关人员要求</w:t>
      </w:r>
    </w:p>
    <w:p w14:paraId="1D96DA26">
      <w:pPr>
        <w:pStyle w:val="37"/>
        <w:widowControl/>
        <w:spacing w:before="75" w:after="75" w:line="4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4.3.1投标人拟派项目负责人须具备一级注册建筑师执业资格。</w:t>
      </w:r>
    </w:p>
    <w:p w14:paraId="74E5F388">
      <w:pPr>
        <w:pStyle w:val="37"/>
        <w:widowControl/>
        <w:spacing w:before="75" w:after="75" w:line="4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4.3.2投标人与其拟派往本项目所有人员之间必须具备合法、唯一的劳动聘用关系（非退休返聘人员提供在本单位(或分支机构)缴纳的社保证明即可）。拟派人员中具备注册执业资格的，其注册单位须与投标人保持一致。</w:t>
      </w:r>
    </w:p>
    <w:p w14:paraId="6FF403CB">
      <w:pPr>
        <w:pStyle w:val="37"/>
        <w:widowControl/>
        <w:spacing w:before="75" w:after="75" w:line="420" w:lineRule="exact"/>
        <w:ind w:firstLine="482" w:firstLineChars="200"/>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4.4.禁止投标条款</w:t>
      </w:r>
    </w:p>
    <w:p w14:paraId="4B56710A">
      <w:pPr>
        <w:pStyle w:val="37"/>
        <w:widowControl/>
        <w:spacing w:before="75" w:after="75" w:line="4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4.4.1 投标人不得存在下列情形之一：</w:t>
      </w:r>
    </w:p>
    <w:p w14:paraId="058AFDC7">
      <w:pPr>
        <w:pStyle w:val="37"/>
        <w:widowControl/>
        <w:spacing w:before="75" w:after="75" w:line="4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（1）为招标人不具有独立法人资格的附属机构（单位）；</w:t>
      </w:r>
    </w:p>
    <w:p w14:paraId="5691E440">
      <w:pPr>
        <w:pStyle w:val="37"/>
        <w:widowControl/>
        <w:spacing w:before="75" w:after="75" w:line="4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（2）与招标人存在利害关系且可能影响招标公正性；</w:t>
      </w:r>
    </w:p>
    <w:p w14:paraId="121F31B8">
      <w:pPr>
        <w:pStyle w:val="37"/>
        <w:widowControl/>
        <w:spacing w:before="75" w:after="75" w:line="4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（3）与本招标项目的其他投标人为同一个单位负责人；</w:t>
      </w:r>
    </w:p>
    <w:p w14:paraId="4C378621">
      <w:pPr>
        <w:pStyle w:val="37"/>
        <w:widowControl/>
        <w:spacing w:before="75" w:after="75" w:line="4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（4）与本招标项目的其他投标人存在控股、管理关系；</w:t>
      </w:r>
    </w:p>
    <w:p w14:paraId="30A7921B">
      <w:pPr>
        <w:pStyle w:val="37"/>
        <w:widowControl/>
        <w:spacing w:before="75" w:after="75" w:line="4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（5）为本招标项目的代建人；</w:t>
      </w:r>
    </w:p>
    <w:p w14:paraId="25E929E7">
      <w:pPr>
        <w:pStyle w:val="37"/>
        <w:widowControl/>
        <w:spacing w:before="75" w:after="75" w:line="4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（6）为本招标项目的招标代理机构；</w:t>
      </w:r>
    </w:p>
    <w:p w14:paraId="72876CAA">
      <w:pPr>
        <w:pStyle w:val="37"/>
        <w:widowControl/>
        <w:spacing w:before="75" w:after="75" w:line="4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（7）与本招标项目的代建人或招标代理机构同为一个法定代表人；</w:t>
      </w:r>
    </w:p>
    <w:p w14:paraId="49AEE653">
      <w:pPr>
        <w:pStyle w:val="37"/>
        <w:widowControl/>
        <w:spacing w:before="75" w:after="75" w:line="4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（8）与本招标项目的代建人或招标代理机构存在控股或参股关系；</w:t>
      </w:r>
    </w:p>
    <w:p w14:paraId="419F06BD">
      <w:pPr>
        <w:pStyle w:val="37"/>
        <w:widowControl/>
        <w:spacing w:before="75" w:after="75" w:line="4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（9）被依法暂停或者取消投标资格；</w:t>
      </w:r>
    </w:p>
    <w:p w14:paraId="74CE2E4D">
      <w:pPr>
        <w:pStyle w:val="37"/>
        <w:widowControl/>
        <w:spacing w:before="75" w:after="75" w:line="4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（10）被责令停产停业、暂扣或者吊销许可证、暂扣或者吊销执照；</w:t>
      </w:r>
    </w:p>
    <w:p w14:paraId="12A6C9C3">
      <w:pPr>
        <w:pStyle w:val="37"/>
        <w:widowControl/>
        <w:spacing w:before="75" w:after="75" w:line="4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（11）进入清算程序，或被宣告破产，或其他丧失履约能力的情形；</w:t>
      </w:r>
    </w:p>
    <w:p w14:paraId="1EE7F309">
      <w:pPr>
        <w:pStyle w:val="37"/>
        <w:widowControl/>
        <w:spacing w:before="75" w:after="75" w:line="4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（12）在最近三年内发生重大质量或安全问题（以相关行业主管部门的行政处罚决定或司法机关出具的有关法律文书为准）；</w:t>
      </w:r>
    </w:p>
    <w:p w14:paraId="4B322BF7">
      <w:pPr>
        <w:pStyle w:val="37"/>
        <w:widowControl/>
        <w:spacing w:before="75" w:after="75" w:line="4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（13）被“信用中国”网站（https://www.creditchina.gov.cn）发布的《法人和非法人组织公共信用信息报告》列为严重失信主体名单的。</w:t>
      </w:r>
    </w:p>
    <w:p w14:paraId="53A49B89">
      <w:pPr>
        <w:pStyle w:val="37"/>
        <w:widowControl/>
        <w:spacing w:before="75" w:after="75" w:line="380" w:lineRule="exact"/>
        <w:ind w:firstLine="482" w:firstLineChars="200"/>
        <w:jc w:val="left"/>
        <w:rPr>
          <w:rFonts w:ascii="宋体" w:hAnsi="宋体" w:cs="宋体"/>
          <w:color w:val="auto"/>
          <w:kern w:val="0"/>
          <w:sz w:val="24"/>
          <w:highlight w:val="none"/>
        </w:rPr>
      </w:pPr>
      <w:r>
        <w:rPr>
          <w:rFonts w:hint="eastAsia" w:ascii="宋体" w:hAnsi="宋体" w:cs="宋体"/>
          <w:b/>
          <w:bCs/>
          <w:color w:val="auto"/>
          <w:kern w:val="0"/>
          <w:sz w:val="24"/>
          <w:highlight w:val="none"/>
        </w:rPr>
        <w:t>备注：以上资料均可以由投标单位提交《企业承诺书》形式予以自我澄清。</w:t>
      </w:r>
    </w:p>
    <w:p w14:paraId="2F34ABB4">
      <w:pPr>
        <w:pStyle w:val="37"/>
        <w:widowControl/>
        <w:adjustRightInd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4.4.2招标人拒绝以下名单中的单位参加本次投标：</w:t>
      </w:r>
    </w:p>
    <w:tbl>
      <w:tblPr>
        <w:tblStyle w:val="27"/>
        <w:tblpPr w:leftFromText="180" w:rightFromText="180" w:vertAnchor="text" w:horzAnchor="page" w:tblpX="1492" w:tblpY="425"/>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4140"/>
        <w:gridCol w:w="3901"/>
      </w:tblGrid>
      <w:tr w14:paraId="1B27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8" w:type="dxa"/>
            <w:vAlign w:val="center"/>
          </w:tcPr>
          <w:p w14:paraId="0D824D8C">
            <w:pPr>
              <w:spacing w:line="380" w:lineRule="exact"/>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序号</w:t>
            </w:r>
          </w:p>
        </w:tc>
        <w:tc>
          <w:tcPr>
            <w:tcW w:w="4140" w:type="dxa"/>
            <w:vAlign w:val="center"/>
          </w:tcPr>
          <w:p w14:paraId="663423C4">
            <w:pPr>
              <w:spacing w:line="380" w:lineRule="exact"/>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单位名称</w:t>
            </w:r>
          </w:p>
        </w:tc>
        <w:tc>
          <w:tcPr>
            <w:tcW w:w="3901" w:type="dxa"/>
            <w:vAlign w:val="center"/>
          </w:tcPr>
          <w:p w14:paraId="17363E6C">
            <w:pPr>
              <w:spacing w:line="380" w:lineRule="exact"/>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拒绝原因</w:t>
            </w:r>
          </w:p>
        </w:tc>
      </w:tr>
      <w:tr w14:paraId="5580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918" w:type="dxa"/>
            <w:vAlign w:val="center"/>
          </w:tcPr>
          <w:p w14:paraId="2C8C9E18">
            <w:pPr>
              <w:pStyle w:val="37"/>
              <w:spacing w:line="380" w:lineRule="exact"/>
              <w:jc w:val="center"/>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w:t>
            </w:r>
          </w:p>
        </w:tc>
        <w:tc>
          <w:tcPr>
            <w:tcW w:w="4140" w:type="dxa"/>
            <w:vAlign w:val="center"/>
          </w:tcPr>
          <w:p w14:paraId="3251D578">
            <w:pPr>
              <w:spacing w:line="448" w:lineRule="exact"/>
              <w:jc w:val="left"/>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lang w:eastAsia="zh-CN"/>
              </w:rPr>
              <w:t>韶关市第一人民医院</w:t>
            </w:r>
          </w:p>
        </w:tc>
        <w:tc>
          <w:tcPr>
            <w:tcW w:w="3901" w:type="dxa"/>
            <w:vAlign w:val="center"/>
          </w:tcPr>
          <w:p w14:paraId="52979039">
            <w:pPr>
              <w:wordWrap w:val="0"/>
              <w:adjustRightInd w:val="0"/>
              <w:snapToGrid w:val="0"/>
              <w:spacing w:line="448" w:lineRule="exact"/>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为本招标项目的业主单位和招标人</w:t>
            </w:r>
          </w:p>
        </w:tc>
      </w:tr>
      <w:tr w14:paraId="0132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918" w:type="dxa"/>
            <w:vAlign w:val="center"/>
          </w:tcPr>
          <w:p w14:paraId="14A7CB47">
            <w:pPr>
              <w:pStyle w:val="37"/>
              <w:spacing w:line="380" w:lineRule="exact"/>
              <w:jc w:val="center"/>
              <w:rPr>
                <w:rFonts w:hint="eastAsia" w:ascii="宋体" w:hAnsi="宋体" w:eastAsia="宋体" w:cs="宋体"/>
                <w:snapToGrid w:val="0"/>
                <w:color w:val="auto"/>
                <w:kern w:val="0"/>
                <w:sz w:val="24"/>
                <w:highlight w:val="none"/>
                <w:lang w:val="en-US" w:eastAsia="zh-CN"/>
              </w:rPr>
            </w:pPr>
            <w:r>
              <w:rPr>
                <w:rFonts w:hint="eastAsia" w:ascii="宋体" w:hAnsi="宋体" w:cs="宋体"/>
                <w:snapToGrid w:val="0"/>
                <w:color w:val="auto"/>
                <w:kern w:val="0"/>
                <w:sz w:val="24"/>
                <w:highlight w:val="none"/>
                <w:lang w:val="en-US" w:eastAsia="zh-CN"/>
              </w:rPr>
              <w:t>2</w:t>
            </w:r>
          </w:p>
        </w:tc>
        <w:tc>
          <w:tcPr>
            <w:tcW w:w="4140" w:type="dxa"/>
            <w:vAlign w:val="center"/>
          </w:tcPr>
          <w:p w14:paraId="0A7E869A">
            <w:pPr>
              <w:spacing w:line="448" w:lineRule="exact"/>
              <w:jc w:val="left"/>
              <w:rPr>
                <w:rFonts w:hint="eastAsia" w:ascii="宋体" w:hAnsi="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lang w:eastAsia="zh-CN"/>
              </w:rPr>
              <w:t>广东省国际工程咨询有限公司</w:t>
            </w:r>
          </w:p>
        </w:tc>
        <w:tc>
          <w:tcPr>
            <w:tcW w:w="3901" w:type="dxa"/>
            <w:vAlign w:val="center"/>
          </w:tcPr>
          <w:p w14:paraId="4E05E174">
            <w:pPr>
              <w:wordWrap w:val="0"/>
              <w:adjustRightInd w:val="0"/>
              <w:snapToGrid w:val="0"/>
              <w:spacing w:line="448"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为本项目的可研编制单位</w:t>
            </w:r>
          </w:p>
        </w:tc>
      </w:tr>
      <w:tr w14:paraId="1681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18" w:type="dxa"/>
            <w:vAlign w:val="center"/>
          </w:tcPr>
          <w:p w14:paraId="2971EFFA">
            <w:pPr>
              <w:pStyle w:val="37"/>
              <w:spacing w:line="380" w:lineRule="exact"/>
              <w:jc w:val="center"/>
              <w:rPr>
                <w:rFonts w:hint="eastAsia" w:ascii="宋体" w:hAnsi="宋体" w:eastAsia="宋体" w:cs="宋体"/>
                <w:snapToGrid w:val="0"/>
                <w:color w:val="auto"/>
                <w:kern w:val="0"/>
                <w:sz w:val="24"/>
                <w:highlight w:val="none"/>
                <w:lang w:eastAsia="zh-CN"/>
              </w:rPr>
            </w:pPr>
            <w:r>
              <w:rPr>
                <w:rFonts w:hint="eastAsia" w:ascii="宋体" w:hAnsi="宋体" w:cs="宋体"/>
                <w:snapToGrid w:val="0"/>
                <w:color w:val="auto"/>
                <w:kern w:val="0"/>
                <w:sz w:val="24"/>
                <w:highlight w:val="none"/>
                <w:lang w:val="en-US" w:eastAsia="zh-CN"/>
              </w:rPr>
              <w:t>3</w:t>
            </w:r>
          </w:p>
        </w:tc>
        <w:tc>
          <w:tcPr>
            <w:tcW w:w="4140" w:type="dxa"/>
            <w:vAlign w:val="center"/>
          </w:tcPr>
          <w:p w14:paraId="398F9F20">
            <w:pPr>
              <w:wordWrap w:val="0"/>
              <w:adjustRightInd w:val="0"/>
              <w:snapToGrid w:val="0"/>
              <w:spacing w:line="448" w:lineRule="exact"/>
              <w:jc w:val="left"/>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lang w:eastAsia="zh-CN"/>
              </w:rPr>
              <w:t>广东省机电设备招标有限公司</w:t>
            </w:r>
          </w:p>
        </w:tc>
        <w:tc>
          <w:tcPr>
            <w:tcW w:w="3901" w:type="dxa"/>
            <w:vAlign w:val="center"/>
          </w:tcPr>
          <w:p w14:paraId="70570ACF">
            <w:pPr>
              <w:wordWrap w:val="0"/>
              <w:adjustRightInd w:val="0"/>
              <w:snapToGrid w:val="0"/>
              <w:spacing w:line="448" w:lineRule="exact"/>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为本招标项目的招标代理机构</w:t>
            </w:r>
          </w:p>
        </w:tc>
      </w:tr>
    </w:tbl>
    <w:p w14:paraId="7628C509">
      <w:pPr>
        <w:pStyle w:val="37"/>
        <w:widowControl/>
        <w:adjustRightInd w:val="0"/>
        <w:snapToGrid w:val="0"/>
        <w:spacing w:before="75" w:after="75" w:line="47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4.5其他要求</w:t>
      </w:r>
    </w:p>
    <w:bookmarkEnd w:id="43"/>
    <w:p w14:paraId="3F8D451E">
      <w:pPr>
        <w:pStyle w:val="36"/>
        <w:spacing w:line="470" w:lineRule="exact"/>
        <w:ind w:firstLine="480" w:firstLineChars="200"/>
        <w:rPr>
          <w:rFonts w:hint="eastAsia" w:hAnsi="宋体" w:cs="宋体"/>
          <w:color w:val="auto"/>
          <w:szCs w:val="24"/>
          <w:highlight w:val="none"/>
        </w:rPr>
      </w:pPr>
      <w:bookmarkStart w:id="47" w:name="_Toc22294"/>
      <w:bookmarkStart w:id="48" w:name="_Toc4341"/>
      <w:r>
        <w:rPr>
          <w:rFonts w:hint="eastAsia" w:hAnsi="宋体" w:cs="宋体"/>
          <w:color w:val="auto"/>
          <w:szCs w:val="24"/>
          <w:highlight w:val="none"/>
        </w:rPr>
        <w:t>省外建筑企业（组成联合体时指联合体各方）按《广东省住房和城乡建设厅关于取消省外建筑企业和人员进粤信息备案有关工作的通知》（粤建市﹝2015﹞52号）要求在“进粤企业和人员诚信信息登记平台”录入相关信息并通过数据规范检查。</w:t>
      </w:r>
      <w:bookmarkEnd w:id="47"/>
    </w:p>
    <w:p w14:paraId="60E03207">
      <w:pPr>
        <w:pStyle w:val="3"/>
        <w:numPr>
          <w:ilvl w:val="1"/>
          <w:numId w:val="0"/>
        </w:numPr>
        <w:spacing w:before="158" w:after="0" w:afterLines="0"/>
        <w:ind w:left="420" w:leftChars="200"/>
        <w:rPr>
          <w:color w:val="auto"/>
          <w:highlight w:val="none"/>
        </w:rPr>
      </w:pPr>
      <w:bookmarkStart w:id="49" w:name="_Toc13120"/>
      <w:r>
        <w:rPr>
          <w:rFonts w:hint="eastAsia"/>
          <w:color w:val="auto"/>
          <w:highlight w:val="none"/>
        </w:rPr>
        <w:t>5.</w:t>
      </w:r>
      <w:bookmarkEnd w:id="48"/>
      <w:r>
        <w:rPr>
          <w:rFonts w:hint="eastAsia"/>
          <w:color w:val="auto"/>
          <w:highlight w:val="none"/>
        </w:rPr>
        <w:t>获取招标文件</w:t>
      </w:r>
      <w:bookmarkEnd w:id="49"/>
    </w:p>
    <w:p w14:paraId="075C4C76">
      <w:pPr>
        <w:pStyle w:val="36"/>
        <w:spacing w:line="470" w:lineRule="exact"/>
        <w:ind w:firstLine="480" w:firstLineChars="200"/>
        <w:rPr>
          <w:rFonts w:hAnsi="宋体" w:cs="宋体"/>
          <w:color w:val="auto"/>
          <w:szCs w:val="24"/>
          <w:highlight w:val="none"/>
        </w:rPr>
      </w:pPr>
      <w:r>
        <w:rPr>
          <w:rFonts w:hint="eastAsia" w:hAnsi="宋体" w:cs="宋体"/>
          <w:color w:val="auto"/>
          <w:szCs w:val="24"/>
          <w:highlight w:val="none"/>
        </w:rPr>
        <w:t>5.1 本次招标实行电子投标。本项目招标文件随招标公告一并在全国公共资源交易平台（广东省·韶关市）（https://ygp.gdzwfw.gov.cn/ggzy-portal/#/440200/index）网站发布，招标文件一经在全国公共资源交易平台（广东省·韶关市）发布，视为发送投标人，招标文件及相关附件由投标人自行在全国公共资源交易平台（广东省·韶关市）网站下载。投标人请于招标文件获取期间（见本章第二节“重要事项时间地点一览表”）登录全国公共资源交易平台（广东省·韶关市）（https://ygp.gdzwfw.gov.cn/ggzy-portal/#/440200/index）进行下载招标文件及相关附件，并于电子投标截止时间（见本章第二节“重要事项时间地点一览表”）前完成电子投标。</w:t>
      </w:r>
    </w:p>
    <w:p w14:paraId="45BDCA6B">
      <w:pPr>
        <w:pStyle w:val="36"/>
        <w:wordWrap w:val="0"/>
        <w:spacing w:line="470" w:lineRule="exact"/>
        <w:ind w:firstLine="480" w:firstLineChars="200"/>
        <w:jc w:val="left"/>
        <w:rPr>
          <w:rFonts w:hAnsi="宋体" w:cs="宋体"/>
          <w:color w:val="auto"/>
          <w:szCs w:val="24"/>
          <w:highlight w:val="none"/>
        </w:rPr>
      </w:pPr>
      <w:r>
        <w:rPr>
          <w:rFonts w:hint="eastAsia" w:hAnsi="宋体" w:cs="宋体"/>
          <w:color w:val="auto"/>
          <w:szCs w:val="24"/>
          <w:highlight w:val="none"/>
        </w:rPr>
        <w:t>投标人可登录全国公共资源交易平台（广东省·韶关市）（https://ygp.gdzwfw.gov.cn/ggzy-portal/#/440200/index），在【服务指南】栏目中下载《韶关市公共资源建设工程交易系统-投标人操作指南》，了解网上获取招标文件操作流程。技术咨询电话：18819797080/0751-8379671 伍先生，业务咨询电话：0751-8633211、8633071。</w:t>
      </w:r>
    </w:p>
    <w:p w14:paraId="283587D9">
      <w:pPr>
        <w:pStyle w:val="36"/>
        <w:spacing w:line="470" w:lineRule="exact"/>
        <w:ind w:firstLine="480" w:firstLineChars="200"/>
        <w:rPr>
          <w:rFonts w:hAnsi="宋体" w:cs="宋体"/>
          <w:color w:val="auto"/>
          <w:szCs w:val="24"/>
          <w:highlight w:val="none"/>
        </w:rPr>
      </w:pPr>
      <w:r>
        <w:rPr>
          <w:rFonts w:hint="eastAsia" w:hAnsi="宋体" w:cs="宋体"/>
          <w:color w:val="auto"/>
          <w:szCs w:val="24"/>
          <w:highlight w:val="none"/>
        </w:rPr>
        <w:t>5.2 只有申领了数字证书（CA）、“粤企签”或GDCA/SZCA/NETCA等符合法律法规规定的电子印章，并在交易系统中完成企业信息数据入库的投标人，方可使用建设工程交易系统进行招标文件及相关附件的获取和电子投标。首次在韶关市参与建设工程招标投标活动的投标人，必须在平台系统上传企业相关资料办理企业入库事宜。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7E2B5DDC">
      <w:pPr>
        <w:pStyle w:val="36"/>
        <w:spacing w:line="470" w:lineRule="exact"/>
        <w:ind w:firstLine="482" w:firstLineChars="200"/>
        <w:rPr>
          <w:rFonts w:hAnsi="宋体" w:cs="宋体"/>
          <w:color w:val="auto"/>
          <w:kern w:val="0"/>
          <w:szCs w:val="24"/>
          <w:highlight w:val="none"/>
        </w:rPr>
      </w:pPr>
      <w:r>
        <w:rPr>
          <w:rFonts w:hint="eastAsia" w:hAnsi="宋体" w:cs="宋体"/>
          <w:b/>
          <w:bCs/>
          <w:color w:val="auto"/>
          <w:szCs w:val="24"/>
          <w:highlight w:val="none"/>
        </w:rPr>
        <w:t>电子印章：</w:t>
      </w:r>
      <w:r>
        <w:rPr>
          <w:rFonts w:hint="eastAsia" w:hAnsi="宋体" w:cs="宋体"/>
          <w:color w:val="auto"/>
          <w:szCs w:val="24"/>
          <w:highlight w:val="none"/>
        </w:rPr>
        <w:t>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0CAD70F2">
      <w:pPr>
        <w:pStyle w:val="36"/>
        <w:spacing w:line="470" w:lineRule="exact"/>
        <w:ind w:firstLine="480" w:firstLineChars="200"/>
        <w:rPr>
          <w:rFonts w:hAnsi="宋体" w:cs="宋体"/>
          <w:bCs/>
          <w:color w:val="auto"/>
          <w:szCs w:val="24"/>
          <w:highlight w:val="none"/>
        </w:rPr>
      </w:pPr>
      <w:r>
        <w:rPr>
          <w:rFonts w:hint="eastAsia" w:hAnsi="宋体" w:cs="宋体"/>
          <w:bCs/>
          <w:color w:val="auto"/>
          <w:szCs w:val="24"/>
          <w:highlight w:val="none"/>
        </w:rPr>
        <w:t>5.3 投标保证</w:t>
      </w:r>
      <w:bookmarkStart w:id="50" w:name="_Toc7995"/>
      <w:bookmarkStart w:id="51" w:name="_Toc20945"/>
      <w:bookmarkStart w:id="52" w:name="_Toc358"/>
    </w:p>
    <w:p w14:paraId="1F0CDA9E">
      <w:pPr>
        <w:pStyle w:val="36"/>
        <w:spacing w:line="470" w:lineRule="exact"/>
        <w:ind w:firstLine="480" w:firstLineChars="200"/>
        <w:rPr>
          <w:rFonts w:hAnsi="宋体" w:cs="宋体"/>
          <w:bCs/>
          <w:color w:val="auto"/>
          <w:szCs w:val="24"/>
          <w:highlight w:val="none"/>
        </w:rPr>
      </w:pPr>
      <w:r>
        <w:rPr>
          <w:rFonts w:hint="eastAsia" w:hAnsi="宋体" w:cs="宋体"/>
          <w:bCs/>
          <w:color w:val="auto"/>
          <w:szCs w:val="24"/>
          <w:highlight w:val="none"/>
        </w:rPr>
        <w:t>1.投标人须缴纳金额为：</w:t>
      </w:r>
      <w:r>
        <w:rPr>
          <w:rFonts w:hint="eastAsia" w:hAnsi="宋体" w:cs="宋体"/>
          <w:color w:val="auto"/>
          <w:sz w:val="24"/>
          <w:highlight w:val="none"/>
          <w:u w:val="single"/>
          <w:lang w:val="en-US" w:eastAsia="zh-CN"/>
        </w:rPr>
        <w:t>壹</w:t>
      </w:r>
      <w:r>
        <w:rPr>
          <w:rFonts w:hint="eastAsia" w:ascii="宋体" w:hAnsi="宋体" w:cs="宋体"/>
          <w:color w:val="auto"/>
          <w:sz w:val="24"/>
          <w:highlight w:val="none"/>
          <w:u w:val="single"/>
        </w:rPr>
        <w:t>万元整（¥</w:t>
      </w:r>
      <w:r>
        <w:rPr>
          <w:rFonts w:hint="eastAsia" w:hAnsi="宋体" w:cs="宋体"/>
          <w:color w:val="auto"/>
          <w:sz w:val="24"/>
          <w:highlight w:val="none"/>
          <w:u w:val="single"/>
          <w:lang w:val="en-US" w:eastAsia="zh-CN"/>
        </w:rPr>
        <w:t>1</w:t>
      </w:r>
      <w:r>
        <w:rPr>
          <w:rFonts w:hint="eastAsia" w:ascii="宋体" w:hAnsi="宋体" w:cs="宋体"/>
          <w:color w:val="auto"/>
          <w:sz w:val="24"/>
          <w:highlight w:val="none"/>
          <w:u w:val="single"/>
        </w:rPr>
        <w:t>0</w:t>
      </w:r>
      <w:r>
        <w:rPr>
          <w:rFonts w:hint="eastAsia" w:hAnsi="宋体" w:cs="宋体"/>
          <w:color w:val="auto"/>
          <w:sz w:val="24"/>
          <w:highlight w:val="none"/>
          <w:u w:val="single"/>
          <w:lang w:val="en-US" w:eastAsia="zh-CN"/>
        </w:rPr>
        <w:t>,</w:t>
      </w:r>
      <w:r>
        <w:rPr>
          <w:rFonts w:hint="eastAsia" w:ascii="宋体" w:hAnsi="宋体" w:cs="宋体"/>
          <w:color w:val="auto"/>
          <w:sz w:val="24"/>
          <w:highlight w:val="none"/>
          <w:u w:val="single"/>
        </w:rPr>
        <w:t>000.00）</w:t>
      </w:r>
      <w:r>
        <w:rPr>
          <w:rFonts w:hint="eastAsia" w:hAnsi="宋体" w:cs="宋体"/>
          <w:bCs/>
          <w:color w:val="auto"/>
          <w:szCs w:val="24"/>
          <w:highlight w:val="none"/>
        </w:rPr>
        <w:t>的投标保证。</w:t>
      </w:r>
    </w:p>
    <w:p w14:paraId="2EA7DEC2">
      <w:pPr>
        <w:pStyle w:val="36"/>
        <w:spacing w:line="470" w:lineRule="exact"/>
        <w:ind w:firstLine="480" w:firstLineChars="200"/>
        <w:rPr>
          <w:rFonts w:hAnsi="宋体" w:cs="宋体"/>
          <w:bCs/>
          <w:color w:val="auto"/>
          <w:szCs w:val="24"/>
          <w:highlight w:val="none"/>
        </w:rPr>
      </w:pPr>
      <w:r>
        <w:rPr>
          <w:rFonts w:hint="eastAsia" w:hAnsi="宋体" w:cs="宋体"/>
          <w:bCs/>
          <w:color w:val="auto"/>
          <w:szCs w:val="24"/>
          <w:highlight w:val="none"/>
        </w:rPr>
        <w:t>2.投标保证的形式包括投标保证金、投标保证担保、投标保证保险三种，由投标人自主选择。</w:t>
      </w:r>
    </w:p>
    <w:bookmarkEnd w:id="50"/>
    <w:bookmarkEnd w:id="51"/>
    <w:p w14:paraId="72CA40C9">
      <w:pPr>
        <w:snapToGrid w:val="0"/>
        <w:spacing w:line="360" w:lineRule="auto"/>
        <w:ind w:firstLine="420" w:firstLineChars="175"/>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采用投标保证金的，投标人在建设工程交易系统获取招标文件完毕后，即可在系统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 </w:t>
      </w:r>
    </w:p>
    <w:p w14:paraId="5E07A7DB">
      <w:pPr>
        <w:snapToGrid w:val="0"/>
        <w:spacing w:line="360" w:lineRule="auto"/>
        <w:ind w:firstLine="420" w:firstLineChars="175"/>
        <w:rPr>
          <w:rFonts w:ascii="宋体" w:hAnsi="宋体" w:cs="宋体"/>
          <w:color w:val="auto"/>
          <w:kern w:val="0"/>
          <w:sz w:val="24"/>
          <w:szCs w:val="24"/>
          <w:highlight w:val="none"/>
        </w:rPr>
      </w:pPr>
      <w:r>
        <w:rPr>
          <w:rFonts w:hint="eastAsia" w:ascii="宋体" w:hAnsi="宋体" w:cs="宋体"/>
          <w:color w:val="auto"/>
          <w:kern w:val="0"/>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前，使用工程建设交易系统完成网上办理电子保函或保证保险。</w:t>
      </w:r>
    </w:p>
    <w:p w14:paraId="3F3E6749">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sz w:val="24"/>
          <w:szCs w:val="24"/>
          <w:highlight w:val="none"/>
        </w:rPr>
        <w:t>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w:t>
      </w:r>
      <w:r>
        <w:rPr>
          <w:rFonts w:hint="eastAsia" w:ascii="宋体" w:hAnsi="宋体" w:cs="宋体"/>
          <w:color w:val="auto"/>
          <w:kern w:val="0"/>
          <w:sz w:val="24"/>
          <w:szCs w:val="24"/>
          <w:highlight w:val="none"/>
        </w:rPr>
        <w:t>全国公共资源交易平台（广东省·韶关市）(https://ygp.gdzwfw.gov.cn/ggzy-portal/#/440200/index)</w:t>
      </w:r>
      <w:r>
        <w:rPr>
          <w:rFonts w:hint="eastAsia" w:ascii="宋体" w:hAnsi="宋体" w:cs="宋体"/>
          <w:color w:val="auto"/>
          <w:sz w:val="24"/>
          <w:szCs w:val="24"/>
          <w:highlight w:val="none"/>
        </w:rPr>
        <w:t>，在【交易指引】栏目中下载《建设工程网上交易系统保险保证金缴纳操作指南》，了解网上投保具体操作流程。逾期投保的，其投标无效。</w:t>
      </w:r>
    </w:p>
    <w:p w14:paraId="625C8E41">
      <w:pPr>
        <w:adjustRightInd w:val="0"/>
        <w:snapToGrid w:val="0"/>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6F768E9B">
      <w:pPr>
        <w:pStyle w:val="3"/>
        <w:numPr>
          <w:ilvl w:val="1"/>
          <w:numId w:val="0"/>
        </w:numPr>
        <w:spacing w:before="158" w:after="0" w:afterLines="0"/>
        <w:ind w:firstLine="241" w:firstLineChars="100"/>
        <w:rPr>
          <w:color w:val="auto"/>
          <w:highlight w:val="none"/>
        </w:rPr>
      </w:pPr>
      <w:bookmarkStart w:id="53" w:name="_Toc10064"/>
      <w:r>
        <w:rPr>
          <w:rFonts w:hint="eastAsia"/>
          <w:color w:val="auto"/>
          <w:highlight w:val="none"/>
        </w:rPr>
        <w:t>6</w:t>
      </w:r>
      <w:bookmarkEnd w:id="52"/>
      <w:r>
        <w:rPr>
          <w:rFonts w:hint="eastAsia"/>
          <w:color w:val="auto"/>
          <w:highlight w:val="none"/>
        </w:rPr>
        <w:t>.初步设计工程内容和质量标准</w:t>
      </w:r>
      <w:bookmarkEnd w:id="53"/>
    </w:p>
    <w:p w14:paraId="0BC5F997">
      <w:pPr>
        <w:adjustRightInd w:val="0"/>
        <w:snapToGrid w:val="0"/>
        <w:spacing w:line="47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6.1 本次初步设计工程的内容及要求：</w:t>
      </w:r>
    </w:p>
    <w:p w14:paraId="525971C3">
      <w:pPr>
        <w:adjustRightInd w:val="0"/>
        <w:snapToGrid w:val="0"/>
        <w:spacing w:line="47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本项目工程包括：</w:t>
      </w:r>
      <w:r>
        <w:rPr>
          <w:rFonts w:hint="eastAsia" w:ascii="宋体" w:hAnsi="宋体" w:cs="宋体"/>
          <w:bCs/>
          <w:color w:val="auto"/>
          <w:sz w:val="24"/>
          <w:szCs w:val="24"/>
          <w:highlight w:val="none"/>
          <w:lang w:eastAsia="zh-CN"/>
        </w:rPr>
        <w:t>项目拟对韶关市第一人民医院旧院区进行病房改造及能力提升，项目涉及总建筑面积约4.3万平方米，其中改造面积约4.3万平方米，改造床位约500张，主要改造内容为254个病房楼多人间（3-8 人间）病房改造为2人间及卫生间改造、供电供水系统改造等。本项目完成后，医院床位数保持不变</w:t>
      </w:r>
      <w:r>
        <w:rPr>
          <w:rFonts w:hint="eastAsia" w:ascii="宋体" w:hAnsi="宋体" w:cs="宋体"/>
          <w:bCs/>
          <w:color w:val="auto"/>
          <w:sz w:val="24"/>
          <w:szCs w:val="24"/>
          <w:highlight w:val="none"/>
        </w:rPr>
        <w:t>。</w:t>
      </w:r>
    </w:p>
    <w:p w14:paraId="2F511529">
      <w:pPr>
        <w:adjustRightInd w:val="0"/>
        <w:snapToGrid w:val="0"/>
        <w:spacing w:line="47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承包内容：中标单位按合同约定的招标文件内容要求、法律法规及国家强制性标准要求提供完整的完善方案设计、初步设计及概算</w:t>
      </w:r>
      <w:r>
        <w:rPr>
          <w:rFonts w:hint="eastAsia" w:ascii="宋体" w:hAnsi="宋体" w:cs="宋体"/>
          <w:bCs/>
          <w:color w:val="auto"/>
          <w:sz w:val="24"/>
          <w:szCs w:val="24"/>
          <w:highlight w:val="none"/>
          <w:lang w:eastAsia="zh-CN"/>
        </w:rPr>
        <w:t>编制</w:t>
      </w:r>
      <w:r>
        <w:rPr>
          <w:rFonts w:hint="eastAsia" w:ascii="宋体" w:hAnsi="宋体" w:cs="宋体"/>
          <w:bCs/>
          <w:color w:val="auto"/>
          <w:sz w:val="24"/>
          <w:szCs w:val="24"/>
          <w:highlight w:val="none"/>
        </w:rPr>
        <w:t>及建设期间的服务等内容。</w:t>
      </w:r>
    </w:p>
    <w:p w14:paraId="25BC161D">
      <w:pPr>
        <w:adjustRightInd w:val="0"/>
        <w:snapToGrid w:val="0"/>
        <w:spacing w:line="47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项目成果要求：项目计算书8套及原始数据，提供的所有资料均含电子光盘1张（含可编辑的CAD文件和PDF文件格式）。</w:t>
      </w:r>
    </w:p>
    <w:p w14:paraId="7E4E8D3D">
      <w:pPr>
        <w:adjustRightInd w:val="0"/>
        <w:snapToGrid w:val="0"/>
        <w:spacing w:line="47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6.2 设计要求的质量标准：必须</w:t>
      </w:r>
      <w:r>
        <w:rPr>
          <w:rFonts w:hint="eastAsia" w:ascii="宋体" w:hAnsi="宋体" w:cs="宋体"/>
          <w:bCs/>
          <w:color w:val="auto"/>
          <w:sz w:val="24"/>
          <w:szCs w:val="24"/>
          <w:highlight w:val="none"/>
          <w:lang w:eastAsia="zh-CN"/>
        </w:rPr>
        <w:t>符合国家、地方法律法规、设计规范及行业标准，</w:t>
      </w:r>
      <w:r>
        <w:rPr>
          <w:rFonts w:ascii="宋体" w:hAnsi="宋体" w:eastAsia="宋体" w:cs="宋体"/>
          <w:color w:val="auto"/>
          <w:sz w:val="24"/>
          <w:szCs w:val="24"/>
          <w:highlight w:val="none"/>
        </w:rPr>
        <w:t>达到国家</w:t>
      </w:r>
      <w:r>
        <w:rPr>
          <w:rFonts w:hint="eastAsia" w:ascii="宋体" w:hAnsi="宋体" w:eastAsia="宋体" w:cs="宋体"/>
          <w:bCs/>
          <w:color w:val="auto"/>
          <w:sz w:val="24"/>
          <w:szCs w:val="24"/>
          <w:highlight w:val="none"/>
        </w:rPr>
        <w:t>规定的</w:t>
      </w:r>
      <w:r>
        <w:rPr>
          <w:rFonts w:hint="eastAsia" w:ascii="宋体" w:hAnsi="宋体" w:eastAsia="宋体" w:cs="宋体"/>
          <w:bCs/>
          <w:color w:val="auto"/>
          <w:sz w:val="24"/>
          <w:szCs w:val="24"/>
          <w:highlight w:val="none"/>
          <w:lang w:eastAsia="zh-CN"/>
        </w:rPr>
        <w:t>编制</w:t>
      </w:r>
      <w:r>
        <w:rPr>
          <w:rFonts w:hint="eastAsia" w:ascii="宋体" w:hAnsi="宋体" w:eastAsia="宋体" w:cs="宋体"/>
          <w:bCs/>
          <w:color w:val="auto"/>
          <w:sz w:val="24"/>
          <w:szCs w:val="24"/>
          <w:highlight w:val="none"/>
        </w:rPr>
        <w:t>深度</w:t>
      </w:r>
      <w:r>
        <w:rPr>
          <w:rFonts w:hint="eastAsia" w:ascii="宋体" w:hAnsi="宋体" w:eastAsia="宋体" w:cs="宋体"/>
          <w:bCs/>
          <w:color w:val="auto"/>
          <w:sz w:val="24"/>
          <w:szCs w:val="24"/>
          <w:highlight w:val="none"/>
          <w:lang w:eastAsia="zh-CN"/>
        </w:rPr>
        <w:t>要求，通过</w:t>
      </w:r>
      <w:r>
        <w:rPr>
          <w:rFonts w:hint="eastAsia" w:ascii="宋体" w:hAnsi="宋体" w:eastAsia="宋体" w:cs="宋体"/>
          <w:bCs/>
          <w:color w:val="auto"/>
          <w:sz w:val="24"/>
          <w:szCs w:val="24"/>
          <w:highlight w:val="none"/>
        </w:rPr>
        <w:t>建设行政主管部门</w:t>
      </w:r>
      <w:r>
        <w:rPr>
          <w:rFonts w:hint="eastAsia" w:ascii="宋体" w:hAnsi="宋体" w:cs="宋体"/>
          <w:bCs/>
          <w:color w:val="auto"/>
          <w:sz w:val="24"/>
          <w:szCs w:val="24"/>
          <w:highlight w:val="none"/>
          <w:lang w:eastAsia="zh-CN"/>
        </w:rPr>
        <w:t>审查及</w:t>
      </w:r>
      <w:r>
        <w:rPr>
          <w:rFonts w:hint="eastAsia" w:ascii="宋体" w:hAnsi="宋体" w:eastAsia="宋体" w:cs="宋体"/>
          <w:bCs/>
          <w:color w:val="auto"/>
          <w:sz w:val="24"/>
          <w:szCs w:val="24"/>
          <w:highlight w:val="none"/>
          <w:lang w:eastAsia="zh-CN"/>
        </w:rPr>
        <w:t>甲方或其他相关部门的评审</w:t>
      </w:r>
      <w:r>
        <w:rPr>
          <w:rFonts w:hint="eastAsia" w:ascii="宋体" w:hAnsi="宋体" w:cs="宋体"/>
          <w:bCs/>
          <w:color w:val="auto"/>
          <w:sz w:val="24"/>
          <w:szCs w:val="24"/>
          <w:highlight w:val="none"/>
        </w:rPr>
        <w:t>。</w:t>
      </w:r>
    </w:p>
    <w:p w14:paraId="40512853">
      <w:pPr>
        <w:adjustRightInd w:val="0"/>
        <w:snapToGrid w:val="0"/>
        <w:spacing w:line="47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6.3 设计人要根据现场实际情况、业主要求，优化设计，控制建设成本，限额设计。设计人要无条件对设计文件出现的遗漏或错误负责修改或补充，直到满足要求。</w:t>
      </w:r>
    </w:p>
    <w:p w14:paraId="2713861F">
      <w:pPr>
        <w:adjustRightInd w:val="0"/>
        <w:snapToGrid w:val="0"/>
        <w:spacing w:line="470" w:lineRule="exact"/>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rPr>
        <w:t>6.</w:t>
      </w:r>
      <w:r>
        <w:rPr>
          <w:rFonts w:hint="eastAsia" w:ascii="宋体" w:hAnsi="宋体" w:cs="宋体"/>
          <w:b/>
          <w:color w:val="auto"/>
          <w:sz w:val="24"/>
          <w:szCs w:val="24"/>
          <w:highlight w:val="none"/>
          <w:lang w:val="en-US" w:eastAsia="zh-CN"/>
        </w:rPr>
        <w:t>5</w:t>
      </w:r>
      <w:r>
        <w:rPr>
          <w:rFonts w:hint="eastAsia" w:ascii="宋体" w:hAnsi="宋体" w:cs="宋体"/>
          <w:b/>
          <w:color w:val="auto"/>
          <w:sz w:val="24"/>
          <w:szCs w:val="24"/>
          <w:highlight w:val="none"/>
        </w:rPr>
        <w:t xml:space="preserve"> 关于初步设计的要求</w:t>
      </w:r>
    </w:p>
    <w:p w14:paraId="3BF74A0D">
      <w:pPr>
        <w:adjustRightInd w:val="0"/>
        <w:snapToGrid w:val="0"/>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.1 按国家及地方现行的勘察设计文件深度规定等有关技术标准、设计规范（标准）要求。</w:t>
      </w:r>
    </w:p>
    <w:p w14:paraId="74F093E0">
      <w:pPr>
        <w:adjustRightInd w:val="0"/>
        <w:snapToGrid w:val="0"/>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.2 各专业设计应同步进行，设计单位应指定总体设计人统筹布局，做好各项设施的协调和衔接、位置预留，不得留待施工中临时变更。</w:t>
      </w:r>
    </w:p>
    <w:p w14:paraId="698AE0AE">
      <w:pPr>
        <w:adjustRightInd w:val="0"/>
        <w:snapToGrid w:val="0"/>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 对技术复杂或造价、规模较大的主要分项工程应作方案比较。</w:t>
      </w:r>
    </w:p>
    <w:p w14:paraId="087FE55A">
      <w:pPr>
        <w:adjustRightInd w:val="0"/>
        <w:snapToGrid w:val="0"/>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.4 初步设计文件的深度，应当满足主要设备材料订货、征地拆迁及编制施工图设计文件的需要。</w:t>
      </w:r>
    </w:p>
    <w:p w14:paraId="1FBF7E21">
      <w:pPr>
        <w:adjustRightInd w:val="0"/>
        <w:snapToGrid w:val="0"/>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.5 相关的配套外部接口方案均需取得政府主管部门或规划部门认可。</w:t>
      </w:r>
    </w:p>
    <w:p w14:paraId="76CFC9A9">
      <w:pPr>
        <w:adjustRightInd w:val="0"/>
        <w:snapToGrid w:val="0"/>
        <w:spacing w:line="470" w:lineRule="exact"/>
        <w:ind w:firstLine="241" w:firstLineChars="100"/>
        <w:rPr>
          <w:rFonts w:ascii="宋体" w:hAnsi="宋体" w:cs="宋体"/>
          <w:b/>
          <w:bCs/>
          <w:color w:val="auto"/>
          <w:sz w:val="24"/>
          <w:szCs w:val="24"/>
          <w:highlight w:val="none"/>
        </w:rPr>
      </w:pPr>
      <w:r>
        <w:rPr>
          <w:rFonts w:hint="eastAsia" w:ascii="宋体" w:hAnsi="宋体" w:cs="宋体"/>
          <w:b/>
          <w:bCs/>
          <w:color w:val="auto"/>
          <w:sz w:val="24"/>
          <w:szCs w:val="24"/>
          <w:highlight w:val="none"/>
        </w:rPr>
        <w:t>6.</w:t>
      </w: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设计单位配合施工、监理招标及施工的工作内容如下：</w:t>
      </w:r>
    </w:p>
    <w:p w14:paraId="2A42D6F7">
      <w:pPr>
        <w:tabs>
          <w:tab w:val="left" w:pos="0"/>
          <w:tab w:val="left" w:pos="1080"/>
        </w:tabs>
        <w:adjustRightInd w:val="0"/>
        <w:snapToGrid w:val="0"/>
        <w:spacing w:line="47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初步设计（技术）交底；</w:t>
      </w:r>
    </w:p>
    <w:p w14:paraId="1EBD913B">
      <w:pPr>
        <w:tabs>
          <w:tab w:val="left" w:pos="0"/>
          <w:tab w:val="left" w:pos="1080"/>
        </w:tabs>
        <w:adjustRightInd w:val="0"/>
        <w:snapToGrid w:val="0"/>
        <w:spacing w:line="47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w:t>
      </w:r>
      <w:r>
        <w:rPr>
          <w:rFonts w:hint="eastAsia" w:ascii="宋体" w:hAnsi="宋体" w:cs="宋体"/>
          <w:color w:val="auto"/>
          <w:sz w:val="24"/>
          <w:szCs w:val="24"/>
          <w:highlight w:val="none"/>
        </w:rPr>
        <w:t>参加处理施工中发生的工程质量和安全事故；</w:t>
      </w:r>
    </w:p>
    <w:p w14:paraId="689A4109">
      <w:pPr>
        <w:tabs>
          <w:tab w:val="left" w:pos="0"/>
          <w:tab w:val="left" w:pos="1080"/>
        </w:tabs>
        <w:adjustRightInd w:val="0"/>
        <w:snapToGrid w:val="0"/>
        <w:spacing w:line="47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w:t>
      </w:r>
      <w:r>
        <w:rPr>
          <w:rFonts w:hint="eastAsia" w:ascii="宋体" w:hAnsi="宋体" w:cs="宋体"/>
          <w:color w:val="auto"/>
          <w:sz w:val="24"/>
          <w:szCs w:val="24"/>
          <w:highlight w:val="none"/>
        </w:rPr>
        <w:t>解决与设计有关的施工问题；</w:t>
      </w:r>
    </w:p>
    <w:p w14:paraId="1F3F6AD3">
      <w:pPr>
        <w:tabs>
          <w:tab w:val="left" w:pos="0"/>
          <w:tab w:val="left" w:pos="1080"/>
        </w:tabs>
        <w:adjustRightInd w:val="0"/>
        <w:snapToGrid w:val="0"/>
        <w:spacing w:line="47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w:t>
      </w:r>
      <w:r>
        <w:rPr>
          <w:rFonts w:hint="eastAsia" w:ascii="宋体" w:hAnsi="宋体" w:cs="宋体"/>
          <w:color w:val="auto"/>
          <w:sz w:val="24"/>
          <w:szCs w:val="24"/>
          <w:highlight w:val="none"/>
        </w:rPr>
        <w:t>配合质量检测；</w:t>
      </w:r>
    </w:p>
    <w:p w14:paraId="29DB6653">
      <w:pPr>
        <w:tabs>
          <w:tab w:val="left" w:pos="0"/>
          <w:tab w:val="left" w:pos="1080"/>
          <w:tab w:val="left" w:pos="1320"/>
        </w:tabs>
        <w:adjustRightInd w:val="0"/>
        <w:snapToGrid w:val="0"/>
        <w:spacing w:line="47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w:t>
      </w:r>
      <w:r>
        <w:rPr>
          <w:rFonts w:hint="eastAsia" w:ascii="宋体" w:hAnsi="宋体" w:cs="宋体"/>
          <w:color w:val="auto"/>
          <w:sz w:val="24"/>
          <w:szCs w:val="24"/>
          <w:highlight w:val="none"/>
        </w:rPr>
        <w:t>参加本项目建设有关会议；</w:t>
      </w:r>
    </w:p>
    <w:p w14:paraId="4FBCF28E">
      <w:pPr>
        <w:adjustRightInd w:val="0"/>
        <w:snapToGrid w:val="0"/>
        <w:spacing w:line="470" w:lineRule="exact"/>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lang w:eastAsia="zh-CN"/>
        </w:rPr>
        <w:t>6.7</w:t>
      </w:r>
      <w:r>
        <w:rPr>
          <w:rFonts w:hint="eastAsia" w:ascii="宋体" w:hAnsi="宋体" w:cs="宋体"/>
          <w:b/>
          <w:color w:val="auto"/>
          <w:sz w:val="24"/>
          <w:szCs w:val="24"/>
          <w:highlight w:val="none"/>
        </w:rPr>
        <w:t xml:space="preserve"> 限额设计要求：</w:t>
      </w:r>
    </w:p>
    <w:p w14:paraId="678D488A">
      <w:pPr>
        <w:adjustRightInd w:val="0"/>
        <w:snapToGrid w:val="0"/>
        <w:spacing w:line="470" w:lineRule="exact"/>
        <w:ind w:firstLine="480" w:firstLineChars="200"/>
        <w:rPr>
          <w:rFonts w:hint="eastAsia" w:ascii="宋体" w:hAnsi="宋体" w:cs="宋体"/>
          <w:b/>
          <w:color w:val="auto"/>
          <w:sz w:val="24"/>
          <w:szCs w:val="24"/>
          <w:highlight w:val="none"/>
        </w:rPr>
      </w:pPr>
      <w:r>
        <w:rPr>
          <w:rFonts w:hint="eastAsia" w:ascii="宋体" w:hAnsi="宋体" w:cs="宋体"/>
          <w:color w:val="auto"/>
          <w:sz w:val="24"/>
          <w:szCs w:val="24"/>
          <w:highlight w:val="none"/>
          <w:lang w:eastAsia="zh-CN"/>
        </w:rPr>
        <w:t>6.7</w:t>
      </w:r>
      <w:r>
        <w:rPr>
          <w:rFonts w:hint="eastAsia" w:ascii="宋体" w:hAnsi="宋体" w:cs="宋体"/>
          <w:color w:val="auto"/>
          <w:sz w:val="24"/>
          <w:szCs w:val="24"/>
          <w:highlight w:val="none"/>
        </w:rPr>
        <w:t>.1 初步设计概算不超过立项批复相应投资估算，不得超过经批准的初步设计概算中相应的建安工程费。</w:t>
      </w:r>
    </w:p>
    <w:p w14:paraId="1211B75F">
      <w:pPr>
        <w:adjustRightInd w:val="0"/>
        <w:snapToGrid w:val="0"/>
        <w:spacing w:line="470" w:lineRule="exact"/>
        <w:ind w:firstLine="241" w:firstLineChars="100"/>
        <w:rPr>
          <w:rFonts w:ascii="宋体" w:hAnsi="宋体" w:cs="宋体"/>
          <w:color w:val="auto"/>
          <w:sz w:val="24"/>
          <w:szCs w:val="24"/>
          <w:highlight w:val="none"/>
        </w:rPr>
      </w:pPr>
      <w:r>
        <w:rPr>
          <w:rFonts w:hint="eastAsia" w:ascii="宋体" w:hAnsi="宋体" w:cs="宋体"/>
          <w:b/>
          <w:bCs w:val="0"/>
          <w:color w:val="auto"/>
          <w:sz w:val="24"/>
          <w:szCs w:val="24"/>
          <w:highlight w:val="none"/>
        </w:rPr>
        <w:t>6.</w:t>
      </w:r>
      <w:r>
        <w:rPr>
          <w:rFonts w:hint="eastAsia" w:ascii="宋体" w:hAnsi="宋体" w:cs="宋体"/>
          <w:b/>
          <w:bCs w:val="0"/>
          <w:color w:val="auto"/>
          <w:sz w:val="24"/>
          <w:szCs w:val="24"/>
          <w:highlight w:val="none"/>
          <w:lang w:val="en-US" w:eastAsia="zh-CN"/>
        </w:rPr>
        <w:t>8</w:t>
      </w:r>
      <w:r>
        <w:rPr>
          <w:rFonts w:hint="eastAsia" w:ascii="宋体" w:hAnsi="宋体" w:cs="宋体"/>
          <w:b/>
          <w:bCs w:val="0"/>
          <w:color w:val="auto"/>
          <w:sz w:val="24"/>
          <w:szCs w:val="24"/>
          <w:highlight w:val="none"/>
        </w:rPr>
        <w:t xml:space="preserve"> </w:t>
      </w:r>
      <w:r>
        <w:rPr>
          <w:rFonts w:hint="eastAsia" w:ascii="宋体" w:hAnsi="宋体" w:cs="宋体"/>
          <w:color w:val="auto"/>
          <w:sz w:val="24"/>
          <w:szCs w:val="24"/>
          <w:highlight w:val="none"/>
        </w:rPr>
        <w:t>凡参加本次招标的投标人被视为已充分认识和理解了任何与本项目有关的影响事项和困难等情况。</w:t>
      </w:r>
    </w:p>
    <w:p w14:paraId="5FCD9DDB">
      <w:pPr>
        <w:adjustRightInd w:val="0"/>
        <w:snapToGrid w:val="0"/>
        <w:spacing w:line="470" w:lineRule="exact"/>
        <w:ind w:firstLine="0" w:firstLineChars="0"/>
        <w:rPr>
          <w:rFonts w:ascii="宋体" w:hAnsi="宋体" w:cs="宋体"/>
          <w:color w:val="auto"/>
          <w:sz w:val="24"/>
          <w:szCs w:val="24"/>
          <w:highlight w:val="none"/>
          <w:lang w:val="zh-CN"/>
        </w:rPr>
      </w:pPr>
      <w:r>
        <w:rPr>
          <w:rFonts w:hint="eastAsia" w:ascii="宋体" w:hAnsi="宋体" w:cs="宋体"/>
          <w:b/>
          <w:color w:val="auto"/>
          <w:sz w:val="24"/>
          <w:szCs w:val="24"/>
          <w:highlight w:val="none"/>
          <w:u w:val="single"/>
        </w:rPr>
        <w:t>（注：招标人在实施过程中可根据实际情况对工程规模、任务内容等进行合理、适当调整。）</w:t>
      </w:r>
    </w:p>
    <w:p w14:paraId="28641252">
      <w:pPr>
        <w:pStyle w:val="3"/>
        <w:numPr>
          <w:ilvl w:val="1"/>
          <w:numId w:val="0"/>
        </w:numPr>
        <w:spacing w:before="158" w:after="0" w:afterLines="0"/>
        <w:ind w:left="420" w:leftChars="200"/>
        <w:rPr>
          <w:rFonts w:ascii="Times New Roman" w:hAnsi="Times New Roman"/>
          <w:color w:val="auto"/>
          <w:highlight w:val="none"/>
        </w:rPr>
      </w:pPr>
      <w:bookmarkStart w:id="54" w:name="_Toc7567"/>
      <w:bookmarkStart w:id="55" w:name="_Toc11621"/>
      <w:r>
        <w:rPr>
          <w:rFonts w:hint="eastAsia" w:ascii="Times New Roman" w:hAnsi="Times New Roman"/>
          <w:color w:val="auto"/>
          <w:highlight w:val="none"/>
        </w:rPr>
        <w:t>7</w:t>
      </w:r>
      <w:bookmarkEnd w:id="54"/>
      <w:r>
        <w:rPr>
          <w:rFonts w:hint="eastAsia" w:ascii="Times New Roman" w:hAnsi="Times New Roman"/>
          <w:color w:val="auto"/>
          <w:highlight w:val="none"/>
        </w:rPr>
        <w:t>.现场踏勘</w:t>
      </w:r>
      <w:bookmarkEnd w:id="55"/>
    </w:p>
    <w:p w14:paraId="6F3CADED">
      <w:pPr>
        <w:pStyle w:val="36"/>
        <w:spacing w:line="470" w:lineRule="exact"/>
        <w:ind w:firstLine="480" w:firstLineChars="200"/>
        <w:rPr>
          <w:rFonts w:hAnsi="宋体" w:cs="宋体"/>
          <w:color w:val="auto"/>
          <w:szCs w:val="24"/>
          <w:highlight w:val="none"/>
        </w:rPr>
      </w:pPr>
      <w:r>
        <w:rPr>
          <w:rFonts w:hint="eastAsia" w:hAnsi="宋体" w:cs="宋体"/>
          <w:color w:val="auto"/>
          <w:szCs w:val="24"/>
          <w:highlight w:val="none"/>
        </w:rPr>
        <w:t>7.1 招标人不集中现场踏勘。投标人需要了解现场情况的，可自行进行现场踏勘。</w:t>
      </w:r>
    </w:p>
    <w:p w14:paraId="069BEFAF">
      <w:pPr>
        <w:pStyle w:val="36"/>
        <w:spacing w:line="470" w:lineRule="exact"/>
        <w:ind w:firstLine="480" w:firstLineChars="200"/>
        <w:rPr>
          <w:rFonts w:hAnsi="宋体" w:cs="宋体"/>
          <w:color w:val="auto"/>
          <w:szCs w:val="24"/>
          <w:highlight w:val="none"/>
        </w:rPr>
      </w:pPr>
      <w:r>
        <w:rPr>
          <w:rFonts w:hint="eastAsia" w:hAnsi="宋体" w:cs="宋体"/>
          <w:color w:val="auto"/>
          <w:szCs w:val="24"/>
          <w:highlight w:val="none"/>
        </w:rPr>
        <w:t>7.2 在现场踏勘过程中，投标人应确保自身安全，投标人如果发生人身伤亡、财物或其他损失，法律法规有规定的按有关规定处理，没有规定的由投标人自行负责。</w:t>
      </w:r>
    </w:p>
    <w:p w14:paraId="69EE9075">
      <w:pPr>
        <w:pStyle w:val="36"/>
        <w:spacing w:line="470" w:lineRule="exact"/>
        <w:ind w:firstLine="480" w:firstLineChars="200"/>
        <w:rPr>
          <w:rFonts w:hAnsi="宋体" w:cs="宋体"/>
          <w:color w:val="auto"/>
          <w:szCs w:val="24"/>
          <w:highlight w:val="none"/>
        </w:rPr>
      </w:pPr>
      <w:r>
        <w:rPr>
          <w:rFonts w:hint="eastAsia" w:hAnsi="宋体" w:cs="宋体"/>
          <w:color w:val="auto"/>
          <w:szCs w:val="24"/>
          <w:highlight w:val="none"/>
        </w:rPr>
        <w:t>7.3 现场踏勘期间的交通、食宿由投标人自行安排，费用自理。</w:t>
      </w:r>
    </w:p>
    <w:p w14:paraId="2DC6EB52">
      <w:pPr>
        <w:pStyle w:val="3"/>
        <w:numPr>
          <w:ilvl w:val="1"/>
          <w:numId w:val="0"/>
        </w:numPr>
        <w:spacing w:before="158" w:after="0" w:afterLines="0"/>
        <w:ind w:left="420" w:leftChars="200"/>
        <w:rPr>
          <w:rFonts w:ascii="Times New Roman" w:hAnsi="Times New Roman"/>
          <w:color w:val="auto"/>
          <w:highlight w:val="none"/>
        </w:rPr>
      </w:pPr>
      <w:bookmarkStart w:id="56" w:name="_Toc6699"/>
      <w:bookmarkStart w:id="57" w:name="_Toc16520"/>
      <w:r>
        <w:rPr>
          <w:rFonts w:hint="eastAsia" w:ascii="Times New Roman" w:hAnsi="Times New Roman"/>
          <w:color w:val="auto"/>
          <w:highlight w:val="none"/>
        </w:rPr>
        <w:t>8.招标答疑</w:t>
      </w:r>
      <w:bookmarkEnd w:id="56"/>
      <w:bookmarkEnd w:id="57"/>
      <w:bookmarkStart w:id="58" w:name="_Hlt74496410"/>
      <w:bookmarkEnd w:id="58"/>
    </w:p>
    <w:p w14:paraId="3755A096">
      <w:pPr>
        <w:pStyle w:val="36"/>
        <w:wordWrap w:val="0"/>
        <w:spacing w:line="470" w:lineRule="exact"/>
        <w:ind w:firstLine="480" w:firstLineChars="200"/>
        <w:jc w:val="left"/>
        <w:rPr>
          <w:rFonts w:hAnsi="宋体" w:cs="宋体"/>
          <w:color w:val="auto"/>
          <w:szCs w:val="24"/>
          <w:highlight w:val="none"/>
        </w:rPr>
      </w:pPr>
      <w:r>
        <w:rPr>
          <w:rFonts w:hint="eastAsia" w:hAnsi="宋体" w:cs="宋体"/>
          <w:color w:val="auto"/>
          <w:szCs w:val="24"/>
          <w:highlight w:val="none"/>
        </w:rPr>
        <w:t>8.1 招标人及招标代理机构不集中组织答疑，实行网上答疑。投标人对招标事宜的质疑以不署名的形式登录全国公共资源交易平台（广东省·韶关市）（https://ygp.gdzwfw.gov.cn/ggzy-portal/#/440200/index）网站，进入建设工程交易系统提出招标质疑，截标前10日停止质疑。招标人应当自收到异议之日起3日内做出答复，并形成答疑书（或补充通知）报相关行政主管部门备案后在报名网站上发布。答疑书（或补充通知）作为招标文件的补充，是招标文件的组成部分，在网上向所有投标人公开。</w:t>
      </w:r>
    </w:p>
    <w:p w14:paraId="6A975C79">
      <w:pPr>
        <w:pStyle w:val="36"/>
        <w:spacing w:line="470" w:lineRule="exact"/>
        <w:ind w:firstLine="480" w:firstLineChars="200"/>
        <w:rPr>
          <w:rFonts w:hAnsi="宋体" w:cs="宋体"/>
          <w:color w:val="auto"/>
          <w:szCs w:val="24"/>
          <w:highlight w:val="none"/>
        </w:rPr>
      </w:pPr>
      <w:r>
        <w:rPr>
          <w:rFonts w:hint="eastAsia" w:hAnsi="宋体" w:cs="宋体"/>
          <w:color w:val="auto"/>
          <w:szCs w:val="24"/>
          <w:highlight w:val="none"/>
        </w:rPr>
        <w:t>8.2 若由于投标人自身原因未及时获得答疑书（或补充通知），由此发生的任何责任由投标人自行承担。</w:t>
      </w:r>
    </w:p>
    <w:p w14:paraId="64A21B8E">
      <w:pPr>
        <w:pStyle w:val="36"/>
        <w:spacing w:line="470" w:lineRule="exact"/>
        <w:ind w:firstLine="480" w:firstLineChars="200"/>
        <w:rPr>
          <w:rFonts w:hAnsi="宋体" w:cs="宋体"/>
          <w:color w:val="auto"/>
          <w:szCs w:val="24"/>
          <w:highlight w:val="none"/>
        </w:rPr>
      </w:pPr>
      <w:r>
        <w:rPr>
          <w:rFonts w:hint="eastAsia" w:hAnsi="宋体" w:cs="宋体"/>
          <w:color w:val="auto"/>
          <w:szCs w:val="24"/>
          <w:highlight w:val="none"/>
        </w:rPr>
        <w:t>8.3 答疑书（或补充通知）对招标文件的修改或补充内容作为招标文件的组成部分，具有约束作用。招标文件的澄清、修改、补充等内容均以答疑书（或补充通知）中明确的内容为准。当招标文件、招标文件的澄清、修改、补充等文件在同一内容的表述上不一致时，以最后发出的答疑书（或补充通知）为准。</w:t>
      </w:r>
    </w:p>
    <w:p w14:paraId="3444C0C6">
      <w:pPr>
        <w:pStyle w:val="36"/>
        <w:spacing w:line="470" w:lineRule="exact"/>
        <w:ind w:firstLine="480" w:firstLineChars="200"/>
        <w:rPr>
          <w:rFonts w:hAnsi="宋体" w:cs="宋体"/>
          <w:color w:val="auto"/>
          <w:szCs w:val="24"/>
          <w:highlight w:val="none"/>
        </w:rPr>
      </w:pPr>
      <w:r>
        <w:rPr>
          <w:rFonts w:hint="eastAsia" w:hAnsi="宋体" w:cs="宋体"/>
          <w:color w:val="auto"/>
          <w:szCs w:val="24"/>
          <w:highlight w:val="none"/>
        </w:rPr>
        <w:t>8.4 投标人在规定的时间内未对招标文件提出澄清或疑问的，招标人将视其为无异议。对招标文件中描述有歧意或前后不一致的地方，评标委员会有权进行评判，但对同一条款的评判应适用于每个投标人。</w:t>
      </w:r>
    </w:p>
    <w:p w14:paraId="152F444D">
      <w:pPr>
        <w:pStyle w:val="36"/>
        <w:spacing w:line="470" w:lineRule="exact"/>
        <w:ind w:firstLine="480" w:firstLineChars="200"/>
        <w:rPr>
          <w:rFonts w:hAnsi="宋体" w:cs="宋体"/>
          <w:color w:val="auto"/>
          <w:szCs w:val="24"/>
          <w:highlight w:val="none"/>
        </w:rPr>
      </w:pPr>
      <w:r>
        <w:rPr>
          <w:rFonts w:hint="eastAsia" w:hAnsi="宋体" w:cs="宋体"/>
          <w:color w:val="auto"/>
          <w:szCs w:val="24"/>
          <w:highlight w:val="none"/>
        </w:rPr>
        <w:t>8.5 招标人向投标人提供的资料和数据，是招标人现有的能使投标人利用的资料。投标人对招标人提供的招标文件所作出的推论、解释和结论，招标人概不负责；投标人由于对招标文件的任何推论和误解以及招标人对有关问题的口头解释所造成的后果，均由投标人自行负责。</w:t>
      </w:r>
    </w:p>
    <w:p w14:paraId="35542085">
      <w:pPr>
        <w:pStyle w:val="3"/>
        <w:numPr>
          <w:ilvl w:val="1"/>
          <w:numId w:val="0"/>
        </w:numPr>
        <w:spacing w:before="57" w:beforeLines="18" w:after="0" w:afterLines="0"/>
        <w:ind w:left="420" w:leftChars="200"/>
        <w:rPr>
          <w:rFonts w:ascii="Times New Roman" w:hAnsi="Times New Roman"/>
          <w:color w:val="auto"/>
          <w:highlight w:val="none"/>
        </w:rPr>
      </w:pPr>
      <w:bookmarkStart w:id="59" w:name="_Hlt92513715"/>
      <w:bookmarkEnd w:id="59"/>
      <w:bookmarkStart w:id="60" w:name="_Hlt92513711"/>
      <w:bookmarkEnd w:id="60"/>
      <w:bookmarkStart w:id="61" w:name="_Hlt69699188"/>
      <w:bookmarkEnd w:id="61"/>
      <w:bookmarkStart w:id="62" w:name="_Toc29294"/>
      <w:r>
        <w:rPr>
          <w:rFonts w:hint="eastAsia" w:ascii="Times New Roman" w:hAnsi="Times New Roman"/>
          <w:color w:val="auto"/>
          <w:highlight w:val="none"/>
        </w:rPr>
        <w:t>9.最高投标限价的确定及投标报价的约定</w:t>
      </w:r>
      <w:bookmarkEnd w:id="62"/>
    </w:p>
    <w:p w14:paraId="306A0865">
      <w:pPr>
        <w:pStyle w:val="42"/>
        <w:spacing w:line="470" w:lineRule="exact"/>
        <w:ind w:firstLine="482" w:firstLineChars="200"/>
        <w:rPr>
          <w:rFonts w:ascii="宋体" w:hAnsi="宋体" w:eastAsia="宋体" w:cs="宋体"/>
          <w:b/>
          <w:bCs/>
          <w:color w:val="auto"/>
          <w:kern w:val="2"/>
          <w:sz w:val="24"/>
          <w:szCs w:val="24"/>
          <w:highlight w:val="none"/>
        </w:rPr>
      </w:pPr>
      <w:bookmarkStart w:id="63" w:name="_Hlt75685913"/>
      <w:bookmarkEnd w:id="63"/>
      <w:bookmarkStart w:id="64" w:name="_Hlt126039060"/>
      <w:bookmarkEnd w:id="64"/>
      <w:bookmarkStart w:id="65" w:name="_Hlt121630579"/>
      <w:bookmarkEnd w:id="65"/>
      <w:bookmarkStart w:id="66" w:name="_Hlt75685561"/>
      <w:bookmarkEnd w:id="66"/>
      <w:bookmarkStart w:id="67" w:name="_Toc18975"/>
      <w:bookmarkStart w:id="68" w:name="_Hlt121629839"/>
      <w:bookmarkStart w:id="69" w:name="_Hlt69335617"/>
      <w:r>
        <w:rPr>
          <w:rFonts w:hint="eastAsia" w:ascii="宋体" w:hAnsi="宋体" w:eastAsia="宋体" w:cs="宋体"/>
          <w:b/>
          <w:bCs/>
          <w:color w:val="auto"/>
          <w:kern w:val="2"/>
          <w:sz w:val="24"/>
          <w:szCs w:val="24"/>
          <w:highlight w:val="none"/>
        </w:rPr>
        <w:t>9.1 最高投标限价的确定</w:t>
      </w:r>
    </w:p>
    <w:p w14:paraId="4E1447FE">
      <w:pPr>
        <w:wordWrap w:val="0"/>
        <w:adjustRightInd w:val="0"/>
        <w:snapToGrid w:val="0"/>
        <w:spacing w:line="470" w:lineRule="exact"/>
        <w:ind w:firstLine="480" w:firstLineChars="200"/>
        <w:rPr>
          <w:rFonts w:hint="eastAsia" w:ascii="宋体" w:hAnsi="宋体" w:eastAsia="宋体" w:cs="宋体"/>
          <w:snapToGrid w:val="0"/>
          <w:color w:val="auto"/>
          <w:kern w:val="0"/>
          <w:sz w:val="24"/>
          <w:szCs w:val="22"/>
          <w:highlight w:val="none"/>
          <w:lang w:val="en-US" w:eastAsia="zh-CN"/>
        </w:rPr>
      </w:pPr>
      <w:r>
        <w:rPr>
          <w:rFonts w:hint="eastAsia" w:ascii="宋体" w:hAnsi="宋体" w:cs="宋体"/>
          <w:snapToGrid w:val="0"/>
          <w:color w:val="auto"/>
          <w:kern w:val="0"/>
          <w:sz w:val="24"/>
          <w:szCs w:val="22"/>
          <w:highlight w:val="none"/>
        </w:rPr>
        <w:t>经研究确定，“</w:t>
      </w:r>
      <w:r>
        <w:rPr>
          <w:rFonts w:hint="eastAsia" w:ascii="宋体" w:hAnsi="宋体" w:cs="宋体"/>
          <w:snapToGrid w:val="0"/>
          <w:color w:val="auto"/>
          <w:kern w:val="0"/>
          <w:sz w:val="24"/>
          <w:szCs w:val="22"/>
          <w:highlight w:val="none"/>
          <w:lang w:eastAsia="zh-CN"/>
        </w:rPr>
        <w:t>韶关市第一人民医院旧院区病房改造及能力提升建设项目方案、初步设计、概算编制项目</w:t>
      </w:r>
      <w:r>
        <w:rPr>
          <w:rFonts w:hint="eastAsia" w:ascii="宋体" w:hAnsi="宋体" w:cs="宋体"/>
          <w:snapToGrid w:val="0"/>
          <w:color w:val="auto"/>
          <w:kern w:val="0"/>
          <w:sz w:val="24"/>
          <w:szCs w:val="22"/>
          <w:highlight w:val="none"/>
        </w:rPr>
        <w:t>招标”最高投标限价为人民币</w:t>
      </w:r>
      <w:r>
        <w:rPr>
          <w:rFonts w:hint="eastAsia" w:ascii="宋体" w:hAnsi="宋体" w:cs="宋体"/>
          <w:snapToGrid w:val="0"/>
          <w:color w:val="auto"/>
          <w:kern w:val="0"/>
          <w:sz w:val="24"/>
          <w:szCs w:val="22"/>
          <w:highlight w:val="none"/>
          <w:u w:val="single"/>
          <w:lang w:val="en-US" w:eastAsia="zh-CN"/>
        </w:rPr>
        <w:t>捌拾万整</w:t>
      </w:r>
      <w:r>
        <w:rPr>
          <w:rFonts w:hint="eastAsia" w:ascii="宋体" w:hAnsi="宋体" w:cs="宋体"/>
          <w:snapToGrid w:val="0"/>
          <w:color w:val="auto"/>
          <w:kern w:val="0"/>
          <w:sz w:val="24"/>
          <w:szCs w:val="22"/>
          <w:highlight w:val="none"/>
        </w:rPr>
        <w:t>（小写：¥</w:t>
      </w:r>
      <w:r>
        <w:rPr>
          <w:rFonts w:hint="eastAsia" w:ascii="宋体" w:hAnsi="宋体" w:cs="宋体"/>
          <w:snapToGrid w:val="0"/>
          <w:color w:val="auto"/>
          <w:kern w:val="0"/>
          <w:sz w:val="24"/>
          <w:szCs w:val="22"/>
          <w:highlight w:val="none"/>
          <w:u w:val="single"/>
          <w:lang w:val="en-US" w:eastAsia="zh-CN"/>
        </w:rPr>
        <w:t>800000.00</w:t>
      </w:r>
      <w:r>
        <w:rPr>
          <w:rFonts w:hint="eastAsia" w:ascii="宋体" w:hAnsi="宋体" w:cs="宋体"/>
          <w:snapToGrid w:val="0"/>
          <w:color w:val="auto"/>
          <w:kern w:val="0"/>
          <w:sz w:val="24"/>
          <w:szCs w:val="22"/>
          <w:highlight w:val="none"/>
        </w:rPr>
        <w:t>元）。</w:t>
      </w:r>
      <w:r>
        <w:rPr>
          <w:rFonts w:hint="eastAsia" w:ascii="宋体" w:hAnsi="宋体" w:cs="宋体"/>
          <w:snapToGrid w:val="0"/>
          <w:color w:val="auto"/>
          <w:kern w:val="0"/>
          <w:sz w:val="24"/>
          <w:szCs w:val="22"/>
          <w:highlight w:val="none"/>
          <w:lang w:val="en-US" w:eastAsia="zh-CN"/>
        </w:rPr>
        <w:t>本项目初步设计费</w:t>
      </w:r>
      <w:r>
        <w:rPr>
          <w:rFonts w:hint="eastAsia" w:ascii="宋体" w:hAnsi="宋体" w:cs="宋体"/>
          <w:snapToGrid w:val="0"/>
          <w:color w:val="auto"/>
          <w:kern w:val="0"/>
          <w:sz w:val="24"/>
          <w:szCs w:val="22"/>
          <w:highlight w:val="none"/>
        </w:rPr>
        <w:t>已包含但不限于方案设计文件、初步设计文件、概算文件的费用</w:t>
      </w:r>
      <w:r>
        <w:rPr>
          <w:rFonts w:hint="eastAsia" w:ascii="宋体" w:hAnsi="宋体" w:cs="宋体"/>
          <w:snapToGrid w:val="0"/>
          <w:color w:val="auto"/>
          <w:kern w:val="0"/>
          <w:sz w:val="24"/>
          <w:szCs w:val="22"/>
          <w:highlight w:val="none"/>
          <w:lang w:eastAsia="zh-CN"/>
        </w:rPr>
        <w:t>。</w:t>
      </w:r>
    </w:p>
    <w:p w14:paraId="47211505">
      <w:pPr>
        <w:wordWrap w:val="0"/>
        <w:adjustRightInd w:val="0"/>
        <w:snapToGrid w:val="0"/>
        <w:spacing w:line="470" w:lineRule="exact"/>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注：1.本项目设最高投标限价，各单项报价不能超过各单项最高投标限价。投标报价超过最高投标限价为无效报价。</w:t>
      </w:r>
    </w:p>
    <w:p w14:paraId="1FD41699">
      <w:pPr>
        <w:wordWrap w:val="0"/>
        <w:adjustRightInd w:val="0"/>
        <w:snapToGrid w:val="0"/>
        <w:spacing w:line="470" w:lineRule="exact"/>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2.投标报价均保留至小数点后两位。</w:t>
      </w:r>
    </w:p>
    <w:p w14:paraId="39F52489">
      <w:pPr>
        <w:wordWrap w:val="0"/>
        <w:adjustRightInd w:val="0"/>
        <w:snapToGrid w:val="0"/>
        <w:spacing w:line="470" w:lineRule="exact"/>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3.以上投标报价均为含税报价（增值税）。</w:t>
      </w:r>
    </w:p>
    <w:p w14:paraId="76847249">
      <w:pPr>
        <w:wordWrap w:val="0"/>
        <w:adjustRightInd w:val="0"/>
        <w:snapToGrid w:val="0"/>
        <w:spacing w:line="470" w:lineRule="exact"/>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9.2 初步设计费投标报价：在最高投标限价范围内，投标人自行报价。</w:t>
      </w:r>
    </w:p>
    <w:p w14:paraId="16BE6E9F">
      <w:pPr>
        <w:wordWrap w:val="0"/>
        <w:adjustRightInd w:val="0"/>
        <w:snapToGrid w:val="0"/>
        <w:spacing w:line="470" w:lineRule="exact"/>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9.2.1所有报价均以人民币“元”为单位，并保留两位小数。</w:t>
      </w:r>
    </w:p>
    <w:p w14:paraId="56FB8649">
      <w:pPr>
        <w:wordWrap w:val="0"/>
        <w:adjustRightInd w:val="0"/>
        <w:snapToGrid w:val="0"/>
        <w:spacing w:line="470" w:lineRule="exact"/>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9.2.</w:t>
      </w:r>
      <w:r>
        <w:rPr>
          <w:rFonts w:hint="eastAsia" w:ascii="宋体" w:hAnsi="宋体" w:cs="宋体"/>
          <w:snapToGrid w:val="0"/>
          <w:color w:val="auto"/>
          <w:kern w:val="0"/>
          <w:sz w:val="24"/>
          <w:szCs w:val="22"/>
          <w:highlight w:val="none"/>
          <w:lang w:val="en-US" w:eastAsia="zh-CN"/>
        </w:rPr>
        <w:t>2初步设计费</w:t>
      </w:r>
      <w:r>
        <w:rPr>
          <w:rFonts w:hint="eastAsia" w:ascii="宋体" w:hAnsi="宋体" w:cs="宋体"/>
          <w:snapToGrid w:val="0"/>
          <w:color w:val="auto"/>
          <w:kern w:val="0"/>
          <w:sz w:val="24"/>
          <w:szCs w:val="22"/>
          <w:highlight w:val="none"/>
        </w:rPr>
        <w:t>结算价</w:t>
      </w:r>
      <w:r>
        <w:rPr>
          <w:rFonts w:hint="eastAsia" w:ascii="宋体" w:hAnsi="宋体" w:cs="宋体"/>
          <w:snapToGrid w:val="0"/>
          <w:color w:val="auto"/>
          <w:kern w:val="0"/>
          <w:sz w:val="24"/>
          <w:szCs w:val="22"/>
          <w:highlight w:val="none"/>
          <w:lang w:val="en-US" w:eastAsia="zh-CN"/>
        </w:rPr>
        <w:t>以</w:t>
      </w:r>
      <w:r>
        <w:rPr>
          <w:rFonts w:hint="eastAsia" w:ascii="宋体" w:hAnsi="宋体" w:cs="宋体"/>
          <w:snapToGrid w:val="0"/>
          <w:color w:val="auto"/>
          <w:kern w:val="0"/>
          <w:sz w:val="24"/>
          <w:szCs w:val="22"/>
          <w:highlight w:val="none"/>
        </w:rPr>
        <w:t>韶关市投资评估中心审定的初步设计费</w:t>
      </w:r>
      <w:r>
        <w:rPr>
          <w:rFonts w:hint="eastAsia" w:ascii="宋体" w:hAnsi="宋体" w:cs="宋体"/>
          <w:snapToGrid w:val="0"/>
          <w:color w:val="auto"/>
          <w:kern w:val="0"/>
          <w:sz w:val="24"/>
          <w:szCs w:val="22"/>
          <w:highlight w:val="none"/>
          <w:lang w:val="en-US" w:eastAsia="zh-CN"/>
        </w:rPr>
        <w:t>为准</w:t>
      </w:r>
      <w:r>
        <w:rPr>
          <w:rFonts w:hint="eastAsia" w:ascii="宋体" w:hAnsi="宋体" w:cs="宋体"/>
          <w:snapToGrid w:val="0"/>
          <w:color w:val="auto"/>
          <w:kern w:val="0"/>
          <w:sz w:val="24"/>
          <w:szCs w:val="22"/>
          <w:highlight w:val="none"/>
        </w:rPr>
        <w:t>。</w:t>
      </w:r>
      <w:r>
        <w:rPr>
          <w:rFonts w:hint="eastAsia" w:ascii="宋体" w:hAnsi="宋体" w:cs="宋体"/>
          <w:snapToGrid w:val="0"/>
          <w:color w:val="auto"/>
          <w:kern w:val="0"/>
          <w:sz w:val="24"/>
          <w:szCs w:val="22"/>
          <w:highlight w:val="none"/>
          <w:lang w:val="en-US" w:eastAsia="zh-CN"/>
        </w:rPr>
        <w:t>初步设计费</w:t>
      </w:r>
      <w:r>
        <w:rPr>
          <w:rFonts w:hint="eastAsia" w:ascii="宋体" w:hAnsi="宋体" w:cs="宋体"/>
          <w:snapToGrid w:val="0"/>
          <w:color w:val="auto"/>
          <w:kern w:val="0"/>
          <w:sz w:val="24"/>
          <w:szCs w:val="22"/>
          <w:highlight w:val="none"/>
        </w:rPr>
        <w:t>结算价高于</w:t>
      </w:r>
      <w:r>
        <w:rPr>
          <w:rFonts w:hint="eastAsia" w:ascii="宋体" w:hAnsi="宋体" w:cs="宋体"/>
          <w:snapToGrid w:val="0"/>
          <w:color w:val="auto"/>
          <w:kern w:val="0"/>
          <w:sz w:val="24"/>
          <w:szCs w:val="22"/>
          <w:highlight w:val="none"/>
          <w:lang w:val="en-US" w:eastAsia="zh-CN"/>
        </w:rPr>
        <w:t>初步设计费</w:t>
      </w:r>
      <w:r>
        <w:rPr>
          <w:rFonts w:hint="eastAsia" w:ascii="宋体" w:hAnsi="宋体" w:cs="宋体"/>
          <w:snapToGrid w:val="0"/>
          <w:color w:val="auto"/>
          <w:kern w:val="0"/>
          <w:sz w:val="24"/>
          <w:szCs w:val="22"/>
          <w:highlight w:val="none"/>
        </w:rPr>
        <w:t>中标价</w:t>
      </w:r>
      <w:r>
        <w:rPr>
          <w:rFonts w:hint="eastAsia" w:ascii="宋体" w:hAnsi="宋体" w:cs="宋体"/>
          <w:snapToGrid w:val="0"/>
          <w:color w:val="auto"/>
          <w:kern w:val="0"/>
          <w:sz w:val="24"/>
          <w:szCs w:val="22"/>
          <w:highlight w:val="none"/>
          <w:lang w:val="en-US" w:eastAsia="zh-CN"/>
        </w:rPr>
        <w:t>时</w:t>
      </w:r>
      <w:r>
        <w:rPr>
          <w:rFonts w:hint="eastAsia" w:ascii="宋体" w:hAnsi="宋体" w:cs="宋体"/>
          <w:snapToGrid w:val="0"/>
          <w:color w:val="auto"/>
          <w:kern w:val="0"/>
          <w:sz w:val="24"/>
          <w:szCs w:val="22"/>
          <w:highlight w:val="none"/>
        </w:rPr>
        <w:t>，以</w:t>
      </w:r>
      <w:r>
        <w:rPr>
          <w:rFonts w:hint="eastAsia" w:ascii="宋体" w:hAnsi="宋体" w:cs="宋体"/>
          <w:snapToGrid w:val="0"/>
          <w:color w:val="auto"/>
          <w:kern w:val="0"/>
          <w:sz w:val="24"/>
          <w:szCs w:val="22"/>
          <w:highlight w:val="none"/>
          <w:lang w:val="en-US" w:eastAsia="zh-CN"/>
        </w:rPr>
        <w:t>初步设计费</w:t>
      </w:r>
      <w:r>
        <w:rPr>
          <w:rFonts w:hint="eastAsia" w:ascii="宋体" w:hAnsi="宋体" w:cs="宋体"/>
          <w:snapToGrid w:val="0"/>
          <w:color w:val="auto"/>
          <w:kern w:val="0"/>
          <w:sz w:val="24"/>
          <w:szCs w:val="22"/>
          <w:highlight w:val="none"/>
        </w:rPr>
        <w:t>中标价作为</w:t>
      </w:r>
      <w:r>
        <w:rPr>
          <w:rFonts w:hint="eastAsia" w:ascii="宋体" w:hAnsi="宋体" w:cs="宋体"/>
          <w:snapToGrid w:val="0"/>
          <w:color w:val="auto"/>
          <w:kern w:val="0"/>
          <w:sz w:val="24"/>
          <w:szCs w:val="22"/>
          <w:highlight w:val="none"/>
          <w:lang w:val="en-US" w:eastAsia="zh-CN"/>
        </w:rPr>
        <w:t>初步设计费</w:t>
      </w:r>
      <w:r>
        <w:rPr>
          <w:rFonts w:hint="eastAsia" w:ascii="宋体" w:hAnsi="宋体" w:cs="宋体"/>
          <w:snapToGrid w:val="0"/>
          <w:color w:val="auto"/>
          <w:kern w:val="0"/>
          <w:sz w:val="24"/>
          <w:szCs w:val="22"/>
          <w:highlight w:val="none"/>
        </w:rPr>
        <w:t>最终结算价。</w:t>
      </w:r>
    </w:p>
    <w:p w14:paraId="6F8C69CF">
      <w:pPr>
        <w:wordWrap w:val="0"/>
        <w:adjustRightInd w:val="0"/>
        <w:snapToGrid w:val="0"/>
        <w:spacing w:line="470" w:lineRule="exact"/>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9.2.3</w:t>
      </w:r>
      <w:r>
        <w:rPr>
          <w:rFonts w:hint="eastAsia" w:ascii="宋体" w:hAnsi="宋体" w:cs="宋体"/>
          <w:snapToGrid w:val="0"/>
          <w:color w:val="auto"/>
          <w:kern w:val="0"/>
          <w:sz w:val="24"/>
          <w:szCs w:val="22"/>
          <w:highlight w:val="none"/>
          <w:lang w:val="en-US" w:eastAsia="zh-CN"/>
        </w:rPr>
        <w:t>工程</w:t>
      </w:r>
      <w:r>
        <w:rPr>
          <w:rFonts w:hint="eastAsia" w:ascii="宋体" w:hAnsi="宋体" w:cs="宋体"/>
          <w:snapToGrid w:val="0"/>
          <w:color w:val="auto"/>
          <w:kern w:val="0"/>
          <w:sz w:val="24"/>
          <w:szCs w:val="22"/>
          <w:highlight w:val="none"/>
        </w:rPr>
        <w:t>设计费的报价应包括招标文件中招标内容（范围）所规定的所有工作的所有费用。</w:t>
      </w:r>
      <w:r>
        <w:rPr>
          <w:rFonts w:hint="eastAsia" w:ascii="宋体" w:hAnsi="宋体" w:cs="宋体"/>
          <w:snapToGrid w:val="0"/>
          <w:color w:val="auto"/>
          <w:kern w:val="0"/>
          <w:sz w:val="24"/>
          <w:szCs w:val="22"/>
          <w:highlight w:val="none"/>
          <w:lang w:val="en-US" w:eastAsia="zh-CN"/>
        </w:rPr>
        <w:t>工程</w:t>
      </w:r>
      <w:r>
        <w:rPr>
          <w:rFonts w:hint="eastAsia" w:ascii="宋体" w:hAnsi="宋体" w:cs="宋体"/>
          <w:snapToGrid w:val="0"/>
          <w:color w:val="auto"/>
          <w:kern w:val="0"/>
          <w:sz w:val="24"/>
          <w:szCs w:val="22"/>
          <w:highlight w:val="none"/>
        </w:rPr>
        <w:t>设计费的报价应包含各个不同专业的费用、进行优化设计或修改设计所增加的设计费用。</w:t>
      </w:r>
      <w:r>
        <w:rPr>
          <w:rFonts w:hint="eastAsia" w:ascii="宋体" w:hAnsi="宋体" w:eastAsia="宋体" w:cs="宋体"/>
          <w:color w:val="auto"/>
          <w:sz w:val="24"/>
          <w:szCs w:val="24"/>
          <w:highlight w:val="none"/>
          <w:lang w:val="en-US" w:eastAsia="zh-CN"/>
        </w:rPr>
        <w:t>结算时，不因项目增加设计而增加设计费。</w:t>
      </w:r>
    </w:p>
    <w:p w14:paraId="514CF31D">
      <w:pPr>
        <w:wordWrap w:val="0"/>
        <w:adjustRightInd w:val="0"/>
        <w:snapToGrid w:val="0"/>
        <w:spacing w:line="470" w:lineRule="exact"/>
        <w:ind w:firstLine="480" w:firstLineChars="200"/>
        <w:rPr>
          <w:rFonts w:ascii="宋体" w:hAnsi="宋体" w:cs="宋体"/>
          <w:b/>
          <w:bCs/>
          <w:snapToGrid w:val="0"/>
          <w:color w:val="auto"/>
          <w:kern w:val="0"/>
          <w:sz w:val="24"/>
          <w:szCs w:val="24"/>
          <w:highlight w:val="none"/>
        </w:rPr>
      </w:pPr>
      <w:r>
        <w:rPr>
          <w:rFonts w:hint="eastAsia" w:ascii="宋体" w:hAnsi="宋体" w:cs="宋体"/>
          <w:snapToGrid w:val="0"/>
          <w:color w:val="auto"/>
          <w:kern w:val="0"/>
          <w:sz w:val="24"/>
          <w:szCs w:val="24"/>
          <w:highlight w:val="none"/>
        </w:rPr>
        <w:t>9.3</w:t>
      </w:r>
      <w:r>
        <w:rPr>
          <w:rFonts w:hint="eastAsia" w:ascii="宋体" w:hAnsi="宋体" w:cs="宋体"/>
          <w:snapToGrid w:val="0"/>
          <w:color w:val="auto"/>
          <w:kern w:val="0"/>
          <w:sz w:val="24"/>
          <w:szCs w:val="22"/>
          <w:highlight w:val="none"/>
        </w:rPr>
        <w:t>初步设计</w:t>
      </w:r>
      <w:r>
        <w:rPr>
          <w:rFonts w:hint="eastAsia" w:ascii="宋体" w:hAnsi="宋体" w:cs="宋体"/>
          <w:snapToGrid w:val="0"/>
          <w:color w:val="auto"/>
          <w:kern w:val="0"/>
          <w:sz w:val="24"/>
          <w:szCs w:val="24"/>
          <w:highlight w:val="none"/>
        </w:rPr>
        <w:t>成果必须按要求满足设计规定的深度。所报的</w:t>
      </w:r>
      <w:r>
        <w:rPr>
          <w:rFonts w:hint="eastAsia" w:ascii="宋体" w:hAnsi="宋体" w:cs="宋体"/>
          <w:snapToGrid w:val="0"/>
          <w:color w:val="auto"/>
          <w:kern w:val="0"/>
          <w:sz w:val="24"/>
          <w:szCs w:val="22"/>
          <w:highlight w:val="none"/>
          <w:lang w:val="en-US" w:eastAsia="zh-CN"/>
        </w:rPr>
        <w:t>工程</w:t>
      </w:r>
      <w:r>
        <w:rPr>
          <w:rFonts w:hint="eastAsia" w:ascii="宋体" w:hAnsi="宋体" w:cs="宋体"/>
          <w:snapToGrid w:val="0"/>
          <w:color w:val="auto"/>
          <w:kern w:val="0"/>
          <w:sz w:val="24"/>
          <w:szCs w:val="22"/>
          <w:highlight w:val="none"/>
        </w:rPr>
        <w:t>设计费</w:t>
      </w:r>
      <w:r>
        <w:rPr>
          <w:rFonts w:hint="eastAsia" w:ascii="宋体" w:hAnsi="宋体" w:cs="宋体"/>
          <w:snapToGrid w:val="0"/>
          <w:color w:val="auto"/>
          <w:kern w:val="0"/>
          <w:sz w:val="24"/>
          <w:szCs w:val="24"/>
          <w:highlight w:val="none"/>
        </w:rPr>
        <w:t>应包含投标人自投标之日起至工程验收合格所需的费用。若设计深度不够，导致设计更改、工程量增加、费用增加的，由中标单位以中标的设计费为限承担责任。</w:t>
      </w:r>
    </w:p>
    <w:p w14:paraId="3E7C112B">
      <w:pPr>
        <w:wordWrap w:val="0"/>
        <w:adjustRightInd w:val="0"/>
        <w:snapToGrid w:val="0"/>
        <w:spacing w:line="470" w:lineRule="exact"/>
        <w:ind w:firstLine="480" w:firstLineChars="200"/>
        <w:rPr>
          <w:rFonts w:ascii="宋体" w:hAnsi="宋体" w:cs="宋体"/>
          <w:color w:val="auto"/>
          <w:sz w:val="24"/>
          <w:szCs w:val="24"/>
          <w:highlight w:val="none"/>
        </w:rPr>
      </w:pPr>
      <w:r>
        <w:rPr>
          <w:rFonts w:hint="eastAsia" w:ascii="宋体" w:hAnsi="宋体" w:cs="宋体"/>
          <w:snapToGrid w:val="0"/>
          <w:color w:val="auto"/>
          <w:kern w:val="0"/>
          <w:sz w:val="24"/>
          <w:szCs w:val="24"/>
          <w:highlight w:val="none"/>
        </w:rPr>
        <w:t>9.4投标报价时应充分考虑</w:t>
      </w:r>
      <w:r>
        <w:rPr>
          <w:rFonts w:hint="eastAsia" w:ascii="宋体" w:hAnsi="宋体" w:cs="宋体"/>
          <w:color w:val="auto"/>
          <w:sz w:val="24"/>
          <w:szCs w:val="24"/>
          <w:highlight w:val="none"/>
          <w:lang w:val="zh-CN"/>
        </w:rPr>
        <w:t>“合同条款”</w:t>
      </w:r>
      <w:r>
        <w:rPr>
          <w:rFonts w:hint="eastAsia" w:ascii="宋体" w:hAnsi="宋体" w:cs="宋体"/>
          <w:snapToGrid w:val="0"/>
          <w:color w:val="auto"/>
          <w:kern w:val="0"/>
          <w:sz w:val="24"/>
          <w:szCs w:val="24"/>
          <w:highlight w:val="none"/>
        </w:rPr>
        <w:t>及“中标人须知”中所列条款的要求及风险。</w:t>
      </w:r>
    </w:p>
    <w:p w14:paraId="26364316">
      <w:pPr>
        <w:pStyle w:val="3"/>
        <w:numPr>
          <w:ilvl w:val="1"/>
          <w:numId w:val="0"/>
        </w:numPr>
        <w:spacing w:before="158" w:after="158" w:line="440" w:lineRule="exact"/>
        <w:rPr>
          <w:rFonts w:ascii="Times New Roman" w:hAnsi="Times New Roman"/>
          <w:color w:val="auto"/>
          <w:highlight w:val="none"/>
        </w:rPr>
      </w:pPr>
      <w:bookmarkStart w:id="70" w:name="_Toc18558"/>
      <w:r>
        <w:rPr>
          <w:rFonts w:hint="eastAsia" w:ascii="Times New Roman" w:hAnsi="Times New Roman"/>
          <w:color w:val="auto"/>
          <w:highlight w:val="none"/>
        </w:rPr>
        <w:t>10.投标文件的编制</w:t>
      </w:r>
      <w:bookmarkStart w:id="71" w:name="_Hlt69208262"/>
      <w:bookmarkEnd w:id="71"/>
      <w:bookmarkStart w:id="72" w:name="_Hlt69332370"/>
      <w:bookmarkEnd w:id="72"/>
      <w:r>
        <w:rPr>
          <w:rFonts w:hint="eastAsia" w:ascii="Times New Roman" w:hAnsi="Times New Roman"/>
          <w:color w:val="auto"/>
          <w:highlight w:val="none"/>
        </w:rPr>
        <w:t>要求</w:t>
      </w:r>
      <w:bookmarkEnd w:id="67"/>
      <w:bookmarkEnd w:id="70"/>
    </w:p>
    <w:p w14:paraId="2870DAE9">
      <w:pPr>
        <w:spacing w:line="440" w:lineRule="exact"/>
        <w:ind w:firstLine="480" w:firstLineChars="200"/>
        <w:rPr>
          <w:rFonts w:ascii="宋体" w:hAnsi="宋体" w:cs="宋体"/>
          <w:color w:val="auto"/>
          <w:sz w:val="24"/>
          <w:highlight w:val="none"/>
        </w:rPr>
      </w:pPr>
      <w:bookmarkStart w:id="73" w:name="_Hlt74497202"/>
      <w:bookmarkEnd w:id="73"/>
      <w:bookmarkStart w:id="74" w:name="_Hlt78768224"/>
      <w:bookmarkEnd w:id="74"/>
      <w:bookmarkStart w:id="75" w:name="_Hlt74495594"/>
      <w:bookmarkEnd w:id="75"/>
      <w:bookmarkStart w:id="76" w:name="_Toc6054"/>
      <w:bookmarkStart w:id="77" w:name="_Toc71811308"/>
      <w:bookmarkStart w:id="78" w:name="_Toc6667"/>
      <w:bookmarkStart w:id="79" w:name="_Toc496133008"/>
      <w:bookmarkStart w:id="80" w:name="_Toc71811077"/>
      <w:bookmarkStart w:id="81" w:name="_Toc71813698"/>
      <w:bookmarkStart w:id="82" w:name="_Toc71811175"/>
      <w:r>
        <w:rPr>
          <w:rFonts w:hint="eastAsia" w:ascii="宋体" w:hAnsi="宋体" w:cs="宋体"/>
          <w:color w:val="auto"/>
          <w:sz w:val="24"/>
          <w:highlight w:val="none"/>
        </w:rPr>
        <w:t>10.1 一般要求</w:t>
      </w:r>
      <w:bookmarkEnd w:id="76"/>
      <w:bookmarkEnd w:id="77"/>
      <w:bookmarkEnd w:id="78"/>
      <w:bookmarkEnd w:id="79"/>
      <w:bookmarkEnd w:id="80"/>
      <w:bookmarkEnd w:id="81"/>
      <w:bookmarkEnd w:id="82"/>
    </w:p>
    <w:p w14:paraId="03E810F0">
      <w:pPr>
        <w:pStyle w:val="44"/>
        <w:spacing w:line="440" w:lineRule="exact"/>
        <w:ind w:firstLine="480"/>
        <w:rPr>
          <w:rFonts w:hAnsi="宋体" w:cs="宋体"/>
          <w:color w:val="auto"/>
          <w:highlight w:val="none"/>
        </w:rPr>
      </w:pPr>
      <w:r>
        <w:rPr>
          <w:rFonts w:hint="eastAsia" w:hAnsi="宋体" w:cs="宋体"/>
          <w:snapToGrid w:val="0"/>
          <w:color w:val="auto"/>
          <w:kern w:val="0"/>
          <w:highlight w:val="none"/>
        </w:rPr>
        <w:t>投标文件应按第五章 投标文件格式规定的内容，投标人提交的投标文件应当使用招标文件所提供的投标文件全部格式。</w:t>
      </w:r>
    </w:p>
    <w:p w14:paraId="3F0CEC54">
      <w:pPr>
        <w:pStyle w:val="44"/>
        <w:spacing w:line="440" w:lineRule="exact"/>
        <w:ind w:firstLine="480"/>
        <w:rPr>
          <w:rFonts w:hAnsi="宋体" w:cs="宋体"/>
          <w:color w:val="auto"/>
          <w:highlight w:val="none"/>
        </w:rPr>
      </w:pPr>
      <w:r>
        <w:rPr>
          <w:rFonts w:hint="eastAsia" w:hAnsi="宋体" w:cs="宋体"/>
          <w:color w:val="auto"/>
          <w:highlight w:val="none"/>
        </w:rPr>
        <w:t>10.1.1投标人必须响应招标文件，并在充分理解招标文件的基础上编制投标文件。因投标文件不符合招标文件的要求而造成的损失和后果，由投标人自行承担。</w:t>
      </w:r>
    </w:p>
    <w:p w14:paraId="4E2143AC">
      <w:pPr>
        <w:pStyle w:val="36"/>
        <w:spacing w:line="440" w:lineRule="exact"/>
        <w:ind w:firstLine="480" w:firstLineChars="200"/>
        <w:rPr>
          <w:rFonts w:hAnsi="宋体" w:cs="宋体"/>
          <w:color w:val="auto"/>
          <w:highlight w:val="none"/>
        </w:rPr>
      </w:pPr>
      <w:r>
        <w:rPr>
          <w:rFonts w:hint="eastAsia" w:hAnsi="宋体" w:cs="宋体"/>
          <w:color w:val="auto"/>
          <w:highlight w:val="none"/>
        </w:rPr>
        <w:t>10.1.2投标文件包括</w:t>
      </w:r>
      <w:r>
        <w:rPr>
          <w:rFonts w:hint="eastAsia" w:hAnsi="宋体" w:cs="宋体"/>
          <w:b/>
          <w:bCs/>
          <w:color w:val="auto"/>
          <w:highlight w:val="none"/>
        </w:rPr>
        <w:t>商务经济标书、技术标书</w:t>
      </w:r>
      <w:r>
        <w:rPr>
          <w:rFonts w:hint="eastAsia" w:hAnsi="宋体" w:cs="宋体"/>
          <w:color w:val="auto"/>
          <w:highlight w:val="none"/>
        </w:rPr>
        <w:t>两个分册，投标文件全部采用电子文档，投标文件所附证书证件均为彩色扫描件，并采用单位数字证书，按招标文件要求在相应位置加盖电子印章。投标文件中需个人签字或盖章的，应加盖个人电子印章或在线下完成后扫描上传。按照交易平台关于全流程电子化项目的相关指南进行操作。详见：《韶关市公共资源建设工程交易系统-投标人操作指南》。</w:t>
      </w:r>
    </w:p>
    <w:p w14:paraId="44EB457C">
      <w:pPr>
        <w:pStyle w:val="36"/>
        <w:spacing w:line="440" w:lineRule="exact"/>
        <w:ind w:firstLine="480" w:firstLineChars="200"/>
        <w:rPr>
          <w:rFonts w:hAnsi="宋体" w:cs="宋体"/>
          <w:color w:val="auto"/>
          <w:highlight w:val="none"/>
        </w:rPr>
      </w:pPr>
      <w:r>
        <w:rPr>
          <w:rFonts w:hint="eastAsia" w:hAnsi="宋体" w:cs="宋体"/>
          <w:color w:val="auto"/>
          <w:highlight w:val="none"/>
        </w:rPr>
        <w:t>10.1.3 投标文件需按以下要求签字、盖章：</w:t>
      </w:r>
    </w:p>
    <w:p w14:paraId="01E15F6E">
      <w:pPr>
        <w:pStyle w:val="14"/>
        <w:wordWrap w:val="0"/>
        <w:adjustRightInd w:val="0"/>
        <w:snapToGrid w:val="0"/>
        <w:spacing w:line="440" w:lineRule="exact"/>
        <w:ind w:firstLine="480"/>
        <w:rPr>
          <w:rFonts w:ascii="宋体" w:hAnsi="宋体" w:cs="宋体"/>
          <w:color w:val="auto"/>
          <w:sz w:val="24"/>
          <w:highlight w:val="none"/>
        </w:rPr>
      </w:pPr>
      <w:r>
        <w:rPr>
          <w:rFonts w:hint="eastAsia" w:ascii="宋体" w:hAnsi="宋体" w:cs="宋体"/>
          <w:color w:val="auto"/>
          <w:sz w:val="24"/>
          <w:highlight w:val="none"/>
        </w:rPr>
        <w:t>10.1.3.1 投标文件封面、组成内容中凡注明“签字”处由要求的人员签字或电子签章；凡注明“签字或盖章”处由要求的人员签字或盖其私章（电子印章）；凡注明“签字并盖执业印章”处由要求的人员签字并盖其执业印章。</w:t>
      </w:r>
    </w:p>
    <w:p w14:paraId="3CF9EF18">
      <w:pPr>
        <w:pStyle w:val="14"/>
        <w:wordWrap w:val="0"/>
        <w:adjustRightInd w:val="0"/>
        <w:snapToGrid w:val="0"/>
        <w:spacing w:line="440" w:lineRule="exact"/>
        <w:ind w:firstLine="480"/>
        <w:rPr>
          <w:rFonts w:ascii="宋体" w:hAnsi="宋体" w:cs="宋体"/>
          <w:color w:val="auto"/>
          <w:sz w:val="24"/>
          <w:highlight w:val="none"/>
        </w:rPr>
      </w:pPr>
      <w:r>
        <w:rPr>
          <w:rFonts w:hint="eastAsia" w:ascii="宋体" w:hAnsi="宋体" w:cs="宋体"/>
          <w:color w:val="auto"/>
          <w:sz w:val="24"/>
          <w:highlight w:val="none"/>
        </w:rPr>
        <w:t>10.1.3.2 投标文件封面、组成内容中凡要求录入投标人名称且注明“盖单位章”处盖单位法人公章（电子印章）。</w:t>
      </w:r>
    </w:p>
    <w:p w14:paraId="6DF59178">
      <w:pPr>
        <w:pStyle w:val="14"/>
        <w:wordWrap w:val="0"/>
        <w:adjustRightInd w:val="0"/>
        <w:snapToGrid w:val="0"/>
        <w:spacing w:line="440" w:lineRule="exact"/>
        <w:ind w:firstLine="480"/>
        <w:rPr>
          <w:rFonts w:ascii="宋体" w:hAnsi="宋体" w:cs="宋体"/>
          <w:color w:val="auto"/>
          <w:sz w:val="24"/>
          <w:highlight w:val="none"/>
        </w:rPr>
      </w:pPr>
      <w:r>
        <w:rPr>
          <w:rFonts w:hint="eastAsia" w:ascii="宋体" w:hAnsi="宋体" w:cs="宋体"/>
          <w:color w:val="auto"/>
          <w:sz w:val="24"/>
          <w:highlight w:val="none"/>
        </w:rPr>
        <w:t>10.1.3.3 投标文件的签字均为签字人本人亲笔署名或签章（电子印章），其余部分的彩色扫描件无须另行签字、盖章。</w:t>
      </w:r>
    </w:p>
    <w:p w14:paraId="6208C589">
      <w:pPr>
        <w:pStyle w:val="36"/>
        <w:spacing w:line="440" w:lineRule="exact"/>
        <w:ind w:firstLine="480" w:firstLineChars="200"/>
        <w:rPr>
          <w:rFonts w:hAnsi="宋体" w:cs="宋体"/>
          <w:color w:val="auto"/>
          <w:szCs w:val="22"/>
          <w:highlight w:val="none"/>
        </w:rPr>
      </w:pPr>
      <w:r>
        <w:rPr>
          <w:rFonts w:hint="eastAsia" w:hAnsi="宋体" w:cs="宋体"/>
          <w:color w:val="auto"/>
          <w:highlight w:val="none"/>
        </w:rPr>
        <w:t>10.1.3.4 联合体投标的，除《联合体协议书》外，由联合体牵头人按以上要求签亲笔署名或签章（电子印章）即可。</w:t>
      </w:r>
    </w:p>
    <w:p w14:paraId="06D45AC9">
      <w:pPr>
        <w:spacing w:line="440" w:lineRule="exact"/>
        <w:ind w:firstLine="480" w:firstLineChars="200"/>
        <w:rPr>
          <w:rFonts w:ascii="宋体" w:hAnsi="宋体" w:cs="宋体"/>
          <w:color w:val="auto"/>
          <w:sz w:val="24"/>
          <w:highlight w:val="none"/>
        </w:rPr>
      </w:pPr>
      <w:bookmarkStart w:id="83" w:name="_Toc22855"/>
      <w:bookmarkStart w:id="84" w:name="_Toc4518"/>
      <w:bookmarkStart w:id="85" w:name="_Toc71813699"/>
      <w:bookmarkStart w:id="86" w:name="_Toc496133009"/>
      <w:bookmarkStart w:id="87" w:name="_Toc274313880"/>
      <w:bookmarkStart w:id="88" w:name="_Toc71811078"/>
      <w:bookmarkStart w:id="89" w:name="_Toc71811309"/>
      <w:bookmarkStart w:id="90" w:name="_Toc71811176"/>
      <w:bookmarkStart w:id="91" w:name="_Toc257031159"/>
      <w:r>
        <w:rPr>
          <w:rFonts w:hint="eastAsia" w:ascii="宋体" w:hAnsi="宋体" w:cs="宋体"/>
          <w:color w:val="auto"/>
          <w:sz w:val="24"/>
          <w:highlight w:val="none"/>
        </w:rPr>
        <w:t>10.2 商务经济标书的编制要求</w:t>
      </w:r>
      <w:bookmarkEnd w:id="83"/>
      <w:bookmarkEnd w:id="84"/>
      <w:bookmarkEnd w:id="85"/>
      <w:bookmarkEnd w:id="86"/>
      <w:bookmarkEnd w:id="87"/>
      <w:bookmarkEnd w:id="88"/>
      <w:bookmarkEnd w:id="89"/>
      <w:bookmarkEnd w:id="90"/>
      <w:bookmarkEnd w:id="91"/>
    </w:p>
    <w:p w14:paraId="30E0DBFD">
      <w:pPr>
        <w:pStyle w:val="36"/>
        <w:spacing w:line="440" w:lineRule="exact"/>
        <w:ind w:firstLine="480" w:firstLineChars="200"/>
        <w:rPr>
          <w:rFonts w:hAnsi="宋体" w:cs="宋体"/>
          <w:color w:val="auto"/>
          <w:szCs w:val="24"/>
          <w:highlight w:val="none"/>
          <w:u w:val="single"/>
        </w:rPr>
      </w:pPr>
      <w:r>
        <w:rPr>
          <w:rFonts w:hint="eastAsia" w:hAnsi="宋体" w:cs="宋体"/>
          <w:color w:val="auto"/>
          <w:szCs w:val="24"/>
          <w:highlight w:val="none"/>
        </w:rPr>
        <w:t>10.2.1 商务经济标书包括但不限于以下内容：</w:t>
      </w:r>
    </w:p>
    <w:p w14:paraId="6C5BD8BA">
      <w:pPr>
        <w:pStyle w:val="36"/>
        <w:spacing w:line="440" w:lineRule="exact"/>
        <w:ind w:firstLine="480" w:firstLineChars="200"/>
        <w:rPr>
          <w:rFonts w:hAnsi="宋体" w:cs="宋体"/>
          <w:color w:val="auto"/>
          <w:szCs w:val="24"/>
          <w:highlight w:val="none"/>
        </w:rPr>
      </w:pPr>
      <w:r>
        <w:rPr>
          <w:rFonts w:hint="eastAsia" w:hAnsi="宋体" w:cs="宋体"/>
          <w:color w:val="auto"/>
          <w:szCs w:val="24"/>
          <w:highlight w:val="none"/>
        </w:rPr>
        <w:t>（1）封面（格式一）；</w:t>
      </w:r>
    </w:p>
    <w:p w14:paraId="785B5463">
      <w:pPr>
        <w:pStyle w:val="36"/>
        <w:spacing w:line="440" w:lineRule="exact"/>
        <w:ind w:firstLine="480" w:firstLineChars="200"/>
        <w:rPr>
          <w:rFonts w:hAnsi="宋体" w:cs="宋体"/>
          <w:color w:val="auto"/>
          <w:szCs w:val="24"/>
          <w:highlight w:val="none"/>
        </w:rPr>
      </w:pPr>
      <w:r>
        <w:rPr>
          <w:rFonts w:hint="eastAsia" w:hAnsi="宋体" w:cs="宋体"/>
          <w:color w:val="auto"/>
          <w:szCs w:val="24"/>
          <w:highlight w:val="none"/>
        </w:rPr>
        <w:t>（2）目录；</w:t>
      </w:r>
    </w:p>
    <w:p w14:paraId="7EEB1936">
      <w:pPr>
        <w:pStyle w:val="36"/>
        <w:spacing w:line="440" w:lineRule="exact"/>
        <w:ind w:firstLine="480" w:firstLineChars="200"/>
        <w:rPr>
          <w:rFonts w:hAnsi="宋体" w:cs="宋体"/>
          <w:color w:val="auto"/>
          <w:szCs w:val="24"/>
          <w:highlight w:val="none"/>
        </w:rPr>
      </w:pPr>
      <w:r>
        <w:rPr>
          <w:rFonts w:hint="eastAsia" w:hAnsi="宋体" w:cs="宋体"/>
          <w:color w:val="auto"/>
          <w:szCs w:val="24"/>
          <w:highlight w:val="none"/>
        </w:rPr>
        <w:t>（3）《投标函》（格式二）；</w:t>
      </w:r>
    </w:p>
    <w:p w14:paraId="39D4E32E">
      <w:pPr>
        <w:pStyle w:val="36"/>
        <w:spacing w:line="440" w:lineRule="exact"/>
        <w:ind w:firstLine="480" w:firstLineChars="200"/>
        <w:rPr>
          <w:rFonts w:hAnsi="宋体" w:cs="宋体"/>
          <w:color w:val="auto"/>
          <w:szCs w:val="24"/>
          <w:highlight w:val="none"/>
        </w:rPr>
      </w:pPr>
      <w:r>
        <w:rPr>
          <w:rFonts w:hint="eastAsia" w:hAnsi="宋体" w:cs="宋体"/>
          <w:color w:val="auto"/>
          <w:szCs w:val="24"/>
          <w:highlight w:val="none"/>
        </w:rPr>
        <w:t>（4）《工程项目报价表》（格式三）；</w:t>
      </w:r>
    </w:p>
    <w:p w14:paraId="7C045E58">
      <w:pPr>
        <w:pStyle w:val="36"/>
        <w:spacing w:line="440" w:lineRule="exact"/>
        <w:ind w:firstLine="480" w:firstLineChars="200"/>
        <w:rPr>
          <w:rFonts w:hAnsi="宋体" w:cs="宋体"/>
          <w:color w:val="auto"/>
          <w:szCs w:val="24"/>
          <w:highlight w:val="none"/>
        </w:rPr>
      </w:pPr>
      <w:r>
        <w:rPr>
          <w:rFonts w:hint="eastAsia" w:hAnsi="宋体" w:cs="宋体"/>
          <w:color w:val="auto"/>
          <w:szCs w:val="24"/>
          <w:highlight w:val="none"/>
        </w:rPr>
        <w:t>（5）《各项承诺一览表》（格式四）；</w:t>
      </w:r>
    </w:p>
    <w:p w14:paraId="266C1F1A">
      <w:pPr>
        <w:pStyle w:val="36"/>
        <w:spacing w:line="440" w:lineRule="exact"/>
        <w:ind w:firstLine="480" w:firstLineChars="200"/>
        <w:rPr>
          <w:rFonts w:hAnsi="宋体" w:cs="宋体"/>
          <w:color w:val="auto"/>
          <w:szCs w:val="24"/>
          <w:highlight w:val="none"/>
        </w:rPr>
      </w:pPr>
      <w:r>
        <w:rPr>
          <w:rFonts w:hint="eastAsia" w:hAnsi="宋体" w:cs="宋体"/>
          <w:color w:val="auto"/>
          <w:szCs w:val="24"/>
          <w:highlight w:val="none"/>
        </w:rPr>
        <w:t>（6）《法定代表人身份证明书》（格式八）；</w:t>
      </w:r>
    </w:p>
    <w:p w14:paraId="6DDA5226">
      <w:pPr>
        <w:pStyle w:val="36"/>
        <w:spacing w:line="440" w:lineRule="exact"/>
        <w:ind w:firstLine="480" w:firstLineChars="200"/>
        <w:rPr>
          <w:rFonts w:hAnsi="宋体" w:cs="宋体"/>
          <w:color w:val="auto"/>
          <w:szCs w:val="24"/>
          <w:highlight w:val="none"/>
        </w:rPr>
      </w:pPr>
      <w:r>
        <w:rPr>
          <w:rFonts w:hint="eastAsia" w:hAnsi="宋体" w:cs="宋体"/>
          <w:color w:val="auto"/>
          <w:szCs w:val="24"/>
          <w:highlight w:val="none"/>
        </w:rPr>
        <w:t>（7）《法定代表人授权委托书》（格式九）；</w:t>
      </w:r>
    </w:p>
    <w:p w14:paraId="6DCC1350">
      <w:pPr>
        <w:pStyle w:val="36"/>
        <w:spacing w:line="440" w:lineRule="exact"/>
        <w:ind w:firstLine="480" w:firstLineChars="200"/>
        <w:rPr>
          <w:rFonts w:hAnsi="宋体" w:cs="宋体"/>
          <w:color w:val="auto"/>
          <w:szCs w:val="24"/>
          <w:highlight w:val="none"/>
        </w:rPr>
      </w:pPr>
      <w:r>
        <w:rPr>
          <w:rFonts w:hint="eastAsia" w:hAnsi="宋体" w:cs="宋体"/>
          <w:color w:val="auto"/>
          <w:szCs w:val="24"/>
          <w:highlight w:val="none"/>
        </w:rPr>
        <w:t>（8）</w:t>
      </w:r>
      <w:r>
        <w:rPr>
          <w:rFonts w:hint="eastAsia" w:hAnsi="宋体" w:cs="宋体"/>
          <w:snapToGrid w:val="0"/>
          <w:color w:val="auto"/>
          <w:kern w:val="0"/>
          <w:szCs w:val="18"/>
          <w:highlight w:val="none"/>
        </w:rPr>
        <w:t>投标保证缴纳证明（投标人采用投标保证金的，附建设工程交易系统《缴纳投标保证金通知书》页面截图和银行转账单扫描件；采用投标保证担保的，附银行保函扫描件；采用投标保证保险的，附电子保单和《交易平台保证金缴纳信息》页面截图）。</w:t>
      </w:r>
    </w:p>
    <w:p w14:paraId="5E97FE97">
      <w:pPr>
        <w:pStyle w:val="36"/>
        <w:spacing w:line="440" w:lineRule="exact"/>
        <w:ind w:firstLine="480" w:firstLineChars="200"/>
        <w:rPr>
          <w:rFonts w:hAnsi="宋体" w:cs="宋体"/>
          <w:color w:val="auto"/>
          <w:szCs w:val="24"/>
          <w:highlight w:val="none"/>
        </w:rPr>
      </w:pPr>
      <w:r>
        <w:rPr>
          <w:rFonts w:hint="eastAsia" w:hAnsi="宋体" w:cs="宋体"/>
          <w:color w:val="auto"/>
          <w:szCs w:val="24"/>
          <w:highlight w:val="none"/>
        </w:rPr>
        <w:t>（9）《投标人基本情况表》（格式五）及所附资料；</w:t>
      </w:r>
    </w:p>
    <w:p w14:paraId="343C42F1">
      <w:pPr>
        <w:pStyle w:val="36"/>
        <w:spacing w:line="440" w:lineRule="exact"/>
        <w:ind w:firstLine="480" w:firstLineChars="200"/>
        <w:rPr>
          <w:rFonts w:hAnsi="宋体" w:cs="宋体"/>
          <w:color w:val="auto"/>
          <w:szCs w:val="24"/>
          <w:highlight w:val="none"/>
        </w:rPr>
      </w:pPr>
      <w:r>
        <w:rPr>
          <w:rFonts w:hint="eastAsia" w:hAnsi="宋体" w:cs="宋体"/>
          <w:color w:val="auto"/>
          <w:szCs w:val="24"/>
          <w:highlight w:val="none"/>
        </w:rPr>
        <w:t>（10）《</w:t>
      </w:r>
      <w:r>
        <w:rPr>
          <w:rFonts w:hint="eastAsia" w:hAnsi="宋体" w:cs="宋体"/>
          <w:color w:val="auto"/>
          <w:szCs w:val="24"/>
          <w:highlight w:val="none"/>
          <w:lang w:val="en-US" w:eastAsia="zh-CN"/>
        </w:rPr>
        <w:t>设计</w:t>
      </w:r>
      <w:r>
        <w:rPr>
          <w:rFonts w:hint="eastAsia" w:hAnsi="宋体" w:cs="宋体"/>
          <w:color w:val="auto"/>
          <w:szCs w:val="24"/>
          <w:highlight w:val="none"/>
        </w:rPr>
        <w:t>负责人负责人简历表》（格式六）及所附资料；</w:t>
      </w:r>
    </w:p>
    <w:p w14:paraId="1179A8F3">
      <w:pPr>
        <w:pStyle w:val="36"/>
        <w:spacing w:line="440" w:lineRule="exact"/>
        <w:ind w:firstLine="480" w:firstLineChars="200"/>
        <w:rPr>
          <w:rFonts w:hAnsi="宋体" w:cs="宋体"/>
          <w:color w:val="auto"/>
          <w:szCs w:val="24"/>
          <w:highlight w:val="none"/>
        </w:rPr>
      </w:pPr>
      <w:r>
        <w:rPr>
          <w:rFonts w:hint="eastAsia" w:hAnsi="宋体" w:cs="宋体"/>
          <w:color w:val="auto"/>
          <w:szCs w:val="24"/>
          <w:highlight w:val="none"/>
        </w:rPr>
        <w:t>（11）《本项目拟投入的人员基本情况表》（格式七）及所附资料；</w:t>
      </w:r>
    </w:p>
    <w:p w14:paraId="338CD934">
      <w:pPr>
        <w:pStyle w:val="36"/>
        <w:spacing w:line="440" w:lineRule="exact"/>
        <w:ind w:firstLine="480" w:firstLineChars="200"/>
        <w:rPr>
          <w:rFonts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lang w:val="en-US" w:eastAsia="zh-CN"/>
        </w:rPr>
        <w:t>2</w:t>
      </w:r>
      <w:r>
        <w:rPr>
          <w:rFonts w:hint="eastAsia" w:hAnsi="宋体" w:cs="宋体"/>
          <w:color w:val="auto"/>
          <w:szCs w:val="24"/>
          <w:highlight w:val="none"/>
        </w:rPr>
        <w:t>）详细评审阶段要求提供的评审资料（详见本节第16.5.1目）；</w:t>
      </w:r>
    </w:p>
    <w:p w14:paraId="6E10B7E9">
      <w:pPr>
        <w:pStyle w:val="36"/>
        <w:spacing w:line="440" w:lineRule="exact"/>
        <w:ind w:firstLine="480" w:firstLineChars="200"/>
        <w:rPr>
          <w:rFonts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lang w:val="en-US" w:eastAsia="zh-CN"/>
        </w:rPr>
        <w:t>3</w:t>
      </w:r>
      <w:r>
        <w:rPr>
          <w:rFonts w:hint="eastAsia" w:hAnsi="宋体" w:cs="宋体"/>
          <w:color w:val="auto"/>
          <w:szCs w:val="24"/>
          <w:highlight w:val="none"/>
        </w:rPr>
        <w:t>）投标人认为有必要补充的其他资料。（例如：投标人已经工商变更，但其企业资质证书或其员工执业资格注册证书上的企业名称未能在投标期间完成变更的书面说明和佐证材料；外省企业所在省、地级市住建部门或其授权的组织（机构）关于企业资质、人员资格有效期自动顺延或延期办理的相关文件等）。</w:t>
      </w:r>
    </w:p>
    <w:p w14:paraId="149C71BC">
      <w:pPr>
        <w:pStyle w:val="36"/>
        <w:spacing w:line="440" w:lineRule="exact"/>
        <w:ind w:firstLine="480" w:firstLineChars="200"/>
        <w:rPr>
          <w:rFonts w:hAnsi="宋体" w:cs="宋体"/>
          <w:color w:val="auto"/>
          <w:szCs w:val="24"/>
          <w:highlight w:val="none"/>
        </w:rPr>
      </w:pPr>
      <w:r>
        <w:rPr>
          <w:rFonts w:hint="eastAsia" w:hAnsi="宋体" w:cs="宋体"/>
          <w:color w:val="auto"/>
          <w:szCs w:val="24"/>
          <w:highlight w:val="none"/>
        </w:rPr>
        <w:t>10.2.2 本节第10.2.1目中所列出的商务经济标书组成内容中，第（1）至第（12）项所有投标人均应提供。</w:t>
      </w:r>
    </w:p>
    <w:p w14:paraId="6AAD17EC">
      <w:pPr>
        <w:pStyle w:val="36"/>
        <w:spacing w:line="440" w:lineRule="exact"/>
        <w:ind w:firstLine="480" w:firstLineChars="200"/>
        <w:rPr>
          <w:rFonts w:hAnsi="宋体" w:cs="宋体"/>
          <w:color w:val="auto"/>
          <w:szCs w:val="24"/>
          <w:highlight w:val="none"/>
        </w:rPr>
      </w:pPr>
      <w:r>
        <w:rPr>
          <w:rFonts w:hint="eastAsia" w:hAnsi="宋体" w:cs="宋体"/>
          <w:color w:val="auto"/>
          <w:szCs w:val="24"/>
          <w:highlight w:val="none"/>
        </w:rPr>
        <w:t>10.2.3 商务经济标书的组成内容按本节第10.2.1目规定的顺序整理、编排后，逐页（页码起始从封面开始）连续标记页码。</w:t>
      </w:r>
    </w:p>
    <w:p w14:paraId="5025877E">
      <w:pPr>
        <w:pStyle w:val="36"/>
        <w:spacing w:line="440" w:lineRule="exact"/>
        <w:ind w:firstLine="480" w:firstLineChars="200"/>
        <w:rPr>
          <w:rFonts w:hAnsi="宋体" w:cs="宋体"/>
          <w:color w:val="auto"/>
          <w:szCs w:val="18"/>
          <w:highlight w:val="none"/>
        </w:rPr>
      </w:pPr>
      <w:r>
        <w:rPr>
          <w:rFonts w:hint="eastAsia" w:hAnsi="宋体" w:cs="宋体"/>
          <w:snapToGrid w:val="0"/>
          <w:color w:val="auto"/>
          <w:kern w:val="0"/>
          <w:szCs w:val="24"/>
          <w:highlight w:val="none"/>
        </w:rPr>
        <w:t>10.2.4 所有报价均以人民币“元”为单位，并按“四舍五入”原则精确到两位小数。投标总价必须同时用大、小写表示，大、小写报价应保持一致，如不一致，以大写报价为准。</w:t>
      </w:r>
    </w:p>
    <w:p w14:paraId="63A4AA59">
      <w:pPr>
        <w:spacing w:line="440" w:lineRule="exact"/>
        <w:ind w:firstLine="480" w:firstLineChars="200"/>
        <w:rPr>
          <w:rFonts w:ascii="宋体" w:hAnsi="宋体" w:cs="宋体"/>
          <w:color w:val="auto"/>
          <w:sz w:val="24"/>
          <w:szCs w:val="24"/>
          <w:highlight w:val="none"/>
        </w:rPr>
      </w:pPr>
      <w:bookmarkStart w:id="92" w:name="_Toc71811310"/>
      <w:bookmarkStart w:id="93" w:name="_Toc466640590"/>
      <w:bookmarkStart w:id="94" w:name="_Toc71811079"/>
      <w:bookmarkStart w:id="95" w:name="_Toc496133010"/>
      <w:bookmarkStart w:id="96" w:name="_Toc71811177"/>
      <w:bookmarkStart w:id="97" w:name="_Toc29429"/>
      <w:bookmarkStart w:id="98" w:name="_Toc71813700"/>
      <w:bookmarkStart w:id="99" w:name="_Toc477"/>
      <w:r>
        <w:rPr>
          <w:rFonts w:hint="eastAsia" w:ascii="宋体" w:hAnsi="宋体" w:cs="宋体"/>
          <w:color w:val="auto"/>
          <w:sz w:val="24"/>
          <w:szCs w:val="24"/>
          <w:highlight w:val="none"/>
        </w:rPr>
        <w:t>10.3 技术标书的编制要求</w:t>
      </w:r>
      <w:bookmarkEnd w:id="92"/>
      <w:bookmarkEnd w:id="93"/>
      <w:bookmarkEnd w:id="94"/>
      <w:bookmarkEnd w:id="95"/>
      <w:bookmarkEnd w:id="96"/>
      <w:bookmarkEnd w:id="97"/>
      <w:bookmarkEnd w:id="98"/>
      <w:bookmarkEnd w:id="99"/>
    </w:p>
    <w:p w14:paraId="09A8D143">
      <w:pPr>
        <w:pStyle w:val="45"/>
        <w:spacing w:line="440" w:lineRule="exact"/>
        <w:ind w:firstLine="480" w:firstLineChars="200"/>
        <w:rPr>
          <w:rFonts w:hAnsi="宋体" w:cs="宋体"/>
          <w:color w:val="auto"/>
          <w:szCs w:val="24"/>
          <w:highlight w:val="none"/>
          <w:u w:val="single"/>
        </w:rPr>
      </w:pPr>
      <w:r>
        <w:rPr>
          <w:rFonts w:hint="eastAsia" w:hAnsi="宋体" w:cs="宋体"/>
          <w:color w:val="auto"/>
          <w:szCs w:val="24"/>
          <w:highlight w:val="none"/>
        </w:rPr>
        <w:t>10.3.1 技术标书包括但不限于以下内容：</w:t>
      </w:r>
    </w:p>
    <w:p w14:paraId="1208830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（1）封面（格式一）；</w:t>
      </w:r>
    </w:p>
    <w:p w14:paraId="3A6A6AE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（2）目录；</w:t>
      </w:r>
    </w:p>
    <w:p w14:paraId="56FDEB2E">
      <w:pPr>
        <w:spacing w:line="360" w:lineRule="auto"/>
        <w:ind w:firstLine="480" w:firstLineChars="200"/>
        <w:rPr>
          <w:rFonts w:ascii="宋体" w:hAnsi="宋体" w:cs="宋体"/>
          <w:color w:val="auto"/>
          <w:sz w:val="24"/>
          <w:szCs w:val="24"/>
          <w:highlight w:val="none"/>
        </w:rPr>
      </w:pPr>
      <w:bookmarkStart w:id="100" w:name="_Toc485111106"/>
      <w:bookmarkStart w:id="101" w:name="_Toc14893"/>
      <w:r>
        <w:rPr>
          <w:rFonts w:hint="eastAsia" w:ascii="宋体" w:hAnsi="宋体" w:cs="宋体"/>
          <w:color w:val="auto"/>
          <w:sz w:val="24"/>
          <w:szCs w:val="24"/>
          <w:highlight w:val="none"/>
        </w:rPr>
        <w:t>（3）项目实施方案（格式自拟）；</w:t>
      </w:r>
    </w:p>
    <w:p w14:paraId="612354E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（4）投标人根据招标文件的《综合评分表》认为需要补充的其他资料。</w:t>
      </w:r>
    </w:p>
    <w:p w14:paraId="01F84F8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10.3.2 本节第10.3.1目中所列出的技术标书组成内容中，第（1）至第（3）项所有投标人均应提供。按顺序整理、编排后，逐页（页码起始从封面开始）连续标记页码。</w:t>
      </w:r>
    </w:p>
    <w:p w14:paraId="29880DC3">
      <w:pPr>
        <w:pStyle w:val="3"/>
        <w:numPr>
          <w:ilvl w:val="1"/>
          <w:numId w:val="0"/>
        </w:numPr>
        <w:spacing w:before="158" w:after="158"/>
        <w:rPr>
          <w:color w:val="auto"/>
          <w:highlight w:val="none"/>
        </w:rPr>
      </w:pPr>
      <w:bookmarkStart w:id="102" w:name="_Toc14843"/>
      <w:bookmarkStart w:id="103" w:name="_Toc12971"/>
      <w:r>
        <w:rPr>
          <w:rFonts w:hint="eastAsia"/>
          <w:color w:val="auto"/>
          <w:highlight w:val="none"/>
        </w:rPr>
        <w:t>11.电子投标</w:t>
      </w:r>
      <w:bookmarkEnd w:id="102"/>
    </w:p>
    <w:p w14:paraId="13263F0A">
      <w:pPr>
        <w:spacing w:line="360" w:lineRule="auto"/>
        <w:ind w:firstLine="480" w:firstLineChars="200"/>
        <w:rPr>
          <w:rFonts w:ascii="宋体" w:hAnsi="宋体" w:cs="宋体"/>
          <w:color w:val="auto"/>
          <w:sz w:val="24"/>
          <w:szCs w:val="24"/>
          <w:highlight w:val="none"/>
        </w:rPr>
      </w:pPr>
      <w:bookmarkStart w:id="104" w:name="_Toc21572"/>
      <w:r>
        <w:rPr>
          <w:rFonts w:hint="eastAsia" w:ascii="宋体" w:hAnsi="宋体" w:cs="宋体"/>
          <w:color w:val="auto"/>
          <w:sz w:val="24"/>
          <w:szCs w:val="24"/>
          <w:highlight w:val="none"/>
        </w:rPr>
        <w:t>11.1在建设工程交易系统上传加盖了电子印章的投标文件、录入相关信息及标书页码信息，（页码起始从封面开始）并提交投标标书，提交标书为已加密投标文件。具体操作参照《韶关市公共资源建设工程交易系统-投标人操作指南》。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bookmarkEnd w:id="104"/>
    </w:p>
    <w:p w14:paraId="74FF90A5">
      <w:pPr>
        <w:adjustRightInd w:val="0"/>
        <w:snapToGrid w:val="0"/>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11.2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57ADB4C9">
      <w:pPr>
        <w:pStyle w:val="3"/>
        <w:numPr>
          <w:ilvl w:val="1"/>
          <w:numId w:val="0"/>
        </w:numPr>
        <w:wordWrap w:val="0"/>
        <w:snapToGrid w:val="0"/>
        <w:spacing w:before="158" w:after="0" w:afterLines="0"/>
        <w:jc w:val="both"/>
        <w:rPr>
          <w:rFonts w:cs="宋体"/>
          <w:snapToGrid w:val="0"/>
          <w:color w:val="auto"/>
          <w:highlight w:val="none"/>
        </w:rPr>
      </w:pPr>
      <w:bookmarkStart w:id="105" w:name="_Toc9645"/>
      <w:r>
        <w:rPr>
          <w:rFonts w:hint="eastAsia"/>
          <w:color w:val="auto"/>
          <w:highlight w:val="none"/>
        </w:rPr>
        <w:t>12.</w:t>
      </w:r>
      <w:bookmarkEnd w:id="103"/>
      <w:bookmarkStart w:id="106" w:name="_Hlt88627590"/>
      <w:bookmarkEnd w:id="106"/>
      <w:r>
        <w:rPr>
          <w:rFonts w:hint="eastAsia" w:cs="宋体"/>
          <w:snapToGrid w:val="0"/>
          <w:color w:val="auto"/>
          <w:highlight w:val="none"/>
        </w:rPr>
        <w:t>电子投标解密失败及突发情况的补救</w:t>
      </w:r>
      <w:bookmarkEnd w:id="105"/>
    </w:p>
    <w:p w14:paraId="083BDF6D">
      <w:pPr>
        <w:adjustRightInd w:val="0"/>
        <w:snapToGrid w:val="0"/>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12.1按照交易平台关于全流程电子化项目的相关指南进行操作。详见：全国公共资源交易平台（广东省·韶关市）（https://ygp.gdzwfw.gov.cn/ggzy-portal/#/440200/index）【服务指南】栏目发布的最新版操作指引。  </w:t>
      </w:r>
    </w:p>
    <w:p w14:paraId="44484171">
      <w:pPr>
        <w:adjustRightInd w:val="0"/>
        <w:snapToGrid w:val="0"/>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12.2补救方案：</w:t>
      </w:r>
    </w:p>
    <w:p w14:paraId="50D05FA3">
      <w:pPr>
        <w:adjustRightInd w:val="0"/>
        <w:snapToGrid w:val="0"/>
        <w:spacing w:line="47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1）投标文件解密失败的补救方案：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056E3F98">
      <w:pPr>
        <w:adjustRightInd w:val="0"/>
        <w:snapToGrid w:val="0"/>
        <w:spacing w:line="47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2）评标时突发情况的补救方案：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0AAFAFB3">
      <w:pPr>
        <w:adjustRightInd w:val="0"/>
        <w:snapToGrid w:val="0"/>
        <w:spacing w:line="47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（3）除发生上述情况外，开标评标均以投标人通过交易平台网上提交的电子投标文件为准。</w:t>
      </w:r>
    </w:p>
    <w:bookmarkEnd w:id="100"/>
    <w:bookmarkEnd w:id="101"/>
    <w:p w14:paraId="3D475F28">
      <w:pPr>
        <w:pStyle w:val="3"/>
        <w:numPr>
          <w:ilvl w:val="1"/>
          <w:numId w:val="0"/>
        </w:numPr>
        <w:spacing w:before="158" w:after="158"/>
        <w:rPr>
          <w:color w:val="auto"/>
          <w:highlight w:val="none"/>
        </w:rPr>
      </w:pPr>
      <w:bookmarkStart w:id="107" w:name="_Toc4235"/>
      <w:r>
        <w:rPr>
          <w:rFonts w:hint="eastAsia"/>
          <w:color w:val="auto"/>
          <w:highlight w:val="none"/>
        </w:rPr>
        <w:t>13.投标文件的提交</w:t>
      </w:r>
      <w:bookmarkEnd w:id="107"/>
    </w:p>
    <w:p w14:paraId="20DE370C">
      <w:pPr>
        <w:pStyle w:val="36"/>
        <w:snapToGrid w:val="0"/>
        <w:spacing w:line="450" w:lineRule="exact"/>
        <w:ind w:firstLine="480" w:firstLineChars="200"/>
        <w:rPr>
          <w:rFonts w:hAnsi="宋体" w:cs="宋体"/>
          <w:snapToGrid w:val="0"/>
          <w:color w:val="auto"/>
          <w:kern w:val="0"/>
          <w:szCs w:val="24"/>
          <w:highlight w:val="none"/>
        </w:rPr>
      </w:pPr>
      <w:bookmarkStart w:id="108" w:name="_Hlt66608380"/>
      <w:bookmarkEnd w:id="108"/>
      <w:bookmarkStart w:id="109" w:name="_Hlt75685366"/>
      <w:bookmarkEnd w:id="109"/>
      <w:bookmarkStart w:id="110" w:name="_Hlt74494779"/>
      <w:bookmarkEnd w:id="110"/>
      <w:bookmarkStart w:id="111" w:name="_Hlt92512875"/>
      <w:bookmarkEnd w:id="111"/>
      <w:bookmarkStart w:id="112" w:name="_Hlt69699424"/>
      <w:bookmarkEnd w:id="112"/>
      <w:bookmarkStart w:id="113" w:name="_Toc106418820"/>
      <w:bookmarkStart w:id="114" w:name="_Toc31438"/>
      <w:bookmarkStart w:id="115" w:name="_Toc104711075"/>
      <w:r>
        <w:rPr>
          <w:rFonts w:hint="eastAsia" w:hAnsi="宋体" w:cs="宋体"/>
          <w:snapToGrid w:val="0"/>
          <w:color w:val="auto"/>
          <w:kern w:val="0"/>
          <w:szCs w:val="24"/>
          <w:highlight w:val="none"/>
        </w:rPr>
        <w:t>13.1在电子投标截止时间前，投标人通过全国公共资源交易平台（广东省·韶关市）提交已加密投标文件。逾期提交的电子投标文件，全国公共资源交易平台（广东省·韶关市）将予以拒收。</w:t>
      </w:r>
    </w:p>
    <w:p w14:paraId="72B9E25D">
      <w:pPr>
        <w:pStyle w:val="36"/>
        <w:snapToGrid w:val="0"/>
        <w:spacing w:line="450" w:lineRule="exact"/>
        <w:ind w:firstLine="480" w:firstLineChars="200"/>
        <w:rPr>
          <w:rFonts w:hAnsi="宋体" w:cs="宋体"/>
          <w:snapToGrid w:val="0"/>
          <w:color w:val="auto"/>
          <w:kern w:val="0"/>
          <w:szCs w:val="24"/>
          <w:highlight w:val="none"/>
        </w:rPr>
      </w:pPr>
      <w:r>
        <w:rPr>
          <w:rFonts w:hint="eastAsia" w:hAnsi="宋体" w:cs="宋体"/>
          <w:snapToGrid w:val="0"/>
          <w:color w:val="auto"/>
          <w:kern w:val="0"/>
          <w:szCs w:val="24"/>
          <w:highlight w:val="none"/>
        </w:rPr>
        <w:t>13.2投标文件提交截止时间（同电子投标截止时间）：见本章第二节“重要事项时间地点一览表”。</w:t>
      </w:r>
    </w:p>
    <w:p w14:paraId="7E945FFE">
      <w:pPr>
        <w:pStyle w:val="36"/>
        <w:snapToGrid w:val="0"/>
        <w:spacing w:line="450" w:lineRule="exact"/>
        <w:ind w:firstLine="480" w:firstLineChars="200"/>
        <w:rPr>
          <w:rFonts w:hAnsi="宋体" w:cs="宋体"/>
          <w:snapToGrid w:val="0"/>
          <w:color w:val="auto"/>
          <w:kern w:val="0"/>
          <w:szCs w:val="24"/>
          <w:highlight w:val="none"/>
        </w:rPr>
      </w:pPr>
      <w:r>
        <w:rPr>
          <w:rFonts w:hint="eastAsia" w:hAnsi="宋体" w:cs="宋体"/>
          <w:snapToGrid w:val="0"/>
          <w:color w:val="auto"/>
          <w:kern w:val="0"/>
          <w:szCs w:val="24"/>
          <w:highlight w:val="none"/>
        </w:rPr>
        <w:t>13.3代理机构对因不可抗力事件造成的投标文件的损坏、丢失的，不承担责任。</w:t>
      </w:r>
    </w:p>
    <w:p w14:paraId="4D8440AF">
      <w:pPr>
        <w:pStyle w:val="36"/>
        <w:snapToGrid w:val="0"/>
        <w:spacing w:line="450" w:lineRule="exact"/>
        <w:ind w:firstLine="480" w:firstLineChars="200"/>
        <w:rPr>
          <w:rFonts w:hAnsi="宋体" w:cs="宋体"/>
          <w:snapToGrid w:val="0"/>
          <w:color w:val="auto"/>
          <w:kern w:val="0"/>
          <w:szCs w:val="24"/>
          <w:highlight w:val="none"/>
        </w:rPr>
      </w:pPr>
      <w:r>
        <w:rPr>
          <w:rFonts w:hint="eastAsia" w:hAnsi="宋体" w:cs="宋体"/>
          <w:snapToGrid w:val="0"/>
          <w:color w:val="auto"/>
          <w:kern w:val="0"/>
          <w:szCs w:val="24"/>
          <w:highlight w:val="none"/>
        </w:rPr>
        <w:t>13.4 投标人法定代表人或其委托代理人（以下简称“投标人代表”）应在指定的时间和地点递交以下的资料</w:t>
      </w:r>
      <w:r>
        <w:rPr>
          <w:rFonts w:hint="eastAsia" w:hAnsi="宋体" w:cs="宋体"/>
          <w:b/>
          <w:bCs/>
          <w:snapToGrid w:val="0"/>
          <w:color w:val="auto"/>
          <w:kern w:val="0"/>
          <w:szCs w:val="24"/>
          <w:highlight w:val="none"/>
        </w:rPr>
        <w:t>（如有）</w:t>
      </w:r>
      <w:r>
        <w:rPr>
          <w:rFonts w:hint="eastAsia" w:hAnsi="宋体" w:cs="宋体"/>
          <w:snapToGrid w:val="0"/>
          <w:color w:val="auto"/>
          <w:kern w:val="0"/>
          <w:szCs w:val="24"/>
          <w:highlight w:val="none"/>
        </w:rPr>
        <w:t>：招标文件要求提交的用于评审的证书、证件、证明原件</w:t>
      </w:r>
      <w:r>
        <w:rPr>
          <w:rFonts w:hint="eastAsia" w:hAnsi="宋体" w:cs="宋体"/>
          <w:b/>
          <w:bCs/>
          <w:snapToGrid w:val="0"/>
          <w:color w:val="auto"/>
          <w:kern w:val="0"/>
          <w:szCs w:val="24"/>
          <w:highlight w:val="none"/>
        </w:rPr>
        <w:t>（附一式</w:t>
      </w:r>
      <w:r>
        <w:rPr>
          <w:rFonts w:hint="eastAsia" w:hAnsi="宋体" w:cs="宋体"/>
          <w:b/>
          <w:bCs/>
          <w:snapToGrid w:val="0"/>
          <w:color w:val="auto"/>
          <w:kern w:val="0"/>
          <w:szCs w:val="24"/>
          <w:highlight w:val="none"/>
          <w:u w:val="single"/>
        </w:rPr>
        <w:t xml:space="preserve"> 两 </w:t>
      </w:r>
      <w:r>
        <w:rPr>
          <w:rFonts w:hint="eastAsia" w:hAnsi="宋体" w:cs="宋体"/>
          <w:b/>
          <w:bCs/>
          <w:snapToGrid w:val="0"/>
          <w:color w:val="auto"/>
          <w:kern w:val="0"/>
          <w:szCs w:val="24"/>
          <w:highlight w:val="none"/>
        </w:rPr>
        <w:t>份清单）</w:t>
      </w:r>
      <w:r>
        <w:rPr>
          <w:rFonts w:hint="eastAsia" w:hAnsi="宋体" w:cs="宋体"/>
          <w:snapToGrid w:val="0"/>
          <w:color w:val="auto"/>
          <w:kern w:val="0"/>
          <w:szCs w:val="24"/>
          <w:highlight w:val="none"/>
        </w:rPr>
        <w:t>。</w:t>
      </w:r>
    </w:p>
    <w:p w14:paraId="6A639612">
      <w:pPr>
        <w:pStyle w:val="36"/>
        <w:snapToGrid w:val="0"/>
        <w:spacing w:line="450" w:lineRule="exact"/>
        <w:ind w:firstLine="480" w:firstLineChars="200"/>
        <w:rPr>
          <w:rFonts w:hAnsi="宋体" w:cs="宋体"/>
          <w:snapToGrid w:val="0"/>
          <w:color w:val="auto"/>
          <w:kern w:val="0"/>
          <w:szCs w:val="24"/>
          <w:highlight w:val="none"/>
        </w:rPr>
      </w:pPr>
      <w:r>
        <w:rPr>
          <w:rFonts w:hint="eastAsia" w:hAnsi="宋体" w:cs="宋体"/>
          <w:snapToGrid w:val="0"/>
          <w:color w:val="auto"/>
          <w:kern w:val="0"/>
          <w:szCs w:val="24"/>
          <w:highlight w:val="none"/>
        </w:rPr>
        <w:t>13.5出现下述情形之一，属于未成功提交投标文件，按无效投标处理：</w:t>
      </w:r>
    </w:p>
    <w:p w14:paraId="58D3DDAA">
      <w:pPr>
        <w:pStyle w:val="36"/>
        <w:snapToGrid w:val="0"/>
        <w:spacing w:line="450" w:lineRule="exact"/>
        <w:ind w:firstLine="480" w:firstLineChars="200"/>
        <w:rPr>
          <w:rFonts w:hAnsi="宋体" w:cs="宋体"/>
          <w:snapToGrid w:val="0"/>
          <w:color w:val="auto"/>
          <w:kern w:val="0"/>
          <w:szCs w:val="24"/>
          <w:highlight w:val="none"/>
        </w:rPr>
      </w:pPr>
      <w:r>
        <w:rPr>
          <w:rFonts w:hint="eastAsia" w:hAnsi="宋体" w:cs="宋体"/>
          <w:snapToGrid w:val="0"/>
          <w:color w:val="auto"/>
          <w:kern w:val="0"/>
          <w:szCs w:val="24"/>
          <w:highlight w:val="none"/>
        </w:rPr>
        <w:t>（1）至电子投标截止时间时，投标文件未完整上传或未提交投标。</w:t>
      </w:r>
    </w:p>
    <w:p w14:paraId="0FBB9B2F">
      <w:pPr>
        <w:pStyle w:val="36"/>
        <w:snapToGrid w:val="0"/>
        <w:spacing w:line="450" w:lineRule="exact"/>
        <w:ind w:firstLine="480" w:firstLineChars="200"/>
        <w:rPr>
          <w:rFonts w:hAnsi="宋体" w:cs="宋体"/>
          <w:snapToGrid w:val="0"/>
          <w:color w:val="auto"/>
          <w:kern w:val="0"/>
          <w:szCs w:val="24"/>
          <w:highlight w:val="none"/>
        </w:rPr>
      </w:pPr>
      <w:r>
        <w:rPr>
          <w:rFonts w:hint="eastAsia" w:hAnsi="宋体" w:cs="宋体"/>
          <w:snapToGrid w:val="0"/>
          <w:color w:val="auto"/>
          <w:kern w:val="0"/>
          <w:szCs w:val="24"/>
          <w:highlight w:val="none"/>
        </w:rPr>
        <w:t>（2）投标文件未按投标格式中注明需签字盖章的要求进行签名（含电子签名）和加盖电子印章，或签名（含电子签名）或电子印章不完整的。</w:t>
      </w:r>
    </w:p>
    <w:p w14:paraId="192C5E8C">
      <w:pPr>
        <w:pStyle w:val="36"/>
        <w:snapToGrid w:val="0"/>
        <w:spacing w:line="450" w:lineRule="exact"/>
        <w:ind w:firstLine="480" w:firstLineChars="200"/>
        <w:rPr>
          <w:rFonts w:hAnsi="宋体" w:cs="宋体"/>
          <w:snapToGrid w:val="0"/>
          <w:color w:val="auto"/>
          <w:kern w:val="0"/>
          <w:szCs w:val="24"/>
          <w:highlight w:val="none"/>
        </w:rPr>
      </w:pPr>
      <w:r>
        <w:rPr>
          <w:rFonts w:hint="eastAsia" w:hAnsi="宋体" w:cs="宋体"/>
          <w:snapToGrid w:val="0"/>
          <w:color w:val="auto"/>
          <w:kern w:val="0"/>
          <w:szCs w:val="24"/>
          <w:highlight w:val="none"/>
        </w:rPr>
        <w:t>（3）解密失败且在规定时间内未重新提交投标文件的；</w:t>
      </w:r>
    </w:p>
    <w:p w14:paraId="22660432">
      <w:pPr>
        <w:pStyle w:val="36"/>
        <w:snapToGrid w:val="0"/>
        <w:spacing w:line="450" w:lineRule="exact"/>
        <w:ind w:firstLine="480" w:firstLineChars="200"/>
        <w:rPr>
          <w:rFonts w:hAnsi="宋体" w:cs="宋体"/>
          <w:snapToGrid w:val="0"/>
          <w:color w:val="auto"/>
          <w:kern w:val="0"/>
          <w:szCs w:val="24"/>
          <w:highlight w:val="none"/>
        </w:rPr>
      </w:pPr>
      <w:r>
        <w:rPr>
          <w:rFonts w:hint="eastAsia" w:hAnsi="宋体" w:cs="宋体"/>
          <w:snapToGrid w:val="0"/>
          <w:color w:val="auto"/>
          <w:kern w:val="0"/>
          <w:szCs w:val="24"/>
          <w:highlight w:val="none"/>
        </w:rPr>
        <w:t>（4）投标文件损坏或格式不正确的。</w:t>
      </w:r>
    </w:p>
    <w:p w14:paraId="623A3F93">
      <w:pPr>
        <w:pStyle w:val="3"/>
        <w:numPr>
          <w:ilvl w:val="1"/>
          <w:numId w:val="0"/>
        </w:numPr>
        <w:spacing w:before="158" w:after="158"/>
        <w:rPr>
          <w:color w:val="auto"/>
          <w:highlight w:val="none"/>
        </w:rPr>
      </w:pPr>
      <w:bookmarkStart w:id="116" w:name="_Toc15039"/>
      <w:r>
        <w:rPr>
          <w:rFonts w:hint="eastAsia"/>
          <w:color w:val="auto"/>
          <w:highlight w:val="none"/>
        </w:rPr>
        <w:t>14.投标有效期</w:t>
      </w:r>
      <w:bookmarkEnd w:id="113"/>
      <w:bookmarkEnd w:id="114"/>
      <w:bookmarkEnd w:id="115"/>
      <w:bookmarkEnd w:id="116"/>
    </w:p>
    <w:p w14:paraId="4B0B1AAA">
      <w:pPr>
        <w:pStyle w:val="36"/>
        <w:spacing w:line="450" w:lineRule="exact"/>
        <w:ind w:firstLine="480" w:firstLineChars="200"/>
        <w:rPr>
          <w:rFonts w:hAnsi="宋体" w:cs="宋体"/>
          <w:b/>
          <w:bCs/>
          <w:color w:val="auto"/>
          <w:szCs w:val="24"/>
          <w:highlight w:val="none"/>
        </w:rPr>
      </w:pPr>
      <w:r>
        <w:rPr>
          <w:rFonts w:hint="eastAsia" w:hAnsi="宋体" w:cs="宋体"/>
          <w:color w:val="auto"/>
          <w:szCs w:val="24"/>
          <w:highlight w:val="none"/>
        </w:rPr>
        <w:t>投标有效期为</w:t>
      </w:r>
      <w:r>
        <w:rPr>
          <w:rFonts w:hint="eastAsia" w:hAnsi="宋体" w:cs="宋体"/>
          <w:color w:val="auto"/>
          <w:szCs w:val="24"/>
          <w:highlight w:val="none"/>
          <w:u w:val="single"/>
        </w:rPr>
        <w:t xml:space="preserve">  </w:t>
      </w:r>
      <w:r>
        <w:rPr>
          <w:rFonts w:hint="eastAsia" w:hAnsi="宋体" w:cs="宋体"/>
          <w:b/>
          <w:bCs/>
          <w:color w:val="auto"/>
          <w:szCs w:val="24"/>
          <w:highlight w:val="none"/>
          <w:u w:val="single"/>
        </w:rPr>
        <w:t xml:space="preserve">90  </w:t>
      </w:r>
      <w:r>
        <w:rPr>
          <w:rFonts w:hint="eastAsia" w:hAnsi="宋体" w:cs="宋体"/>
          <w:color w:val="auto"/>
          <w:szCs w:val="24"/>
          <w:highlight w:val="none"/>
        </w:rPr>
        <w:t>天，从招标人接收投标人的投标书之日起开始计算。在达到此期限前的任何时候，投标人不得撤回投标文件，并可随时被接受中标。</w:t>
      </w:r>
    </w:p>
    <w:bookmarkEnd w:id="68"/>
    <w:bookmarkEnd w:id="69"/>
    <w:p w14:paraId="209553EE">
      <w:pPr>
        <w:pStyle w:val="3"/>
        <w:numPr>
          <w:ilvl w:val="1"/>
          <w:numId w:val="0"/>
        </w:numPr>
        <w:spacing w:before="158" w:after="158"/>
        <w:rPr>
          <w:color w:val="auto"/>
          <w:highlight w:val="none"/>
        </w:rPr>
      </w:pPr>
      <w:bookmarkStart w:id="117" w:name="_Toc23972"/>
      <w:bookmarkStart w:id="118" w:name="_Toc14083"/>
      <w:r>
        <w:rPr>
          <w:rFonts w:hint="eastAsia"/>
          <w:color w:val="auto"/>
          <w:highlight w:val="none"/>
        </w:rPr>
        <w:t>15.开标</w:t>
      </w:r>
      <w:bookmarkEnd w:id="117"/>
      <w:bookmarkEnd w:id="118"/>
    </w:p>
    <w:p w14:paraId="670CB214">
      <w:pPr>
        <w:pStyle w:val="37"/>
        <w:wordWrap w:val="0"/>
        <w:adjustRightInd w:val="0"/>
        <w:snapToGrid w:val="0"/>
        <w:spacing w:line="450" w:lineRule="exact"/>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15.1 招标人邀请所有正确获取招标文件、电子投标、缴纳投标保证的投标人参加开标，投标人可自主决定是否参加。投标人可登录交易平台观看开标实况、提出异议或进行澄清、确认等操作（具体按招标文件和系统操作手册为准）。投标人不参加开标的，视其默认开标结果，以及放弃在开标期间见证、监督、投诉、申辩的权利。</w:t>
      </w:r>
    </w:p>
    <w:p w14:paraId="614167AA">
      <w:pPr>
        <w:pStyle w:val="37"/>
        <w:wordWrap w:val="0"/>
        <w:adjustRightInd w:val="0"/>
        <w:snapToGrid w:val="0"/>
        <w:spacing w:line="450" w:lineRule="exact"/>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15.1.1 开标时间和地点：见本章第二节“重要事项时间地点一览表”。</w:t>
      </w:r>
    </w:p>
    <w:p w14:paraId="518D3E24">
      <w:pPr>
        <w:pStyle w:val="37"/>
        <w:wordWrap w:val="0"/>
        <w:adjustRightInd w:val="0"/>
        <w:snapToGrid w:val="0"/>
        <w:spacing w:line="460" w:lineRule="exact"/>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15.1.2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713559C5">
      <w:pPr>
        <w:pStyle w:val="37"/>
        <w:wordWrap w:val="0"/>
        <w:adjustRightInd w:val="0"/>
        <w:snapToGrid w:val="0"/>
        <w:spacing w:line="450" w:lineRule="exact"/>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15.1.3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260B07E0">
      <w:pPr>
        <w:wordWrap w:val="0"/>
        <w:adjustRightInd w:val="0"/>
        <w:snapToGrid w:val="0"/>
        <w:spacing w:line="45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15.2 开标程序</w:t>
      </w:r>
    </w:p>
    <w:p w14:paraId="574A03CF">
      <w:pPr>
        <w:wordWrap w:val="0"/>
        <w:adjustRightInd w:val="0"/>
        <w:snapToGrid w:val="0"/>
        <w:spacing w:line="460" w:lineRule="exact"/>
        <w:ind w:firstLine="480" w:firstLineChars="200"/>
        <w:rPr>
          <w:rFonts w:ascii="宋体" w:hAnsi="宋体" w:cs="宋体"/>
          <w:snapToGrid w:val="0"/>
          <w:color w:val="auto"/>
          <w:kern w:val="0"/>
          <w:sz w:val="24"/>
          <w:szCs w:val="24"/>
          <w:highlight w:val="none"/>
        </w:rPr>
      </w:pPr>
      <w:bookmarkStart w:id="119" w:name="_Hlt127093805"/>
      <w:bookmarkEnd w:id="119"/>
      <w:r>
        <w:rPr>
          <w:rFonts w:hint="eastAsia" w:ascii="宋体" w:hAnsi="宋体" w:cs="宋体"/>
          <w:snapToGrid w:val="0"/>
          <w:color w:val="auto"/>
          <w:kern w:val="0"/>
          <w:sz w:val="24"/>
          <w:szCs w:val="24"/>
          <w:highlight w:val="none"/>
        </w:rPr>
        <w:t>（1）主持人（招标人代表或招标人授权的招标代理机构人员）宣读开标纪律。</w:t>
      </w:r>
    </w:p>
    <w:p w14:paraId="582E1C4C">
      <w:pPr>
        <w:wordWrap w:val="0"/>
        <w:adjustRightInd w:val="0"/>
        <w:snapToGrid w:val="0"/>
        <w:spacing w:line="46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（2）主持人宣布唱标人、记录人、见证人、监督人等有关人员姓名。</w:t>
      </w:r>
    </w:p>
    <w:p w14:paraId="5EF8291C">
      <w:pPr>
        <w:wordWrap w:val="0"/>
        <w:adjustRightInd w:val="0"/>
        <w:snapToGrid w:val="0"/>
        <w:spacing w:line="46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（3）招标代理机构在交易场所工作人员见证下对投标人的电子投标信息进行解密，建设工程交易系统自动生成《投标保证缴纳情况表》和《开标一览表》。</w:t>
      </w:r>
    </w:p>
    <w:p w14:paraId="18036F2B">
      <w:pPr>
        <w:wordWrap w:val="0"/>
        <w:adjustRightInd w:val="0"/>
        <w:snapToGrid w:val="0"/>
        <w:spacing w:line="46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（4）唱标人公布在电子投标截止时间前提交投标文件的投标人数量和名称。</w:t>
      </w:r>
    </w:p>
    <w:p w14:paraId="287AF7B9">
      <w:pPr>
        <w:wordWrap w:val="0"/>
        <w:adjustRightInd w:val="0"/>
        <w:snapToGrid w:val="0"/>
        <w:spacing w:line="460" w:lineRule="exact"/>
        <w:ind w:firstLine="482" w:firstLineChars="200"/>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6155F9B5">
      <w:pPr>
        <w:wordWrap w:val="0"/>
        <w:adjustRightInd w:val="0"/>
        <w:snapToGrid w:val="0"/>
        <w:spacing w:line="46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15.3 投标人对开标相关事项（如开标程序、投标文件组成和数量、唱标次序和内容等）有异议的，必须在开标期间和开标现场提出，招标人或其授权的招标代理机构应当场作出答复，并记录在案。对开标事项的异议未在开标期间和开标现场提出的，招标人不予受理。</w:t>
      </w:r>
    </w:p>
    <w:p w14:paraId="1F88678F">
      <w:pPr>
        <w:wordWrap w:val="0"/>
        <w:adjustRightInd w:val="0"/>
        <w:snapToGrid w:val="0"/>
        <w:spacing w:line="45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15.4</w:t>
      </w:r>
      <w:r>
        <w:rPr>
          <w:rFonts w:hint="eastAsia" w:ascii="宋体" w:hAnsi="宋体" w:cs="宋体"/>
          <w:b/>
          <w:bCs/>
          <w:snapToGrid w:val="0"/>
          <w:color w:val="auto"/>
          <w:kern w:val="0"/>
          <w:sz w:val="24"/>
          <w:szCs w:val="24"/>
          <w:highlight w:val="none"/>
        </w:rPr>
        <w:t xml:space="preserve"> </w:t>
      </w:r>
      <w:r>
        <w:rPr>
          <w:rFonts w:hint="eastAsia" w:ascii="宋体" w:hAnsi="宋体" w:cs="宋体"/>
          <w:snapToGrid w:val="0"/>
          <w:color w:val="auto"/>
          <w:kern w:val="0"/>
          <w:sz w:val="24"/>
          <w:szCs w:val="24"/>
          <w:highlight w:val="none"/>
        </w:rPr>
        <w:t>招标代理机构将资料原件（如有）、《开标一览表》以及其他有关资料移交评标委员会。</w:t>
      </w:r>
    </w:p>
    <w:p w14:paraId="5CBC02DA">
      <w:pPr>
        <w:pStyle w:val="3"/>
        <w:numPr>
          <w:ilvl w:val="1"/>
          <w:numId w:val="0"/>
        </w:numPr>
        <w:spacing w:before="158" w:after="158"/>
        <w:rPr>
          <w:color w:val="auto"/>
          <w:highlight w:val="none"/>
        </w:rPr>
      </w:pPr>
      <w:bookmarkStart w:id="120" w:name="_Toc32344"/>
      <w:bookmarkStart w:id="121" w:name="_Toc10915"/>
      <w:r>
        <w:rPr>
          <w:rFonts w:hint="eastAsia"/>
          <w:color w:val="auto"/>
          <w:highlight w:val="none"/>
        </w:rPr>
        <w:t>16.评标</w:t>
      </w:r>
      <w:bookmarkEnd w:id="120"/>
      <w:bookmarkEnd w:id="121"/>
    </w:p>
    <w:p w14:paraId="56942A38">
      <w:pPr>
        <w:wordWrap w:val="0"/>
        <w:adjustRightInd w:val="0"/>
        <w:snapToGrid w:val="0"/>
        <w:spacing w:line="45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评标分为初步评审和详细评审两个阶段，由评标委员会在有关部门的监督下，严格按照本招标文件指定的评标方法，对投标人的投标文件进行评审。</w:t>
      </w:r>
    </w:p>
    <w:p w14:paraId="2B9EACB0">
      <w:pPr>
        <w:wordWrap w:val="0"/>
        <w:adjustRightInd w:val="0"/>
        <w:snapToGrid w:val="0"/>
        <w:spacing w:line="450" w:lineRule="exact"/>
        <w:ind w:firstLine="480" w:firstLineChars="200"/>
        <w:rPr>
          <w:rFonts w:ascii="宋体" w:hAnsi="宋体" w:cs="宋体"/>
          <w:bCs/>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16.1 </w:t>
      </w:r>
      <w:r>
        <w:rPr>
          <w:rFonts w:hint="eastAsia" w:ascii="宋体" w:hAnsi="宋体" w:cs="宋体"/>
          <w:bCs/>
          <w:snapToGrid w:val="0"/>
          <w:color w:val="auto"/>
          <w:kern w:val="0"/>
          <w:sz w:val="24"/>
          <w:szCs w:val="24"/>
          <w:highlight w:val="none"/>
        </w:rPr>
        <w:t>评标委员会</w:t>
      </w:r>
    </w:p>
    <w:p w14:paraId="3BF4D3B0">
      <w:pPr>
        <w:wordWrap w:val="0"/>
        <w:adjustRightInd w:val="0"/>
        <w:snapToGrid w:val="0"/>
        <w:spacing w:line="45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16.1.1 评标委员会由</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7</w:t>
      </w:r>
      <w:r>
        <w:rPr>
          <w:rFonts w:hint="eastAsia" w:ascii="宋体" w:hAnsi="宋体" w:cs="宋体"/>
          <w:snapToGrid w:val="0"/>
          <w:color w:val="auto"/>
          <w:kern w:val="0"/>
          <w:sz w:val="24"/>
          <w:szCs w:val="24"/>
          <w:highlight w:val="none"/>
          <w:u w:val="single"/>
        </w:rPr>
        <w:t xml:space="preserve"> 人</w:t>
      </w:r>
      <w:r>
        <w:rPr>
          <w:rFonts w:hint="eastAsia" w:ascii="宋体" w:hAnsi="宋体" w:cs="宋体"/>
          <w:snapToGrid w:val="0"/>
          <w:color w:val="auto"/>
          <w:kern w:val="0"/>
          <w:sz w:val="24"/>
          <w:szCs w:val="24"/>
          <w:highlight w:val="none"/>
        </w:rPr>
        <w:t>组成，其中招标人代表</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2</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人，专家</w:t>
      </w:r>
      <w:r>
        <w:rPr>
          <w:rFonts w:hint="eastAsia" w:ascii="宋体" w:hAnsi="宋体" w:cs="宋体"/>
          <w:snapToGrid w:val="0"/>
          <w:color w:val="auto"/>
          <w:kern w:val="0"/>
          <w:sz w:val="24"/>
          <w:szCs w:val="24"/>
          <w:highlight w:val="none"/>
          <w:u w:val="single"/>
        </w:rPr>
        <w:t xml:space="preserve"> 5 </w:t>
      </w:r>
      <w:r>
        <w:rPr>
          <w:rFonts w:hint="eastAsia" w:ascii="宋体" w:hAnsi="宋体" w:cs="宋体"/>
          <w:snapToGrid w:val="0"/>
          <w:color w:val="auto"/>
          <w:kern w:val="0"/>
          <w:sz w:val="24"/>
          <w:szCs w:val="24"/>
          <w:highlight w:val="none"/>
        </w:rPr>
        <w:t>人。专家从广东省综合评标评审专家库--韶关市区域中随机抽取，其中技术类专家</w:t>
      </w:r>
      <w:r>
        <w:rPr>
          <w:rFonts w:hint="eastAsia" w:ascii="宋体" w:hAnsi="宋体" w:cs="宋体"/>
          <w:snapToGrid w:val="0"/>
          <w:color w:val="auto"/>
          <w:kern w:val="0"/>
          <w:sz w:val="24"/>
          <w:szCs w:val="24"/>
          <w:highlight w:val="none"/>
          <w:u w:val="single"/>
        </w:rPr>
        <w:t xml:space="preserve"> 3 </w:t>
      </w:r>
      <w:r>
        <w:rPr>
          <w:rFonts w:hint="eastAsia" w:ascii="宋体" w:hAnsi="宋体" w:cs="宋体"/>
          <w:snapToGrid w:val="0"/>
          <w:color w:val="auto"/>
          <w:kern w:val="0"/>
          <w:sz w:val="24"/>
          <w:szCs w:val="24"/>
          <w:highlight w:val="none"/>
        </w:rPr>
        <w:t>人，经济类专家</w:t>
      </w:r>
      <w:r>
        <w:rPr>
          <w:rFonts w:hint="eastAsia" w:ascii="宋体" w:hAnsi="宋体" w:cs="宋体"/>
          <w:snapToGrid w:val="0"/>
          <w:color w:val="auto"/>
          <w:kern w:val="0"/>
          <w:sz w:val="24"/>
          <w:szCs w:val="24"/>
          <w:highlight w:val="none"/>
          <w:u w:val="single"/>
        </w:rPr>
        <w:t xml:space="preserve"> 2 </w:t>
      </w:r>
      <w:r>
        <w:rPr>
          <w:rFonts w:hint="eastAsia" w:ascii="宋体" w:hAnsi="宋体" w:cs="宋体"/>
          <w:snapToGrid w:val="0"/>
          <w:color w:val="auto"/>
          <w:kern w:val="0"/>
          <w:sz w:val="24"/>
          <w:szCs w:val="24"/>
          <w:highlight w:val="none"/>
        </w:rPr>
        <w:t>人。评标委员会设负责人，由评标委员会成员推举产生。评标委员会负责人与评标委员会的其他成员有同等的表决权。</w:t>
      </w:r>
    </w:p>
    <w:p w14:paraId="19896B95">
      <w:pPr>
        <w:wordWrap w:val="0"/>
        <w:adjustRightInd w:val="0"/>
        <w:snapToGrid w:val="0"/>
        <w:spacing w:line="45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16.1.2 评标委员会应认真、公正、诚实、廉洁地履行职责。有下列情形之一的，不得担任评标委员会成员：</w:t>
      </w:r>
    </w:p>
    <w:p w14:paraId="22904DAD">
      <w:pPr>
        <w:wordWrap w:val="0"/>
        <w:adjustRightInd w:val="0"/>
        <w:snapToGrid w:val="0"/>
        <w:spacing w:line="45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（1）投标人或投标人主要负责人的近亲属；</w:t>
      </w:r>
    </w:p>
    <w:p w14:paraId="36196BBB">
      <w:pPr>
        <w:wordWrap w:val="0"/>
        <w:adjustRightInd w:val="0"/>
        <w:snapToGrid w:val="0"/>
        <w:spacing w:line="45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（2）项目主管部门或者行政监督部门的人员；</w:t>
      </w:r>
    </w:p>
    <w:p w14:paraId="42DA1747">
      <w:pPr>
        <w:wordWrap w:val="0"/>
        <w:adjustRightInd w:val="0"/>
        <w:snapToGrid w:val="0"/>
        <w:spacing w:line="45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（3）与投标人有经济利益关系，可能影响对投标公正评审的；</w:t>
      </w:r>
    </w:p>
    <w:p w14:paraId="2A242111">
      <w:pPr>
        <w:wordWrap w:val="0"/>
        <w:adjustRightInd w:val="0"/>
        <w:snapToGrid w:val="0"/>
        <w:spacing w:line="45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（4）曾因在招标、评标以及其他与招标投标有关活动中从事违法行为而受过行政处罚或刑事处罚的。</w:t>
      </w:r>
    </w:p>
    <w:p w14:paraId="120862BC">
      <w:pPr>
        <w:wordWrap w:val="0"/>
        <w:adjustRightInd w:val="0"/>
        <w:snapToGrid w:val="0"/>
        <w:spacing w:line="45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评标委员会成员有以上情形之一的，应主动提出回避。</w:t>
      </w:r>
    </w:p>
    <w:p w14:paraId="22C965D1">
      <w:pPr>
        <w:wordWrap w:val="0"/>
        <w:adjustRightInd w:val="0"/>
        <w:snapToGrid w:val="0"/>
        <w:spacing w:line="45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16.1.3 评标全过程实行封闭式管理，在中标结果公布前，禁止评标委员会成员以任何方式私下接触投标人。</w:t>
      </w:r>
    </w:p>
    <w:p w14:paraId="49A721A6">
      <w:pPr>
        <w:wordWrap w:val="0"/>
        <w:adjustRightInd w:val="0"/>
        <w:snapToGrid w:val="0"/>
        <w:spacing w:line="45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16.1.4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67C3DAA8">
      <w:pPr>
        <w:wordWrap w:val="0"/>
        <w:adjustRightInd w:val="0"/>
        <w:snapToGrid w:val="0"/>
        <w:spacing w:line="45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16.1.5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21F93E01">
      <w:pPr>
        <w:wordWrap w:val="0"/>
        <w:adjustRightInd w:val="0"/>
        <w:snapToGrid w:val="0"/>
        <w:spacing w:line="450" w:lineRule="exact"/>
        <w:ind w:firstLine="480" w:firstLineChars="200"/>
        <w:rPr>
          <w:rFonts w:ascii="宋体" w:hAnsi="宋体" w:cs="宋体"/>
          <w:bCs/>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16.2 </w:t>
      </w:r>
      <w:r>
        <w:rPr>
          <w:rFonts w:hint="eastAsia" w:ascii="宋体" w:hAnsi="宋体" w:cs="宋体"/>
          <w:bCs/>
          <w:snapToGrid w:val="0"/>
          <w:color w:val="auto"/>
          <w:kern w:val="0"/>
          <w:sz w:val="24"/>
          <w:szCs w:val="24"/>
          <w:highlight w:val="none"/>
        </w:rPr>
        <w:t>评标方法</w:t>
      </w:r>
    </w:p>
    <w:p w14:paraId="583E11A3">
      <w:pPr>
        <w:wordWrap w:val="0"/>
        <w:adjustRightInd w:val="0"/>
        <w:snapToGrid w:val="0"/>
        <w:spacing w:line="45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根据有关法律、法规的相关规定，结合本招标项目资金来源和规模特点，本次招标采用“综合评估法”进行评标。</w:t>
      </w:r>
    </w:p>
    <w:p w14:paraId="183602F2">
      <w:pPr>
        <w:wordWrap w:val="0"/>
        <w:adjustRightInd w:val="0"/>
        <w:snapToGrid w:val="0"/>
        <w:spacing w:line="450" w:lineRule="exact"/>
        <w:ind w:firstLine="480" w:firstLineChars="200"/>
        <w:rPr>
          <w:rFonts w:ascii="宋体" w:hAnsi="宋体" w:cs="宋体"/>
          <w:b/>
          <w:bCs/>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16.3 </w:t>
      </w:r>
      <w:r>
        <w:rPr>
          <w:rFonts w:hint="eastAsia" w:ascii="宋体" w:hAnsi="宋体" w:cs="宋体"/>
          <w:bCs/>
          <w:snapToGrid w:val="0"/>
          <w:color w:val="auto"/>
          <w:kern w:val="0"/>
          <w:sz w:val="24"/>
          <w:szCs w:val="24"/>
          <w:highlight w:val="none"/>
        </w:rPr>
        <w:t>评审范围：</w:t>
      </w:r>
      <w:r>
        <w:rPr>
          <w:rFonts w:hint="eastAsia" w:ascii="宋体" w:hAnsi="宋体" w:cs="宋体"/>
          <w:snapToGrid w:val="0"/>
          <w:color w:val="auto"/>
          <w:kern w:val="0"/>
          <w:sz w:val="24"/>
          <w:szCs w:val="24"/>
          <w:highlight w:val="none"/>
        </w:rPr>
        <w:t>评标委员会应对所有进入评标投标人的投标文件进行评审。</w:t>
      </w:r>
    </w:p>
    <w:p w14:paraId="2F03E836">
      <w:pPr>
        <w:wordWrap w:val="0"/>
        <w:adjustRightInd w:val="0"/>
        <w:snapToGrid w:val="0"/>
        <w:spacing w:line="45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16.4 初步评审阶段</w:t>
      </w:r>
    </w:p>
    <w:p w14:paraId="45ECAE80">
      <w:pPr>
        <w:wordWrap w:val="0"/>
        <w:adjustRightInd w:val="0"/>
        <w:snapToGrid w:val="0"/>
        <w:spacing w:line="45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初步评审阶段分为资格评审、形式评审和响应性评审三个环节。</w:t>
      </w:r>
    </w:p>
    <w:p w14:paraId="2AEFAD5E">
      <w:pPr>
        <w:wordWrap w:val="0"/>
        <w:adjustRightInd w:val="0"/>
        <w:snapToGrid w:val="0"/>
        <w:spacing w:line="45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16.4.1 资格评审环节</w:t>
      </w:r>
    </w:p>
    <w:p w14:paraId="0854C172">
      <w:pPr>
        <w:wordWrap w:val="0"/>
        <w:adjustRightInd w:val="0"/>
        <w:snapToGrid w:val="0"/>
        <w:spacing w:line="450" w:lineRule="exact"/>
        <w:ind w:firstLine="482" w:firstLineChars="200"/>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资格评审事项包括：</w:t>
      </w:r>
    </w:p>
    <w:p w14:paraId="7310B85E">
      <w:pPr>
        <w:wordWrap w:val="0"/>
        <w:adjustRightInd w:val="0"/>
        <w:snapToGrid w:val="0"/>
        <w:spacing w:line="450" w:lineRule="exact"/>
        <w:ind w:left="-60"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（1）投标人是否符合本章第三节第4.4条“禁止投标条款”规定。</w:t>
      </w:r>
    </w:p>
    <w:p w14:paraId="0A8C09F2">
      <w:pPr>
        <w:wordWrap w:val="0"/>
        <w:adjustRightInd w:val="0"/>
        <w:snapToGrid w:val="0"/>
        <w:spacing w:line="450" w:lineRule="exact"/>
        <w:ind w:left="-60"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（2）投标人名称是否与营业执照、资质证书一致。</w:t>
      </w:r>
    </w:p>
    <w:p w14:paraId="242B6DFC">
      <w:pPr>
        <w:wordWrap w:val="0"/>
        <w:adjustRightInd w:val="0"/>
        <w:snapToGrid w:val="0"/>
        <w:spacing w:line="450" w:lineRule="exact"/>
        <w:ind w:left="-60"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（3）投标人的资质是否符合招标文件规定；其营业执照、资质证书是否合法、有效。</w:t>
      </w:r>
    </w:p>
    <w:p w14:paraId="0CA0EE65">
      <w:pPr>
        <w:wordWrap w:val="0"/>
        <w:adjustRightInd w:val="0"/>
        <w:snapToGrid w:val="0"/>
        <w:spacing w:line="450" w:lineRule="exact"/>
        <w:ind w:left="-60"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（4）拟派</w:t>
      </w:r>
      <w:r>
        <w:rPr>
          <w:rFonts w:hint="eastAsia" w:ascii="宋体" w:hAnsi="宋体" w:cs="宋体"/>
          <w:snapToGrid w:val="0"/>
          <w:color w:val="auto"/>
          <w:kern w:val="0"/>
          <w:sz w:val="24"/>
          <w:szCs w:val="24"/>
          <w:highlight w:val="none"/>
          <w:lang w:eastAsia="zh-CN"/>
        </w:rPr>
        <w:t>项目</w:t>
      </w:r>
      <w:r>
        <w:rPr>
          <w:rFonts w:hint="eastAsia" w:ascii="宋体" w:hAnsi="宋体" w:cs="宋体"/>
          <w:snapToGrid w:val="0"/>
          <w:color w:val="auto"/>
          <w:kern w:val="0"/>
          <w:sz w:val="24"/>
          <w:szCs w:val="24"/>
          <w:highlight w:val="none"/>
        </w:rPr>
        <w:t xml:space="preserve">负责人的条件是否符合招标文件规定。 </w:t>
      </w:r>
    </w:p>
    <w:p w14:paraId="6622FDD5">
      <w:pPr>
        <w:wordWrap w:val="0"/>
        <w:adjustRightInd w:val="0"/>
        <w:snapToGrid w:val="0"/>
        <w:spacing w:line="450" w:lineRule="exact"/>
        <w:ind w:left="-60"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685DC1E2">
      <w:pPr>
        <w:wordWrap w:val="0"/>
        <w:adjustRightInd w:val="0"/>
        <w:snapToGrid w:val="0"/>
        <w:spacing w:line="450" w:lineRule="exact"/>
        <w:ind w:left="-60"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（6）投标人为外省建筑企业的，是否按规定在“进粤企业和人员诚信信息登记平台”录入企业有关信息并通过数据规范检查。</w:t>
      </w:r>
    </w:p>
    <w:p w14:paraId="7153192B">
      <w:pPr>
        <w:wordWrap w:val="0"/>
        <w:adjustRightInd w:val="0"/>
        <w:snapToGrid w:val="0"/>
        <w:spacing w:line="45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16.4.2 形式评审环节</w:t>
      </w:r>
    </w:p>
    <w:p w14:paraId="3F5E20C7">
      <w:pPr>
        <w:wordWrap w:val="0"/>
        <w:adjustRightInd w:val="0"/>
        <w:snapToGrid w:val="0"/>
        <w:spacing w:line="450" w:lineRule="exact"/>
        <w:ind w:firstLine="482" w:firstLineChars="200"/>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形式评审事项包括：</w:t>
      </w:r>
    </w:p>
    <w:p w14:paraId="43B6F07C">
      <w:pPr>
        <w:wordWrap w:val="0"/>
        <w:adjustRightInd w:val="0"/>
        <w:snapToGrid w:val="0"/>
        <w:spacing w:line="45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（1）各分册是否按招标文件规定加盖电子印章。</w:t>
      </w:r>
    </w:p>
    <w:p w14:paraId="6820FDFC">
      <w:pPr>
        <w:wordWrap w:val="0"/>
        <w:adjustRightInd w:val="0"/>
        <w:snapToGrid w:val="0"/>
        <w:spacing w:line="45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（2）本节第</w:t>
      </w:r>
      <w:r>
        <w:rPr>
          <w:rFonts w:hint="eastAsia" w:ascii="宋体" w:hAnsi="宋体" w:cs="宋体"/>
          <w:b/>
          <w:bCs/>
          <w:snapToGrid w:val="0"/>
          <w:color w:val="auto"/>
          <w:kern w:val="0"/>
          <w:sz w:val="24"/>
          <w:szCs w:val="24"/>
          <w:highlight w:val="none"/>
        </w:rPr>
        <w:t>10.2.2</w:t>
      </w:r>
      <w:r>
        <w:rPr>
          <w:rFonts w:hint="eastAsia" w:ascii="宋体" w:hAnsi="宋体" w:cs="宋体"/>
          <w:snapToGrid w:val="0"/>
          <w:color w:val="auto"/>
          <w:kern w:val="0"/>
          <w:sz w:val="24"/>
          <w:szCs w:val="24"/>
          <w:highlight w:val="none"/>
        </w:rPr>
        <w:t>目、第</w:t>
      </w:r>
      <w:r>
        <w:rPr>
          <w:rFonts w:hint="eastAsia" w:ascii="宋体" w:hAnsi="宋体" w:cs="宋体"/>
          <w:b/>
          <w:bCs/>
          <w:snapToGrid w:val="0"/>
          <w:color w:val="auto"/>
          <w:kern w:val="0"/>
          <w:sz w:val="24"/>
          <w:szCs w:val="24"/>
          <w:highlight w:val="none"/>
        </w:rPr>
        <w:t>10.3.2</w:t>
      </w:r>
      <w:r>
        <w:rPr>
          <w:rFonts w:hint="eastAsia" w:ascii="宋体" w:hAnsi="宋体" w:cs="宋体"/>
          <w:snapToGrid w:val="0"/>
          <w:color w:val="auto"/>
          <w:kern w:val="0"/>
          <w:sz w:val="24"/>
          <w:szCs w:val="24"/>
          <w:highlight w:val="none"/>
        </w:rPr>
        <w:t>目中规定的“所有投标人均应提供”的组成内容（包括该组成内容的所附资料）是否完整、齐全。</w:t>
      </w:r>
    </w:p>
    <w:p w14:paraId="6A5F075F">
      <w:pPr>
        <w:wordWrap w:val="0"/>
        <w:adjustRightInd w:val="0"/>
        <w:snapToGrid w:val="0"/>
        <w:spacing w:line="45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16.4.3 响应性评审环节</w:t>
      </w:r>
    </w:p>
    <w:p w14:paraId="5C7C7A47">
      <w:pPr>
        <w:wordWrap w:val="0"/>
        <w:adjustRightInd w:val="0"/>
        <w:snapToGrid w:val="0"/>
        <w:spacing w:line="450" w:lineRule="exact"/>
        <w:ind w:firstLine="482" w:firstLineChars="200"/>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响应性评审事项包括：</w:t>
      </w:r>
    </w:p>
    <w:p w14:paraId="647D1B7E">
      <w:pPr>
        <w:wordWrap w:val="0"/>
        <w:adjustRightInd w:val="0"/>
        <w:snapToGrid w:val="0"/>
        <w:spacing w:line="45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（1）投标有效期、工期等是否响应招标文件实质性要求；是否擅自修改、遗漏《投标函》《各项承诺一览表》的实质性内容。</w:t>
      </w:r>
    </w:p>
    <w:p w14:paraId="37B821E9">
      <w:pPr>
        <w:wordWrap w:val="0"/>
        <w:adjustRightInd w:val="0"/>
        <w:snapToGrid w:val="0"/>
        <w:spacing w:line="45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（2）投标总价是否唯一；投标报价是否在有效范围内。</w:t>
      </w:r>
    </w:p>
    <w:p w14:paraId="43547890">
      <w:pPr>
        <w:wordWrap w:val="0"/>
        <w:adjustRightInd w:val="0"/>
        <w:snapToGrid w:val="0"/>
        <w:spacing w:line="450" w:lineRule="exact"/>
        <w:ind w:firstLine="480" w:firstLineChars="200"/>
        <w:rPr>
          <w:rFonts w:ascii="宋体" w:hAnsi="宋体" w:cs="宋体"/>
          <w:b/>
          <w:bCs/>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（3）技术标书的质量、保障措施是否符合国家和省市现行有关规范、规定、标准，是否能实现工程质量、进度管理目标。 </w:t>
      </w:r>
    </w:p>
    <w:p w14:paraId="035A2704">
      <w:pPr>
        <w:wordWrap w:val="0"/>
        <w:adjustRightInd w:val="0"/>
        <w:snapToGrid w:val="0"/>
        <w:spacing w:line="45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16.4.4 否决投标说明</w:t>
      </w:r>
    </w:p>
    <w:p w14:paraId="3F412DC4">
      <w:pPr>
        <w:wordWrap w:val="0"/>
        <w:adjustRightInd w:val="0"/>
        <w:snapToGrid w:val="0"/>
        <w:spacing w:line="45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初步评审阶段各个环节否决投标的全部条件，在本章第四节“否决投标条件”第</w:t>
      </w:r>
      <w:r>
        <w:rPr>
          <w:rFonts w:hint="eastAsia" w:ascii="宋体" w:hAnsi="宋体" w:cs="宋体"/>
          <w:b/>
          <w:bCs/>
          <w:snapToGrid w:val="0"/>
          <w:color w:val="auto"/>
          <w:kern w:val="0"/>
          <w:sz w:val="24"/>
          <w:szCs w:val="24"/>
          <w:highlight w:val="none"/>
        </w:rPr>
        <w:t>1</w:t>
      </w:r>
      <w:r>
        <w:rPr>
          <w:rFonts w:hint="eastAsia" w:ascii="宋体" w:hAnsi="宋体" w:cs="宋体"/>
          <w:snapToGrid w:val="0"/>
          <w:color w:val="auto"/>
          <w:kern w:val="0"/>
          <w:sz w:val="24"/>
          <w:szCs w:val="24"/>
          <w:highlight w:val="none"/>
        </w:rPr>
        <w:t>条至第</w:t>
      </w:r>
      <w:r>
        <w:rPr>
          <w:rFonts w:hint="eastAsia" w:ascii="宋体" w:hAnsi="宋体" w:cs="宋体"/>
          <w:b/>
          <w:bCs/>
          <w:snapToGrid w:val="0"/>
          <w:color w:val="auto"/>
          <w:kern w:val="0"/>
          <w:sz w:val="24"/>
          <w:szCs w:val="24"/>
          <w:highlight w:val="none"/>
        </w:rPr>
        <w:t>4</w:t>
      </w:r>
      <w:r>
        <w:rPr>
          <w:rFonts w:hint="eastAsia" w:ascii="宋体" w:hAnsi="宋体" w:cs="宋体"/>
          <w:snapToGrid w:val="0"/>
          <w:color w:val="auto"/>
          <w:kern w:val="0"/>
          <w:sz w:val="24"/>
          <w:szCs w:val="24"/>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7B346208">
      <w:pPr>
        <w:wordWrap w:val="0"/>
        <w:adjustRightInd w:val="0"/>
        <w:snapToGrid w:val="0"/>
        <w:spacing w:line="45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16.5 详细评审阶段</w:t>
      </w:r>
    </w:p>
    <w:p w14:paraId="18D7B834">
      <w:pPr>
        <w:wordWrap w:val="0"/>
        <w:adjustRightInd w:val="0"/>
        <w:snapToGrid w:val="0"/>
        <w:spacing w:line="45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16.5.1 “综合评估法”评审程序</w:t>
      </w:r>
    </w:p>
    <w:p w14:paraId="6B5A5B5C">
      <w:pPr>
        <w:wordWrap w:val="0"/>
        <w:adjustRightInd w:val="0"/>
        <w:snapToGrid w:val="0"/>
        <w:spacing w:line="42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评审内容分为商务、技术和投标报价三大部分，综合得分满分为100分。其中，商务满分为</w:t>
      </w:r>
      <w:r>
        <w:rPr>
          <w:rFonts w:hint="eastAsia" w:ascii="宋体" w:hAnsi="宋体" w:cs="宋体"/>
          <w:snapToGrid w:val="0"/>
          <w:color w:val="auto"/>
          <w:kern w:val="0"/>
          <w:sz w:val="24"/>
          <w:szCs w:val="24"/>
          <w:highlight w:val="none"/>
          <w:u w:val="single"/>
          <w:lang w:val="en-US" w:eastAsia="zh-CN"/>
        </w:rPr>
        <w:t>35</w:t>
      </w:r>
      <w:r>
        <w:rPr>
          <w:rFonts w:hint="eastAsia" w:ascii="宋体" w:hAnsi="宋体" w:cs="宋体"/>
          <w:snapToGrid w:val="0"/>
          <w:color w:val="auto"/>
          <w:kern w:val="0"/>
          <w:sz w:val="24"/>
          <w:szCs w:val="24"/>
          <w:highlight w:val="none"/>
        </w:rPr>
        <w:t>分，技术满分为</w:t>
      </w:r>
      <w:r>
        <w:rPr>
          <w:rFonts w:hint="eastAsia" w:ascii="宋体" w:hAnsi="宋体" w:cs="宋体"/>
          <w:snapToGrid w:val="0"/>
          <w:color w:val="auto"/>
          <w:kern w:val="0"/>
          <w:sz w:val="24"/>
          <w:szCs w:val="24"/>
          <w:highlight w:val="none"/>
          <w:u w:val="single"/>
          <w:lang w:val="en-US" w:eastAsia="zh-CN"/>
        </w:rPr>
        <w:t>45</w:t>
      </w:r>
      <w:r>
        <w:rPr>
          <w:rFonts w:hint="eastAsia" w:ascii="宋体" w:hAnsi="宋体" w:cs="宋体"/>
          <w:snapToGrid w:val="0"/>
          <w:color w:val="auto"/>
          <w:kern w:val="0"/>
          <w:sz w:val="24"/>
          <w:szCs w:val="24"/>
          <w:highlight w:val="none"/>
        </w:rPr>
        <w:t>分，投标报价部分满分为</w:t>
      </w:r>
      <w:r>
        <w:rPr>
          <w:rFonts w:hint="eastAsia" w:ascii="宋体" w:hAnsi="宋体" w:cs="宋体"/>
          <w:snapToGrid w:val="0"/>
          <w:color w:val="auto"/>
          <w:kern w:val="0"/>
          <w:sz w:val="24"/>
          <w:szCs w:val="24"/>
          <w:highlight w:val="none"/>
          <w:u w:val="single"/>
          <w:lang w:val="en-US" w:eastAsia="zh-CN"/>
        </w:rPr>
        <w:t>20</w:t>
      </w:r>
      <w:r>
        <w:rPr>
          <w:rFonts w:hint="eastAsia" w:ascii="宋体" w:hAnsi="宋体" w:cs="宋体"/>
          <w:snapToGrid w:val="0"/>
          <w:color w:val="auto"/>
          <w:kern w:val="0"/>
          <w:sz w:val="24"/>
          <w:szCs w:val="24"/>
          <w:highlight w:val="none"/>
        </w:rPr>
        <w:t>分。</w:t>
      </w:r>
    </w:p>
    <w:p w14:paraId="4AF8183F">
      <w:pPr>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除特别注明外，综合得分以及商务技术得分、投标报价得分的中间过程计算值和最终值，均按“四舍五入”原则精确到两位小数。</w:t>
      </w:r>
    </w:p>
    <w:p w14:paraId="5578B930">
      <w:pPr>
        <w:wordWrap w:val="0"/>
        <w:adjustRightInd w:val="0"/>
        <w:snapToGrid w:val="0"/>
        <w:spacing w:line="42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（1）商务得分M</w:t>
      </w:r>
      <w:r>
        <w:rPr>
          <w:rFonts w:hint="eastAsia" w:ascii="宋体" w:hAnsi="宋体" w:cs="宋体"/>
          <w:snapToGrid w:val="0"/>
          <w:color w:val="auto"/>
          <w:kern w:val="0"/>
          <w:sz w:val="24"/>
          <w:szCs w:val="24"/>
          <w:highlight w:val="none"/>
          <w:vertAlign w:val="subscript"/>
        </w:rPr>
        <w:t>1</w:t>
      </w:r>
    </w:p>
    <w:p w14:paraId="5E98A0AD">
      <w:pPr>
        <w:wordWrap w:val="0"/>
        <w:adjustRightInd w:val="0"/>
        <w:snapToGrid w:val="0"/>
        <w:spacing w:line="42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评标委员会按照《综合评分表》商务部分指定的评分标准对各评分因素进行打分。各评分因素得分之和即为某投标人的商务得分M</w:t>
      </w:r>
      <w:r>
        <w:rPr>
          <w:rFonts w:hint="eastAsia" w:ascii="宋体" w:hAnsi="宋体" w:cs="宋体"/>
          <w:snapToGrid w:val="0"/>
          <w:color w:val="auto"/>
          <w:kern w:val="0"/>
          <w:sz w:val="24"/>
          <w:szCs w:val="24"/>
          <w:highlight w:val="none"/>
          <w:vertAlign w:val="subscript"/>
        </w:rPr>
        <w:t>1</w:t>
      </w:r>
      <w:r>
        <w:rPr>
          <w:rFonts w:hint="eastAsia" w:ascii="宋体" w:hAnsi="宋体" w:cs="宋体"/>
          <w:snapToGrid w:val="0"/>
          <w:color w:val="auto"/>
          <w:kern w:val="0"/>
          <w:sz w:val="24"/>
          <w:szCs w:val="24"/>
          <w:highlight w:val="none"/>
        </w:rPr>
        <w:t>。</w:t>
      </w:r>
    </w:p>
    <w:p w14:paraId="4DC9299C">
      <w:pPr>
        <w:wordWrap w:val="0"/>
        <w:adjustRightInd w:val="0"/>
        <w:snapToGrid w:val="0"/>
        <w:spacing w:line="42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（2）技术得分M</w:t>
      </w:r>
      <w:r>
        <w:rPr>
          <w:rFonts w:hint="eastAsia" w:ascii="宋体" w:hAnsi="宋体" w:cs="宋体"/>
          <w:snapToGrid w:val="0"/>
          <w:color w:val="auto"/>
          <w:kern w:val="0"/>
          <w:sz w:val="24"/>
          <w:szCs w:val="24"/>
          <w:highlight w:val="none"/>
          <w:vertAlign w:val="subscript"/>
        </w:rPr>
        <w:t>2</w:t>
      </w:r>
    </w:p>
    <w:p w14:paraId="5F78FD60">
      <w:pPr>
        <w:wordWrap w:val="0"/>
        <w:adjustRightInd w:val="0"/>
        <w:snapToGrid w:val="0"/>
        <w:spacing w:line="42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评标委员会各成员独立按照《综合评分表》技术部分指定的评分标准对各评分因素进行打分，累加后得出技术评分。将评标委员会所有成员的技术评分去掉一个最高分和一个最低分后，取算术平均值，即为某投标人的技术得分M</w:t>
      </w:r>
      <w:r>
        <w:rPr>
          <w:rFonts w:hint="eastAsia" w:ascii="宋体" w:hAnsi="宋体" w:cs="宋体"/>
          <w:snapToGrid w:val="0"/>
          <w:color w:val="auto"/>
          <w:kern w:val="0"/>
          <w:sz w:val="24"/>
          <w:szCs w:val="24"/>
          <w:highlight w:val="none"/>
          <w:vertAlign w:val="subscript"/>
        </w:rPr>
        <w:t>2</w:t>
      </w:r>
      <w:r>
        <w:rPr>
          <w:rFonts w:hint="eastAsia" w:ascii="宋体" w:hAnsi="宋体" w:cs="宋体"/>
          <w:snapToGrid w:val="0"/>
          <w:color w:val="auto"/>
          <w:kern w:val="0"/>
          <w:sz w:val="24"/>
          <w:szCs w:val="24"/>
          <w:highlight w:val="none"/>
        </w:rPr>
        <w:t>。</w:t>
      </w:r>
    </w:p>
    <w:p w14:paraId="1ED20068">
      <w:pPr>
        <w:wordWrap w:val="0"/>
        <w:adjustRightInd w:val="0"/>
        <w:snapToGrid w:val="0"/>
        <w:spacing w:line="42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（3）投标报价得分M</w:t>
      </w:r>
      <w:r>
        <w:rPr>
          <w:rFonts w:hint="eastAsia" w:ascii="宋体" w:hAnsi="宋体" w:cs="宋体"/>
          <w:snapToGrid w:val="0"/>
          <w:color w:val="auto"/>
          <w:kern w:val="0"/>
          <w:sz w:val="24"/>
          <w:szCs w:val="24"/>
          <w:highlight w:val="none"/>
          <w:vertAlign w:val="subscript"/>
        </w:rPr>
        <w:t>3</w:t>
      </w:r>
    </w:p>
    <w:p w14:paraId="40119149">
      <w:pPr>
        <w:wordWrap w:val="0"/>
        <w:adjustRightInd w:val="0"/>
        <w:snapToGrid w:val="0"/>
        <w:spacing w:line="42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a．评标委员会按照《综合评分表》投标报价部分指定的方法计算评标基准价D。</w:t>
      </w:r>
    </w:p>
    <w:p w14:paraId="1EE10E17">
      <w:pPr>
        <w:wordWrap w:val="0"/>
        <w:adjustRightInd w:val="0"/>
        <w:snapToGrid w:val="0"/>
        <w:spacing w:line="42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b．采用内插法计算某投标人的投标报价得分M</w:t>
      </w:r>
      <w:r>
        <w:rPr>
          <w:rFonts w:hint="eastAsia" w:ascii="宋体" w:hAnsi="宋体" w:cs="宋体"/>
          <w:snapToGrid w:val="0"/>
          <w:color w:val="auto"/>
          <w:kern w:val="0"/>
          <w:sz w:val="24"/>
          <w:szCs w:val="24"/>
          <w:highlight w:val="none"/>
          <w:vertAlign w:val="subscript"/>
        </w:rPr>
        <w:t>3</w:t>
      </w:r>
      <w:r>
        <w:rPr>
          <w:rFonts w:hint="eastAsia" w:ascii="宋体" w:hAnsi="宋体" w:cs="宋体"/>
          <w:snapToGrid w:val="0"/>
          <w:color w:val="auto"/>
          <w:kern w:val="0"/>
          <w:sz w:val="24"/>
          <w:szCs w:val="24"/>
          <w:highlight w:val="none"/>
        </w:rPr>
        <w:t>，即当投标人的投标总价</w:t>
      </w:r>
      <w:r>
        <w:rPr>
          <w:rFonts w:hint="eastAsia" w:ascii="宋体" w:hAnsi="宋体" w:cs="宋体"/>
          <w:color w:val="auto"/>
          <w:kern w:val="0"/>
          <w:sz w:val="24"/>
          <w:szCs w:val="24"/>
          <w:highlight w:val="none"/>
        </w:rPr>
        <w:t>Di</w:t>
      </w:r>
      <w:r>
        <w:rPr>
          <w:rFonts w:hint="eastAsia" w:ascii="宋体" w:hAnsi="宋体" w:cs="宋体"/>
          <w:snapToGrid w:val="0"/>
          <w:color w:val="auto"/>
          <w:kern w:val="0"/>
          <w:sz w:val="24"/>
          <w:szCs w:val="24"/>
          <w:highlight w:val="none"/>
        </w:rPr>
        <w:t>等于评标基准价</w:t>
      </w:r>
      <w:r>
        <w:rPr>
          <w:rFonts w:hint="eastAsia" w:ascii="宋体" w:hAnsi="宋体" w:cs="宋体"/>
          <w:color w:val="auto"/>
          <w:kern w:val="0"/>
          <w:sz w:val="24"/>
          <w:szCs w:val="24"/>
          <w:highlight w:val="none"/>
        </w:rPr>
        <w:t>D</w:t>
      </w:r>
      <w:r>
        <w:rPr>
          <w:rFonts w:hint="eastAsia" w:ascii="宋体" w:hAnsi="宋体" w:cs="宋体"/>
          <w:snapToGrid w:val="0"/>
          <w:color w:val="auto"/>
          <w:kern w:val="0"/>
          <w:sz w:val="24"/>
          <w:szCs w:val="24"/>
          <w:highlight w:val="none"/>
        </w:rPr>
        <w:t>时得满分，每高于评标基准价D一个百分点扣0.5分（E），每低于评标基准价D一个百分点扣0.3分（E），扣完为止。公式如下：</w:t>
      </w:r>
    </w:p>
    <w:p w14:paraId="0764BD39">
      <w:pPr>
        <w:wordWrap w:val="0"/>
        <w:adjustRightInd w:val="0"/>
        <w:snapToGrid w:val="0"/>
        <w:spacing w:line="400" w:lineRule="exact"/>
        <w:ind w:firstLine="480" w:firstLineChars="200"/>
        <w:jc w:val="center"/>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rPr>
        <w:t>M</w:t>
      </w:r>
      <w:r>
        <w:rPr>
          <w:rFonts w:hint="eastAsia" w:ascii="宋体" w:hAnsi="宋体" w:cs="宋体"/>
          <w:snapToGrid w:val="0"/>
          <w:color w:val="auto"/>
          <w:kern w:val="0"/>
          <w:sz w:val="24"/>
          <w:szCs w:val="24"/>
          <w:highlight w:val="none"/>
          <w:vertAlign w:val="subscript"/>
        </w:rPr>
        <w:t>3</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20</w:t>
      </w:r>
      <w:r>
        <w:rPr>
          <w:rFonts w:hint="eastAsia" w:ascii="宋体" w:hAnsi="宋体" w:cs="宋体"/>
          <w:color w:val="auto"/>
          <w:kern w:val="0"/>
          <w:sz w:val="24"/>
          <w:szCs w:val="24"/>
          <w:highlight w:val="none"/>
        </w:rPr>
        <w:t>-(︳Di-D︳/D)×100×E</w:t>
      </w:r>
    </w:p>
    <w:p w14:paraId="315C1F2C">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式中：</w:t>
      </w:r>
      <w:r>
        <w:rPr>
          <w:rFonts w:hint="eastAsia" w:ascii="宋体" w:hAnsi="宋体" w:cs="宋体"/>
          <w:snapToGrid w:val="0"/>
          <w:color w:val="auto"/>
          <w:kern w:val="0"/>
          <w:sz w:val="24"/>
          <w:szCs w:val="24"/>
          <w:highlight w:val="none"/>
        </w:rPr>
        <w:t>M</w:t>
      </w:r>
      <w:r>
        <w:rPr>
          <w:rFonts w:hint="eastAsia" w:ascii="宋体" w:hAnsi="宋体" w:cs="宋体"/>
          <w:snapToGrid w:val="0"/>
          <w:color w:val="auto"/>
          <w:kern w:val="0"/>
          <w:sz w:val="24"/>
          <w:szCs w:val="24"/>
          <w:highlight w:val="none"/>
          <w:vertAlign w:val="subscript"/>
        </w:rPr>
        <w:t>3</w:t>
      </w:r>
      <w:r>
        <w:rPr>
          <w:rFonts w:hint="eastAsia" w:ascii="宋体" w:hAnsi="宋体" w:cs="宋体"/>
          <w:color w:val="auto"/>
          <w:kern w:val="0"/>
          <w:sz w:val="24"/>
          <w:szCs w:val="24"/>
          <w:highlight w:val="none"/>
        </w:rPr>
        <w:t>=经济部分得分，保留小数点后两位。</w:t>
      </w:r>
    </w:p>
    <w:p w14:paraId="3035BB3A">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若Di&gt;D，则E=0.5，若Di&lt;D, 则E=0.3。</w:t>
      </w:r>
    </w:p>
    <w:p w14:paraId="5644D4E8">
      <w:pPr>
        <w:wordWrap w:val="0"/>
        <w:adjustRightInd w:val="0"/>
        <w:snapToGrid w:val="0"/>
        <w:spacing w:line="40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（4）综合得分M</w:t>
      </w:r>
    </w:p>
    <w:p w14:paraId="1DFFB7C6">
      <w:pPr>
        <w:wordWrap w:val="0"/>
        <w:adjustRightInd w:val="0"/>
        <w:snapToGrid w:val="0"/>
        <w:spacing w:line="400" w:lineRule="exact"/>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M＝M</w:t>
      </w:r>
      <w:r>
        <w:rPr>
          <w:rFonts w:hint="eastAsia" w:ascii="宋体" w:hAnsi="宋体" w:cs="宋体"/>
          <w:snapToGrid w:val="0"/>
          <w:color w:val="auto"/>
          <w:kern w:val="0"/>
          <w:sz w:val="24"/>
          <w:szCs w:val="24"/>
          <w:highlight w:val="none"/>
          <w:vertAlign w:val="subscript"/>
        </w:rPr>
        <w:t>1</w:t>
      </w:r>
      <w:r>
        <w:rPr>
          <w:rFonts w:hint="eastAsia" w:ascii="宋体" w:hAnsi="宋体" w:cs="宋体"/>
          <w:snapToGrid w:val="0"/>
          <w:color w:val="auto"/>
          <w:kern w:val="0"/>
          <w:sz w:val="24"/>
          <w:szCs w:val="24"/>
          <w:highlight w:val="none"/>
        </w:rPr>
        <w:t>＋M</w:t>
      </w:r>
      <w:r>
        <w:rPr>
          <w:rFonts w:hint="eastAsia" w:ascii="宋体" w:hAnsi="宋体" w:cs="宋体"/>
          <w:snapToGrid w:val="0"/>
          <w:color w:val="auto"/>
          <w:kern w:val="0"/>
          <w:sz w:val="24"/>
          <w:szCs w:val="24"/>
          <w:highlight w:val="none"/>
          <w:vertAlign w:val="subscript"/>
        </w:rPr>
        <w:t>2</w:t>
      </w:r>
      <w:r>
        <w:rPr>
          <w:rFonts w:hint="eastAsia" w:ascii="宋体" w:hAnsi="宋体" w:cs="宋体"/>
          <w:snapToGrid w:val="0"/>
          <w:color w:val="auto"/>
          <w:kern w:val="0"/>
          <w:sz w:val="24"/>
          <w:szCs w:val="24"/>
          <w:highlight w:val="none"/>
        </w:rPr>
        <w:t>＋M</w:t>
      </w:r>
      <w:r>
        <w:rPr>
          <w:rFonts w:hint="eastAsia" w:ascii="宋体" w:hAnsi="宋体" w:cs="宋体"/>
          <w:snapToGrid w:val="0"/>
          <w:color w:val="auto"/>
          <w:kern w:val="0"/>
          <w:sz w:val="24"/>
          <w:szCs w:val="24"/>
          <w:highlight w:val="none"/>
          <w:vertAlign w:val="subscript"/>
        </w:rPr>
        <w:t>3</w:t>
      </w:r>
    </w:p>
    <w:p w14:paraId="6EF48E9F">
      <w:pPr>
        <w:wordWrap w:val="0"/>
        <w:adjustRightInd w:val="0"/>
        <w:snapToGrid w:val="0"/>
        <w:spacing w:line="40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式中：M为综合得分，M</w:t>
      </w:r>
      <w:r>
        <w:rPr>
          <w:rFonts w:hint="eastAsia" w:ascii="宋体" w:hAnsi="宋体" w:cs="宋体"/>
          <w:snapToGrid w:val="0"/>
          <w:color w:val="auto"/>
          <w:kern w:val="0"/>
          <w:sz w:val="24"/>
          <w:szCs w:val="24"/>
          <w:highlight w:val="none"/>
          <w:vertAlign w:val="subscript"/>
        </w:rPr>
        <w:t>1</w:t>
      </w:r>
      <w:r>
        <w:rPr>
          <w:rFonts w:hint="eastAsia" w:ascii="宋体" w:hAnsi="宋体" w:cs="宋体"/>
          <w:snapToGrid w:val="0"/>
          <w:color w:val="auto"/>
          <w:kern w:val="0"/>
          <w:sz w:val="24"/>
          <w:szCs w:val="24"/>
          <w:highlight w:val="none"/>
        </w:rPr>
        <w:t>为商务得分，M</w:t>
      </w:r>
      <w:r>
        <w:rPr>
          <w:rFonts w:hint="eastAsia" w:ascii="宋体" w:hAnsi="宋体" w:cs="宋体"/>
          <w:snapToGrid w:val="0"/>
          <w:color w:val="auto"/>
          <w:kern w:val="0"/>
          <w:sz w:val="24"/>
          <w:szCs w:val="24"/>
          <w:highlight w:val="none"/>
          <w:vertAlign w:val="subscript"/>
        </w:rPr>
        <w:t>2</w:t>
      </w:r>
      <w:r>
        <w:rPr>
          <w:rFonts w:hint="eastAsia" w:ascii="宋体" w:hAnsi="宋体" w:cs="宋体"/>
          <w:snapToGrid w:val="0"/>
          <w:color w:val="auto"/>
          <w:kern w:val="0"/>
          <w:sz w:val="24"/>
          <w:szCs w:val="24"/>
          <w:highlight w:val="none"/>
        </w:rPr>
        <w:t>为技术得分，M</w:t>
      </w:r>
      <w:r>
        <w:rPr>
          <w:rFonts w:hint="eastAsia" w:ascii="宋体" w:hAnsi="宋体" w:cs="宋体"/>
          <w:snapToGrid w:val="0"/>
          <w:color w:val="auto"/>
          <w:kern w:val="0"/>
          <w:sz w:val="24"/>
          <w:szCs w:val="24"/>
          <w:highlight w:val="none"/>
          <w:vertAlign w:val="subscript"/>
        </w:rPr>
        <w:t>3</w:t>
      </w:r>
      <w:r>
        <w:rPr>
          <w:rFonts w:hint="eastAsia" w:ascii="宋体" w:hAnsi="宋体" w:cs="宋体"/>
          <w:snapToGrid w:val="0"/>
          <w:color w:val="auto"/>
          <w:kern w:val="0"/>
          <w:sz w:val="24"/>
          <w:szCs w:val="24"/>
          <w:highlight w:val="none"/>
        </w:rPr>
        <w:t>为投标报价得分。</w:t>
      </w:r>
    </w:p>
    <w:p w14:paraId="50D3BCBF">
      <w:pPr>
        <w:spacing w:line="360" w:lineRule="auto"/>
        <w:ind w:firstLine="480" w:firstLineChars="200"/>
        <w:rPr>
          <w:rFonts w:ascii="宋体" w:hAnsi="宋体" w:cs="宋体"/>
          <w:snapToGrid w:val="0"/>
          <w:color w:val="auto"/>
          <w:kern w:val="0"/>
          <w:sz w:val="24"/>
          <w:szCs w:val="24"/>
          <w:highlight w:val="none"/>
        </w:rPr>
      </w:pPr>
    </w:p>
    <w:p w14:paraId="59F57C95">
      <w:pPr>
        <w:rPr>
          <w:color w:val="auto"/>
          <w:highlight w:val="none"/>
        </w:rPr>
      </w:pPr>
      <w:r>
        <w:rPr>
          <w:rFonts w:hint="eastAsia" w:ascii="宋体" w:hAnsi="宋体" w:cs="宋体"/>
          <w:b/>
          <w:bCs/>
          <w:color w:val="auto"/>
          <w:kern w:val="44"/>
          <w:sz w:val="28"/>
          <w:szCs w:val="28"/>
          <w:highlight w:val="none"/>
        </w:rPr>
        <w:br w:type="page"/>
      </w:r>
    </w:p>
    <w:p w14:paraId="7909F007">
      <w:pPr>
        <w:pStyle w:val="3"/>
        <w:numPr>
          <w:ilvl w:val="1"/>
          <w:numId w:val="0"/>
        </w:numPr>
        <w:spacing w:before="158" w:after="158"/>
        <w:jc w:val="center"/>
        <w:rPr>
          <w:color w:val="auto"/>
          <w:highlight w:val="none"/>
        </w:rPr>
      </w:pPr>
      <w:bookmarkStart w:id="122" w:name="_Hlt69669771"/>
      <w:bookmarkEnd w:id="122"/>
      <w:bookmarkStart w:id="123" w:name="_Toc5134"/>
      <w:bookmarkStart w:id="124" w:name="_Toc5852"/>
      <w:bookmarkStart w:id="125" w:name="_Toc14036"/>
      <w:bookmarkStart w:id="126" w:name="_Hlt69698765"/>
      <w:bookmarkStart w:id="127" w:name="_Hlt69698713"/>
      <w:r>
        <w:rPr>
          <w:rFonts w:hint="eastAsia"/>
          <w:color w:val="auto"/>
          <w:highlight w:val="none"/>
        </w:rPr>
        <w:t>综合评分表</w:t>
      </w:r>
      <w:bookmarkEnd w:id="123"/>
    </w:p>
    <w:tbl>
      <w:tblPr>
        <w:tblStyle w:val="27"/>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352"/>
        <w:gridCol w:w="3871"/>
        <w:gridCol w:w="3242"/>
      </w:tblGrid>
      <w:tr w14:paraId="4ADC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1271" w:type="dxa"/>
            <w:vAlign w:val="center"/>
          </w:tcPr>
          <w:p w14:paraId="4F4FAD4C">
            <w:pPr>
              <w:adjustRightInd w:val="0"/>
              <w:snapToGrid w:val="0"/>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评标内容</w:t>
            </w:r>
          </w:p>
        </w:tc>
        <w:tc>
          <w:tcPr>
            <w:tcW w:w="5223" w:type="dxa"/>
            <w:gridSpan w:val="2"/>
            <w:vAlign w:val="center"/>
          </w:tcPr>
          <w:p w14:paraId="71B1D766">
            <w:pPr>
              <w:adjustRightInd w:val="0"/>
              <w:snapToGrid w:val="0"/>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评分标准</w:t>
            </w:r>
          </w:p>
        </w:tc>
        <w:tc>
          <w:tcPr>
            <w:tcW w:w="3242" w:type="dxa"/>
            <w:vAlign w:val="center"/>
          </w:tcPr>
          <w:p w14:paraId="5555D853">
            <w:pPr>
              <w:adjustRightInd w:val="0"/>
              <w:snapToGrid w:val="0"/>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备注</w:t>
            </w:r>
          </w:p>
        </w:tc>
      </w:tr>
      <w:tr w14:paraId="7A5F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736" w:type="dxa"/>
            <w:gridSpan w:val="4"/>
            <w:vAlign w:val="center"/>
          </w:tcPr>
          <w:p w14:paraId="2A966997">
            <w:pPr>
              <w:adjustRightInd w:val="0"/>
              <w:snapToGrid w:val="0"/>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商务部分（</w:t>
            </w:r>
            <w:r>
              <w:rPr>
                <w:rFonts w:hint="eastAsia" w:ascii="宋体" w:hAnsi="宋体" w:cs="宋体"/>
                <w:b/>
                <w:bCs/>
                <w:color w:val="auto"/>
                <w:sz w:val="24"/>
                <w:szCs w:val="24"/>
                <w:highlight w:val="none"/>
                <w:lang w:val="en-US" w:eastAsia="zh-CN"/>
              </w:rPr>
              <w:t>35</w:t>
            </w:r>
            <w:r>
              <w:rPr>
                <w:rFonts w:hint="eastAsia" w:ascii="宋体" w:hAnsi="宋体" w:cs="宋体"/>
                <w:b/>
                <w:bCs/>
                <w:color w:val="auto"/>
                <w:sz w:val="24"/>
                <w:szCs w:val="24"/>
                <w:highlight w:val="none"/>
              </w:rPr>
              <w:t>分）</w:t>
            </w:r>
          </w:p>
        </w:tc>
      </w:tr>
      <w:tr w14:paraId="6E59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8" w:hRule="atLeast"/>
          <w:jc w:val="center"/>
        </w:trPr>
        <w:tc>
          <w:tcPr>
            <w:tcW w:w="1271" w:type="dxa"/>
            <w:vMerge w:val="restart"/>
            <w:vAlign w:val="center"/>
          </w:tcPr>
          <w:p w14:paraId="44EAEA80">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商务部分</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35</w:t>
            </w:r>
            <w:r>
              <w:rPr>
                <w:rFonts w:hint="eastAsia" w:ascii="宋体" w:hAnsi="宋体" w:cs="宋体"/>
                <w:color w:val="auto"/>
                <w:sz w:val="24"/>
                <w:szCs w:val="24"/>
                <w:highlight w:val="none"/>
              </w:rPr>
              <w:t>分）</w:t>
            </w:r>
          </w:p>
        </w:tc>
        <w:tc>
          <w:tcPr>
            <w:tcW w:w="1352" w:type="dxa"/>
            <w:vAlign w:val="center"/>
          </w:tcPr>
          <w:p w14:paraId="104D2566">
            <w:pPr>
              <w:keepNext w:val="0"/>
              <w:keepLines w:val="0"/>
              <w:widowControl/>
              <w:suppressLineNumbers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类似业绩</w:t>
            </w:r>
          </w:p>
          <w:p w14:paraId="0564D91B">
            <w:pPr>
              <w:widowControl/>
              <w:jc w:val="center"/>
              <w:rPr>
                <w:rFonts w:ascii="宋体" w:hAnsi="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（8分）</w:t>
            </w:r>
          </w:p>
        </w:tc>
        <w:tc>
          <w:tcPr>
            <w:tcW w:w="3871" w:type="dxa"/>
            <w:vAlign w:val="center"/>
          </w:tcPr>
          <w:p w14:paraId="15E1733C">
            <w:pPr>
              <w:keepNext w:val="0"/>
              <w:keepLines w:val="0"/>
              <w:widowControl/>
              <w:suppressLineNumbers w:val="0"/>
              <w:adjustRightInd w:val="0"/>
              <w:snapToGrid w:val="0"/>
              <w:spacing w:line="360" w:lineRule="auto"/>
              <w:jc w:val="left"/>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投标人自2021年1月1日至投标截止时间，承接过设计费</w:t>
            </w:r>
            <w:r>
              <w:rPr>
                <w:rFonts w:hint="eastAsia" w:ascii="宋体" w:hAnsi="宋体" w:cs="宋体"/>
                <w:snapToGrid w:val="0"/>
                <w:color w:val="auto"/>
                <w:kern w:val="0"/>
                <w:sz w:val="24"/>
                <w:szCs w:val="24"/>
                <w:highlight w:val="none"/>
                <w:lang w:val="en-US" w:eastAsia="zh-CN" w:bidi="ar"/>
              </w:rPr>
              <w:t>80</w:t>
            </w:r>
            <w:r>
              <w:rPr>
                <w:rFonts w:hint="eastAsia" w:ascii="宋体" w:hAnsi="宋体" w:eastAsia="宋体" w:cs="宋体"/>
                <w:snapToGrid w:val="0"/>
                <w:color w:val="auto"/>
                <w:kern w:val="0"/>
                <w:sz w:val="24"/>
                <w:szCs w:val="24"/>
                <w:highlight w:val="none"/>
                <w:lang w:val="en-US" w:eastAsia="zh-CN" w:bidi="ar"/>
              </w:rPr>
              <w:t>万元或以上的</w:t>
            </w:r>
            <w:r>
              <w:rPr>
                <w:rFonts w:hint="eastAsia" w:ascii="宋体" w:hAnsi="宋体" w:eastAsia="宋体" w:cs="宋体"/>
                <w:color w:val="auto"/>
                <w:spacing w:val="-1"/>
                <w:sz w:val="24"/>
                <w:szCs w:val="24"/>
                <w:highlight w:val="none"/>
                <w:lang w:eastAsia="zh-CN"/>
              </w:rPr>
              <w:t>公共</w:t>
            </w:r>
            <w:r>
              <w:rPr>
                <w:rFonts w:ascii="宋体" w:hAnsi="宋体" w:eastAsia="宋体" w:cs="宋体"/>
                <w:color w:val="auto"/>
                <w:spacing w:val="-1"/>
                <w:sz w:val="24"/>
                <w:szCs w:val="24"/>
                <w:highlight w:val="none"/>
                <w:lang w:eastAsia="zh-CN"/>
              </w:rPr>
              <w:t>建筑工程</w:t>
            </w:r>
            <w:r>
              <w:rPr>
                <w:rFonts w:hint="eastAsia" w:ascii="宋体" w:hAnsi="宋体" w:eastAsia="宋体" w:cs="宋体"/>
                <w:snapToGrid w:val="0"/>
                <w:color w:val="auto"/>
                <w:kern w:val="0"/>
                <w:sz w:val="24"/>
                <w:szCs w:val="24"/>
                <w:highlight w:val="none"/>
                <w:lang w:val="en-US" w:eastAsia="zh-CN" w:bidi="ar"/>
              </w:rPr>
              <w:t>设计业绩，每提供一个业绩得2分，本项最高得8分。</w:t>
            </w:r>
          </w:p>
        </w:tc>
        <w:tc>
          <w:tcPr>
            <w:tcW w:w="3242" w:type="dxa"/>
            <w:vAlign w:val="center"/>
          </w:tcPr>
          <w:p w14:paraId="460AF08E">
            <w:pPr>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须提供中标通知书（或免招标证明）及合同关键页扫描件。时间以合同文件签订时间为准，若合同文件无签订时间的，以中标通知书（或免招标证明）的时间为准；金额以合同文件为准，若合同文件无设计费金额的，以中标通知书（或免招标证明）的设计费金额为准。不符合上述条件或未提供相关证明材料的不得分。</w:t>
            </w:r>
          </w:p>
        </w:tc>
      </w:tr>
      <w:tr w14:paraId="3925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1" w:type="dxa"/>
            <w:vMerge w:val="continue"/>
            <w:vAlign w:val="center"/>
          </w:tcPr>
          <w:p w14:paraId="668F677E">
            <w:pPr>
              <w:widowControl/>
              <w:adjustRightInd w:val="0"/>
              <w:snapToGrid w:val="0"/>
              <w:spacing w:line="360" w:lineRule="auto"/>
              <w:jc w:val="left"/>
              <w:rPr>
                <w:rFonts w:ascii="宋体" w:hAnsi="宋体" w:cs="宋体"/>
                <w:color w:val="auto"/>
                <w:sz w:val="24"/>
                <w:szCs w:val="24"/>
                <w:highlight w:val="none"/>
              </w:rPr>
            </w:pPr>
          </w:p>
        </w:tc>
        <w:tc>
          <w:tcPr>
            <w:tcW w:w="1352" w:type="dxa"/>
            <w:vAlign w:val="center"/>
          </w:tcPr>
          <w:p w14:paraId="14A8B99B">
            <w:pPr>
              <w:adjustRightInd w:val="0"/>
              <w:snapToGrid w:val="0"/>
              <w:spacing w:line="24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企业业绩获奖</w:t>
            </w:r>
          </w:p>
          <w:p w14:paraId="634C9D53">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p>
        </w:tc>
        <w:tc>
          <w:tcPr>
            <w:tcW w:w="3871" w:type="dxa"/>
          </w:tcPr>
          <w:p w14:paraId="63A5B89C">
            <w:pPr>
              <w:keepNext w:val="0"/>
              <w:keepLines w:val="0"/>
              <w:widowControl/>
              <w:suppressLineNumbers w:val="0"/>
              <w:adjustRightInd w:val="0"/>
              <w:snapToGrid w:val="0"/>
              <w:spacing w:line="360" w:lineRule="auto"/>
              <w:jc w:val="left"/>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自2021年1月1日至投标截止时间，承接的</w:t>
            </w:r>
            <w:r>
              <w:rPr>
                <w:rFonts w:hint="eastAsia" w:ascii="宋体" w:hAnsi="宋体" w:eastAsia="宋体" w:cs="宋体"/>
                <w:color w:val="auto"/>
                <w:spacing w:val="-1"/>
                <w:sz w:val="24"/>
                <w:szCs w:val="24"/>
                <w:highlight w:val="none"/>
                <w:lang w:eastAsia="zh-CN"/>
              </w:rPr>
              <w:t>公共</w:t>
            </w:r>
            <w:r>
              <w:rPr>
                <w:rFonts w:ascii="宋体" w:hAnsi="宋体" w:eastAsia="宋体" w:cs="宋体"/>
                <w:color w:val="auto"/>
                <w:spacing w:val="-1"/>
                <w:sz w:val="24"/>
                <w:szCs w:val="24"/>
                <w:highlight w:val="none"/>
                <w:lang w:eastAsia="zh-CN"/>
              </w:rPr>
              <w:t>建筑工程设计项目中</w:t>
            </w:r>
            <w:r>
              <w:rPr>
                <w:rFonts w:hint="eastAsia" w:ascii="宋体" w:hAnsi="宋体" w:eastAsia="宋体" w:cs="宋体"/>
                <w:snapToGrid w:val="0"/>
                <w:color w:val="auto"/>
                <w:kern w:val="0"/>
                <w:sz w:val="24"/>
                <w:szCs w:val="24"/>
                <w:highlight w:val="none"/>
                <w:lang w:val="en-US" w:eastAsia="zh-CN" w:bidi="ar"/>
              </w:rPr>
              <w:t>获得设计类奖项：获得国家级奖项，每项得2分；获得省级奖项，每项得1分；获得市级（含副省级）奖项，每项得0.5分</w:t>
            </w:r>
            <w:r>
              <w:rPr>
                <w:rFonts w:hint="eastAsia" w:ascii="宋体" w:hAnsi="宋体" w:cs="宋体"/>
                <w:snapToGrid w:val="0"/>
                <w:color w:val="auto"/>
                <w:kern w:val="0"/>
                <w:sz w:val="24"/>
                <w:szCs w:val="24"/>
                <w:highlight w:val="none"/>
                <w:lang w:val="en-US" w:eastAsia="zh-CN" w:bidi="ar"/>
              </w:rPr>
              <w:t>；</w:t>
            </w:r>
            <w:r>
              <w:rPr>
                <w:rFonts w:hint="eastAsia" w:ascii="宋体" w:hAnsi="宋体" w:eastAsia="宋体" w:cs="宋体"/>
                <w:snapToGrid w:val="0"/>
                <w:color w:val="auto"/>
                <w:kern w:val="0"/>
                <w:sz w:val="24"/>
                <w:szCs w:val="24"/>
                <w:highlight w:val="none"/>
                <w:lang w:val="en-US" w:eastAsia="zh-CN" w:bidi="ar"/>
              </w:rPr>
              <w:t>本项最高得</w:t>
            </w:r>
            <w:r>
              <w:rPr>
                <w:rFonts w:hint="eastAsia" w:ascii="宋体" w:hAnsi="宋体" w:cs="宋体"/>
                <w:snapToGrid w:val="0"/>
                <w:color w:val="auto"/>
                <w:kern w:val="0"/>
                <w:sz w:val="24"/>
                <w:szCs w:val="24"/>
                <w:highlight w:val="none"/>
                <w:lang w:val="en-US" w:eastAsia="zh-CN" w:bidi="ar"/>
              </w:rPr>
              <w:t>6</w:t>
            </w:r>
            <w:r>
              <w:rPr>
                <w:rFonts w:hint="eastAsia" w:ascii="宋体" w:hAnsi="宋体" w:eastAsia="宋体" w:cs="宋体"/>
                <w:snapToGrid w:val="0"/>
                <w:color w:val="auto"/>
                <w:kern w:val="0"/>
                <w:sz w:val="24"/>
                <w:szCs w:val="24"/>
                <w:highlight w:val="none"/>
                <w:lang w:val="en-US" w:eastAsia="zh-CN" w:bidi="ar"/>
              </w:rPr>
              <w:t>分。</w:t>
            </w:r>
          </w:p>
        </w:tc>
        <w:tc>
          <w:tcPr>
            <w:tcW w:w="3242" w:type="dxa"/>
          </w:tcPr>
          <w:p w14:paraId="6D5B4398">
            <w:pPr>
              <w:pStyle w:val="13"/>
              <w:numPr>
                <w:ilvl w:val="0"/>
                <w:numId w:val="0"/>
              </w:numPr>
              <w:wordWrap w:val="0"/>
              <w:adjustRightInd w:val="0"/>
              <w:snapToGrid w:val="0"/>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国家级设计奖项包括由国务院颁发的国家科学技术奖、由住建部颁发的全国优秀工程勘察设计奖、住建部的华夏建设科学技术奖励委员会颁发的华夏建设科学技术奖、中国勘察设计协会颁发的全国优秀工程勘察设计行业奖；</w:t>
            </w:r>
          </w:p>
          <w:p w14:paraId="589C0048">
            <w:pPr>
              <w:pStyle w:val="13"/>
              <w:numPr>
                <w:ilvl w:val="0"/>
                <w:numId w:val="0"/>
              </w:numPr>
              <w:wordWrap w:val="0"/>
              <w:adjustRightInd w:val="0"/>
              <w:snapToGrid w:val="0"/>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（2）省级设计奖项包括省级（或直辖市）人民政府颁发的省（或直辖市）科学技术奖、省级（或直辖市）建设行政主管部门及省级（或直辖市）工程勘察设计行业协会颁发的省级（或直辖市）优秀勘察设计奖；</w:t>
            </w:r>
          </w:p>
          <w:p w14:paraId="2C130D13">
            <w:pPr>
              <w:pStyle w:val="13"/>
              <w:numPr>
                <w:ilvl w:val="0"/>
                <w:numId w:val="0"/>
              </w:numPr>
              <w:wordWrap w:val="0"/>
              <w:adjustRightInd w:val="0"/>
              <w:snapToGrid w:val="0"/>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（3）市级(含副省级)设计奖项包括市级(含副省级)建设行政主管部门或市级(含副省级)工程勘察设计行业协会颁发的“优秀工程勘察设计奖”、市级人民政府颁发的“市科学技术奖”。</w:t>
            </w:r>
          </w:p>
          <w:p w14:paraId="3BCFA2FC">
            <w:pPr>
              <w:pStyle w:val="13"/>
              <w:numPr>
                <w:ilvl w:val="0"/>
                <w:numId w:val="0"/>
              </w:numPr>
              <w:wordWrap w:val="0"/>
              <w:adjustRightInd w:val="0"/>
              <w:snapToGrid w:val="0"/>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如颁发单位为行业协会的，还须提供该协会在“全国社会组织信用信息公示平台（试运行）”己登记备案的查询信息截图页（网址：https://xxgs.chinanpo.mca.gov.cn/gsxt/newList），奖项时间以获奖证书发证日期为准。</w:t>
            </w:r>
          </w:p>
          <w:p w14:paraId="4A5B3FC0">
            <w:pPr>
              <w:pStyle w:val="13"/>
              <w:numPr>
                <w:ilvl w:val="0"/>
                <w:numId w:val="0"/>
              </w:numPr>
              <w:wordWrap w:val="0"/>
              <w:adjustRightInd w:val="0"/>
              <w:snapToGrid w:val="0"/>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须提供获奖证书扫描件。获奖时间以获奖证书的发证日期为准，同一项目获得多个奖项的，按最高级别奖项只计一次得分。不符合上述条件或未提供相关证明材料的不得分。</w:t>
            </w:r>
          </w:p>
        </w:tc>
      </w:tr>
      <w:tr w14:paraId="1A50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271" w:type="dxa"/>
            <w:vMerge w:val="continue"/>
            <w:vAlign w:val="center"/>
          </w:tcPr>
          <w:p w14:paraId="72642935">
            <w:pPr>
              <w:widowControl/>
              <w:adjustRightInd w:val="0"/>
              <w:snapToGrid w:val="0"/>
              <w:spacing w:line="360" w:lineRule="auto"/>
              <w:jc w:val="left"/>
              <w:rPr>
                <w:rFonts w:ascii="宋体" w:hAnsi="宋体" w:cs="宋体"/>
                <w:color w:val="auto"/>
                <w:sz w:val="24"/>
                <w:szCs w:val="24"/>
                <w:highlight w:val="none"/>
              </w:rPr>
            </w:pPr>
          </w:p>
        </w:tc>
        <w:tc>
          <w:tcPr>
            <w:tcW w:w="1352" w:type="dxa"/>
            <w:vAlign w:val="center"/>
          </w:tcPr>
          <w:p w14:paraId="034D1A34">
            <w:pPr>
              <w:adjustRightInd w:val="0"/>
              <w:snapToGrid w:val="0"/>
              <w:spacing w:line="24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项目负责人</w:t>
            </w:r>
          </w:p>
          <w:p w14:paraId="15D2F929">
            <w:pPr>
              <w:adjustRightInd w:val="0"/>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p>
        </w:tc>
        <w:tc>
          <w:tcPr>
            <w:tcW w:w="3871" w:type="dxa"/>
            <w:vAlign w:val="center"/>
          </w:tcPr>
          <w:p w14:paraId="22A9392C">
            <w:pPr>
              <w:keepNext w:val="0"/>
              <w:keepLines w:val="0"/>
              <w:widowControl/>
              <w:suppressLineNumbers w:val="0"/>
              <w:adjustRightInd w:val="0"/>
              <w:snapToGrid w:val="0"/>
              <w:spacing w:line="360" w:lineRule="auto"/>
              <w:jc w:val="left"/>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1.具有</w:t>
            </w:r>
            <w:r>
              <w:rPr>
                <w:rFonts w:hint="eastAsia" w:ascii="宋体" w:hAnsi="宋体" w:cs="宋体"/>
                <w:snapToGrid w:val="0"/>
                <w:color w:val="auto"/>
                <w:kern w:val="0"/>
                <w:sz w:val="24"/>
                <w:szCs w:val="24"/>
                <w:highlight w:val="none"/>
                <w:lang w:val="en-US" w:eastAsia="zh-CN" w:bidi="ar"/>
              </w:rPr>
              <w:t>工程类相关专业</w:t>
            </w:r>
            <w:r>
              <w:rPr>
                <w:rFonts w:hint="eastAsia" w:ascii="宋体" w:hAnsi="宋体" w:eastAsia="宋体" w:cs="宋体"/>
                <w:snapToGrid w:val="0"/>
                <w:color w:val="auto"/>
                <w:kern w:val="0"/>
                <w:sz w:val="24"/>
                <w:szCs w:val="24"/>
                <w:highlight w:val="none"/>
                <w:lang w:val="en-US" w:eastAsia="zh-CN" w:bidi="ar"/>
              </w:rPr>
              <w:t>高级工程师或以上职称的，得</w:t>
            </w:r>
            <w:r>
              <w:rPr>
                <w:rFonts w:hint="eastAsia" w:ascii="宋体" w:hAnsi="宋体" w:cs="宋体"/>
                <w:snapToGrid w:val="0"/>
                <w:color w:val="auto"/>
                <w:kern w:val="0"/>
                <w:sz w:val="24"/>
                <w:szCs w:val="24"/>
                <w:highlight w:val="none"/>
                <w:lang w:val="en-US" w:eastAsia="zh-CN" w:bidi="ar"/>
              </w:rPr>
              <w:t>4</w:t>
            </w:r>
            <w:r>
              <w:rPr>
                <w:rFonts w:hint="eastAsia" w:ascii="宋体" w:hAnsi="宋体" w:eastAsia="宋体" w:cs="宋体"/>
                <w:snapToGrid w:val="0"/>
                <w:color w:val="auto"/>
                <w:kern w:val="0"/>
                <w:sz w:val="24"/>
                <w:szCs w:val="24"/>
                <w:highlight w:val="none"/>
                <w:lang w:val="en-US" w:eastAsia="zh-CN" w:bidi="ar"/>
              </w:rPr>
              <w:t>分；具有</w:t>
            </w:r>
            <w:r>
              <w:rPr>
                <w:rFonts w:hint="eastAsia" w:ascii="宋体" w:hAnsi="宋体" w:cs="宋体"/>
                <w:snapToGrid w:val="0"/>
                <w:color w:val="auto"/>
                <w:kern w:val="0"/>
                <w:sz w:val="24"/>
                <w:szCs w:val="24"/>
                <w:highlight w:val="none"/>
                <w:lang w:val="en-US" w:eastAsia="zh-CN" w:bidi="ar"/>
              </w:rPr>
              <w:t>工程类相关专业</w:t>
            </w:r>
            <w:r>
              <w:rPr>
                <w:rFonts w:hint="eastAsia" w:ascii="宋体" w:hAnsi="宋体" w:eastAsia="宋体" w:cs="宋体"/>
                <w:snapToGrid w:val="0"/>
                <w:color w:val="auto"/>
                <w:kern w:val="0"/>
                <w:sz w:val="24"/>
                <w:szCs w:val="24"/>
                <w:highlight w:val="none"/>
                <w:lang w:val="en-US" w:eastAsia="zh-CN" w:bidi="ar"/>
              </w:rPr>
              <w:t>中级工程师职称的，得2分；其他情况不得分。</w:t>
            </w:r>
          </w:p>
          <w:p w14:paraId="2F7A113D">
            <w:pPr>
              <w:keepNext w:val="0"/>
              <w:keepLines w:val="0"/>
              <w:widowControl/>
              <w:suppressLineNumbers w:val="0"/>
              <w:adjustRightInd w:val="0"/>
              <w:snapToGrid w:val="0"/>
              <w:spacing w:line="360" w:lineRule="auto"/>
              <w:jc w:val="left"/>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本小项最高得</w:t>
            </w:r>
            <w:r>
              <w:rPr>
                <w:rFonts w:hint="eastAsia" w:ascii="宋体" w:hAnsi="宋体" w:cs="宋体"/>
                <w:snapToGrid w:val="0"/>
                <w:color w:val="auto"/>
                <w:kern w:val="0"/>
                <w:sz w:val="24"/>
                <w:szCs w:val="24"/>
                <w:highlight w:val="none"/>
                <w:lang w:val="en-US" w:eastAsia="zh-CN" w:bidi="ar"/>
              </w:rPr>
              <w:t>4</w:t>
            </w:r>
            <w:r>
              <w:rPr>
                <w:rFonts w:hint="eastAsia" w:ascii="宋体" w:hAnsi="宋体" w:eastAsia="宋体" w:cs="宋体"/>
                <w:snapToGrid w:val="0"/>
                <w:color w:val="auto"/>
                <w:kern w:val="0"/>
                <w:sz w:val="24"/>
                <w:szCs w:val="24"/>
                <w:highlight w:val="none"/>
                <w:lang w:val="en-US" w:eastAsia="zh-CN" w:bidi="ar"/>
              </w:rPr>
              <w:t>分。</w:t>
            </w:r>
          </w:p>
          <w:p w14:paraId="38D5E5A4">
            <w:pPr>
              <w:keepNext w:val="0"/>
              <w:keepLines w:val="0"/>
              <w:widowControl/>
              <w:suppressLineNumbers w:val="0"/>
              <w:adjustRightInd w:val="0"/>
              <w:snapToGrid w:val="0"/>
              <w:spacing w:line="360" w:lineRule="auto"/>
              <w:jc w:val="left"/>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2.具有10年（含）以上工作经验的得2分，具有10年（不含）-5年（含）年工作经验的得1分。</w:t>
            </w:r>
          </w:p>
          <w:p w14:paraId="006A167E">
            <w:pPr>
              <w:keepNext w:val="0"/>
              <w:keepLines w:val="0"/>
              <w:widowControl/>
              <w:suppressLineNumbers w:val="0"/>
              <w:adjustRightInd w:val="0"/>
              <w:snapToGrid w:val="0"/>
              <w:spacing w:line="360" w:lineRule="auto"/>
              <w:jc w:val="left"/>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本小项最高得2分。</w:t>
            </w:r>
          </w:p>
        </w:tc>
        <w:tc>
          <w:tcPr>
            <w:tcW w:w="3242" w:type="dxa"/>
            <w:vAlign w:val="center"/>
          </w:tcPr>
          <w:p w14:paraId="5D4FC29D">
            <w:pPr>
              <w:pStyle w:val="13"/>
              <w:numPr>
                <w:ilvl w:val="0"/>
                <w:numId w:val="0"/>
              </w:numPr>
              <w:wordWrap w:val="0"/>
              <w:adjustRightInd w:val="0"/>
              <w:snapToGrid w:val="0"/>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须提供相应职称证、2026年</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月的有效社保证明等证明材料扫描件、工作经验以大专或以上毕业证书日期至投标截止时间为准。不符合上述条件或未提供相关证明材料的不得分。</w:t>
            </w:r>
            <w:r>
              <w:rPr>
                <w:rFonts w:hint="eastAsia" w:ascii="宋体" w:hAnsi="宋体" w:eastAsia="宋体" w:cs="宋体"/>
                <w:snapToGrid w:val="0"/>
                <w:color w:val="auto"/>
                <w:kern w:val="0"/>
                <w:sz w:val="24"/>
                <w:szCs w:val="24"/>
                <w:highlight w:val="none"/>
                <w:lang w:val="en-US" w:eastAsia="zh-CN" w:bidi="ar"/>
              </w:rPr>
              <w:t>本项最高得5分。</w:t>
            </w:r>
          </w:p>
        </w:tc>
      </w:tr>
      <w:tr w14:paraId="588F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271" w:type="dxa"/>
            <w:vMerge w:val="continue"/>
            <w:vAlign w:val="center"/>
          </w:tcPr>
          <w:p w14:paraId="060A5A33">
            <w:pPr>
              <w:widowControl/>
              <w:adjustRightInd w:val="0"/>
              <w:snapToGrid w:val="0"/>
              <w:spacing w:line="360" w:lineRule="auto"/>
              <w:jc w:val="left"/>
              <w:rPr>
                <w:rFonts w:ascii="宋体" w:hAnsi="宋体" w:cs="宋体"/>
                <w:color w:val="auto"/>
                <w:sz w:val="24"/>
                <w:szCs w:val="24"/>
                <w:highlight w:val="none"/>
              </w:rPr>
            </w:pPr>
          </w:p>
        </w:tc>
        <w:tc>
          <w:tcPr>
            <w:tcW w:w="1352" w:type="dxa"/>
            <w:vAlign w:val="center"/>
          </w:tcPr>
          <w:p w14:paraId="683A893B">
            <w:pPr>
              <w:adjustRightInd w:val="0"/>
              <w:snapToGrid w:val="0"/>
              <w:spacing w:line="360" w:lineRule="auto"/>
              <w:jc w:val="center"/>
              <w:rPr>
                <w:rFonts w:hint="eastAsia" w:ascii="宋体" w:hAnsi="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设计管理班子配备情况</w:t>
            </w:r>
          </w:p>
          <w:p w14:paraId="56A36F73">
            <w:pPr>
              <w:adjustRightInd w:val="0"/>
              <w:snapToGrid w:val="0"/>
              <w:spacing w:line="360" w:lineRule="auto"/>
              <w:jc w:val="center"/>
              <w:rPr>
                <w:rFonts w:ascii="宋体" w:hAnsi="宋体" w:cs="宋体"/>
                <w:snapToGrid w:val="0"/>
                <w:color w:val="auto"/>
                <w:kern w:val="0"/>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分）</w:t>
            </w:r>
          </w:p>
        </w:tc>
        <w:tc>
          <w:tcPr>
            <w:tcW w:w="3871" w:type="dxa"/>
            <w:vAlign w:val="center"/>
          </w:tcPr>
          <w:p w14:paraId="6771A71C">
            <w:pPr>
              <w:pStyle w:val="13"/>
              <w:wordWrap w:val="0"/>
              <w:adjustRightInd w:val="0"/>
              <w:snapToGrid w:val="0"/>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投标人项目管理机构配备健全，分别对下列人员的资历情况进行评分：</w:t>
            </w:r>
          </w:p>
          <w:p w14:paraId="438C7AAC">
            <w:pPr>
              <w:pStyle w:val="13"/>
              <w:wordWrap w:val="0"/>
              <w:adjustRightInd w:val="0"/>
              <w:snapToGrid w:val="0"/>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1.建筑专业负责人：</w:t>
            </w:r>
          </w:p>
          <w:p w14:paraId="66D87012">
            <w:pPr>
              <w:pStyle w:val="13"/>
              <w:wordWrap w:val="0"/>
              <w:adjustRightInd w:val="0"/>
              <w:snapToGrid w:val="0"/>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①具有一级注册建筑师资格的，得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p>
          <w:p w14:paraId="7DB4E661">
            <w:pPr>
              <w:pStyle w:val="13"/>
              <w:wordWrap w:val="0"/>
              <w:adjustRightInd w:val="0"/>
              <w:snapToGrid w:val="0"/>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②具备工程类相关专业中级（或以上）技术职称的得1分。</w:t>
            </w:r>
          </w:p>
          <w:p w14:paraId="1AEF6957">
            <w:pPr>
              <w:pStyle w:val="13"/>
              <w:wordWrap w:val="0"/>
              <w:adjustRightInd w:val="0"/>
              <w:snapToGrid w:val="0"/>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本项最高得</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p w14:paraId="3509E9A5">
            <w:pPr>
              <w:pStyle w:val="13"/>
              <w:wordWrap w:val="0"/>
              <w:adjustRightInd w:val="0"/>
              <w:snapToGrid w:val="0"/>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2.结构专业负责人：</w:t>
            </w:r>
          </w:p>
          <w:p w14:paraId="44233AB9">
            <w:pPr>
              <w:pStyle w:val="13"/>
              <w:wordWrap w:val="0"/>
              <w:adjustRightInd w:val="0"/>
              <w:snapToGrid w:val="0"/>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①具有一级注册结构工程师资格的，得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p>
          <w:p w14:paraId="11B990BD">
            <w:pPr>
              <w:pStyle w:val="13"/>
              <w:wordWrap w:val="0"/>
              <w:adjustRightInd w:val="0"/>
              <w:snapToGrid w:val="0"/>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②具备工程类相关专业中级（或以上）技术职称的得1分。</w:t>
            </w:r>
          </w:p>
          <w:p w14:paraId="0BCF93B9">
            <w:pPr>
              <w:pStyle w:val="13"/>
              <w:wordWrap w:val="0"/>
              <w:adjustRightInd w:val="0"/>
              <w:snapToGrid w:val="0"/>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本项最高得</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p w14:paraId="1CC76279">
            <w:pPr>
              <w:pStyle w:val="13"/>
              <w:wordWrap w:val="0"/>
              <w:adjustRightInd w:val="0"/>
              <w:snapToGrid w:val="0"/>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3.暖通专业负责人：</w:t>
            </w:r>
          </w:p>
          <w:p w14:paraId="613D8E91">
            <w:pPr>
              <w:pStyle w:val="13"/>
              <w:wordWrap w:val="0"/>
              <w:adjustRightInd w:val="0"/>
              <w:snapToGrid w:val="0"/>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①具有注册公用设备工程师（暖通空调）资格的，得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p>
          <w:p w14:paraId="76BBD128">
            <w:pPr>
              <w:pStyle w:val="13"/>
              <w:wordWrap w:val="0"/>
              <w:adjustRightInd w:val="0"/>
              <w:snapToGrid w:val="0"/>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②具备工程类相关专业中级（或以上）技术职称的得1分。</w:t>
            </w:r>
          </w:p>
          <w:p w14:paraId="434B7F2A">
            <w:pPr>
              <w:pStyle w:val="13"/>
              <w:wordWrap w:val="0"/>
              <w:adjustRightInd w:val="0"/>
              <w:snapToGrid w:val="0"/>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本项最高得</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p w14:paraId="5B4973BD">
            <w:pPr>
              <w:pStyle w:val="13"/>
              <w:wordWrap w:val="0"/>
              <w:adjustRightInd w:val="0"/>
              <w:snapToGrid w:val="0"/>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4.电气专业负责人：</w:t>
            </w:r>
          </w:p>
          <w:p w14:paraId="53770D6F">
            <w:pPr>
              <w:pStyle w:val="13"/>
              <w:wordWrap w:val="0"/>
              <w:adjustRightInd w:val="0"/>
              <w:snapToGrid w:val="0"/>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①具有注册电气工程师资格的，得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p>
          <w:p w14:paraId="0FE1C11A">
            <w:pPr>
              <w:pStyle w:val="13"/>
              <w:wordWrap w:val="0"/>
              <w:adjustRightInd w:val="0"/>
              <w:snapToGrid w:val="0"/>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②具备工程类相关专业中级（或以上）技术职称的得1分。</w:t>
            </w:r>
          </w:p>
          <w:p w14:paraId="3C3A078B">
            <w:pPr>
              <w:pStyle w:val="13"/>
              <w:wordWrap w:val="0"/>
              <w:adjustRightInd w:val="0"/>
              <w:snapToGrid w:val="0"/>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本项最高得</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p w14:paraId="4E50B659">
            <w:pPr>
              <w:pStyle w:val="13"/>
              <w:wordWrap w:val="0"/>
              <w:adjustRightInd w:val="0"/>
              <w:snapToGrid w:val="0"/>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5.给排水专业负责人：</w:t>
            </w:r>
          </w:p>
          <w:p w14:paraId="4EDE60A9">
            <w:pPr>
              <w:pStyle w:val="13"/>
              <w:wordWrap w:val="0"/>
              <w:adjustRightInd w:val="0"/>
              <w:snapToGrid w:val="0"/>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①具有注册公用设备工程师（给水排水）资格的，得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p>
          <w:p w14:paraId="63A06E97">
            <w:pPr>
              <w:pStyle w:val="13"/>
              <w:wordWrap w:val="0"/>
              <w:adjustRightInd w:val="0"/>
              <w:snapToGrid w:val="0"/>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②具备工程类相关专业中级（或以上）技术职称的得1分。</w:t>
            </w:r>
          </w:p>
          <w:p w14:paraId="558216D7">
            <w:pPr>
              <w:pStyle w:val="13"/>
              <w:wordWrap w:val="0"/>
              <w:adjustRightInd w:val="0"/>
              <w:snapToGrid w:val="0"/>
              <w:spacing w:after="0"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本项最高得</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tc>
        <w:tc>
          <w:tcPr>
            <w:tcW w:w="3242" w:type="dxa"/>
            <w:vAlign w:val="center"/>
          </w:tcPr>
          <w:p w14:paraId="454AFADF">
            <w:pPr>
              <w:pStyle w:val="13"/>
              <w:numPr>
                <w:ilvl w:val="0"/>
                <w:numId w:val="0"/>
              </w:numPr>
              <w:wordWrap w:val="0"/>
              <w:adjustRightInd w:val="0"/>
              <w:snapToGrid w:val="0"/>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须提供相应执业注册证书、职称证等、2026年5月的有效社保证明等证明材料扫描件。</w:t>
            </w:r>
          </w:p>
        </w:tc>
      </w:tr>
      <w:tr w14:paraId="2A81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736" w:type="dxa"/>
            <w:gridSpan w:val="4"/>
            <w:vAlign w:val="center"/>
          </w:tcPr>
          <w:p w14:paraId="4D747485">
            <w:pPr>
              <w:widowControl/>
              <w:adjustRightInd w:val="0"/>
              <w:snapToGrid w:val="0"/>
              <w:spacing w:line="360" w:lineRule="auto"/>
              <w:jc w:val="center"/>
              <w:rPr>
                <w:rFonts w:ascii="宋体" w:hAnsi="宋体" w:cs="宋体"/>
                <w:color w:val="auto"/>
                <w:sz w:val="24"/>
                <w:szCs w:val="24"/>
                <w:highlight w:val="none"/>
              </w:rPr>
            </w:pPr>
            <w:r>
              <w:rPr>
                <w:rFonts w:hint="eastAsia" w:ascii="宋体" w:hAnsi="宋体" w:cs="宋体"/>
                <w:b/>
                <w:bCs/>
                <w:color w:val="auto"/>
                <w:sz w:val="24"/>
                <w:szCs w:val="24"/>
                <w:highlight w:val="none"/>
              </w:rPr>
              <w:t>技术部分（</w:t>
            </w:r>
            <w:r>
              <w:rPr>
                <w:rFonts w:hint="eastAsia" w:ascii="宋体" w:hAnsi="宋体" w:cs="宋体"/>
                <w:b/>
                <w:bCs/>
                <w:color w:val="auto"/>
                <w:sz w:val="24"/>
                <w:szCs w:val="24"/>
                <w:highlight w:val="none"/>
                <w:lang w:val="en-US" w:eastAsia="zh-CN"/>
              </w:rPr>
              <w:t>45</w:t>
            </w:r>
            <w:r>
              <w:rPr>
                <w:rFonts w:hint="eastAsia" w:ascii="宋体" w:hAnsi="宋体" w:cs="宋体"/>
                <w:b/>
                <w:bCs/>
                <w:color w:val="auto"/>
                <w:sz w:val="24"/>
                <w:szCs w:val="24"/>
                <w:highlight w:val="none"/>
              </w:rPr>
              <w:t>分）</w:t>
            </w:r>
          </w:p>
        </w:tc>
      </w:tr>
      <w:tr w14:paraId="61C2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71" w:type="dxa"/>
            <w:vMerge w:val="restart"/>
            <w:vAlign w:val="center"/>
          </w:tcPr>
          <w:p w14:paraId="48588998">
            <w:pPr>
              <w:widowControl/>
              <w:adjustRightInd w:val="0"/>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技术部分（</w:t>
            </w:r>
            <w:r>
              <w:rPr>
                <w:rFonts w:hint="eastAsia" w:ascii="宋体" w:hAnsi="宋体" w:cs="宋体"/>
                <w:color w:val="auto"/>
                <w:sz w:val="24"/>
                <w:szCs w:val="24"/>
                <w:highlight w:val="none"/>
                <w:lang w:val="en-US" w:eastAsia="zh-CN"/>
              </w:rPr>
              <w:t>45</w:t>
            </w:r>
            <w:r>
              <w:rPr>
                <w:rFonts w:hint="eastAsia" w:ascii="宋体" w:hAnsi="宋体" w:cs="宋体"/>
                <w:color w:val="auto"/>
                <w:sz w:val="24"/>
                <w:szCs w:val="24"/>
                <w:highlight w:val="none"/>
              </w:rPr>
              <w:t>分）</w:t>
            </w:r>
          </w:p>
        </w:tc>
        <w:tc>
          <w:tcPr>
            <w:tcW w:w="1352" w:type="dxa"/>
            <w:vAlign w:val="center"/>
          </w:tcPr>
          <w:p w14:paraId="4348DD37">
            <w:pPr>
              <w:spacing w:line="360" w:lineRule="auto"/>
              <w:jc w:val="center"/>
              <w:rPr>
                <w:rFonts w:ascii="宋体" w:hAnsi="宋体" w:eastAsia="宋体" w:cs="宋体"/>
                <w:color w:val="auto"/>
                <w:spacing w:val="-14"/>
                <w:sz w:val="24"/>
                <w:szCs w:val="24"/>
                <w:highlight w:val="none"/>
                <w:lang w:eastAsia="zh-CN"/>
              </w:rPr>
            </w:pPr>
            <w:r>
              <w:rPr>
                <w:rFonts w:hint="eastAsia" w:ascii="宋体" w:hAnsi="宋体" w:eastAsia="宋体" w:cs="宋体"/>
                <w:color w:val="auto"/>
                <w:spacing w:val="-14"/>
                <w:sz w:val="24"/>
                <w:szCs w:val="24"/>
                <w:highlight w:val="none"/>
                <w:lang w:eastAsia="zh-CN"/>
              </w:rPr>
              <w:t>对本项目的理解、总体构思及方案说明</w:t>
            </w:r>
          </w:p>
          <w:p w14:paraId="07D55C7C">
            <w:pPr>
              <w:pStyle w:val="13"/>
              <w:wordWrap w:val="0"/>
              <w:adjustRightInd w:val="0"/>
              <w:snapToGrid w:val="0"/>
              <w:spacing w:after="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14"/>
                <w:sz w:val="24"/>
                <w:szCs w:val="24"/>
                <w:highlight w:val="none"/>
                <w:lang w:eastAsia="zh-CN"/>
              </w:rPr>
              <w:t>4</w:t>
            </w:r>
            <w:r>
              <w:rPr>
                <w:rFonts w:hint="eastAsia" w:ascii="宋体" w:hAnsi="宋体" w:eastAsia="宋体" w:cs="宋体"/>
                <w:color w:val="auto"/>
                <w:spacing w:val="-14"/>
                <w:sz w:val="24"/>
                <w:szCs w:val="24"/>
                <w:highlight w:val="none"/>
              </w:rPr>
              <w:t>分）</w:t>
            </w:r>
          </w:p>
        </w:tc>
        <w:tc>
          <w:tcPr>
            <w:tcW w:w="7113" w:type="dxa"/>
            <w:gridSpan w:val="2"/>
            <w:vAlign w:val="center"/>
          </w:tcPr>
          <w:p w14:paraId="3CF9AAED">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 xml:space="preserve">1.优：对本项目的理解和总体思路认识合理全面、透彻、具有前瞻性，对本项目设计构思清晰，各专业方案设计清晰、可行性强，内容充实，完全满足招标要求，整体评价优秀，得4分； </w:t>
            </w:r>
          </w:p>
          <w:p w14:paraId="5442E5FC">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2.良：对本项目的理解和总体思路认识一般，对本项目设计构思基本清晰，各专业方案设计基本清晰，可行性适中，内容基本充实，基本满足招标要求，整体评价良好，得</w:t>
            </w:r>
            <w:r>
              <w:rPr>
                <w:rFonts w:hint="eastAsia" w:ascii="宋体" w:hAnsi="宋体" w:cs="宋体"/>
                <w:color w:val="auto"/>
                <w:sz w:val="24"/>
                <w:szCs w:val="24"/>
                <w:highlight w:val="none"/>
                <w:lang w:val="en-US" w:eastAsia="zh-CN" w:bidi="ar"/>
              </w:rPr>
              <w:t>3</w:t>
            </w:r>
            <w:r>
              <w:rPr>
                <w:rFonts w:hint="eastAsia" w:ascii="宋体" w:hAnsi="宋体" w:eastAsia="宋体" w:cs="宋体"/>
                <w:color w:val="auto"/>
                <w:sz w:val="24"/>
                <w:szCs w:val="24"/>
                <w:highlight w:val="none"/>
                <w:lang w:eastAsia="zh-CN" w:bidi="ar"/>
              </w:rPr>
              <w:t xml:space="preserve">分； </w:t>
            </w:r>
          </w:p>
          <w:p w14:paraId="61445442">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3.一般：对本项目的理解和总体思路等内容有阐述的，对本项目设计构思简单，各专业方案设计描述简单，可行性一般，内容较简单，整体评价一般，得</w:t>
            </w:r>
            <w:r>
              <w:rPr>
                <w:rFonts w:hint="eastAsia" w:ascii="宋体" w:hAnsi="宋体" w:cs="宋体"/>
                <w:color w:val="auto"/>
                <w:sz w:val="24"/>
                <w:szCs w:val="24"/>
                <w:highlight w:val="none"/>
                <w:lang w:val="en-US" w:eastAsia="zh-CN" w:bidi="ar"/>
              </w:rPr>
              <w:t>2</w:t>
            </w:r>
            <w:r>
              <w:rPr>
                <w:rFonts w:hint="eastAsia" w:ascii="宋体" w:hAnsi="宋体" w:eastAsia="宋体" w:cs="宋体"/>
                <w:color w:val="auto"/>
                <w:sz w:val="24"/>
                <w:szCs w:val="24"/>
                <w:highlight w:val="none"/>
                <w:lang w:eastAsia="zh-CN" w:bidi="ar"/>
              </w:rPr>
              <w:t xml:space="preserve">分； </w:t>
            </w:r>
          </w:p>
          <w:p w14:paraId="51B498DC">
            <w:pPr>
              <w:pStyle w:val="13"/>
              <w:wordWrap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4.不提供的不得分。</w:t>
            </w:r>
          </w:p>
        </w:tc>
      </w:tr>
      <w:tr w14:paraId="5444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71" w:type="dxa"/>
            <w:vMerge w:val="continue"/>
            <w:vAlign w:val="center"/>
          </w:tcPr>
          <w:p w14:paraId="7A0E232A">
            <w:pPr>
              <w:widowControl/>
              <w:adjustRightInd w:val="0"/>
              <w:snapToGrid w:val="0"/>
              <w:spacing w:line="360" w:lineRule="auto"/>
              <w:jc w:val="left"/>
              <w:rPr>
                <w:rFonts w:ascii="宋体" w:hAnsi="宋体" w:cs="宋体"/>
                <w:color w:val="auto"/>
                <w:sz w:val="24"/>
                <w:szCs w:val="24"/>
                <w:highlight w:val="none"/>
              </w:rPr>
            </w:pPr>
          </w:p>
        </w:tc>
        <w:tc>
          <w:tcPr>
            <w:tcW w:w="1352" w:type="dxa"/>
            <w:shd w:val="clear" w:color="auto" w:fill="auto"/>
            <w:vAlign w:val="center"/>
          </w:tcPr>
          <w:p w14:paraId="2D9B02A6">
            <w:pPr>
              <w:pStyle w:val="13"/>
              <w:wordWrap w:val="0"/>
              <w:adjustRightInd w:val="0"/>
              <w:snapToGrid w:val="0"/>
              <w:spacing w:after="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4"/>
                <w:sz w:val="24"/>
                <w:szCs w:val="24"/>
                <w:highlight w:val="none"/>
                <w:lang w:eastAsia="zh-CN"/>
              </w:rPr>
              <w:t>医院的现状分析及建议方案（</w:t>
            </w:r>
            <w:r>
              <w:rPr>
                <w:rFonts w:hint="eastAsia" w:ascii="宋体" w:hAnsi="宋体" w:eastAsia="宋体" w:cs="宋体"/>
                <w:color w:val="auto"/>
                <w:spacing w:val="-14"/>
                <w:sz w:val="24"/>
                <w:szCs w:val="24"/>
                <w:highlight w:val="none"/>
                <w:lang w:val="en-US" w:eastAsia="zh-CN"/>
              </w:rPr>
              <w:t>4</w:t>
            </w:r>
            <w:r>
              <w:rPr>
                <w:rFonts w:hint="eastAsia" w:ascii="宋体" w:hAnsi="宋体" w:eastAsia="宋体" w:cs="宋体"/>
                <w:color w:val="auto"/>
                <w:spacing w:val="-14"/>
                <w:sz w:val="24"/>
                <w:szCs w:val="24"/>
                <w:highlight w:val="none"/>
                <w:lang w:eastAsia="zh-CN"/>
              </w:rPr>
              <w:t>分）</w:t>
            </w:r>
          </w:p>
        </w:tc>
        <w:tc>
          <w:tcPr>
            <w:tcW w:w="7113" w:type="dxa"/>
            <w:gridSpan w:val="2"/>
            <w:vAlign w:val="center"/>
          </w:tcPr>
          <w:p w14:paraId="66680997">
            <w:pPr>
              <w:numPr>
                <w:ilvl w:val="0"/>
                <w:numId w:val="0"/>
              </w:numPr>
              <w:spacing w:line="360" w:lineRule="auto"/>
              <w:rPr>
                <w:rFonts w:ascii="宋体" w:hAnsi="宋体" w:eastAsia="宋体" w:cs="宋体"/>
                <w:color w:val="auto"/>
                <w:sz w:val="24"/>
                <w:szCs w:val="24"/>
                <w:highlight w:val="none"/>
                <w:lang w:eastAsia="zh-CN" w:bidi="ar"/>
              </w:rPr>
            </w:pPr>
            <w:r>
              <w:rPr>
                <w:rFonts w:ascii="宋体" w:hAnsi="宋体" w:eastAsia="宋体" w:cs="宋体"/>
                <w:color w:val="auto"/>
                <w:kern w:val="2"/>
                <w:sz w:val="24"/>
                <w:szCs w:val="24"/>
                <w:highlight w:val="none"/>
                <w:lang w:val="en-US" w:eastAsia="zh-CN" w:bidi="ar"/>
              </w:rPr>
              <w:t>1.</w:t>
            </w:r>
            <w:r>
              <w:rPr>
                <w:rFonts w:hint="eastAsia" w:ascii="宋体" w:hAnsi="宋体" w:eastAsia="宋体" w:cs="宋体"/>
                <w:color w:val="auto"/>
                <w:sz w:val="24"/>
                <w:szCs w:val="24"/>
                <w:highlight w:val="none"/>
                <w:lang w:eastAsia="zh-CN" w:bidi="ar"/>
              </w:rPr>
              <w:t>优：</w:t>
            </w:r>
            <w:r>
              <w:rPr>
                <w:rFonts w:hint="eastAsia" w:ascii="宋体" w:hAnsi="宋体" w:eastAsia="宋体" w:cs="宋体"/>
                <w:color w:val="auto"/>
                <w:spacing w:val="-14"/>
                <w:sz w:val="24"/>
                <w:szCs w:val="24"/>
                <w:highlight w:val="none"/>
                <w:lang w:eastAsia="zh-CN"/>
              </w:rPr>
              <w:t>对医院的现状进行分析，消防通道 、人车分流、交通流线分析透彻合理，整个院区环境的升级改造方案合理可行，得</w:t>
            </w:r>
            <w:r>
              <w:rPr>
                <w:rFonts w:hint="eastAsia" w:ascii="宋体" w:hAnsi="宋体" w:eastAsia="宋体" w:cs="宋体"/>
                <w:color w:val="auto"/>
                <w:spacing w:val="-14"/>
                <w:sz w:val="24"/>
                <w:szCs w:val="24"/>
                <w:highlight w:val="none"/>
                <w:lang w:val="en-US" w:eastAsia="zh-CN"/>
              </w:rPr>
              <w:t>4</w:t>
            </w:r>
            <w:r>
              <w:rPr>
                <w:rFonts w:hint="eastAsia" w:ascii="宋体" w:hAnsi="宋体" w:eastAsia="宋体" w:cs="宋体"/>
                <w:color w:val="auto"/>
                <w:sz w:val="24"/>
                <w:szCs w:val="24"/>
                <w:highlight w:val="none"/>
                <w:lang w:eastAsia="zh-CN" w:bidi="ar"/>
              </w:rPr>
              <w:t>分；</w:t>
            </w:r>
          </w:p>
          <w:p w14:paraId="2AC5476E">
            <w:pPr>
              <w:numPr>
                <w:ilvl w:val="0"/>
                <w:numId w:val="0"/>
              </w:numPr>
              <w:spacing w:line="360" w:lineRule="auto"/>
              <w:rPr>
                <w:rFonts w:ascii="宋体" w:hAnsi="宋体" w:eastAsia="宋体" w:cs="宋体"/>
                <w:color w:val="auto"/>
                <w:sz w:val="24"/>
                <w:szCs w:val="24"/>
                <w:highlight w:val="none"/>
                <w:lang w:eastAsia="zh-CN" w:bidi="ar"/>
              </w:rPr>
            </w:pPr>
            <w:r>
              <w:rPr>
                <w:rFonts w:ascii="宋体" w:hAnsi="宋体" w:eastAsia="宋体" w:cs="宋体"/>
                <w:color w:val="auto"/>
                <w:kern w:val="2"/>
                <w:sz w:val="24"/>
                <w:szCs w:val="24"/>
                <w:highlight w:val="none"/>
                <w:lang w:val="en-US" w:eastAsia="zh-CN" w:bidi="ar"/>
              </w:rPr>
              <w:t>2.</w:t>
            </w:r>
            <w:r>
              <w:rPr>
                <w:rFonts w:hint="eastAsia" w:ascii="宋体" w:hAnsi="宋体" w:eastAsia="宋体" w:cs="宋体"/>
                <w:color w:val="auto"/>
                <w:sz w:val="24"/>
                <w:szCs w:val="24"/>
                <w:highlight w:val="none"/>
                <w:lang w:eastAsia="zh-CN" w:bidi="ar"/>
              </w:rPr>
              <w:t>良：</w:t>
            </w:r>
            <w:r>
              <w:rPr>
                <w:rFonts w:hint="eastAsia" w:ascii="宋体" w:hAnsi="宋体" w:eastAsia="宋体" w:cs="宋体"/>
                <w:color w:val="auto"/>
                <w:spacing w:val="-14"/>
                <w:sz w:val="24"/>
                <w:szCs w:val="24"/>
                <w:highlight w:val="none"/>
                <w:lang w:eastAsia="zh-CN"/>
              </w:rPr>
              <w:t>对医院的现状进行分析，消防通道 、人车分流、交通流线分析基本合理，整个院区环境的升级改造方案基本合理可行，得</w:t>
            </w:r>
            <w:r>
              <w:rPr>
                <w:rFonts w:hint="eastAsia" w:ascii="宋体" w:hAnsi="宋体" w:cs="宋体"/>
                <w:color w:val="auto"/>
                <w:spacing w:val="-14"/>
                <w:sz w:val="24"/>
                <w:szCs w:val="24"/>
                <w:highlight w:val="none"/>
                <w:lang w:val="en-US" w:eastAsia="zh-CN"/>
              </w:rPr>
              <w:t>3</w:t>
            </w:r>
            <w:r>
              <w:rPr>
                <w:rFonts w:hint="eastAsia" w:ascii="宋体" w:hAnsi="宋体" w:eastAsia="宋体" w:cs="宋体"/>
                <w:color w:val="auto"/>
                <w:sz w:val="24"/>
                <w:szCs w:val="24"/>
                <w:highlight w:val="none"/>
                <w:lang w:eastAsia="zh-CN" w:bidi="ar"/>
              </w:rPr>
              <w:t>分；</w:t>
            </w:r>
          </w:p>
          <w:p w14:paraId="47CE14E0">
            <w:pPr>
              <w:numPr>
                <w:ilvl w:val="0"/>
                <w:numId w:val="0"/>
              </w:numPr>
              <w:spacing w:line="360" w:lineRule="auto"/>
              <w:rPr>
                <w:rFonts w:ascii="宋体" w:hAnsi="宋体" w:eastAsia="宋体" w:cs="宋体"/>
                <w:color w:val="auto"/>
                <w:sz w:val="24"/>
                <w:szCs w:val="24"/>
                <w:highlight w:val="none"/>
                <w:lang w:eastAsia="zh-CN" w:bidi="ar"/>
              </w:rPr>
            </w:pPr>
            <w:r>
              <w:rPr>
                <w:rFonts w:ascii="宋体" w:hAnsi="宋体" w:eastAsia="宋体" w:cs="宋体"/>
                <w:color w:val="auto"/>
                <w:kern w:val="2"/>
                <w:sz w:val="24"/>
                <w:szCs w:val="24"/>
                <w:highlight w:val="none"/>
                <w:lang w:val="en-US" w:eastAsia="zh-CN" w:bidi="ar"/>
              </w:rPr>
              <w:t>3.</w:t>
            </w:r>
            <w:r>
              <w:rPr>
                <w:rFonts w:hint="eastAsia" w:ascii="宋体" w:hAnsi="宋体" w:eastAsia="宋体" w:cs="宋体"/>
                <w:color w:val="auto"/>
                <w:sz w:val="24"/>
                <w:szCs w:val="24"/>
                <w:highlight w:val="none"/>
                <w:lang w:eastAsia="zh-CN" w:bidi="ar"/>
              </w:rPr>
              <w:t>一般：</w:t>
            </w:r>
            <w:r>
              <w:rPr>
                <w:rFonts w:hint="eastAsia" w:ascii="宋体" w:hAnsi="宋体" w:eastAsia="宋体" w:cs="宋体"/>
                <w:color w:val="auto"/>
                <w:spacing w:val="-14"/>
                <w:sz w:val="24"/>
                <w:szCs w:val="24"/>
                <w:highlight w:val="none"/>
                <w:lang w:eastAsia="zh-CN"/>
              </w:rPr>
              <w:t>对医院的现状进行分析，消防通道 、人车分流、交通流线分析一般，整个院区环境的升级改造方案一般，得</w:t>
            </w:r>
            <w:r>
              <w:rPr>
                <w:rFonts w:hint="eastAsia" w:ascii="宋体" w:hAnsi="宋体" w:cs="宋体"/>
                <w:color w:val="auto"/>
                <w:spacing w:val="-14"/>
                <w:sz w:val="24"/>
                <w:szCs w:val="24"/>
                <w:highlight w:val="none"/>
                <w:lang w:val="en-US" w:eastAsia="zh-CN"/>
              </w:rPr>
              <w:t>2</w:t>
            </w:r>
            <w:r>
              <w:rPr>
                <w:rFonts w:hint="eastAsia" w:ascii="宋体" w:hAnsi="宋体" w:eastAsia="宋体" w:cs="宋体"/>
                <w:color w:val="auto"/>
                <w:sz w:val="24"/>
                <w:szCs w:val="24"/>
                <w:highlight w:val="none"/>
                <w:lang w:eastAsia="zh-CN" w:bidi="ar"/>
              </w:rPr>
              <w:t>分；</w:t>
            </w:r>
          </w:p>
          <w:p w14:paraId="271E4CF6">
            <w:pPr>
              <w:pStyle w:val="13"/>
              <w:wordWrap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不提供的不得分。</w:t>
            </w:r>
          </w:p>
        </w:tc>
      </w:tr>
      <w:tr w14:paraId="0927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4" w:hRule="atLeast"/>
          <w:jc w:val="center"/>
        </w:trPr>
        <w:tc>
          <w:tcPr>
            <w:tcW w:w="1271" w:type="dxa"/>
            <w:vMerge w:val="continue"/>
            <w:vAlign w:val="center"/>
          </w:tcPr>
          <w:p w14:paraId="1954EA0D">
            <w:pPr>
              <w:widowControl/>
              <w:adjustRightInd w:val="0"/>
              <w:snapToGrid w:val="0"/>
              <w:spacing w:line="360" w:lineRule="auto"/>
              <w:jc w:val="left"/>
              <w:rPr>
                <w:rFonts w:ascii="宋体" w:hAnsi="宋体" w:cs="宋体"/>
                <w:color w:val="auto"/>
                <w:sz w:val="24"/>
                <w:szCs w:val="24"/>
                <w:highlight w:val="none"/>
              </w:rPr>
            </w:pPr>
          </w:p>
        </w:tc>
        <w:tc>
          <w:tcPr>
            <w:tcW w:w="1352" w:type="dxa"/>
            <w:shd w:val="clear" w:color="auto" w:fill="auto"/>
            <w:vAlign w:val="center"/>
          </w:tcPr>
          <w:p w14:paraId="13118FAC">
            <w:pPr>
              <w:spacing w:line="360" w:lineRule="auto"/>
              <w:ind w:hanging="3"/>
              <w:jc w:val="center"/>
              <w:rPr>
                <w:rFonts w:ascii="宋体" w:hAnsi="宋体" w:eastAsia="宋体" w:cs="宋体"/>
                <w:color w:val="auto"/>
                <w:spacing w:val="-14"/>
                <w:sz w:val="24"/>
                <w:szCs w:val="24"/>
                <w:highlight w:val="none"/>
                <w:lang w:eastAsia="zh-CN"/>
              </w:rPr>
            </w:pPr>
            <w:r>
              <w:rPr>
                <w:rFonts w:hint="eastAsia" w:ascii="宋体" w:hAnsi="宋体" w:eastAsia="宋体" w:cs="宋体"/>
                <w:color w:val="auto"/>
                <w:spacing w:val="-14"/>
                <w:sz w:val="24"/>
                <w:szCs w:val="24"/>
                <w:highlight w:val="none"/>
                <w:lang w:eastAsia="zh-CN"/>
              </w:rPr>
              <w:t>建筑造型设计</w:t>
            </w:r>
          </w:p>
          <w:p w14:paraId="35F4A7C4">
            <w:pPr>
              <w:pStyle w:val="13"/>
              <w:wordWrap w:val="0"/>
              <w:adjustRightInd w:val="0"/>
              <w:snapToGrid w:val="0"/>
              <w:spacing w:after="0" w:line="360" w:lineRule="auto"/>
              <w:jc w:val="center"/>
              <w:rPr>
                <w:rFonts w:hint="eastAsia" w:ascii="宋体" w:hAnsi="宋体" w:eastAsia="宋体" w:cs="宋体"/>
                <w:color w:val="auto"/>
                <w:sz w:val="24"/>
                <w:szCs w:val="24"/>
                <w:highlight w:val="none"/>
                <w:lang w:val="en-US" w:eastAsia="zh-CN"/>
              </w:rPr>
            </w:pPr>
            <w:r>
              <w:rPr>
                <w:rFonts w:hint="eastAsia" w:hAnsi="宋体" w:eastAsia="宋体" w:cs="宋体"/>
                <w:color w:val="auto"/>
                <w:spacing w:val="-14"/>
                <w:sz w:val="24"/>
                <w:szCs w:val="24"/>
                <w:highlight w:val="none"/>
                <w:lang w:eastAsia="zh-CN"/>
              </w:rPr>
              <w:t>（4分）</w:t>
            </w:r>
          </w:p>
        </w:tc>
        <w:tc>
          <w:tcPr>
            <w:tcW w:w="7113" w:type="dxa"/>
            <w:gridSpan w:val="2"/>
            <w:vAlign w:val="center"/>
          </w:tcPr>
          <w:p w14:paraId="312CA7D6">
            <w:pPr>
              <w:numPr>
                <w:ilvl w:val="0"/>
                <w:numId w:val="5"/>
              </w:numPr>
              <w:spacing w:line="360" w:lineRule="auto"/>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优：建筑造型满足业主需求，建筑形式美观大方，错落有致，有医院特点，并满足经济性要求，效果图优秀，得4分；</w:t>
            </w:r>
          </w:p>
          <w:p w14:paraId="1816B6D7">
            <w:pPr>
              <w:pStyle w:val="16"/>
              <w:numPr>
                <w:ilvl w:val="0"/>
                <w:numId w:val="5"/>
              </w:numPr>
              <w:spacing w:line="360" w:lineRule="auto"/>
              <w:rPr>
                <w:rFonts w:hAnsi="宋体" w:eastAsia="宋体" w:cs="宋体"/>
                <w:color w:val="auto"/>
                <w:sz w:val="24"/>
                <w:szCs w:val="24"/>
                <w:highlight w:val="none"/>
                <w:lang w:eastAsia="zh-CN" w:bidi="ar"/>
              </w:rPr>
            </w:pPr>
            <w:r>
              <w:rPr>
                <w:rFonts w:hint="eastAsia" w:hAnsi="宋体" w:eastAsia="宋体" w:cs="宋体"/>
                <w:color w:val="auto"/>
                <w:sz w:val="24"/>
                <w:szCs w:val="24"/>
                <w:highlight w:val="none"/>
                <w:lang w:eastAsia="zh-CN" w:bidi="ar"/>
              </w:rPr>
              <w:t>良：建筑造型基本满足业主需求，建筑形式美观，有一定医院特点，较满足经济性要求，效果图一般，得</w:t>
            </w:r>
            <w:r>
              <w:rPr>
                <w:rFonts w:hint="eastAsia" w:hAnsi="宋体" w:cs="宋体"/>
                <w:color w:val="auto"/>
                <w:sz w:val="24"/>
                <w:szCs w:val="24"/>
                <w:highlight w:val="none"/>
                <w:lang w:val="en-US" w:eastAsia="zh-CN" w:bidi="ar"/>
              </w:rPr>
              <w:t>3</w:t>
            </w:r>
            <w:r>
              <w:rPr>
                <w:rFonts w:hint="eastAsia" w:hAnsi="宋体" w:eastAsia="宋体" w:cs="宋体"/>
                <w:color w:val="auto"/>
                <w:sz w:val="24"/>
                <w:szCs w:val="24"/>
                <w:highlight w:val="none"/>
                <w:lang w:eastAsia="zh-CN" w:bidi="ar"/>
              </w:rPr>
              <w:t>分；</w:t>
            </w:r>
          </w:p>
          <w:p w14:paraId="74DE187D">
            <w:pPr>
              <w:numPr>
                <w:ilvl w:val="0"/>
                <w:numId w:val="5"/>
              </w:numPr>
              <w:spacing w:line="360" w:lineRule="auto"/>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一般：建筑造型不满足业主需求，建筑形式一般，不具备医院特点，不满足经济性要求，得</w:t>
            </w:r>
            <w:r>
              <w:rPr>
                <w:rFonts w:hint="eastAsia" w:ascii="宋体" w:hAnsi="宋体" w:cs="宋体"/>
                <w:color w:val="auto"/>
                <w:sz w:val="24"/>
                <w:szCs w:val="24"/>
                <w:highlight w:val="none"/>
                <w:lang w:val="en-US" w:eastAsia="zh-CN" w:bidi="ar"/>
              </w:rPr>
              <w:t>2</w:t>
            </w:r>
            <w:r>
              <w:rPr>
                <w:rFonts w:hint="eastAsia" w:ascii="宋体" w:hAnsi="宋体" w:eastAsia="宋体" w:cs="宋体"/>
                <w:color w:val="auto"/>
                <w:sz w:val="24"/>
                <w:szCs w:val="24"/>
                <w:highlight w:val="none"/>
                <w:lang w:eastAsia="zh-CN" w:bidi="ar"/>
              </w:rPr>
              <w:t>分；</w:t>
            </w:r>
          </w:p>
          <w:p w14:paraId="113D945E">
            <w:pPr>
              <w:pStyle w:val="13"/>
              <w:wordWrap w:val="0"/>
              <w:adjustRightInd w:val="0"/>
              <w:snapToGrid w:val="0"/>
              <w:spacing w:after="0" w:line="360" w:lineRule="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eastAsia="zh-CN" w:bidi="ar"/>
              </w:rPr>
              <w:t>4.不提供的不得分。</w:t>
            </w:r>
          </w:p>
        </w:tc>
      </w:tr>
      <w:tr w14:paraId="555B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271" w:type="dxa"/>
            <w:vMerge w:val="continue"/>
            <w:vAlign w:val="center"/>
          </w:tcPr>
          <w:p w14:paraId="30A47DE1">
            <w:pPr>
              <w:widowControl/>
              <w:adjustRightInd w:val="0"/>
              <w:snapToGrid w:val="0"/>
              <w:spacing w:line="360" w:lineRule="auto"/>
              <w:jc w:val="left"/>
              <w:rPr>
                <w:rFonts w:ascii="宋体" w:hAnsi="宋体" w:cs="宋体"/>
                <w:color w:val="auto"/>
                <w:sz w:val="24"/>
                <w:szCs w:val="24"/>
                <w:highlight w:val="none"/>
              </w:rPr>
            </w:pPr>
          </w:p>
        </w:tc>
        <w:tc>
          <w:tcPr>
            <w:tcW w:w="1352" w:type="dxa"/>
            <w:vAlign w:val="center"/>
          </w:tcPr>
          <w:p w14:paraId="7AA7C122">
            <w:pPr>
              <w:spacing w:line="360" w:lineRule="auto"/>
              <w:ind w:hanging="3"/>
              <w:jc w:val="center"/>
              <w:rPr>
                <w:rFonts w:ascii="宋体" w:hAnsi="宋体" w:eastAsia="宋体" w:cs="宋体"/>
                <w:color w:val="auto"/>
                <w:spacing w:val="-14"/>
                <w:sz w:val="24"/>
                <w:szCs w:val="24"/>
                <w:highlight w:val="none"/>
                <w:lang w:eastAsia="zh-CN"/>
              </w:rPr>
            </w:pPr>
            <w:r>
              <w:rPr>
                <w:rFonts w:hint="eastAsia" w:ascii="宋体" w:hAnsi="宋体" w:eastAsia="宋体" w:cs="宋体"/>
                <w:color w:val="auto"/>
                <w:spacing w:val="-14"/>
                <w:sz w:val="24"/>
                <w:szCs w:val="24"/>
                <w:highlight w:val="none"/>
                <w:lang w:eastAsia="zh-CN"/>
              </w:rPr>
              <w:t>室内装修设计</w:t>
            </w:r>
          </w:p>
          <w:p w14:paraId="3BAA34AA">
            <w:pPr>
              <w:pStyle w:val="13"/>
              <w:wordWrap w:val="0"/>
              <w:adjustRightInd w:val="0"/>
              <w:snapToGrid w:val="0"/>
              <w:spacing w:after="0" w:line="360" w:lineRule="auto"/>
              <w:jc w:val="center"/>
              <w:rPr>
                <w:rFonts w:hint="eastAsia" w:ascii="宋体" w:hAnsi="宋体" w:eastAsia="宋体" w:cs="宋体"/>
                <w:color w:val="auto"/>
                <w:sz w:val="24"/>
                <w:szCs w:val="24"/>
                <w:highlight w:val="none"/>
                <w:lang w:val="en-US" w:eastAsia="zh-CN"/>
              </w:rPr>
            </w:pPr>
            <w:r>
              <w:rPr>
                <w:rFonts w:hint="eastAsia" w:hAnsi="宋体" w:eastAsia="宋体" w:cs="宋体"/>
                <w:color w:val="auto"/>
                <w:spacing w:val="-14"/>
                <w:sz w:val="24"/>
                <w:szCs w:val="24"/>
                <w:highlight w:val="none"/>
                <w:lang w:eastAsia="zh-CN"/>
              </w:rPr>
              <w:t>（4分）</w:t>
            </w:r>
          </w:p>
        </w:tc>
        <w:tc>
          <w:tcPr>
            <w:tcW w:w="7113" w:type="dxa"/>
            <w:gridSpan w:val="2"/>
            <w:vAlign w:val="center"/>
          </w:tcPr>
          <w:p w14:paraId="2C404F64">
            <w:pPr>
              <w:spacing w:line="360" w:lineRule="auto"/>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1.优：医疗功能分区合理，色彩搭配科学，整体风格统一协调，标准单元设计详细，效果图优秀，得4分；</w:t>
            </w:r>
          </w:p>
          <w:p w14:paraId="677987F5">
            <w:pPr>
              <w:pStyle w:val="16"/>
              <w:spacing w:line="360" w:lineRule="auto"/>
              <w:rPr>
                <w:rFonts w:hAnsi="宋体" w:eastAsia="宋体" w:cs="宋体"/>
                <w:color w:val="auto"/>
                <w:sz w:val="24"/>
                <w:szCs w:val="24"/>
                <w:highlight w:val="none"/>
                <w:lang w:eastAsia="zh-CN" w:bidi="ar"/>
              </w:rPr>
            </w:pPr>
            <w:r>
              <w:rPr>
                <w:rFonts w:hint="eastAsia" w:hAnsi="宋体" w:eastAsia="宋体" w:cs="宋体"/>
                <w:color w:val="auto"/>
                <w:sz w:val="24"/>
                <w:szCs w:val="24"/>
                <w:highlight w:val="none"/>
                <w:lang w:eastAsia="zh-CN" w:bidi="ar"/>
              </w:rPr>
              <w:t>2.良：医疗功能分区基本合理，色彩搭配基本科学，整体风格基本协调，标准单元设计一般，效果图一般，得</w:t>
            </w:r>
            <w:r>
              <w:rPr>
                <w:rFonts w:hint="eastAsia" w:hAnsi="宋体" w:cs="宋体"/>
                <w:color w:val="auto"/>
                <w:sz w:val="24"/>
                <w:szCs w:val="24"/>
                <w:highlight w:val="none"/>
                <w:lang w:val="en-US" w:eastAsia="zh-CN" w:bidi="ar"/>
              </w:rPr>
              <w:t>3</w:t>
            </w:r>
            <w:r>
              <w:rPr>
                <w:rFonts w:hint="eastAsia" w:hAnsi="宋体" w:eastAsia="宋体" w:cs="宋体"/>
                <w:color w:val="auto"/>
                <w:sz w:val="24"/>
                <w:szCs w:val="24"/>
                <w:highlight w:val="none"/>
                <w:lang w:eastAsia="zh-CN" w:bidi="ar"/>
              </w:rPr>
              <w:t>分；</w:t>
            </w:r>
          </w:p>
          <w:p w14:paraId="179766E1">
            <w:pPr>
              <w:pStyle w:val="16"/>
              <w:spacing w:line="360" w:lineRule="auto"/>
              <w:rPr>
                <w:rFonts w:hAnsi="宋体" w:eastAsia="宋体" w:cs="宋体"/>
                <w:color w:val="auto"/>
                <w:sz w:val="24"/>
                <w:szCs w:val="24"/>
                <w:highlight w:val="none"/>
                <w:lang w:eastAsia="zh-CN" w:bidi="ar"/>
              </w:rPr>
            </w:pPr>
            <w:r>
              <w:rPr>
                <w:rFonts w:hint="eastAsia" w:hAnsi="宋体" w:eastAsia="宋体" w:cs="宋体"/>
                <w:color w:val="auto"/>
                <w:sz w:val="24"/>
                <w:szCs w:val="24"/>
                <w:highlight w:val="none"/>
                <w:lang w:eastAsia="zh-CN" w:bidi="ar"/>
              </w:rPr>
              <w:t>3.一般：医疗功能分区一般，色彩搭配一般，整体风格一般，得</w:t>
            </w:r>
            <w:r>
              <w:rPr>
                <w:rFonts w:hint="eastAsia" w:hAnsi="宋体" w:cs="宋体"/>
                <w:color w:val="auto"/>
                <w:sz w:val="24"/>
                <w:szCs w:val="24"/>
                <w:highlight w:val="none"/>
                <w:lang w:val="en-US" w:eastAsia="zh-CN" w:bidi="ar"/>
              </w:rPr>
              <w:t>2</w:t>
            </w:r>
            <w:r>
              <w:rPr>
                <w:rFonts w:hint="eastAsia" w:hAnsi="宋体" w:eastAsia="宋体" w:cs="宋体"/>
                <w:color w:val="auto"/>
                <w:sz w:val="24"/>
                <w:szCs w:val="24"/>
                <w:highlight w:val="none"/>
                <w:lang w:eastAsia="zh-CN" w:bidi="ar"/>
              </w:rPr>
              <w:t>分；</w:t>
            </w:r>
          </w:p>
          <w:p w14:paraId="332E4EA4">
            <w:pPr>
              <w:pStyle w:val="13"/>
              <w:wordWrap w:val="0"/>
              <w:adjustRightInd w:val="0"/>
              <w:snapToGrid w:val="0"/>
              <w:spacing w:after="0" w:line="360" w:lineRule="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eastAsia="zh-CN" w:bidi="ar"/>
              </w:rPr>
              <w:t>4.不提供的不得分</w:t>
            </w:r>
          </w:p>
        </w:tc>
      </w:tr>
      <w:tr w14:paraId="631C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271" w:type="dxa"/>
            <w:vMerge w:val="continue"/>
            <w:vAlign w:val="center"/>
          </w:tcPr>
          <w:p w14:paraId="2712F923">
            <w:pPr>
              <w:widowControl/>
              <w:adjustRightInd w:val="0"/>
              <w:snapToGrid w:val="0"/>
              <w:spacing w:line="360" w:lineRule="auto"/>
              <w:jc w:val="left"/>
              <w:rPr>
                <w:rFonts w:ascii="宋体" w:hAnsi="宋体" w:cs="宋体"/>
                <w:color w:val="auto"/>
                <w:sz w:val="24"/>
                <w:szCs w:val="24"/>
                <w:highlight w:val="none"/>
              </w:rPr>
            </w:pPr>
          </w:p>
        </w:tc>
        <w:tc>
          <w:tcPr>
            <w:tcW w:w="1352" w:type="dxa"/>
            <w:vAlign w:val="center"/>
          </w:tcPr>
          <w:p w14:paraId="2EDDDA07">
            <w:pPr>
              <w:spacing w:line="360" w:lineRule="auto"/>
              <w:jc w:val="center"/>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改造过程运营方案</w:t>
            </w:r>
          </w:p>
          <w:p w14:paraId="21B32284">
            <w:pPr>
              <w:pStyle w:val="13"/>
              <w:wordWrap w:val="0"/>
              <w:adjustRightInd w:val="0"/>
              <w:snapToGrid w:val="0"/>
              <w:spacing w:after="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eastAsia="zh-CN" w:bidi="ar"/>
              </w:rPr>
              <w:t>分）</w:t>
            </w:r>
          </w:p>
        </w:tc>
        <w:tc>
          <w:tcPr>
            <w:tcW w:w="7113" w:type="dxa"/>
            <w:gridSpan w:val="2"/>
            <w:vAlign w:val="center"/>
          </w:tcPr>
          <w:p w14:paraId="5E3BF7D4">
            <w:pPr>
              <w:spacing w:line="360" w:lineRule="auto"/>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1.优：对本项目改造过程运营方案能最大限度保障改造期间诊疗工作连续、有序开展，确保不对患者就诊、医护工作产生影响，缩短对医院运营的影响，得</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eastAsia="zh-CN" w:bidi="ar"/>
              </w:rPr>
              <w:t>分；</w:t>
            </w:r>
          </w:p>
          <w:p w14:paraId="7871A0D0">
            <w:pPr>
              <w:spacing w:line="360" w:lineRule="auto"/>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2.良：对本项目改造过程运营方案能保障改造期间诊疗工作顺利开展，减少对患者就诊、医护工作、医院运营的影响，得</w:t>
            </w:r>
            <w:r>
              <w:rPr>
                <w:rFonts w:hint="eastAsia" w:ascii="宋体" w:hAnsi="宋体" w:cs="宋体"/>
                <w:color w:val="auto"/>
                <w:sz w:val="24"/>
                <w:szCs w:val="24"/>
                <w:highlight w:val="none"/>
                <w:lang w:val="en-US" w:eastAsia="zh-CN" w:bidi="ar"/>
              </w:rPr>
              <w:t>3</w:t>
            </w:r>
            <w:r>
              <w:rPr>
                <w:rFonts w:hint="eastAsia" w:ascii="宋体" w:hAnsi="宋体" w:eastAsia="宋体" w:cs="宋体"/>
                <w:color w:val="auto"/>
                <w:sz w:val="24"/>
                <w:szCs w:val="24"/>
                <w:highlight w:val="none"/>
                <w:lang w:eastAsia="zh-CN" w:bidi="ar"/>
              </w:rPr>
              <w:t>分；</w:t>
            </w:r>
          </w:p>
          <w:p w14:paraId="1E00E3E6">
            <w:pPr>
              <w:spacing w:line="360" w:lineRule="auto"/>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3.一般：对本项目改造过程运营方案能保障改造期间诊疗工作一般开展，对患者就诊、医护工作、医院运营的影响一般，得</w:t>
            </w:r>
            <w:r>
              <w:rPr>
                <w:rFonts w:hint="eastAsia" w:ascii="宋体" w:hAnsi="宋体" w:cs="宋体"/>
                <w:color w:val="auto"/>
                <w:sz w:val="24"/>
                <w:szCs w:val="24"/>
                <w:highlight w:val="none"/>
                <w:lang w:val="en-US" w:eastAsia="zh-CN" w:bidi="ar"/>
              </w:rPr>
              <w:t>2</w:t>
            </w:r>
            <w:r>
              <w:rPr>
                <w:rFonts w:hint="eastAsia" w:ascii="宋体" w:hAnsi="宋体" w:eastAsia="宋体" w:cs="宋体"/>
                <w:color w:val="auto"/>
                <w:sz w:val="24"/>
                <w:szCs w:val="24"/>
                <w:highlight w:val="none"/>
                <w:lang w:eastAsia="zh-CN" w:bidi="ar"/>
              </w:rPr>
              <w:t>分；</w:t>
            </w:r>
          </w:p>
          <w:p w14:paraId="3B7BA350">
            <w:pPr>
              <w:pStyle w:val="13"/>
              <w:wordWrap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4.未提供的不得分。</w:t>
            </w:r>
          </w:p>
        </w:tc>
      </w:tr>
      <w:tr w14:paraId="4AA1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271" w:type="dxa"/>
            <w:vMerge w:val="continue"/>
            <w:vAlign w:val="center"/>
          </w:tcPr>
          <w:p w14:paraId="48E01456">
            <w:pPr>
              <w:widowControl/>
              <w:adjustRightInd w:val="0"/>
              <w:snapToGrid w:val="0"/>
              <w:spacing w:line="360" w:lineRule="auto"/>
              <w:jc w:val="left"/>
              <w:rPr>
                <w:rFonts w:ascii="宋体" w:hAnsi="宋体" w:cs="宋体"/>
                <w:color w:val="auto"/>
                <w:sz w:val="24"/>
                <w:szCs w:val="24"/>
                <w:highlight w:val="none"/>
              </w:rPr>
            </w:pPr>
          </w:p>
        </w:tc>
        <w:tc>
          <w:tcPr>
            <w:tcW w:w="1352" w:type="dxa"/>
            <w:vAlign w:val="center"/>
          </w:tcPr>
          <w:p w14:paraId="70B5A0F7">
            <w:pPr>
              <w:spacing w:line="360" w:lineRule="auto"/>
              <w:ind w:hanging="3"/>
              <w:jc w:val="center"/>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投资成本控制</w:t>
            </w:r>
          </w:p>
          <w:p w14:paraId="4FF68A2F">
            <w:pPr>
              <w:spacing w:line="360" w:lineRule="auto"/>
              <w:ind w:hanging="3"/>
              <w:jc w:val="center"/>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lang w:val="en-US" w:eastAsia="zh-CN"/>
              </w:rPr>
              <w:t>4</w:t>
            </w:r>
            <w:r>
              <w:rPr>
                <w:rFonts w:hint="eastAsia" w:ascii="宋体" w:hAnsi="宋体" w:eastAsia="宋体" w:cs="宋体"/>
                <w:color w:val="auto"/>
                <w:spacing w:val="-8"/>
                <w:sz w:val="24"/>
                <w:szCs w:val="24"/>
                <w:highlight w:val="none"/>
                <w:lang w:eastAsia="zh-CN"/>
              </w:rPr>
              <w:t>分）</w:t>
            </w:r>
          </w:p>
          <w:p w14:paraId="4D138117">
            <w:pPr>
              <w:pStyle w:val="13"/>
              <w:wordWrap w:val="0"/>
              <w:adjustRightInd w:val="0"/>
              <w:snapToGrid w:val="0"/>
              <w:spacing w:after="0" w:line="360" w:lineRule="auto"/>
              <w:jc w:val="center"/>
              <w:rPr>
                <w:rFonts w:hint="eastAsia" w:ascii="宋体" w:hAnsi="宋体" w:eastAsia="宋体" w:cs="宋体"/>
                <w:color w:val="auto"/>
                <w:sz w:val="24"/>
                <w:szCs w:val="24"/>
                <w:highlight w:val="none"/>
                <w:lang w:val="en-US" w:eastAsia="zh-CN"/>
              </w:rPr>
            </w:pPr>
          </w:p>
        </w:tc>
        <w:tc>
          <w:tcPr>
            <w:tcW w:w="7113" w:type="dxa"/>
            <w:gridSpan w:val="2"/>
            <w:vAlign w:val="center"/>
          </w:tcPr>
          <w:p w14:paraId="2A7D34C8">
            <w:pPr>
              <w:spacing w:line="360" w:lineRule="auto"/>
              <w:rPr>
                <w:color w:val="auto"/>
                <w:highlight w:val="none"/>
                <w:lang w:eastAsia="zh-CN"/>
              </w:rPr>
            </w:pPr>
            <w:r>
              <w:rPr>
                <w:rFonts w:hint="eastAsia" w:ascii="宋体" w:hAnsi="宋体" w:eastAsia="宋体" w:cs="宋体"/>
                <w:color w:val="auto"/>
                <w:sz w:val="24"/>
                <w:szCs w:val="24"/>
                <w:highlight w:val="none"/>
                <w:lang w:eastAsia="zh-CN" w:bidi="ar"/>
              </w:rPr>
              <w:t>1.优：在保证招标项目安全性、合规性、合理性的前提下，投标人对初步设计、概算的编制采取有针对性、具体的成本优化、控制措施且可实施性强的，得</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eastAsia="zh-CN" w:bidi="ar"/>
              </w:rPr>
              <w:t xml:space="preserve">分； </w:t>
            </w:r>
          </w:p>
          <w:p w14:paraId="69D59957">
            <w:pPr>
              <w:spacing w:line="360" w:lineRule="auto"/>
              <w:rPr>
                <w:color w:val="auto"/>
                <w:highlight w:val="none"/>
                <w:lang w:eastAsia="zh-CN"/>
              </w:rPr>
            </w:pPr>
            <w:r>
              <w:rPr>
                <w:rFonts w:hint="eastAsia" w:ascii="宋体" w:hAnsi="宋体" w:eastAsia="宋体" w:cs="宋体"/>
                <w:color w:val="auto"/>
                <w:sz w:val="24"/>
                <w:szCs w:val="24"/>
                <w:highlight w:val="none"/>
                <w:lang w:eastAsia="zh-CN" w:bidi="ar"/>
              </w:rPr>
              <w:t>2.良：在保证招标项目安全性、合规性、合理性的前提下，投标人对初步设计、概算的编制采取有一定针对性的成本优化、控制措施，基本能满足本项目实施要求的，得</w:t>
            </w:r>
            <w:r>
              <w:rPr>
                <w:rFonts w:hint="eastAsia" w:ascii="宋体" w:hAnsi="宋体" w:cs="宋体"/>
                <w:color w:val="auto"/>
                <w:sz w:val="24"/>
                <w:szCs w:val="24"/>
                <w:highlight w:val="none"/>
                <w:lang w:val="en-US" w:eastAsia="zh-CN" w:bidi="ar"/>
              </w:rPr>
              <w:t>3</w:t>
            </w:r>
            <w:r>
              <w:rPr>
                <w:rFonts w:hint="eastAsia" w:ascii="宋体" w:hAnsi="宋体" w:eastAsia="宋体" w:cs="宋体"/>
                <w:color w:val="auto"/>
                <w:sz w:val="24"/>
                <w:szCs w:val="24"/>
                <w:highlight w:val="none"/>
                <w:lang w:eastAsia="zh-CN" w:bidi="ar"/>
              </w:rPr>
              <w:t xml:space="preserve">分； </w:t>
            </w:r>
          </w:p>
          <w:p w14:paraId="211443E3">
            <w:pPr>
              <w:spacing w:line="360" w:lineRule="auto"/>
              <w:rPr>
                <w:color w:val="auto"/>
                <w:highlight w:val="none"/>
                <w:lang w:eastAsia="zh-CN"/>
              </w:rPr>
            </w:pPr>
            <w:r>
              <w:rPr>
                <w:rFonts w:hint="eastAsia" w:ascii="宋体" w:hAnsi="宋体" w:eastAsia="宋体" w:cs="宋体"/>
                <w:color w:val="auto"/>
                <w:sz w:val="24"/>
                <w:szCs w:val="24"/>
                <w:highlight w:val="none"/>
                <w:lang w:eastAsia="zh-CN" w:bidi="ar"/>
              </w:rPr>
              <w:t>3.一般：在保证招标项目安全性、合规性、合理性的前提下，投标人对初步设计、概算的编制采取有成本优化、控制措施，但内容简单、没有针对性、可实施差的，得</w:t>
            </w:r>
            <w:r>
              <w:rPr>
                <w:rFonts w:hint="eastAsia" w:ascii="宋体" w:hAnsi="宋体" w:cs="宋体"/>
                <w:color w:val="auto"/>
                <w:sz w:val="24"/>
                <w:szCs w:val="24"/>
                <w:highlight w:val="none"/>
                <w:lang w:val="en-US" w:eastAsia="zh-CN" w:bidi="ar"/>
              </w:rPr>
              <w:t>2</w:t>
            </w:r>
            <w:r>
              <w:rPr>
                <w:rFonts w:hint="eastAsia" w:ascii="宋体" w:hAnsi="宋体" w:eastAsia="宋体" w:cs="宋体"/>
                <w:color w:val="auto"/>
                <w:sz w:val="24"/>
                <w:szCs w:val="24"/>
                <w:highlight w:val="none"/>
                <w:lang w:eastAsia="zh-CN" w:bidi="ar"/>
              </w:rPr>
              <w:t xml:space="preserve">分； </w:t>
            </w:r>
          </w:p>
          <w:p w14:paraId="5ACE06F7">
            <w:pPr>
              <w:pStyle w:val="13"/>
              <w:wordWrap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4.不提供的不得分。</w:t>
            </w:r>
          </w:p>
        </w:tc>
      </w:tr>
      <w:tr w14:paraId="4B60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271" w:type="dxa"/>
            <w:vMerge w:val="continue"/>
            <w:vAlign w:val="center"/>
          </w:tcPr>
          <w:p w14:paraId="3003A366">
            <w:pPr>
              <w:widowControl/>
              <w:adjustRightInd w:val="0"/>
              <w:snapToGrid w:val="0"/>
              <w:spacing w:line="360" w:lineRule="auto"/>
              <w:jc w:val="left"/>
              <w:rPr>
                <w:rFonts w:ascii="宋体" w:hAnsi="宋体" w:cs="宋体"/>
                <w:color w:val="auto"/>
                <w:sz w:val="24"/>
                <w:szCs w:val="24"/>
                <w:highlight w:val="none"/>
              </w:rPr>
            </w:pPr>
          </w:p>
        </w:tc>
        <w:tc>
          <w:tcPr>
            <w:tcW w:w="1352" w:type="dxa"/>
            <w:vAlign w:val="center"/>
          </w:tcPr>
          <w:p w14:paraId="73B1A74A">
            <w:pPr>
              <w:spacing w:line="360" w:lineRule="auto"/>
              <w:jc w:val="center"/>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对医院整体的医疗工艺分析及解决方案</w:t>
            </w:r>
          </w:p>
          <w:p w14:paraId="40BA11AB">
            <w:pPr>
              <w:pStyle w:val="13"/>
              <w:wordWrap w:val="0"/>
              <w:adjustRightInd w:val="0"/>
              <w:snapToGrid w:val="0"/>
              <w:spacing w:after="0" w:line="360" w:lineRule="auto"/>
              <w:jc w:val="center"/>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eastAsia="zh-CN" w:bidi="ar"/>
              </w:rPr>
              <w:t>（6分）</w:t>
            </w:r>
          </w:p>
        </w:tc>
        <w:tc>
          <w:tcPr>
            <w:tcW w:w="7113" w:type="dxa"/>
            <w:gridSpan w:val="2"/>
            <w:vAlign w:val="center"/>
          </w:tcPr>
          <w:p w14:paraId="0E8DC17A">
            <w:pPr>
              <w:spacing w:line="360" w:lineRule="auto"/>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1.优：整个院区的医疗流程规划及医疗工艺设计，建筑平面方案能解决项目在建设过程中和建设完成后医院的总体需要，清晰合理的项目医院的总体需要，满足病人治疗、康复需求，结合原院区的医疗流程，医疗流程分析清晰合理、解决方案表达透彻，得6分；</w:t>
            </w:r>
          </w:p>
          <w:p w14:paraId="05A8FF97">
            <w:pPr>
              <w:spacing w:line="360" w:lineRule="auto"/>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2.良：整个院区的医疗流程规划及医疗工艺设计，建筑平面方案能部分合理的解决项目在建设过程中和建设完成后医院的总体需要，基本满足病人治疗、康复需求，结合原院区的医疗流程，医疗流程有分析、解决方案有表达，得5分；</w:t>
            </w:r>
          </w:p>
          <w:p w14:paraId="6BC27B61">
            <w:pPr>
              <w:spacing w:line="360" w:lineRule="auto"/>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3.一般：整个院区的医疗流程规划及医疗工艺设计，建筑平面方案一般，不能清晰合理的解决项目在建设过程中和建设完成后医院的总体需要，未能理解病人治疗、康复需求，未结合原院区的医疗流程，提供相应阶段的具体实施方案不够完善，医疗流程分析不够清晰合理，得</w:t>
            </w:r>
            <w:r>
              <w:rPr>
                <w:rFonts w:hint="eastAsia" w:ascii="宋体" w:hAnsi="宋体" w:cs="宋体"/>
                <w:color w:val="auto"/>
                <w:sz w:val="24"/>
                <w:szCs w:val="24"/>
                <w:highlight w:val="none"/>
                <w:lang w:val="en-US" w:eastAsia="zh-CN" w:bidi="ar"/>
              </w:rPr>
              <w:t>3</w:t>
            </w:r>
            <w:r>
              <w:rPr>
                <w:rFonts w:hint="eastAsia" w:ascii="宋体" w:hAnsi="宋体" w:eastAsia="宋体" w:cs="宋体"/>
                <w:color w:val="auto"/>
                <w:sz w:val="24"/>
                <w:szCs w:val="24"/>
                <w:highlight w:val="none"/>
                <w:lang w:eastAsia="zh-CN" w:bidi="ar"/>
              </w:rPr>
              <w:t>分；</w:t>
            </w:r>
          </w:p>
          <w:p w14:paraId="069392B3">
            <w:pPr>
              <w:pStyle w:val="13"/>
              <w:wordWrap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4.未提供的不得分</w:t>
            </w:r>
          </w:p>
        </w:tc>
      </w:tr>
      <w:tr w14:paraId="5F00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271" w:type="dxa"/>
            <w:vMerge w:val="continue"/>
            <w:vAlign w:val="center"/>
          </w:tcPr>
          <w:p w14:paraId="446BFB50">
            <w:pPr>
              <w:widowControl/>
              <w:adjustRightInd w:val="0"/>
              <w:snapToGrid w:val="0"/>
              <w:spacing w:line="360" w:lineRule="auto"/>
              <w:jc w:val="left"/>
              <w:rPr>
                <w:rFonts w:ascii="宋体" w:hAnsi="宋体" w:cs="宋体"/>
                <w:color w:val="auto"/>
                <w:sz w:val="24"/>
                <w:szCs w:val="24"/>
                <w:highlight w:val="none"/>
              </w:rPr>
            </w:pPr>
          </w:p>
        </w:tc>
        <w:tc>
          <w:tcPr>
            <w:tcW w:w="1352" w:type="dxa"/>
            <w:vAlign w:val="center"/>
          </w:tcPr>
          <w:p w14:paraId="392115B7">
            <w:pPr>
              <w:spacing w:line="360" w:lineRule="auto"/>
              <w:jc w:val="center"/>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对结构体系、机电系统、机电设备及智慧医院的分析及解决方案</w:t>
            </w:r>
          </w:p>
          <w:p w14:paraId="032D35BB">
            <w:pPr>
              <w:pStyle w:val="13"/>
              <w:wordWrap w:val="0"/>
              <w:adjustRightInd w:val="0"/>
              <w:snapToGrid w:val="0"/>
              <w:spacing w:after="0" w:line="360" w:lineRule="auto"/>
              <w:jc w:val="center"/>
              <w:rPr>
                <w:rFonts w:hint="eastAsia" w:ascii="宋体" w:hAnsi="宋体" w:eastAsia="宋体" w:cs="宋体"/>
                <w:color w:val="auto"/>
                <w:sz w:val="24"/>
                <w:szCs w:val="24"/>
                <w:highlight w:val="none"/>
                <w:lang w:val="en-US" w:eastAsia="zh-CN"/>
              </w:rPr>
            </w:pPr>
            <w:r>
              <w:rPr>
                <w:rFonts w:hint="eastAsia" w:hAnsi="宋体" w:eastAsia="宋体" w:cs="宋体"/>
                <w:color w:val="auto"/>
                <w:spacing w:val="-8"/>
                <w:sz w:val="24"/>
                <w:szCs w:val="24"/>
                <w:highlight w:val="none"/>
                <w:lang w:eastAsia="zh-CN"/>
              </w:rPr>
              <w:t>（</w:t>
            </w:r>
            <w:r>
              <w:rPr>
                <w:rFonts w:hint="eastAsia" w:hAnsi="宋体" w:eastAsia="宋体" w:cs="宋体"/>
                <w:color w:val="auto"/>
                <w:spacing w:val="-8"/>
                <w:sz w:val="24"/>
                <w:szCs w:val="24"/>
                <w:highlight w:val="none"/>
                <w:lang w:val="en-US" w:eastAsia="zh-CN"/>
              </w:rPr>
              <w:t>6</w:t>
            </w:r>
            <w:r>
              <w:rPr>
                <w:rFonts w:hint="eastAsia" w:hAnsi="宋体" w:eastAsia="宋体" w:cs="宋体"/>
                <w:color w:val="auto"/>
                <w:spacing w:val="-8"/>
                <w:sz w:val="24"/>
                <w:szCs w:val="24"/>
                <w:highlight w:val="none"/>
                <w:lang w:eastAsia="zh-CN"/>
              </w:rPr>
              <w:t>分）</w:t>
            </w:r>
          </w:p>
        </w:tc>
        <w:tc>
          <w:tcPr>
            <w:tcW w:w="7113" w:type="dxa"/>
            <w:gridSpan w:val="2"/>
            <w:vAlign w:val="center"/>
          </w:tcPr>
          <w:p w14:paraId="7AE5B769">
            <w:pPr>
              <w:numPr>
                <w:ilvl w:val="0"/>
                <w:numId w:val="0"/>
              </w:numPr>
              <w:spacing w:line="360" w:lineRule="auto"/>
              <w:ind w:hanging="11"/>
              <w:rPr>
                <w:rFonts w:ascii="宋体" w:hAnsi="宋体" w:eastAsia="宋体" w:cs="宋体"/>
                <w:color w:val="auto"/>
                <w:spacing w:val="-5"/>
                <w:sz w:val="24"/>
                <w:szCs w:val="24"/>
                <w:highlight w:val="none"/>
                <w:lang w:eastAsia="zh-CN"/>
              </w:rPr>
            </w:pPr>
            <w:r>
              <w:rPr>
                <w:rFonts w:ascii="宋体" w:hAnsi="宋体" w:eastAsia="宋体" w:cs="宋体"/>
                <w:color w:val="auto"/>
                <w:spacing w:val="-5"/>
                <w:kern w:val="2"/>
                <w:sz w:val="24"/>
                <w:szCs w:val="24"/>
                <w:highlight w:val="none"/>
                <w:lang w:val="en-US" w:eastAsia="zh-CN" w:bidi="ar-SA"/>
              </w:rPr>
              <w:t>1.</w:t>
            </w:r>
            <w:r>
              <w:rPr>
                <w:rFonts w:hint="eastAsia" w:ascii="宋体" w:hAnsi="宋体" w:eastAsia="宋体" w:cs="宋体"/>
                <w:color w:val="auto"/>
                <w:spacing w:val="-5"/>
                <w:sz w:val="24"/>
                <w:szCs w:val="24"/>
                <w:highlight w:val="none"/>
                <w:lang w:eastAsia="zh-CN"/>
              </w:rPr>
              <w:t>优：结构设计说明满足建筑功能要求，经济安全，合理周全，医疗特殊功能区域的结构设计方案说明充分、合理、可行；用水、用电负荷、空调负荷指标合理，满足使用需求；机电主要设备机房设置完整合理；机电主要系统及主要管线路由合理、安全可靠，智能化系统完备，满足医院要求，系统及主要管线路由配置合理，得</w:t>
            </w:r>
            <w:r>
              <w:rPr>
                <w:rFonts w:hint="eastAsia" w:ascii="宋体" w:hAnsi="宋体" w:eastAsia="宋体" w:cs="宋体"/>
                <w:color w:val="auto"/>
                <w:spacing w:val="-5"/>
                <w:sz w:val="24"/>
                <w:szCs w:val="24"/>
                <w:highlight w:val="none"/>
                <w:lang w:val="en-US" w:eastAsia="zh-CN"/>
              </w:rPr>
              <w:t>6</w:t>
            </w:r>
            <w:r>
              <w:rPr>
                <w:rFonts w:hint="eastAsia" w:ascii="宋体" w:hAnsi="宋体" w:eastAsia="宋体" w:cs="宋体"/>
                <w:color w:val="auto"/>
                <w:spacing w:val="-5"/>
                <w:sz w:val="24"/>
                <w:szCs w:val="24"/>
                <w:highlight w:val="none"/>
                <w:lang w:eastAsia="zh-CN"/>
              </w:rPr>
              <w:t>分；</w:t>
            </w:r>
          </w:p>
          <w:p w14:paraId="755540BA">
            <w:pPr>
              <w:numPr>
                <w:ilvl w:val="0"/>
                <w:numId w:val="0"/>
              </w:numPr>
              <w:spacing w:line="360" w:lineRule="auto"/>
              <w:ind w:hanging="11"/>
              <w:rPr>
                <w:rFonts w:ascii="宋体" w:hAnsi="宋体" w:eastAsia="宋体" w:cs="宋体"/>
                <w:color w:val="auto"/>
                <w:spacing w:val="-5"/>
                <w:sz w:val="24"/>
                <w:szCs w:val="24"/>
                <w:highlight w:val="none"/>
                <w:lang w:eastAsia="zh-CN"/>
              </w:rPr>
            </w:pPr>
            <w:r>
              <w:rPr>
                <w:rFonts w:ascii="宋体" w:hAnsi="宋体" w:eastAsia="宋体" w:cs="宋体"/>
                <w:color w:val="auto"/>
                <w:spacing w:val="-5"/>
                <w:kern w:val="2"/>
                <w:sz w:val="24"/>
                <w:szCs w:val="24"/>
                <w:highlight w:val="none"/>
                <w:lang w:val="en-US" w:eastAsia="zh-CN" w:bidi="ar-SA"/>
              </w:rPr>
              <w:t>2.</w:t>
            </w:r>
            <w:r>
              <w:rPr>
                <w:rFonts w:hint="eastAsia" w:ascii="宋体" w:hAnsi="宋体" w:eastAsia="宋体" w:cs="宋体"/>
                <w:color w:val="auto"/>
                <w:spacing w:val="-5"/>
                <w:sz w:val="24"/>
                <w:szCs w:val="24"/>
                <w:highlight w:val="none"/>
                <w:lang w:eastAsia="zh-CN"/>
              </w:rPr>
              <w:t>良：结构设计说明较满足建筑功能要求，经济安全，医疗特殊功能区域的结构设计方案说明较合理，较满足建筑功能要求；经济安全；用水、用电负荷、空调负荷指标较合理，机电主要设备机房、机电主要系统及主要管线路由设置较合理；智能化系统较完备，系统及主要管线路由配置较合理，得</w:t>
            </w:r>
            <w:r>
              <w:rPr>
                <w:rFonts w:hint="eastAsia" w:ascii="宋体" w:hAnsi="宋体" w:eastAsia="宋体" w:cs="宋体"/>
                <w:color w:val="auto"/>
                <w:spacing w:val="-5"/>
                <w:sz w:val="24"/>
                <w:szCs w:val="24"/>
                <w:highlight w:val="none"/>
                <w:lang w:val="en-US" w:eastAsia="zh-CN"/>
              </w:rPr>
              <w:t>5</w:t>
            </w:r>
            <w:r>
              <w:rPr>
                <w:rFonts w:hint="eastAsia" w:ascii="宋体" w:hAnsi="宋体" w:eastAsia="宋体" w:cs="宋体"/>
                <w:color w:val="auto"/>
                <w:spacing w:val="-5"/>
                <w:sz w:val="24"/>
                <w:szCs w:val="24"/>
                <w:highlight w:val="none"/>
                <w:lang w:eastAsia="zh-CN"/>
              </w:rPr>
              <w:t>分；</w:t>
            </w:r>
          </w:p>
          <w:p w14:paraId="7C2C1C96">
            <w:pPr>
              <w:numPr>
                <w:ilvl w:val="0"/>
                <w:numId w:val="0"/>
              </w:numPr>
              <w:spacing w:line="360" w:lineRule="auto"/>
              <w:ind w:hanging="11"/>
              <w:rPr>
                <w:rFonts w:ascii="宋体" w:hAnsi="宋体" w:eastAsia="宋体" w:cs="宋体"/>
                <w:color w:val="auto"/>
                <w:spacing w:val="-5"/>
                <w:sz w:val="24"/>
                <w:szCs w:val="24"/>
                <w:highlight w:val="none"/>
                <w:lang w:eastAsia="zh-CN"/>
              </w:rPr>
            </w:pPr>
            <w:r>
              <w:rPr>
                <w:rFonts w:ascii="宋体" w:hAnsi="宋体" w:eastAsia="宋体" w:cs="宋体"/>
                <w:color w:val="auto"/>
                <w:spacing w:val="-5"/>
                <w:kern w:val="2"/>
                <w:sz w:val="24"/>
                <w:szCs w:val="24"/>
                <w:highlight w:val="none"/>
                <w:lang w:val="en-US" w:eastAsia="zh-CN" w:bidi="ar-SA"/>
              </w:rPr>
              <w:t>3.</w:t>
            </w:r>
            <w:r>
              <w:rPr>
                <w:rFonts w:hint="eastAsia" w:ascii="宋体" w:hAnsi="宋体" w:eastAsia="宋体" w:cs="宋体"/>
                <w:color w:val="auto"/>
                <w:spacing w:val="-5"/>
                <w:sz w:val="24"/>
                <w:szCs w:val="24"/>
                <w:highlight w:val="none"/>
                <w:lang w:eastAsia="zh-CN"/>
              </w:rPr>
              <w:t>一般：结构设计说明有考虑建筑功能要求，经济安全性一般，有考虑医疗特殊功能区域的结构设计方案；用水、用电负荷、空调负荷指标基本合理；机电主要设备机房、机电主要系统及主要管线路由设置欠合理，智能化系统欠合理，系统及主要管线路由配置欠完备，得</w:t>
            </w:r>
            <w:r>
              <w:rPr>
                <w:rFonts w:hint="eastAsia" w:ascii="宋体" w:hAnsi="宋体" w:cs="宋体"/>
                <w:color w:val="auto"/>
                <w:spacing w:val="-5"/>
                <w:sz w:val="24"/>
                <w:szCs w:val="24"/>
                <w:highlight w:val="none"/>
                <w:lang w:val="en-US" w:eastAsia="zh-CN"/>
              </w:rPr>
              <w:t>3</w:t>
            </w:r>
            <w:r>
              <w:rPr>
                <w:rFonts w:hint="eastAsia" w:ascii="宋体" w:hAnsi="宋体" w:eastAsia="宋体" w:cs="宋体"/>
                <w:color w:val="auto"/>
                <w:spacing w:val="-5"/>
                <w:sz w:val="24"/>
                <w:szCs w:val="24"/>
                <w:highlight w:val="none"/>
                <w:lang w:eastAsia="zh-CN"/>
              </w:rPr>
              <w:t>分；</w:t>
            </w:r>
          </w:p>
          <w:p w14:paraId="74BDC666">
            <w:pPr>
              <w:pStyle w:val="13"/>
              <w:wordWrap w:val="0"/>
              <w:adjustRightInd w:val="0"/>
              <w:snapToGrid w:val="0"/>
              <w:spacing w:after="0" w:line="360" w:lineRule="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eastAsia="zh-CN" w:bidi="ar"/>
              </w:rPr>
              <w:t>4.不提供的不得分。</w:t>
            </w:r>
          </w:p>
        </w:tc>
      </w:tr>
      <w:tr w14:paraId="70BF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271" w:type="dxa"/>
            <w:vMerge w:val="continue"/>
            <w:vAlign w:val="center"/>
          </w:tcPr>
          <w:p w14:paraId="45FF2B09">
            <w:pPr>
              <w:widowControl/>
              <w:adjustRightInd w:val="0"/>
              <w:snapToGrid w:val="0"/>
              <w:spacing w:line="360" w:lineRule="auto"/>
              <w:jc w:val="left"/>
              <w:rPr>
                <w:rFonts w:ascii="宋体" w:hAnsi="宋体" w:cs="宋体"/>
                <w:color w:val="auto"/>
                <w:sz w:val="24"/>
                <w:szCs w:val="24"/>
                <w:highlight w:val="none"/>
              </w:rPr>
            </w:pPr>
          </w:p>
        </w:tc>
        <w:tc>
          <w:tcPr>
            <w:tcW w:w="1352" w:type="dxa"/>
            <w:vAlign w:val="center"/>
          </w:tcPr>
          <w:p w14:paraId="5B249BA1">
            <w:pPr>
              <w:spacing w:line="360" w:lineRule="auto"/>
              <w:jc w:val="center"/>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设计</w:t>
            </w:r>
            <w:r>
              <w:rPr>
                <w:rFonts w:ascii="宋体" w:hAnsi="宋体" w:eastAsia="宋体" w:cs="宋体"/>
                <w:color w:val="auto"/>
                <w:spacing w:val="-2"/>
                <w:sz w:val="24"/>
                <w:szCs w:val="24"/>
                <w:highlight w:val="none"/>
                <w:lang w:eastAsia="zh-CN"/>
              </w:rPr>
              <w:t>质量保</w:t>
            </w:r>
            <w:r>
              <w:rPr>
                <w:rFonts w:ascii="宋体" w:hAnsi="宋体" w:eastAsia="宋体" w:cs="宋体"/>
                <w:color w:val="auto"/>
                <w:spacing w:val="-3"/>
                <w:sz w:val="24"/>
                <w:szCs w:val="24"/>
                <w:highlight w:val="none"/>
                <w:lang w:eastAsia="zh-CN"/>
              </w:rPr>
              <w:t>证措施</w:t>
            </w:r>
          </w:p>
          <w:p w14:paraId="713FBBD2">
            <w:pPr>
              <w:pStyle w:val="13"/>
              <w:wordWrap w:val="0"/>
              <w:adjustRightInd w:val="0"/>
              <w:snapToGrid w:val="0"/>
              <w:spacing w:after="0" w:line="360" w:lineRule="auto"/>
              <w:jc w:val="center"/>
              <w:rPr>
                <w:rFonts w:hint="eastAsia" w:ascii="宋体" w:hAnsi="宋体" w:eastAsia="宋体" w:cs="宋体"/>
                <w:color w:val="auto"/>
                <w:sz w:val="24"/>
                <w:szCs w:val="24"/>
                <w:highlight w:val="none"/>
                <w:lang w:val="en-US" w:eastAsia="zh-CN"/>
              </w:rPr>
            </w:pPr>
            <w:r>
              <w:rPr>
                <w:rFonts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lang w:eastAsia="zh-CN"/>
              </w:rPr>
              <w:t>2</w:t>
            </w:r>
            <w:r>
              <w:rPr>
                <w:rFonts w:ascii="宋体" w:hAnsi="宋体" w:eastAsia="宋体" w:cs="宋体"/>
                <w:color w:val="auto"/>
                <w:spacing w:val="-8"/>
                <w:sz w:val="24"/>
                <w:szCs w:val="24"/>
                <w:highlight w:val="none"/>
                <w:lang w:eastAsia="zh-CN"/>
              </w:rPr>
              <w:t>分）</w:t>
            </w:r>
          </w:p>
        </w:tc>
        <w:tc>
          <w:tcPr>
            <w:tcW w:w="7113" w:type="dxa"/>
            <w:gridSpan w:val="2"/>
            <w:vAlign w:val="center"/>
          </w:tcPr>
          <w:p w14:paraId="5777486D">
            <w:pPr>
              <w:spacing w:line="360" w:lineRule="auto"/>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1.</w:t>
            </w:r>
            <w:r>
              <w:rPr>
                <w:rFonts w:hint="eastAsia" w:ascii="宋体" w:hAnsi="宋体" w:cs="宋体"/>
                <w:color w:val="auto"/>
                <w:sz w:val="24"/>
                <w:szCs w:val="24"/>
                <w:highlight w:val="none"/>
                <w:lang w:val="en-US" w:eastAsia="zh-CN" w:bidi="ar"/>
              </w:rPr>
              <w:t>优：</w:t>
            </w:r>
            <w:r>
              <w:rPr>
                <w:rFonts w:hint="eastAsia" w:ascii="宋体" w:hAnsi="宋体" w:eastAsia="宋体" w:cs="宋体"/>
                <w:color w:val="auto"/>
                <w:sz w:val="24"/>
                <w:szCs w:val="24"/>
                <w:highlight w:val="none"/>
                <w:lang w:eastAsia="zh-CN" w:bidi="ar"/>
              </w:rPr>
              <w:t>质量保证措施科学、合理有效的，得2分；</w:t>
            </w:r>
          </w:p>
          <w:p w14:paraId="03584D11">
            <w:pPr>
              <w:spacing w:line="360" w:lineRule="auto"/>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2.良：质量保证措施较合理的，得1.5分；</w:t>
            </w:r>
          </w:p>
          <w:p w14:paraId="3D013C6B">
            <w:pPr>
              <w:spacing w:line="360" w:lineRule="auto"/>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3.一般：质量保证措施一般的，得1分；</w:t>
            </w:r>
          </w:p>
          <w:p w14:paraId="307C5547">
            <w:pPr>
              <w:pStyle w:val="13"/>
              <w:wordWrap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4.未提供的不得分。</w:t>
            </w:r>
          </w:p>
        </w:tc>
      </w:tr>
      <w:tr w14:paraId="47FE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271" w:type="dxa"/>
            <w:vMerge w:val="continue"/>
            <w:vAlign w:val="center"/>
          </w:tcPr>
          <w:p w14:paraId="634B054C">
            <w:pPr>
              <w:widowControl/>
              <w:adjustRightInd w:val="0"/>
              <w:snapToGrid w:val="0"/>
              <w:spacing w:line="360" w:lineRule="auto"/>
              <w:jc w:val="left"/>
              <w:rPr>
                <w:rFonts w:ascii="宋体" w:hAnsi="宋体" w:cs="宋体"/>
                <w:color w:val="auto"/>
                <w:sz w:val="24"/>
                <w:szCs w:val="24"/>
                <w:highlight w:val="none"/>
              </w:rPr>
            </w:pPr>
          </w:p>
        </w:tc>
        <w:tc>
          <w:tcPr>
            <w:tcW w:w="1352" w:type="dxa"/>
            <w:vAlign w:val="center"/>
          </w:tcPr>
          <w:p w14:paraId="52DCDEE7">
            <w:pPr>
              <w:spacing w:line="360" w:lineRule="auto"/>
              <w:jc w:val="center"/>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设计进度安</w:t>
            </w:r>
            <w:r>
              <w:rPr>
                <w:rFonts w:ascii="宋体" w:hAnsi="宋体" w:eastAsia="宋体" w:cs="宋体"/>
                <w:color w:val="auto"/>
                <w:spacing w:val="-2"/>
                <w:sz w:val="24"/>
                <w:szCs w:val="24"/>
                <w:highlight w:val="none"/>
              </w:rPr>
              <w:t>排</w:t>
            </w:r>
          </w:p>
          <w:p w14:paraId="6C1AA687">
            <w:pPr>
              <w:pStyle w:val="13"/>
              <w:wordWrap w:val="0"/>
              <w:adjustRightInd w:val="0"/>
              <w:snapToGrid w:val="0"/>
              <w:spacing w:after="0" w:line="360" w:lineRule="auto"/>
              <w:jc w:val="center"/>
              <w:rPr>
                <w:rFonts w:hint="eastAsia" w:ascii="宋体" w:hAnsi="宋体" w:eastAsia="宋体" w:cs="宋体"/>
                <w:color w:val="auto"/>
                <w:sz w:val="24"/>
                <w:szCs w:val="24"/>
                <w:highlight w:val="none"/>
                <w:lang w:val="en-US" w:eastAsia="zh-CN"/>
              </w:rPr>
            </w:pPr>
            <w:r>
              <w:rPr>
                <w:rFonts w:ascii="宋体" w:hAnsi="宋体" w:eastAsia="宋体" w:cs="宋体"/>
                <w:color w:val="auto"/>
                <w:spacing w:val="-8"/>
                <w:sz w:val="24"/>
                <w:szCs w:val="24"/>
                <w:highlight w:val="none"/>
              </w:rPr>
              <w:t>（</w:t>
            </w:r>
            <w:r>
              <w:rPr>
                <w:rFonts w:hint="eastAsia" w:ascii="宋体" w:hAnsi="宋体" w:eastAsia="宋体" w:cs="宋体"/>
                <w:color w:val="auto"/>
                <w:spacing w:val="-8"/>
                <w:sz w:val="24"/>
                <w:szCs w:val="24"/>
                <w:highlight w:val="none"/>
                <w:lang w:eastAsia="zh-CN"/>
              </w:rPr>
              <w:t>2</w:t>
            </w:r>
            <w:r>
              <w:rPr>
                <w:rFonts w:ascii="宋体" w:hAnsi="宋体" w:eastAsia="宋体" w:cs="宋体"/>
                <w:color w:val="auto"/>
                <w:spacing w:val="-8"/>
                <w:sz w:val="24"/>
                <w:szCs w:val="24"/>
                <w:highlight w:val="none"/>
              </w:rPr>
              <w:t>分）</w:t>
            </w:r>
          </w:p>
        </w:tc>
        <w:tc>
          <w:tcPr>
            <w:tcW w:w="7113" w:type="dxa"/>
            <w:gridSpan w:val="2"/>
            <w:vAlign w:val="center"/>
          </w:tcPr>
          <w:p w14:paraId="3C5B66AE">
            <w:pPr>
              <w:spacing w:line="360" w:lineRule="auto"/>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val="en-US" w:eastAsia="zh-CN" w:bidi="ar"/>
              </w:rPr>
              <w:t>1</w:t>
            </w:r>
            <w:r>
              <w:rPr>
                <w:rFonts w:hint="eastAsia" w:ascii="宋体" w:hAnsi="宋体" w:eastAsia="宋体" w:cs="宋体"/>
                <w:color w:val="auto"/>
                <w:sz w:val="24"/>
                <w:szCs w:val="24"/>
                <w:highlight w:val="none"/>
                <w:lang w:eastAsia="zh-CN" w:bidi="ar"/>
              </w:rPr>
              <w:t>.优：制定切实可行的工作计划，制定合理可控的工期，进度安排科学、合理有效的，得2分；</w:t>
            </w:r>
          </w:p>
          <w:p w14:paraId="11FD033F">
            <w:pPr>
              <w:spacing w:line="360" w:lineRule="auto"/>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2.良：制定相对合理的工作计划，制定比较合理可控的工期，得1.5分；</w:t>
            </w:r>
          </w:p>
          <w:p w14:paraId="7D3F40A9">
            <w:pPr>
              <w:spacing w:line="360" w:lineRule="auto"/>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3.一般：制定一般的工作计划，制定一般可控的工期，得1分；</w:t>
            </w:r>
          </w:p>
          <w:p w14:paraId="7D78D5B8">
            <w:pPr>
              <w:pStyle w:val="13"/>
              <w:wordWrap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4.未提供的不得分。</w:t>
            </w:r>
          </w:p>
        </w:tc>
      </w:tr>
      <w:tr w14:paraId="64A8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271" w:type="dxa"/>
            <w:vMerge w:val="continue"/>
            <w:vAlign w:val="center"/>
          </w:tcPr>
          <w:p w14:paraId="2C1600CF">
            <w:pPr>
              <w:widowControl/>
              <w:adjustRightInd w:val="0"/>
              <w:snapToGrid w:val="0"/>
              <w:spacing w:line="360" w:lineRule="auto"/>
              <w:jc w:val="left"/>
              <w:rPr>
                <w:rFonts w:ascii="宋体" w:hAnsi="宋体" w:cs="宋体"/>
                <w:color w:val="auto"/>
                <w:sz w:val="24"/>
                <w:szCs w:val="24"/>
                <w:highlight w:val="none"/>
              </w:rPr>
            </w:pPr>
          </w:p>
        </w:tc>
        <w:tc>
          <w:tcPr>
            <w:tcW w:w="1352" w:type="dxa"/>
            <w:vAlign w:val="center"/>
          </w:tcPr>
          <w:p w14:paraId="6C3DA68E">
            <w:pPr>
              <w:wordWrap w:val="0"/>
              <w:adjustRightInd w:val="0"/>
              <w:snapToGrid w:val="0"/>
              <w:spacing w:after="0" w:line="360" w:lineRule="auto"/>
              <w:jc w:val="center"/>
              <w:rPr>
                <w:rFonts w:ascii="宋体" w:hAnsi="宋体" w:eastAsia="宋体" w:cs="宋体"/>
                <w:color w:val="auto"/>
                <w:spacing w:val="-8"/>
                <w:sz w:val="24"/>
                <w:szCs w:val="24"/>
                <w:highlight w:val="none"/>
              </w:rPr>
            </w:pPr>
            <w:r>
              <w:rPr>
                <w:rFonts w:ascii="宋体" w:hAnsi="宋体" w:eastAsia="宋体" w:cs="宋体"/>
                <w:color w:val="auto"/>
                <w:spacing w:val="-8"/>
                <w:sz w:val="24"/>
                <w:szCs w:val="24"/>
                <w:highlight w:val="none"/>
                <w:lang w:eastAsia="zh-CN"/>
              </w:rPr>
              <w:t>对本项目设计重点、难点</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z w:val="24"/>
                <w:szCs w:val="24"/>
                <w:highlight w:val="none"/>
                <w:lang w:eastAsia="zh-CN" w:bidi="ar"/>
              </w:rPr>
              <w:t>关键性技术问题的认识及应对策措施</w:t>
            </w:r>
            <w:r>
              <w:rPr>
                <w:rFonts w:ascii="宋体" w:hAnsi="宋体" w:eastAsia="宋体" w:cs="宋体"/>
                <w:color w:val="auto"/>
                <w:spacing w:val="-8"/>
                <w:sz w:val="24"/>
                <w:szCs w:val="24"/>
                <w:highlight w:val="none"/>
                <w:lang w:eastAsia="zh-CN"/>
              </w:rPr>
              <w:t>议（</w:t>
            </w:r>
            <w:r>
              <w:rPr>
                <w:rFonts w:hint="eastAsia" w:ascii="宋体" w:hAnsi="宋体" w:eastAsia="宋体" w:cs="宋体"/>
                <w:color w:val="auto"/>
                <w:spacing w:val="-8"/>
                <w:sz w:val="24"/>
                <w:szCs w:val="24"/>
                <w:highlight w:val="none"/>
                <w:u w:val="single"/>
                <w:lang w:val="en-US" w:eastAsia="zh-CN"/>
              </w:rPr>
              <w:t>3</w:t>
            </w:r>
            <w:r>
              <w:rPr>
                <w:rFonts w:ascii="宋体" w:hAnsi="宋体" w:eastAsia="宋体" w:cs="宋体"/>
                <w:color w:val="auto"/>
                <w:spacing w:val="-7"/>
                <w:sz w:val="24"/>
                <w:szCs w:val="24"/>
                <w:highlight w:val="none"/>
                <w:lang w:eastAsia="zh-CN"/>
              </w:rPr>
              <w:t>分）</w:t>
            </w:r>
          </w:p>
        </w:tc>
        <w:tc>
          <w:tcPr>
            <w:tcW w:w="7113" w:type="dxa"/>
            <w:gridSpan w:val="2"/>
            <w:vAlign w:val="center"/>
          </w:tcPr>
          <w:p w14:paraId="4FF36A7B">
            <w:pPr>
              <w:spacing w:line="360" w:lineRule="auto"/>
              <w:rPr>
                <w:color w:val="auto"/>
                <w:highlight w:val="none"/>
                <w:lang w:eastAsia="zh-CN"/>
              </w:rPr>
            </w:pPr>
            <w:r>
              <w:rPr>
                <w:rFonts w:hint="eastAsia" w:ascii="宋体" w:hAnsi="宋体" w:eastAsia="宋体" w:cs="宋体"/>
                <w:color w:val="auto"/>
                <w:sz w:val="24"/>
                <w:szCs w:val="24"/>
                <w:highlight w:val="none"/>
                <w:lang w:eastAsia="zh-CN" w:bidi="ar"/>
              </w:rPr>
              <w:t>1.优：对本项目设计重点、难点、关键性技术问题的认识及应对策措施描述准确、符合实际的，得</w:t>
            </w: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eastAsia="zh-CN" w:bidi="ar"/>
              </w:rPr>
              <w:t xml:space="preserve">分； </w:t>
            </w:r>
          </w:p>
          <w:p w14:paraId="0004696A">
            <w:pPr>
              <w:spacing w:line="360" w:lineRule="auto"/>
              <w:rPr>
                <w:color w:val="auto"/>
                <w:highlight w:val="none"/>
                <w:lang w:eastAsia="zh-CN"/>
              </w:rPr>
            </w:pPr>
            <w:r>
              <w:rPr>
                <w:rFonts w:hint="eastAsia" w:ascii="宋体" w:hAnsi="宋体" w:eastAsia="宋体" w:cs="宋体"/>
                <w:color w:val="auto"/>
                <w:sz w:val="24"/>
                <w:szCs w:val="24"/>
                <w:highlight w:val="none"/>
                <w:lang w:eastAsia="zh-CN" w:bidi="ar"/>
              </w:rPr>
              <w:t>2.良：对本项目设计重点、难点、关键性技术问题的认识及应对策措施描述一般的，得</w:t>
            </w:r>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eastAsia="zh-CN" w:bidi="ar"/>
              </w:rPr>
              <w:t xml:space="preserve">分； </w:t>
            </w:r>
          </w:p>
          <w:p w14:paraId="48363911">
            <w:pPr>
              <w:spacing w:line="360" w:lineRule="auto"/>
              <w:rPr>
                <w:color w:val="auto"/>
                <w:highlight w:val="none"/>
                <w:lang w:eastAsia="zh-CN"/>
              </w:rPr>
            </w:pPr>
            <w:r>
              <w:rPr>
                <w:rFonts w:hint="eastAsia" w:ascii="宋体" w:hAnsi="宋体" w:eastAsia="宋体" w:cs="宋体"/>
                <w:color w:val="auto"/>
                <w:sz w:val="24"/>
                <w:szCs w:val="24"/>
                <w:highlight w:val="none"/>
                <w:lang w:eastAsia="zh-CN" w:bidi="ar"/>
              </w:rPr>
              <w:t>3.一般：对本项目设计重点、难点、关键性技术问题有阐述的，得</w:t>
            </w:r>
            <w:r>
              <w:rPr>
                <w:rFonts w:hint="eastAsia" w:ascii="宋体" w:hAnsi="宋体" w:cs="宋体"/>
                <w:color w:val="auto"/>
                <w:sz w:val="24"/>
                <w:szCs w:val="24"/>
                <w:highlight w:val="none"/>
                <w:lang w:val="en-US" w:eastAsia="zh-CN" w:bidi="ar"/>
              </w:rPr>
              <w:t>1</w:t>
            </w:r>
            <w:r>
              <w:rPr>
                <w:rFonts w:hint="eastAsia" w:ascii="宋体" w:hAnsi="宋体" w:eastAsia="宋体" w:cs="宋体"/>
                <w:color w:val="auto"/>
                <w:sz w:val="24"/>
                <w:szCs w:val="24"/>
                <w:highlight w:val="none"/>
                <w:lang w:eastAsia="zh-CN" w:bidi="ar"/>
              </w:rPr>
              <w:t xml:space="preserve">分； </w:t>
            </w:r>
          </w:p>
          <w:p w14:paraId="36AF8C7B">
            <w:pPr>
              <w:pStyle w:val="13"/>
              <w:wordWrap w:val="0"/>
              <w:adjustRightInd w:val="0"/>
              <w:snapToGrid w:val="0"/>
              <w:spacing w:after="0" w:line="360" w:lineRule="auto"/>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4.不提供的不得分。</w:t>
            </w:r>
          </w:p>
        </w:tc>
      </w:tr>
      <w:tr w14:paraId="7378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271" w:type="dxa"/>
            <w:vMerge w:val="continue"/>
            <w:vAlign w:val="center"/>
          </w:tcPr>
          <w:p w14:paraId="59343EC8">
            <w:pPr>
              <w:widowControl/>
              <w:adjustRightInd w:val="0"/>
              <w:snapToGrid w:val="0"/>
              <w:spacing w:line="360" w:lineRule="auto"/>
              <w:jc w:val="left"/>
              <w:rPr>
                <w:rFonts w:ascii="宋体" w:hAnsi="宋体" w:cs="宋体"/>
                <w:color w:val="auto"/>
                <w:sz w:val="24"/>
                <w:szCs w:val="24"/>
                <w:highlight w:val="none"/>
              </w:rPr>
            </w:pPr>
          </w:p>
        </w:tc>
        <w:tc>
          <w:tcPr>
            <w:tcW w:w="1352" w:type="dxa"/>
            <w:vAlign w:val="center"/>
          </w:tcPr>
          <w:p w14:paraId="69A2BCBB">
            <w:pPr>
              <w:spacing w:line="360" w:lineRule="auto"/>
              <w:jc w:val="center"/>
              <w:rPr>
                <w:rFonts w:ascii="宋体" w:hAnsi="宋体" w:eastAsia="宋体" w:cs="宋体"/>
                <w:color w:val="auto"/>
                <w:spacing w:val="-8"/>
                <w:sz w:val="24"/>
                <w:szCs w:val="24"/>
                <w:highlight w:val="none"/>
                <w:lang w:eastAsia="zh-CN"/>
              </w:rPr>
            </w:pPr>
            <w:r>
              <w:rPr>
                <w:rFonts w:ascii="宋体" w:hAnsi="宋体" w:eastAsia="宋体" w:cs="宋体"/>
                <w:color w:val="auto"/>
                <w:spacing w:val="-8"/>
                <w:sz w:val="24"/>
                <w:szCs w:val="24"/>
                <w:highlight w:val="none"/>
                <w:lang w:eastAsia="zh-CN"/>
              </w:rPr>
              <w:t>后续服务</w:t>
            </w:r>
            <w:r>
              <w:rPr>
                <w:rFonts w:hint="eastAsia" w:ascii="宋体" w:hAnsi="宋体" w:eastAsia="宋体" w:cs="宋体"/>
                <w:color w:val="auto"/>
                <w:spacing w:val="-8"/>
                <w:sz w:val="24"/>
                <w:szCs w:val="24"/>
                <w:highlight w:val="none"/>
                <w:lang w:eastAsia="zh-CN"/>
              </w:rPr>
              <w:t>保证措施</w:t>
            </w:r>
          </w:p>
          <w:p w14:paraId="0A842FF1">
            <w:pPr>
              <w:pStyle w:val="13"/>
              <w:wordWrap w:val="0"/>
              <w:adjustRightInd w:val="0"/>
              <w:snapToGrid w:val="0"/>
              <w:spacing w:after="0" w:line="360" w:lineRule="auto"/>
              <w:jc w:val="center"/>
              <w:rPr>
                <w:rFonts w:hint="eastAsia" w:ascii="宋体" w:hAnsi="宋体" w:eastAsia="宋体" w:cs="宋体"/>
                <w:color w:val="auto"/>
                <w:sz w:val="24"/>
                <w:szCs w:val="24"/>
                <w:highlight w:val="none"/>
                <w:lang w:eastAsia="zh-CN" w:bidi="ar"/>
              </w:rPr>
            </w:pPr>
            <w:r>
              <w:rPr>
                <w:rFonts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lang w:eastAsia="zh-CN"/>
              </w:rPr>
              <w:t>2</w:t>
            </w:r>
            <w:r>
              <w:rPr>
                <w:rFonts w:ascii="宋体" w:hAnsi="宋体" w:eastAsia="宋体" w:cs="宋体"/>
                <w:color w:val="auto"/>
                <w:spacing w:val="-8"/>
                <w:sz w:val="24"/>
                <w:szCs w:val="24"/>
                <w:highlight w:val="none"/>
                <w:lang w:eastAsia="zh-CN"/>
              </w:rPr>
              <w:t>分</w:t>
            </w:r>
            <w:r>
              <w:rPr>
                <w:rFonts w:ascii="宋体" w:hAnsi="宋体" w:eastAsia="宋体" w:cs="宋体"/>
                <w:color w:val="auto"/>
                <w:spacing w:val="-6"/>
                <w:sz w:val="24"/>
                <w:szCs w:val="24"/>
                <w:highlight w:val="none"/>
                <w:lang w:eastAsia="zh-CN"/>
              </w:rPr>
              <w:t>）</w:t>
            </w:r>
          </w:p>
        </w:tc>
        <w:tc>
          <w:tcPr>
            <w:tcW w:w="7113" w:type="dxa"/>
            <w:gridSpan w:val="2"/>
            <w:vAlign w:val="center"/>
          </w:tcPr>
          <w:p w14:paraId="047718D9">
            <w:pPr>
              <w:spacing w:line="360" w:lineRule="auto"/>
              <w:ind w:left="7"/>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8"/>
                <w:sz w:val="24"/>
                <w:szCs w:val="24"/>
                <w:highlight w:val="none"/>
                <w:lang w:eastAsia="zh-CN"/>
              </w:rPr>
              <w:t>1.</w:t>
            </w:r>
            <w:r>
              <w:rPr>
                <w:rFonts w:ascii="宋体" w:hAnsi="宋体" w:eastAsia="宋体" w:cs="宋体"/>
                <w:color w:val="auto"/>
                <w:spacing w:val="-8"/>
                <w:sz w:val="24"/>
                <w:szCs w:val="24"/>
                <w:highlight w:val="none"/>
                <w:lang w:eastAsia="zh-CN"/>
              </w:rPr>
              <w:t>服务保证措施合理有效、充分完善,配合后</w:t>
            </w:r>
            <w:r>
              <w:rPr>
                <w:rFonts w:ascii="宋体" w:hAnsi="宋体" w:eastAsia="宋体" w:cs="宋体"/>
                <w:color w:val="auto"/>
                <w:spacing w:val="-9"/>
                <w:sz w:val="24"/>
                <w:szCs w:val="24"/>
                <w:highlight w:val="none"/>
                <w:lang w:eastAsia="zh-CN"/>
              </w:rPr>
              <w:t>期图纸使用及</w:t>
            </w:r>
            <w:r>
              <w:rPr>
                <w:rFonts w:ascii="宋体" w:hAnsi="宋体" w:eastAsia="宋体" w:cs="宋体"/>
                <w:color w:val="auto"/>
                <w:spacing w:val="-3"/>
                <w:sz w:val="24"/>
                <w:szCs w:val="24"/>
                <w:highlight w:val="none"/>
                <w:lang w:eastAsia="zh-CN"/>
              </w:rPr>
              <w:t>施工过程衔接工作流畅的，得</w:t>
            </w:r>
            <w:r>
              <w:rPr>
                <w:rFonts w:hint="eastAsia" w:ascii="宋体" w:hAnsi="宋体" w:eastAsia="宋体" w:cs="宋体"/>
                <w:color w:val="auto"/>
                <w:spacing w:val="-3"/>
                <w:sz w:val="24"/>
                <w:szCs w:val="24"/>
                <w:highlight w:val="none"/>
                <w:lang w:eastAsia="zh-CN"/>
              </w:rPr>
              <w:t>2</w:t>
            </w:r>
            <w:r>
              <w:rPr>
                <w:rFonts w:ascii="宋体" w:hAnsi="宋体" w:eastAsia="宋体" w:cs="宋体"/>
                <w:color w:val="auto"/>
                <w:spacing w:val="-3"/>
                <w:sz w:val="24"/>
                <w:szCs w:val="24"/>
                <w:highlight w:val="none"/>
                <w:lang w:eastAsia="zh-CN"/>
              </w:rPr>
              <w:t>分；</w:t>
            </w:r>
          </w:p>
          <w:p w14:paraId="230BD421">
            <w:pPr>
              <w:spacing w:line="360" w:lineRule="auto"/>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8"/>
                <w:sz w:val="24"/>
                <w:szCs w:val="24"/>
                <w:highlight w:val="none"/>
                <w:lang w:eastAsia="zh-CN"/>
              </w:rPr>
              <w:t>2.</w:t>
            </w:r>
            <w:r>
              <w:rPr>
                <w:rFonts w:ascii="宋体" w:hAnsi="宋体" w:eastAsia="宋体" w:cs="宋体"/>
                <w:color w:val="auto"/>
                <w:spacing w:val="-8"/>
                <w:sz w:val="24"/>
                <w:szCs w:val="24"/>
                <w:highlight w:val="none"/>
                <w:lang w:eastAsia="zh-CN"/>
              </w:rPr>
              <w:t>服务保证措施较合理、较完善，配合后期图</w:t>
            </w:r>
            <w:r>
              <w:rPr>
                <w:rFonts w:ascii="宋体" w:hAnsi="宋体" w:eastAsia="宋体" w:cs="宋体"/>
                <w:color w:val="auto"/>
                <w:spacing w:val="-9"/>
                <w:sz w:val="24"/>
                <w:szCs w:val="24"/>
                <w:highlight w:val="none"/>
                <w:lang w:eastAsia="zh-CN"/>
              </w:rPr>
              <w:t>纸使用及施工</w:t>
            </w:r>
            <w:r>
              <w:rPr>
                <w:rFonts w:ascii="宋体" w:hAnsi="宋体" w:eastAsia="宋体" w:cs="宋体"/>
                <w:color w:val="auto"/>
                <w:spacing w:val="-3"/>
                <w:sz w:val="24"/>
                <w:szCs w:val="24"/>
                <w:highlight w:val="none"/>
                <w:lang w:eastAsia="zh-CN"/>
              </w:rPr>
              <w:t>过程衔接工作较流畅的，得</w:t>
            </w:r>
            <w:r>
              <w:rPr>
                <w:rFonts w:hint="eastAsia" w:ascii="宋体" w:hAnsi="宋体" w:eastAsia="宋体" w:cs="宋体"/>
                <w:color w:val="auto"/>
                <w:spacing w:val="-3"/>
                <w:sz w:val="24"/>
                <w:szCs w:val="24"/>
                <w:highlight w:val="none"/>
                <w:lang w:eastAsia="zh-CN"/>
              </w:rPr>
              <w:t>1.5</w:t>
            </w:r>
            <w:r>
              <w:rPr>
                <w:rFonts w:ascii="宋体" w:hAnsi="宋体" w:eastAsia="宋体" w:cs="宋体"/>
                <w:color w:val="auto"/>
                <w:spacing w:val="-3"/>
                <w:sz w:val="24"/>
                <w:szCs w:val="24"/>
                <w:highlight w:val="none"/>
                <w:lang w:eastAsia="zh-CN"/>
              </w:rPr>
              <w:t>分；</w:t>
            </w:r>
          </w:p>
          <w:p w14:paraId="20365423">
            <w:pPr>
              <w:spacing w:line="360" w:lineRule="auto"/>
              <w:ind w:firstLine="4"/>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w:t>
            </w:r>
            <w:r>
              <w:rPr>
                <w:rFonts w:ascii="宋体" w:hAnsi="宋体" w:eastAsia="宋体" w:cs="宋体"/>
                <w:color w:val="auto"/>
                <w:spacing w:val="-2"/>
                <w:sz w:val="24"/>
                <w:szCs w:val="24"/>
                <w:highlight w:val="none"/>
                <w:lang w:eastAsia="zh-CN"/>
              </w:rPr>
              <w:t>服务保证措施及配合后期图纸使用及施工过程衔接工作分</w:t>
            </w:r>
            <w:r>
              <w:rPr>
                <w:rFonts w:ascii="宋体" w:hAnsi="宋体" w:eastAsia="宋体" w:cs="宋体"/>
                <w:color w:val="auto"/>
                <w:spacing w:val="-5"/>
                <w:sz w:val="24"/>
                <w:szCs w:val="24"/>
                <w:highlight w:val="none"/>
                <w:lang w:eastAsia="zh-CN"/>
              </w:rPr>
              <w:t>析一般的，得</w:t>
            </w:r>
            <w:r>
              <w:rPr>
                <w:rFonts w:hint="eastAsia" w:ascii="宋体" w:hAnsi="宋体" w:eastAsia="宋体" w:cs="宋体"/>
                <w:color w:val="auto"/>
                <w:spacing w:val="-5"/>
                <w:sz w:val="24"/>
                <w:szCs w:val="24"/>
                <w:highlight w:val="none"/>
                <w:lang w:eastAsia="zh-CN"/>
              </w:rPr>
              <w:t>1</w:t>
            </w:r>
            <w:r>
              <w:rPr>
                <w:rFonts w:ascii="宋体" w:hAnsi="宋体" w:eastAsia="宋体" w:cs="宋体"/>
                <w:color w:val="auto"/>
                <w:spacing w:val="-5"/>
                <w:sz w:val="24"/>
                <w:szCs w:val="24"/>
                <w:highlight w:val="none"/>
                <w:lang w:eastAsia="zh-CN"/>
              </w:rPr>
              <w:t>分；</w:t>
            </w:r>
          </w:p>
          <w:p w14:paraId="0E97C5C4">
            <w:pPr>
              <w:pStyle w:val="13"/>
              <w:wordWrap w:val="0"/>
              <w:adjustRightInd w:val="0"/>
              <w:snapToGrid w:val="0"/>
              <w:spacing w:after="0" w:line="360" w:lineRule="auto"/>
              <w:rPr>
                <w:rFonts w:hint="eastAsia" w:ascii="宋体" w:hAnsi="宋体" w:eastAsia="宋体" w:cs="宋体"/>
                <w:color w:val="auto"/>
                <w:sz w:val="24"/>
                <w:szCs w:val="24"/>
                <w:highlight w:val="none"/>
                <w:lang w:eastAsia="zh-CN" w:bidi="ar"/>
              </w:rPr>
            </w:pPr>
            <w:r>
              <w:rPr>
                <w:rFonts w:hint="eastAsia" w:ascii="宋体" w:hAnsi="宋体" w:eastAsia="宋体" w:cs="宋体"/>
                <w:color w:val="auto"/>
                <w:spacing w:val="-5"/>
                <w:sz w:val="24"/>
                <w:szCs w:val="24"/>
                <w:highlight w:val="none"/>
                <w:lang w:eastAsia="zh-CN"/>
              </w:rPr>
              <w:t>4.</w:t>
            </w:r>
            <w:r>
              <w:rPr>
                <w:rFonts w:ascii="宋体" w:hAnsi="宋体" w:eastAsia="宋体" w:cs="宋体"/>
                <w:color w:val="auto"/>
                <w:spacing w:val="-5"/>
                <w:sz w:val="24"/>
                <w:szCs w:val="24"/>
                <w:highlight w:val="none"/>
              </w:rPr>
              <w:t>未提供的不得分。</w:t>
            </w:r>
          </w:p>
        </w:tc>
      </w:tr>
      <w:tr w14:paraId="1F14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9736" w:type="dxa"/>
            <w:gridSpan w:val="4"/>
            <w:vAlign w:val="center"/>
          </w:tcPr>
          <w:p w14:paraId="17CC7034">
            <w:pPr>
              <w:pStyle w:val="62"/>
              <w:wordWrap w:val="0"/>
              <w:adjustRightInd w:val="0"/>
              <w:snapToGrid w:val="0"/>
              <w:jc w:val="center"/>
              <w:rPr>
                <w:rFonts w:hAnsi="宋体" w:cs="宋体"/>
                <w:color w:val="auto"/>
                <w:szCs w:val="24"/>
                <w:highlight w:val="none"/>
              </w:rPr>
            </w:pPr>
            <w:r>
              <w:rPr>
                <w:rFonts w:hint="eastAsia" w:hAnsi="宋体" w:cs="宋体"/>
                <w:b/>
                <w:bCs/>
                <w:color w:val="auto"/>
                <w:szCs w:val="24"/>
                <w:highlight w:val="none"/>
              </w:rPr>
              <w:t>投标报价部分（</w:t>
            </w:r>
            <w:r>
              <w:rPr>
                <w:rFonts w:hint="eastAsia" w:hAnsi="宋体" w:cs="宋体"/>
                <w:b/>
                <w:bCs/>
                <w:color w:val="auto"/>
                <w:szCs w:val="24"/>
                <w:highlight w:val="none"/>
                <w:lang w:val="en-US" w:eastAsia="zh-CN"/>
              </w:rPr>
              <w:t>20</w:t>
            </w:r>
            <w:r>
              <w:rPr>
                <w:rFonts w:hint="eastAsia" w:hAnsi="宋体" w:cs="宋体"/>
                <w:b/>
                <w:bCs/>
                <w:color w:val="auto"/>
                <w:szCs w:val="24"/>
                <w:highlight w:val="none"/>
              </w:rPr>
              <w:t>分）</w:t>
            </w:r>
          </w:p>
        </w:tc>
      </w:tr>
      <w:tr w14:paraId="1658B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271" w:type="dxa"/>
            <w:tcBorders>
              <w:top w:val="single" w:color="auto" w:sz="4" w:space="0"/>
              <w:left w:val="single" w:color="auto" w:sz="4" w:space="0"/>
              <w:bottom w:val="single" w:color="auto" w:sz="4" w:space="0"/>
              <w:right w:val="single" w:color="auto" w:sz="4" w:space="0"/>
            </w:tcBorders>
            <w:vAlign w:val="center"/>
          </w:tcPr>
          <w:p w14:paraId="5F0BCE78">
            <w:pPr>
              <w:wordWrap w:val="0"/>
              <w:adjustRightInd w:val="0"/>
              <w:snapToGrid w:val="0"/>
              <w:spacing w:line="360" w:lineRule="auto"/>
              <w:jc w:val="center"/>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评分事项</w:t>
            </w:r>
          </w:p>
        </w:tc>
        <w:tc>
          <w:tcPr>
            <w:tcW w:w="8465" w:type="dxa"/>
            <w:gridSpan w:val="3"/>
            <w:tcBorders>
              <w:top w:val="single" w:color="auto" w:sz="4" w:space="0"/>
              <w:left w:val="single" w:color="auto" w:sz="4" w:space="0"/>
              <w:bottom w:val="single" w:color="auto" w:sz="4" w:space="0"/>
              <w:right w:val="single" w:color="auto" w:sz="4" w:space="0"/>
            </w:tcBorders>
            <w:vAlign w:val="center"/>
          </w:tcPr>
          <w:p w14:paraId="56298F60">
            <w:pPr>
              <w:wordWrap w:val="0"/>
              <w:adjustRightInd w:val="0"/>
              <w:snapToGrid w:val="0"/>
              <w:spacing w:line="360" w:lineRule="auto"/>
              <w:jc w:val="center"/>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评分方法</w:t>
            </w:r>
          </w:p>
        </w:tc>
      </w:tr>
      <w:tr w14:paraId="0ABB5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763F58F5">
            <w:pPr>
              <w:wordWrap w:val="0"/>
              <w:adjustRightInd w:val="0"/>
              <w:snapToGrid w:val="0"/>
              <w:spacing w:line="36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评标基准价D</w:t>
            </w:r>
          </w:p>
        </w:tc>
        <w:tc>
          <w:tcPr>
            <w:tcW w:w="8465" w:type="dxa"/>
            <w:gridSpan w:val="3"/>
            <w:tcBorders>
              <w:top w:val="single" w:color="auto" w:sz="4" w:space="0"/>
              <w:left w:val="single" w:color="auto" w:sz="4" w:space="0"/>
              <w:bottom w:val="single" w:color="auto" w:sz="4" w:space="0"/>
              <w:right w:val="single" w:color="auto" w:sz="4" w:space="0"/>
            </w:tcBorders>
            <w:vAlign w:val="center"/>
          </w:tcPr>
          <w:p w14:paraId="05346F3C">
            <w:pPr>
              <w:wordWrap w:val="0"/>
              <w:adjustRightInd w:val="0"/>
              <w:snapToGrid w:val="0"/>
              <w:spacing w:line="36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确定最高投标限价下浮系数n：用1～21号球分别代表一个下浮系数，由评委代表从这21个号码中随机抽取3次，每次抽取1个号码，抽出的号球不参与下次抽取。所抽取的3个号码对应下浮系数的算术平均值作为最高投标限价下浮系数n。具体号码对应的下浮系数可参考下表。</w:t>
            </w:r>
          </w:p>
          <w:tbl>
            <w:tblPr>
              <w:tblStyle w:val="27"/>
              <w:tblW w:w="0" w:type="auto"/>
              <w:tblInd w:w="113" w:type="dxa"/>
              <w:tblLayout w:type="fixed"/>
              <w:tblCellMar>
                <w:top w:w="0" w:type="dxa"/>
                <w:left w:w="108" w:type="dxa"/>
                <w:bottom w:w="0" w:type="dxa"/>
                <w:right w:w="108" w:type="dxa"/>
              </w:tblCellMar>
            </w:tblPr>
            <w:tblGrid>
              <w:gridCol w:w="1811"/>
              <w:gridCol w:w="1026"/>
              <w:gridCol w:w="865"/>
              <w:gridCol w:w="867"/>
              <w:gridCol w:w="884"/>
              <w:gridCol w:w="919"/>
              <w:gridCol w:w="848"/>
              <w:gridCol w:w="777"/>
            </w:tblGrid>
            <w:tr w14:paraId="6A7F8BC9">
              <w:tblPrEx>
                <w:tblCellMar>
                  <w:top w:w="0" w:type="dxa"/>
                  <w:left w:w="108" w:type="dxa"/>
                  <w:bottom w:w="0" w:type="dxa"/>
                  <w:right w:w="108" w:type="dxa"/>
                </w:tblCellMar>
              </w:tblPrEx>
              <w:trPr>
                <w:trHeight w:val="345" w:hRule="atLeast"/>
              </w:trPr>
              <w:tc>
                <w:tcPr>
                  <w:tcW w:w="1811" w:type="dxa"/>
                  <w:tcBorders>
                    <w:top w:val="single" w:color="000000" w:sz="4" w:space="0"/>
                    <w:left w:val="single" w:color="000000" w:sz="4" w:space="0"/>
                    <w:bottom w:val="single" w:color="000000" w:sz="4" w:space="0"/>
                    <w:right w:val="single" w:color="000000" w:sz="4" w:space="0"/>
                  </w:tcBorders>
                  <w:vAlign w:val="center"/>
                </w:tcPr>
                <w:p w14:paraId="385E8015">
                  <w:pPr>
                    <w:wordWrap w:val="0"/>
                    <w:adjustRightInd w:val="0"/>
                    <w:snapToGrid w:val="0"/>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号球</w:t>
                  </w:r>
                </w:p>
              </w:tc>
              <w:tc>
                <w:tcPr>
                  <w:tcW w:w="1026" w:type="dxa"/>
                  <w:tcBorders>
                    <w:top w:val="single" w:color="000000" w:sz="4" w:space="0"/>
                    <w:left w:val="single" w:color="000000" w:sz="4" w:space="0"/>
                    <w:bottom w:val="single" w:color="000000" w:sz="4" w:space="0"/>
                    <w:right w:val="single" w:color="000000" w:sz="4" w:space="0"/>
                  </w:tcBorders>
                  <w:vAlign w:val="center"/>
                </w:tcPr>
                <w:p w14:paraId="24F9EBAC">
                  <w:pPr>
                    <w:wordWrap w:val="0"/>
                    <w:adjustRightInd w:val="0"/>
                    <w:snapToGrid w:val="0"/>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1</w:t>
                  </w:r>
                </w:p>
              </w:tc>
              <w:tc>
                <w:tcPr>
                  <w:tcW w:w="865" w:type="dxa"/>
                  <w:tcBorders>
                    <w:top w:val="single" w:color="000000" w:sz="4" w:space="0"/>
                    <w:left w:val="single" w:color="000000" w:sz="4" w:space="0"/>
                    <w:bottom w:val="single" w:color="000000" w:sz="4" w:space="0"/>
                    <w:right w:val="single" w:color="000000" w:sz="4" w:space="0"/>
                  </w:tcBorders>
                  <w:vAlign w:val="center"/>
                </w:tcPr>
                <w:p w14:paraId="0D8C215E">
                  <w:pPr>
                    <w:wordWrap w:val="0"/>
                    <w:adjustRightInd w:val="0"/>
                    <w:snapToGrid w:val="0"/>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2</w:t>
                  </w:r>
                </w:p>
              </w:tc>
              <w:tc>
                <w:tcPr>
                  <w:tcW w:w="867" w:type="dxa"/>
                  <w:tcBorders>
                    <w:top w:val="single" w:color="000000" w:sz="4" w:space="0"/>
                    <w:left w:val="single" w:color="000000" w:sz="4" w:space="0"/>
                    <w:bottom w:val="single" w:color="000000" w:sz="4" w:space="0"/>
                    <w:right w:val="single" w:color="000000" w:sz="4" w:space="0"/>
                  </w:tcBorders>
                  <w:vAlign w:val="center"/>
                </w:tcPr>
                <w:p w14:paraId="5171789B">
                  <w:pPr>
                    <w:wordWrap w:val="0"/>
                    <w:adjustRightInd w:val="0"/>
                    <w:snapToGrid w:val="0"/>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3</w:t>
                  </w:r>
                </w:p>
              </w:tc>
              <w:tc>
                <w:tcPr>
                  <w:tcW w:w="884" w:type="dxa"/>
                  <w:tcBorders>
                    <w:top w:val="single" w:color="000000" w:sz="4" w:space="0"/>
                    <w:left w:val="single" w:color="000000" w:sz="4" w:space="0"/>
                    <w:bottom w:val="single" w:color="000000" w:sz="4" w:space="0"/>
                    <w:right w:val="single" w:color="000000" w:sz="4" w:space="0"/>
                  </w:tcBorders>
                  <w:vAlign w:val="center"/>
                </w:tcPr>
                <w:p w14:paraId="658F2DBA">
                  <w:pPr>
                    <w:wordWrap w:val="0"/>
                    <w:adjustRightInd w:val="0"/>
                    <w:snapToGrid w:val="0"/>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4</w:t>
                  </w:r>
                </w:p>
              </w:tc>
              <w:tc>
                <w:tcPr>
                  <w:tcW w:w="919" w:type="dxa"/>
                  <w:tcBorders>
                    <w:top w:val="single" w:color="000000" w:sz="4" w:space="0"/>
                    <w:left w:val="single" w:color="000000" w:sz="4" w:space="0"/>
                    <w:bottom w:val="single" w:color="000000" w:sz="4" w:space="0"/>
                    <w:right w:val="single" w:color="000000" w:sz="4" w:space="0"/>
                  </w:tcBorders>
                  <w:vAlign w:val="center"/>
                </w:tcPr>
                <w:p w14:paraId="78B231A1">
                  <w:pPr>
                    <w:wordWrap w:val="0"/>
                    <w:adjustRightInd w:val="0"/>
                    <w:snapToGrid w:val="0"/>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5</w:t>
                  </w:r>
                </w:p>
              </w:tc>
              <w:tc>
                <w:tcPr>
                  <w:tcW w:w="848" w:type="dxa"/>
                  <w:tcBorders>
                    <w:top w:val="single" w:color="000000" w:sz="4" w:space="0"/>
                    <w:left w:val="single" w:color="000000" w:sz="4" w:space="0"/>
                    <w:bottom w:val="single" w:color="000000" w:sz="4" w:space="0"/>
                    <w:right w:val="single" w:color="000000" w:sz="4" w:space="0"/>
                  </w:tcBorders>
                  <w:vAlign w:val="center"/>
                </w:tcPr>
                <w:p w14:paraId="059BF653">
                  <w:pPr>
                    <w:wordWrap w:val="0"/>
                    <w:adjustRightInd w:val="0"/>
                    <w:snapToGrid w:val="0"/>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6</w:t>
                  </w:r>
                </w:p>
              </w:tc>
              <w:tc>
                <w:tcPr>
                  <w:tcW w:w="777" w:type="dxa"/>
                  <w:tcBorders>
                    <w:top w:val="single" w:color="000000" w:sz="4" w:space="0"/>
                    <w:left w:val="single" w:color="000000" w:sz="4" w:space="0"/>
                    <w:bottom w:val="single" w:color="000000" w:sz="4" w:space="0"/>
                    <w:right w:val="single" w:color="000000" w:sz="4" w:space="0"/>
                  </w:tcBorders>
                  <w:vAlign w:val="center"/>
                </w:tcPr>
                <w:p w14:paraId="1D203EC7">
                  <w:pPr>
                    <w:wordWrap w:val="0"/>
                    <w:adjustRightInd w:val="0"/>
                    <w:snapToGrid w:val="0"/>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7</w:t>
                  </w:r>
                </w:p>
              </w:tc>
            </w:tr>
            <w:tr w14:paraId="15DD73B6">
              <w:tblPrEx>
                <w:tblCellMar>
                  <w:top w:w="0" w:type="dxa"/>
                  <w:left w:w="108" w:type="dxa"/>
                  <w:bottom w:w="0" w:type="dxa"/>
                  <w:right w:w="108" w:type="dxa"/>
                </w:tblCellMar>
              </w:tblPrEx>
              <w:trPr>
                <w:trHeight w:val="485" w:hRule="atLeast"/>
              </w:trPr>
              <w:tc>
                <w:tcPr>
                  <w:tcW w:w="1811" w:type="dxa"/>
                  <w:tcBorders>
                    <w:top w:val="single" w:color="000000" w:sz="4" w:space="0"/>
                    <w:left w:val="single" w:color="000000" w:sz="4" w:space="0"/>
                    <w:bottom w:val="single" w:color="000000" w:sz="4" w:space="0"/>
                    <w:right w:val="single" w:color="000000" w:sz="4" w:space="0"/>
                  </w:tcBorders>
                  <w:vAlign w:val="center"/>
                </w:tcPr>
                <w:p w14:paraId="4287F89E">
                  <w:pPr>
                    <w:wordWrap w:val="0"/>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下浮系数（%）</w:t>
                  </w:r>
                </w:p>
              </w:tc>
              <w:tc>
                <w:tcPr>
                  <w:tcW w:w="1026" w:type="dxa"/>
                  <w:tcBorders>
                    <w:top w:val="single" w:color="000000" w:sz="4" w:space="0"/>
                    <w:left w:val="single" w:color="000000" w:sz="4" w:space="0"/>
                    <w:bottom w:val="single" w:color="000000" w:sz="4" w:space="0"/>
                    <w:right w:val="single" w:color="000000" w:sz="4" w:space="0"/>
                  </w:tcBorders>
                  <w:vAlign w:val="center"/>
                </w:tcPr>
                <w:p w14:paraId="75776C2E">
                  <w:pPr>
                    <w:wordWrap w:val="0"/>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865" w:type="dxa"/>
                  <w:tcBorders>
                    <w:top w:val="single" w:color="000000" w:sz="4" w:space="0"/>
                    <w:left w:val="single" w:color="000000" w:sz="4" w:space="0"/>
                    <w:bottom w:val="single" w:color="000000" w:sz="4" w:space="0"/>
                    <w:right w:val="single" w:color="000000" w:sz="4" w:space="0"/>
                  </w:tcBorders>
                  <w:vAlign w:val="center"/>
                </w:tcPr>
                <w:p w14:paraId="55F63CB5">
                  <w:pPr>
                    <w:wordWrap w:val="0"/>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1.1</w:t>
                  </w:r>
                </w:p>
              </w:tc>
              <w:tc>
                <w:tcPr>
                  <w:tcW w:w="867" w:type="dxa"/>
                  <w:tcBorders>
                    <w:top w:val="single" w:color="000000" w:sz="4" w:space="0"/>
                    <w:left w:val="single" w:color="000000" w:sz="4" w:space="0"/>
                    <w:bottom w:val="single" w:color="000000" w:sz="4" w:space="0"/>
                    <w:right w:val="single" w:color="000000" w:sz="4" w:space="0"/>
                  </w:tcBorders>
                  <w:vAlign w:val="center"/>
                </w:tcPr>
                <w:p w14:paraId="56DB4DE7">
                  <w:pPr>
                    <w:wordWrap w:val="0"/>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1.2</w:t>
                  </w:r>
                </w:p>
              </w:tc>
              <w:tc>
                <w:tcPr>
                  <w:tcW w:w="884" w:type="dxa"/>
                  <w:tcBorders>
                    <w:top w:val="single" w:color="000000" w:sz="4" w:space="0"/>
                    <w:left w:val="single" w:color="000000" w:sz="4" w:space="0"/>
                    <w:bottom w:val="single" w:color="000000" w:sz="4" w:space="0"/>
                    <w:right w:val="single" w:color="000000" w:sz="4" w:space="0"/>
                  </w:tcBorders>
                  <w:vAlign w:val="center"/>
                </w:tcPr>
                <w:p w14:paraId="65AD659C">
                  <w:pPr>
                    <w:wordWrap w:val="0"/>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1.3</w:t>
                  </w:r>
                </w:p>
              </w:tc>
              <w:tc>
                <w:tcPr>
                  <w:tcW w:w="919" w:type="dxa"/>
                  <w:tcBorders>
                    <w:top w:val="single" w:color="000000" w:sz="4" w:space="0"/>
                    <w:left w:val="single" w:color="000000" w:sz="4" w:space="0"/>
                    <w:bottom w:val="single" w:color="000000" w:sz="4" w:space="0"/>
                    <w:right w:val="single" w:color="000000" w:sz="4" w:space="0"/>
                  </w:tcBorders>
                  <w:vAlign w:val="center"/>
                </w:tcPr>
                <w:p w14:paraId="75C4E979">
                  <w:pPr>
                    <w:wordWrap w:val="0"/>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1.4</w:t>
                  </w:r>
                </w:p>
              </w:tc>
              <w:tc>
                <w:tcPr>
                  <w:tcW w:w="848" w:type="dxa"/>
                  <w:tcBorders>
                    <w:top w:val="single" w:color="000000" w:sz="4" w:space="0"/>
                    <w:left w:val="single" w:color="000000" w:sz="4" w:space="0"/>
                    <w:bottom w:val="single" w:color="000000" w:sz="4" w:space="0"/>
                    <w:right w:val="single" w:color="000000" w:sz="4" w:space="0"/>
                  </w:tcBorders>
                  <w:vAlign w:val="center"/>
                </w:tcPr>
                <w:p w14:paraId="10D5D621">
                  <w:pPr>
                    <w:wordWrap w:val="0"/>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1.5</w:t>
                  </w:r>
                </w:p>
              </w:tc>
              <w:tc>
                <w:tcPr>
                  <w:tcW w:w="777" w:type="dxa"/>
                  <w:tcBorders>
                    <w:top w:val="single" w:color="000000" w:sz="4" w:space="0"/>
                    <w:left w:val="single" w:color="000000" w:sz="4" w:space="0"/>
                    <w:bottom w:val="single" w:color="000000" w:sz="4" w:space="0"/>
                    <w:right w:val="single" w:color="000000" w:sz="4" w:space="0"/>
                  </w:tcBorders>
                  <w:vAlign w:val="center"/>
                </w:tcPr>
                <w:p w14:paraId="32E5D60E">
                  <w:pPr>
                    <w:wordWrap w:val="0"/>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1.6</w:t>
                  </w:r>
                </w:p>
              </w:tc>
            </w:tr>
            <w:tr w14:paraId="7A61F84F">
              <w:tblPrEx>
                <w:tblCellMar>
                  <w:top w:w="0" w:type="dxa"/>
                  <w:left w:w="108" w:type="dxa"/>
                  <w:bottom w:w="0" w:type="dxa"/>
                  <w:right w:w="108" w:type="dxa"/>
                </w:tblCellMar>
              </w:tblPrEx>
              <w:trPr>
                <w:trHeight w:val="437" w:hRule="atLeast"/>
              </w:trPr>
              <w:tc>
                <w:tcPr>
                  <w:tcW w:w="1811" w:type="dxa"/>
                  <w:tcBorders>
                    <w:top w:val="single" w:color="000000" w:sz="4" w:space="0"/>
                    <w:left w:val="single" w:color="000000" w:sz="4" w:space="0"/>
                    <w:bottom w:val="single" w:color="000000" w:sz="4" w:space="0"/>
                    <w:right w:val="single" w:color="000000" w:sz="4" w:space="0"/>
                  </w:tcBorders>
                  <w:vAlign w:val="center"/>
                </w:tcPr>
                <w:p w14:paraId="149989C2">
                  <w:pPr>
                    <w:wordWrap w:val="0"/>
                    <w:adjustRightInd w:val="0"/>
                    <w:snapToGrid w:val="0"/>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号球</w:t>
                  </w:r>
                </w:p>
              </w:tc>
              <w:tc>
                <w:tcPr>
                  <w:tcW w:w="1026" w:type="dxa"/>
                  <w:tcBorders>
                    <w:top w:val="single" w:color="000000" w:sz="4" w:space="0"/>
                    <w:left w:val="single" w:color="000000" w:sz="4" w:space="0"/>
                    <w:bottom w:val="single" w:color="000000" w:sz="4" w:space="0"/>
                    <w:right w:val="single" w:color="000000" w:sz="4" w:space="0"/>
                  </w:tcBorders>
                  <w:vAlign w:val="center"/>
                </w:tcPr>
                <w:p w14:paraId="08B08EB1">
                  <w:pPr>
                    <w:wordWrap w:val="0"/>
                    <w:adjustRightInd w:val="0"/>
                    <w:snapToGrid w:val="0"/>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8</w:t>
                  </w:r>
                </w:p>
              </w:tc>
              <w:tc>
                <w:tcPr>
                  <w:tcW w:w="865" w:type="dxa"/>
                  <w:tcBorders>
                    <w:top w:val="single" w:color="000000" w:sz="4" w:space="0"/>
                    <w:left w:val="single" w:color="000000" w:sz="4" w:space="0"/>
                    <w:bottom w:val="single" w:color="000000" w:sz="4" w:space="0"/>
                    <w:right w:val="single" w:color="000000" w:sz="4" w:space="0"/>
                  </w:tcBorders>
                  <w:vAlign w:val="center"/>
                </w:tcPr>
                <w:p w14:paraId="57DD1042">
                  <w:pPr>
                    <w:wordWrap w:val="0"/>
                    <w:adjustRightInd w:val="0"/>
                    <w:snapToGrid w:val="0"/>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9</w:t>
                  </w:r>
                </w:p>
              </w:tc>
              <w:tc>
                <w:tcPr>
                  <w:tcW w:w="867" w:type="dxa"/>
                  <w:tcBorders>
                    <w:top w:val="single" w:color="000000" w:sz="4" w:space="0"/>
                    <w:left w:val="single" w:color="000000" w:sz="4" w:space="0"/>
                    <w:bottom w:val="single" w:color="000000" w:sz="4" w:space="0"/>
                    <w:right w:val="single" w:color="000000" w:sz="4" w:space="0"/>
                  </w:tcBorders>
                  <w:vAlign w:val="center"/>
                </w:tcPr>
                <w:p w14:paraId="4B080D91">
                  <w:pPr>
                    <w:wordWrap w:val="0"/>
                    <w:adjustRightInd w:val="0"/>
                    <w:snapToGrid w:val="0"/>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10</w:t>
                  </w:r>
                </w:p>
              </w:tc>
              <w:tc>
                <w:tcPr>
                  <w:tcW w:w="884" w:type="dxa"/>
                  <w:tcBorders>
                    <w:top w:val="single" w:color="000000" w:sz="4" w:space="0"/>
                    <w:left w:val="single" w:color="000000" w:sz="4" w:space="0"/>
                    <w:bottom w:val="single" w:color="000000" w:sz="4" w:space="0"/>
                    <w:right w:val="single" w:color="000000" w:sz="4" w:space="0"/>
                  </w:tcBorders>
                  <w:vAlign w:val="center"/>
                </w:tcPr>
                <w:p w14:paraId="11B34AB0">
                  <w:pPr>
                    <w:wordWrap w:val="0"/>
                    <w:adjustRightInd w:val="0"/>
                    <w:snapToGrid w:val="0"/>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11</w:t>
                  </w:r>
                </w:p>
              </w:tc>
              <w:tc>
                <w:tcPr>
                  <w:tcW w:w="919" w:type="dxa"/>
                  <w:tcBorders>
                    <w:top w:val="single" w:color="000000" w:sz="4" w:space="0"/>
                    <w:left w:val="single" w:color="000000" w:sz="4" w:space="0"/>
                    <w:bottom w:val="single" w:color="000000" w:sz="4" w:space="0"/>
                    <w:right w:val="single" w:color="000000" w:sz="4" w:space="0"/>
                  </w:tcBorders>
                  <w:vAlign w:val="center"/>
                </w:tcPr>
                <w:p w14:paraId="6B6D3C9E">
                  <w:pPr>
                    <w:wordWrap w:val="0"/>
                    <w:adjustRightInd w:val="0"/>
                    <w:snapToGrid w:val="0"/>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12</w:t>
                  </w:r>
                </w:p>
              </w:tc>
              <w:tc>
                <w:tcPr>
                  <w:tcW w:w="848" w:type="dxa"/>
                  <w:tcBorders>
                    <w:top w:val="single" w:color="000000" w:sz="4" w:space="0"/>
                    <w:left w:val="single" w:color="000000" w:sz="4" w:space="0"/>
                    <w:bottom w:val="single" w:color="000000" w:sz="4" w:space="0"/>
                    <w:right w:val="single" w:color="000000" w:sz="4" w:space="0"/>
                  </w:tcBorders>
                  <w:vAlign w:val="center"/>
                </w:tcPr>
                <w:p w14:paraId="786415AF">
                  <w:pPr>
                    <w:wordWrap w:val="0"/>
                    <w:adjustRightInd w:val="0"/>
                    <w:snapToGrid w:val="0"/>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13</w:t>
                  </w:r>
                </w:p>
              </w:tc>
              <w:tc>
                <w:tcPr>
                  <w:tcW w:w="777" w:type="dxa"/>
                  <w:tcBorders>
                    <w:top w:val="single" w:color="000000" w:sz="4" w:space="0"/>
                    <w:left w:val="single" w:color="000000" w:sz="4" w:space="0"/>
                    <w:bottom w:val="single" w:color="000000" w:sz="4" w:space="0"/>
                    <w:right w:val="single" w:color="000000" w:sz="4" w:space="0"/>
                  </w:tcBorders>
                  <w:vAlign w:val="center"/>
                </w:tcPr>
                <w:p w14:paraId="60434699">
                  <w:pPr>
                    <w:wordWrap w:val="0"/>
                    <w:adjustRightInd w:val="0"/>
                    <w:snapToGrid w:val="0"/>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14</w:t>
                  </w:r>
                </w:p>
              </w:tc>
            </w:tr>
            <w:tr w14:paraId="0CB6BB22">
              <w:tblPrEx>
                <w:tblCellMar>
                  <w:top w:w="0" w:type="dxa"/>
                  <w:left w:w="108" w:type="dxa"/>
                  <w:bottom w:w="0" w:type="dxa"/>
                  <w:right w:w="108" w:type="dxa"/>
                </w:tblCellMar>
              </w:tblPrEx>
              <w:trPr>
                <w:trHeight w:val="437" w:hRule="atLeast"/>
              </w:trPr>
              <w:tc>
                <w:tcPr>
                  <w:tcW w:w="1811" w:type="dxa"/>
                  <w:tcBorders>
                    <w:top w:val="single" w:color="000000" w:sz="4" w:space="0"/>
                    <w:left w:val="single" w:color="000000" w:sz="4" w:space="0"/>
                    <w:bottom w:val="single" w:color="000000" w:sz="4" w:space="0"/>
                    <w:right w:val="single" w:color="000000" w:sz="4" w:space="0"/>
                  </w:tcBorders>
                  <w:vAlign w:val="center"/>
                </w:tcPr>
                <w:p w14:paraId="28949ACB">
                  <w:pPr>
                    <w:wordWrap w:val="0"/>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下浮系数（%）</w:t>
                  </w:r>
                </w:p>
              </w:tc>
              <w:tc>
                <w:tcPr>
                  <w:tcW w:w="1026" w:type="dxa"/>
                  <w:tcBorders>
                    <w:top w:val="single" w:color="000000" w:sz="4" w:space="0"/>
                    <w:left w:val="single" w:color="000000" w:sz="4" w:space="0"/>
                    <w:bottom w:val="single" w:color="000000" w:sz="4" w:space="0"/>
                    <w:right w:val="single" w:color="000000" w:sz="4" w:space="0"/>
                  </w:tcBorders>
                  <w:vAlign w:val="center"/>
                </w:tcPr>
                <w:p w14:paraId="6AC71B0E">
                  <w:pPr>
                    <w:wordWrap w:val="0"/>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1.7</w:t>
                  </w:r>
                </w:p>
              </w:tc>
              <w:tc>
                <w:tcPr>
                  <w:tcW w:w="865" w:type="dxa"/>
                  <w:tcBorders>
                    <w:top w:val="single" w:color="000000" w:sz="4" w:space="0"/>
                    <w:left w:val="single" w:color="000000" w:sz="4" w:space="0"/>
                    <w:bottom w:val="single" w:color="000000" w:sz="4" w:space="0"/>
                    <w:right w:val="single" w:color="000000" w:sz="4" w:space="0"/>
                  </w:tcBorders>
                  <w:vAlign w:val="center"/>
                </w:tcPr>
                <w:p w14:paraId="3555CFD7">
                  <w:pPr>
                    <w:wordWrap w:val="0"/>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1.8</w:t>
                  </w:r>
                </w:p>
              </w:tc>
              <w:tc>
                <w:tcPr>
                  <w:tcW w:w="867" w:type="dxa"/>
                  <w:tcBorders>
                    <w:top w:val="single" w:color="000000" w:sz="4" w:space="0"/>
                    <w:left w:val="single" w:color="000000" w:sz="4" w:space="0"/>
                    <w:bottom w:val="single" w:color="000000" w:sz="4" w:space="0"/>
                    <w:right w:val="single" w:color="000000" w:sz="4" w:space="0"/>
                  </w:tcBorders>
                  <w:vAlign w:val="center"/>
                </w:tcPr>
                <w:p w14:paraId="243BA0C3">
                  <w:pPr>
                    <w:wordWrap w:val="0"/>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1.9</w:t>
                  </w:r>
                </w:p>
              </w:tc>
              <w:tc>
                <w:tcPr>
                  <w:tcW w:w="884" w:type="dxa"/>
                  <w:tcBorders>
                    <w:top w:val="single" w:color="000000" w:sz="4" w:space="0"/>
                    <w:left w:val="single" w:color="000000" w:sz="4" w:space="0"/>
                    <w:bottom w:val="single" w:color="000000" w:sz="4" w:space="0"/>
                    <w:right w:val="single" w:color="000000" w:sz="4" w:space="0"/>
                  </w:tcBorders>
                  <w:vAlign w:val="center"/>
                </w:tcPr>
                <w:p w14:paraId="4E14CB34">
                  <w:pPr>
                    <w:wordWrap w:val="0"/>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2.0</w:t>
                  </w:r>
                </w:p>
              </w:tc>
              <w:tc>
                <w:tcPr>
                  <w:tcW w:w="919" w:type="dxa"/>
                  <w:tcBorders>
                    <w:top w:val="single" w:color="000000" w:sz="4" w:space="0"/>
                    <w:left w:val="single" w:color="000000" w:sz="4" w:space="0"/>
                    <w:bottom w:val="single" w:color="000000" w:sz="4" w:space="0"/>
                    <w:right w:val="single" w:color="000000" w:sz="4" w:space="0"/>
                  </w:tcBorders>
                  <w:vAlign w:val="center"/>
                </w:tcPr>
                <w:p w14:paraId="79ACFADC">
                  <w:pPr>
                    <w:wordWrap w:val="0"/>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2.1</w:t>
                  </w:r>
                </w:p>
              </w:tc>
              <w:tc>
                <w:tcPr>
                  <w:tcW w:w="848" w:type="dxa"/>
                  <w:tcBorders>
                    <w:top w:val="single" w:color="000000" w:sz="4" w:space="0"/>
                    <w:left w:val="single" w:color="000000" w:sz="4" w:space="0"/>
                    <w:bottom w:val="single" w:color="000000" w:sz="4" w:space="0"/>
                    <w:right w:val="single" w:color="000000" w:sz="4" w:space="0"/>
                  </w:tcBorders>
                  <w:vAlign w:val="center"/>
                </w:tcPr>
                <w:p w14:paraId="49BAEC18">
                  <w:pPr>
                    <w:wordWrap w:val="0"/>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2.2</w:t>
                  </w:r>
                </w:p>
              </w:tc>
              <w:tc>
                <w:tcPr>
                  <w:tcW w:w="777" w:type="dxa"/>
                  <w:tcBorders>
                    <w:top w:val="single" w:color="000000" w:sz="4" w:space="0"/>
                    <w:left w:val="single" w:color="000000" w:sz="4" w:space="0"/>
                    <w:bottom w:val="single" w:color="000000" w:sz="4" w:space="0"/>
                    <w:right w:val="single" w:color="000000" w:sz="4" w:space="0"/>
                  </w:tcBorders>
                  <w:vAlign w:val="center"/>
                </w:tcPr>
                <w:p w14:paraId="4CB62D0D">
                  <w:pPr>
                    <w:wordWrap w:val="0"/>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2.3</w:t>
                  </w:r>
                </w:p>
              </w:tc>
            </w:tr>
            <w:tr w14:paraId="2CA4B3EB">
              <w:tblPrEx>
                <w:tblCellMar>
                  <w:top w:w="0" w:type="dxa"/>
                  <w:left w:w="108" w:type="dxa"/>
                  <w:bottom w:w="0" w:type="dxa"/>
                  <w:right w:w="108" w:type="dxa"/>
                </w:tblCellMar>
              </w:tblPrEx>
              <w:trPr>
                <w:trHeight w:val="401" w:hRule="atLeast"/>
              </w:trPr>
              <w:tc>
                <w:tcPr>
                  <w:tcW w:w="1811" w:type="dxa"/>
                  <w:tcBorders>
                    <w:top w:val="single" w:color="000000" w:sz="4" w:space="0"/>
                    <w:left w:val="single" w:color="000000" w:sz="4" w:space="0"/>
                    <w:bottom w:val="single" w:color="000000" w:sz="4" w:space="0"/>
                    <w:right w:val="single" w:color="000000" w:sz="4" w:space="0"/>
                  </w:tcBorders>
                  <w:vAlign w:val="center"/>
                </w:tcPr>
                <w:p w14:paraId="2F216E39">
                  <w:pPr>
                    <w:wordWrap w:val="0"/>
                    <w:adjustRightInd w:val="0"/>
                    <w:snapToGrid w:val="0"/>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号球</w:t>
                  </w:r>
                </w:p>
              </w:tc>
              <w:tc>
                <w:tcPr>
                  <w:tcW w:w="1026" w:type="dxa"/>
                  <w:tcBorders>
                    <w:top w:val="single" w:color="000000" w:sz="4" w:space="0"/>
                    <w:left w:val="single" w:color="000000" w:sz="4" w:space="0"/>
                    <w:bottom w:val="single" w:color="000000" w:sz="4" w:space="0"/>
                    <w:right w:val="single" w:color="000000" w:sz="4" w:space="0"/>
                  </w:tcBorders>
                  <w:vAlign w:val="center"/>
                </w:tcPr>
                <w:p w14:paraId="3FE20ACB">
                  <w:pPr>
                    <w:wordWrap w:val="0"/>
                    <w:adjustRightInd w:val="0"/>
                    <w:snapToGrid w:val="0"/>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15</w:t>
                  </w:r>
                </w:p>
              </w:tc>
              <w:tc>
                <w:tcPr>
                  <w:tcW w:w="865" w:type="dxa"/>
                  <w:tcBorders>
                    <w:top w:val="single" w:color="000000" w:sz="4" w:space="0"/>
                    <w:left w:val="single" w:color="000000" w:sz="4" w:space="0"/>
                    <w:bottom w:val="single" w:color="000000" w:sz="4" w:space="0"/>
                    <w:right w:val="single" w:color="000000" w:sz="4" w:space="0"/>
                  </w:tcBorders>
                  <w:vAlign w:val="center"/>
                </w:tcPr>
                <w:p w14:paraId="4CADCE20">
                  <w:pPr>
                    <w:wordWrap w:val="0"/>
                    <w:adjustRightInd w:val="0"/>
                    <w:snapToGrid w:val="0"/>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16</w:t>
                  </w:r>
                </w:p>
              </w:tc>
              <w:tc>
                <w:tcPr>
                  <w:tcW w:w="867" w:type="dxa"/>
                  <w:tcBorders>
                    <w:top w:val="single" w:color="000000" w:sz="4" w:space="0"/>
                    <w:left w:val="single" w:color="000000" w:sz="4" w:space="0"/>
                    <w:bottom w:val="single" w:color="000000" w:sz="4" w:space="0"/>
                    <w:right w:val="single" w:color="000000" w:sz="4" w:space="0"/>
                  </w:tcBorders>
                  <w:vAlign w:val="center"/>
                </w:tcPr>
                <w:p w14:paraId="5E33D7CE">
                  <w:pPr>
                    <w:wordWrap w:val="0"/>
                    <w:adjustRightInd w:val="0"/>
                    <w:snapToGrid w:val="0"/>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17</w:t>
                  </w:r>
                </w:p>
              </w:tc>
              <w:tc>
                <w:tcPr>
                  <w:tcW w:w="884" w:type="dxa"/>
                  <w:tcBorders>
                    <w:top w:val="single" w:color="000000" w:sz="4" w:space="0"/>
                    <w:left w:val="single" w:color="000000" w:sz="4" w:space="0"/>
                    <w:bottom w:val="single" w:color="000000" w:sz="4" w:space="0"/>
                    <w:right w:val="single" w:color="000000" w:sz="4" w:space="0"/>
                  </w:tcBorders>
                  <w:vAlign w:val="center"/>
                </w:tcPr>
                <w:p w14:paraId="3B2213E8">
                  <w:pPr>
                    <w:wordWrap w:val="0"/>
                    <w:adjustRightInd w:val="0"/>
                    <w:snapToGrid w:val="0"/>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18</w:t>
                  </w:r>
                </w:p>
              </w:tc>
              <w:tc>
                <w:tcPr>
                  <w:tcW w:w="919" w:type="dxa"/>
                  <w:tcBorders>
                    <w:top w:val="single" w:color="000000" w:sz="4" w:space="0"/>
                    <w:left w:val="single" w:color="000000" w:sz="4" w:space="0"/>
                    <w:bottom w:val="single" w:color="000000" w:sz="4" w:space="0"/>
                    <w:right w:val="single" w:color="000000" w:sz="4" w:space="0"/>
                  </w:tcBorders>
                  <w:vAlign w:val="center"/>
                </w:tcPr>
                <w:p w14:paraId="2E227A82">
                  <w:pPr>
                    <w:wordWrap w:val="0"/>
                    <w:adjustRightInd w:val="0"/>
                    <w:snapToGrid w:val="0"/>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19</w:t>
                  </w:r>
                </w:p>
              </w:tc>
              <w:tc>
                <w:tcPr>
                  <w:tcW w:w="848" w:type="dxa"/>
                  <w:tcBorders>
                    <w:top w:val="single" w:color="000000" w:sz="4" w:space="0"/>
                    <w:left w:val="single" w:color="000000" w:sz="4" w:space="0"/>
                    <w:bottom w:val="single" w:color="000000" w:sz="4" w:space="0"/>
                    <w:right w:val="single" w:color="000000" w:sz="4" w:space="0"/>
                  </w:tcBorders>
                  <w:vAlign w:val="center"/>
                </w:tcPr>
                <w:p w14:paraId="0E154984">
                  <w:pPr>
                    <w:wordWrap w:val="0"/>
                    <w:adjustRightInd w:val="0"/>
                    <w:snapToGrid w:val="0"/>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20</w:t>
                  </w:r>
                </w:p>
              </w:tc>
              <w:tc>
                <w:tcPr>
                  <w:tcW w:w="777" w:type="dxa"/>
                  <w:tcBorders>
                    <w:top w:val="single" w:color="000000" w:sz="4" w:space="0"/>
                    <w:left w:val="single" w:color="000000" w:sz="4" w:space="0"/>
                    <w:bottom w:val="single" w:color="000000" w:sz="4" w:space="0"/>
                    <w:right w:val="single" w:color="000000" w:sz="4" w:space="0"/>
                  </w:tcBorders>
                  <w:vAlign w:val="center"/>
                </w:tcPr>
                <w:p w14:paraId="1DF7D763">
                  <w:pPr>
                    <w:wordWrap w:val="0"/>
                    <w:adjustRightInd w:val="0"/>
                    <w:snapToGrid w:val="0"/>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21</w:t>
                  </w:r>
                </w:p>
              </w:tc>
            </w:tr>
            <w:tr w14:paraId="52377968">
              <w:tblPrEx>
                <w:tblCellMar>
                  <w:top w:w="0" w:type="dxa"/>
                  <w:left w:w="108" w:type="dxa"/>
                  <w:bottom w:w="0" w:type="dxa"/>
                  <w:right w:w="108" w:type="dxa"/>
                </w:tblCellMar>
              </w:tblPrEx>
              <w:trPr>
                <w:trHeight w:val="529" w:hRule="atLeast"/>
              </w:trPr>
              <w:tc>
                <w:tcPr>
                  <w:tcW w:w="1811" w:type="dxa"/>
                  <w:tcBorders>
                    <w:top w:val="single" w:color="000000" w:sz="4" w:space="0"/>
                    <w:left w:val="single" w:color="000000" w:sz="4" w:space="0"/>
                    <w:bottom w:val="single" w:color="000000" w:sz="4" w:space="0"/>
                    <w:right w:val="single" w:color="000000" w:sz="4" w:space="0"/>
                  </w:tcBorders>
                  <w:vAlign w:val="center"/>
                </w:tcPr>
                <w:p w14:paraId="7FB6727B">
                  <w:pPr>
                    <w:wordWrap w:val="0"/>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下浮系数（%）</w:t>
                  </w:r>
                </w:p>
              </w:tc>
              <w:tc>
                <w:tcPr>
                  <w:tcW w:w="1026" w:type="dxa"/>
                  <w:tcBorders>
                    <w:top w:val="single" w:color="000000" w:sz="4" w:space="0"/>
                    <w:left w:val="single" w:color="000000" w:sz="4" w:space="0"/>
                    <w:bottom w:val="single" w:color="000000" w:sz="4" w:space="0"/>
                    <w:right w:val="single" w:color="000000" w:sz="4" w:space="0"/>
                  </w:tcBorders>
                  <w:vAlign w:val="center"/>
                </w:tcPr>
                <w:p w14:paraId="247D6532">
                  <w:pPr>
                    <w:wordWrap w:val="0"/>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2.4</w:t>
                  </w:r>
                </w:p>
              </w:tc>
              <w:tc>
                <w:tcPr>
                  <w:tcW w:w="865" w:type="dxa"/>
                  <w:tcBorders>
                    <w:top w:val="single" w:color="000000" w:sz="4" w:space="0"/>
                    <w:left w:val="single" w:color="000000" w:sz="4" w:space="0"/>
                    <w:bottom w:val="single" w:color="000000" w:sz="4" w:space="0"/>
                    <w:right w:val="single" w:color="000000" w:sz="4" w:space="0"/>
                  </w:tcBorders>
                  <w:vAlign w:val="center"/>
                </w:tcPr>
                <w:p w14:paraId="073AC9AD">
                  <w:pPr>
                    <w:wordWrap w:val="0"/>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2.5</w:t>
                  </w:r>
                </w:p>
              </w:tc>
              <w:tc>
                <w:tcPr>
                  <w:tcW w:w="867" w:type="dxa"/>
                  <w:tcBorders>
                    <w:top w:val="single" w:color="000000" w:sz="4" w:space="0"/>
                    <w:left w:val="single" w:color="000000" w:sz="4" w:space="0"/>
                    <w:bottom w:val="single" w:color="000000" w:sz="4" w:space="0"/>
                    <w:right w:val="single" w:color="000000" w:sz="4" w:space="0"/>
                  </w:tcBorders>
                  <w:vAlign w:val="center"/>
                </w:tcPr>
                <w:p w14:paraId="061AC445">
                  <w:pPr>
                    <w:wordWrap w:val="0"/>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2.6</w:t>
                  </w:r>
                </w:p>
              </w:tc>
              <w:tc>
                <w:tcPr>
                  <w:tcW w:w="884" w:type="dxa"/>
                  <w:tcBorders>
                    <w:top w:val="single" w:color="000000" w:sz="4" w:space="0"/>
                    <w:left w:val="single" w:color="000000" w:sz="4" w:space="0"/>
                    <w:bottom w:val="single" w:color="000000" w:sz="4" w:space="0"/>
                    <w:right w:val="single" w:color="000000" w:sz="4" w:space="0"/>
                  </w:tcBorders>
                  <w:vAlign w:val="center"/>
                </w:tcPr>
                <w:p w14:paraId="33ACDFF8">
                  <w:pPr>
                    <w:wordWrap w:val="0"/>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2.7</w:t>
                  </w:r>
                </w:p>
              </w:tc>
              <w:tc>
                <w:tcPr>
                  <w:tcW w:w="919" w:type="dxa"/>
                  <w:tcBorders>
                    <w:top w:val="single" w:color="000000" w:sz="4" w:space="0"/>
                    <w:left w:val="single" w:color="000000" w:sz="4" w:space="0"/>
                    <w:bottom w:val="single" w:color="000000" w:sz="4" w:space="0"/>
                    <w:right w:val="single" w:color="000000" w:sz="4" w:space="0"/>
                  </w:tcBorders>
                  <w:vAlign w:val="center"/>
                </w:tcPr>
                <w:p w14:paraId="0493A154">
                  <w:pPr>
                    <w:wordWrap w:val="0"/>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2.8</w:t>
                  </w:r>
                </w:p>
              </w:tc>
              <w:tc>
                <w:tcPr>
                  <w:tcW w:w="848" w:type="dxa"/>
                  <w:tcBorders>
                    <w:top w:val="single" w:color="000000" w:sz="4" w:space="0"/>
                    <w:left w:val="single" w:color="000000" w:sz="4" w:space="0"/>
                    <w:bottom w:val="single" w:color="000000" w:sz="4" w:space="0"/>
                    <w:right w:val="single" w:color="000000" w:sz="4" w:space="0"/>
                  </w:tcBorders>
                  <w:vAlign w:val="center"/>
                </w:tcPr>
                <w:p w14:paraId="0310700E">
                  <w:pPr>
                    <w:wordWrap w:val="0"/>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2.9</w:t>
                  </w:r>
                </w:p>
              </w:tc>
              <w:tc>
                <w:tcPr>
                  <w:tcW w:w="777" w:type="dxa"/>
                  <w:tcBorders>
                    <w:top w:val="single" w:color="000000" w:sz="4" w:space="0"/>
                    <w:left w:val="single" w:color="000000" w:sz="4" w:space="0"/>
                    <w:bottom w:val="single" w:color="000000" w:sz="4" w:space="0"/>
                    <w:right w:val="single" w:color="000000" w:sz="4" w:space="0"/>
                  </w:tcBorders>
                  <w:vAlign w:val="center"/>
                </w:tcPr>
                <w:p w14:paraId="5BE8EB88">
                  <w:pPr>
                    <w:wordWrap w:val="0"/>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3.0</w:t>
                  </w:r>
                </w:p>
              </w:tc>
            </w:tr>
          </w:tbl>
          <w:p w14:paraId="3F699E3E">
            <w:pPr>
              <w:wordWrap w:val="0"/>
              <w:adjustRightInd w:val="0"/>
              <w:snapToGrid w:val="0"/>
              <w:spacing w:line="36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（2）评标基准价D＝最高投标限价×（1－n）</w:t>
            </w:r>
          </w:p>
        </w:tc>
      </w:tr>
      <w:tr w14:paraId="7D520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9"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34B9F80D">
            <w:pPr>
              <w:wordWrap w:val="0"/>
              <w:adjustRightInd w:val="0"/>
              <w:snapToGrid w:val="0"/>
              <w:spacing w:line="36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投标报价</w:t>
            </w:r>
          </w:p>
          <w:p w14:paraId="61098BDC">
            <w:pPr>
              <w:wordWrap w:val="0"/>
              <w:adjustRightInd w:val="0"/>
              <w:snapToGrid w:val="0"/>
              <w:spacing w:line="360" w:lineRule="auto"/>
              <w:jc w:val="cente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得分</w:t>
            </w:r>
          </w:p>
        </w:tc>
        <w:tc>
          <w:tcPr>
            <w:tcW w:w="8465" w:type="dxa"/>
            <w:gridSpan w:val="3"/>
            <w:tcBorders>
              <w:top w:val="single" w:color="auto" w:sz="4" w:space="0"/>
              <w:left w:val="single" w:color="auto" w:sz="4" w:space="0"/>
              <w:bottom w:val="single" w:color="auto" w:sz="4" w:space="0"/>
              <w:right w:val="single" w:color="auto" w:sz="4" w:space="0"/>
            </w:tcBorders>
            <w:vAlign w:val="center"/>
          </w:tcPr>
          <w:p w14:paraId="0C1BFCB8">
            <w:pPr>
              <w:wordWrap w:val="0"/>
              <w:adjustRightInd w:val="0"/>
              <w:snapToGrid w:val="0"/>
              <w:spacing w:line="36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采用内插法计算某投标人的投标报价得分M</w:t>
            </w:r>
            <w:r>
              <w:rPr>
                <w:rFonts w:hint="eastAsia" w:ascii="宋体" w:hAnsi="宋体" w:cs="宋体"/>
                <w:snapToGrid w:val="0"/>
                <w:color w:val="auto"/>
                <w:kern w:val="0"/>
                <w:sz w:val="24"/>
                <w:szCs w:val="24"/>
                <w:highlight w:val="none"/>
                <w:vertAlign w:val="subscript"/>
              </w:rPr>
              <w:t>3</w:t>
            </w:r>
            <w:r>
              <w:rPr>
                <w:rFonts w:hint="eastAsia" w:ascii="宋体" w:hAnsi="宋体" w:cs="宋体"/>
                <w:snapToGrid w:val="0"/>
                <w:color w:val="auto"/>
                <w:kern w:val="0"/>
                <w:sz w:val="24"/>
                <w:szCs w:val="24"/>
                <w:highlight w:val="none"/>
              </w:rPr>
              <w:t>，即当投标人的投标总价等于评标基准价时得满分，每高于评标基准价一个百分点扣0.5分,每低于评标基准价一个百分点扣0.3分，扣完为止。公式如下：</w:t>
            </w:r>
          </w:p>
          <w:p w14:paraId="5DBF3DC5">
            <w:pPr>
              <w:wordWrap w:val="0"/>
              <w:adjustRightInd w:val="0"/>
              <w:snapToGrid w:val="0"/>
              <w:spacing w:line="360" w:lineRule="auto"/>
              <w:jc w:val="center"/>
              <w:rPr>
                <w:rFonts w:ascii="宋体" w:hAnsi="宋体" w:cs="宋体"/>
                <w:b/>
                <w:bCs/>
                <w:snapToGrid w:val="0"/>
                <w:color w:val="auto"/>
                <w:kern w:val="0"/>
                <w:sz w:val="24"/>
                <w:szCs w:val="24"/>
                <w:highlight w:val="none"/>
              </w:rPr>
            </w:pPr>
            <w:r>
              <w:rPr>
                <w:rFonts w:hint="eastAsia" w:ascii="宋体" w:hAnsi="宋体" w:cs="宋体"/>
                <w:snapToGrid w:val="0"/>
                <w:color w:val="auto"/>
                <w:kern w:val="0"/>
                <w:sz w:val="24"/>
                <w:szCs w:val="24"/>
                <w:highlight w:val="none"/>
              </w:rPr>
              <w:t>M</w:t>
            </w:r>
            <w:r>
              <w:rPr>
                <w:rFonts w:hint="eastAsia" w:ascii="宋体" w:hAnsi="宋体" w:cs="宋体"/>
                <w:snapToGrid w:val="0"/>
                <w:color w:val="auto"/>
                <w:kern w:val="0"/>
                <w:sz w:val="24"/>
                <w:szCs w:val="24"/>
                <w:highlight w:val="none"/>
                <w:vertAlign w:val="subscript"/>
              </w:rPr>
              <w:t>3</w:t>
            </w:r>
            <w:r>
              <w:rPr>
                <w:rFonts w:hint="eastAsia" w:ascii="宋体" w:hAnsi="宋体" w:cs="宋体"/>
                <w:b/>
                <w:bCs/>
                <w:snapToGrid w:val="0"/>
                <w:color w:val="auto"/>
                <w:kern w:val="0"/>
                <w:sz w:val="24"/>
                <w:szCs w:val="24"/>
                <w:highlight w:val="none"/>
              </w:rPr>
              <w:t>＝</w:t>
            </w:r>
            <w:r>
              <w:rPr>
                <w:rFonts w:hint="eastAsia" w:ascii="宋体" w:hAnsi="宋体" w:cs="宋体"/>
                <w:b/>
                <w:bCs/>
                <w:snapToGrid w:val="0"/>
                <w:color w:val="auto"/>
                <w:kern w:val="0"/>
                <w:sz w:val="24"/>
                <w:szCs w:val="24"/>
                <w:highlight w:val="none"/>
                <w:lang w:val="en-US" w:eastAsia="zh-CN"/>
              </w:rPr>
              <w:t>20</w:t>
            </w:r>
            <w:r>
              <w:rPr>
                <w:rFonts w:hint="eastAsia" w:ascii="宋体" w:hAnsi="宋体" w:cs="宋体"/>
                <w:b/>
                <w:bCs/>
                <w:snapToGrid w:val="0"/>
                <w:color w:val="auto"/>
                <w:kern w:val="0"/>
                <w:sz w:val="24"/>
                <w:szCs w:val="24"/>
                <w:highlight w:val="none"/>
              </w:rPr>
              <w:t>－（|Di－D|÷D）×100×E</w:t>
            </w:r>
          </w:p>
          <w:p w14:paraId="4931A078">
            <w:pPr>
              <w:wordWrap w:val="0"/>
              <w:adjustRightInd w:val="0"/>
              <w:snapToGrid w:val="0"/>
              <w:spacing w:line="36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式中：D为评标基准价；Di为某投标人的投标总价；E为扣分因子，当Di＞D时，E＝0.5；当Di＜D时，E＝0.3。</w:t>
            </w:r>
          </w:p>
        </w:tc>
      </w:tr>
    </w:tbl>
    <w:p w14:paraId="37D32724">
      <w:pPr>
        <w:wordWrap w:val="0"/>
        <w:adjustRightInd w:val="0"/>
        <w:snapToGrid w:val="0"/>
        <w:spacing w:line="360" w:lineRule="auto"/>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备注：评分如出现小数点，则保留小数点后两位，第三位四舍五入。</w:t>
      </w:r>
    </w:p>
    <w:bookmarkEnd w:id="124"/>
    <w:p w14:paraId="7235CBB0">
      <w:pPr>
        <w:spacing w:line="420" w:lineRule="exact"/>
        <w:rPr>
          <w:rFonts w:ascii="宋体" w:hAnsi="宋体" w:cs="宋体"/>
          <w:snapToGrid w:val="0"/>
          <w:color w:val="auto"/>
          <w:kern w:val="0"/>
          <w:sz w:val="24"/>
          <w:szCs w:val="24"/>
          <w:highlight w:val="none"/>
        </w:rPr>
        <w:sectPr>
          <w:footerReference r:id="rId7" w:type="default"/>
          <w:endnotePr>
            <w:numFmt w:val="decimal"/>
          </w:endnotePr>
          <w:pgSz w:w="11905" w:h="16838"/>
          <w:pgMar w:top="1440" w:right="1080" w:bottom="1440" w:left="1080" w:header="850" w:footer="992" w:gutter="0"/>
          <w:pgBorders>
            <w:top w:val="none" w:sz="0" w:space="0"/>
            <w:left w:val="none" w:sz="0" w:space="0"/>
            <w:bottom w:val="none" w:sz="0" w:space="0"/>
            <w:right w:val="none" w:sz="0" w:space="0"/>
          </w:pgBorders>
          <w:pgNumType w:start="1"/>
          <w:cols w:space="720" w:num="1"/>
          <w:docGrid w:type="lines" w:linePitch="317" w:charSpace="0"/>
        </w:sectPr>
      </w:pPr>
    </w:p>
    <w:p w14:paraId="1854BB53">
      <w:pPr>
        <w:spacing w:line="42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16.5.2 否决投标说明</w:t>
      </w:r>
    </w:p>
    <w:p w14:paraId="5E76056B">
      <w:pPr>
        <w:wordWrap w:val="0"/>
        <w:adjustRightInd w:val="0"/>
        <w:snapToGrid w:val="0"/>
        <w:spacing w:line="42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详细评审阶段否决投标的全部条件，在本章第四节“否决投标条件”第</w:t>
      </w:r>
      <w:r>
        <w:rPr>
          <w:rFonts w:hint="eastAsia" w:ascii="宋体" w:hAnsi="宋体" w:cs="宋体"/>
          <w:b/>
          <w:bCs/>
          <w:snapToGrid w:val="0"/>
          <w:color w:val="auto"/>
          <w:kern w:val="0"/>
          <w:sz w:val="24"/>
          <w:szCs w:val="24"/>
          <w:highlight w:val="none"/>
        </w:rPr>
        <w:t>4</w:t>
      </w:r>
      <w:r>
        <w:rPr>
          <w:rFonts w:hint="eastAsia" w:ascii="宋体" w:hAnsi="宋体" w:cs="宋体"/>
          <w:snapToGrid w:val="0"/>
          <w:color w:val="auto"/>
          <w:kern w:val="0"/>
          <w:sz w:val="24"/>
          <w:szCs w:val="24"/>
          <w:highlight w:val="none"/>
        </w:rPr>
        <w:t>条中集中列示。投标人有其中所列任何一种情形的，由评标委员会否决其投标。经详细评审后，若所有投标均被否决，招标人应当依法重新招标。</w:t>
      </w:r>
    </w:p>
    <w:p w14:paraId="1504EF61">
      <w:pPr>
        <w:wordWrap w:val="0"/>
        <w:adjustRightInd w:val="0"/>
        <w:snapToGrid w:val="0"/>
        <w:spacing w:line="420" w:lineRule="exact"/>
        <w:ind w:firstLine="482" w:firstLineChars="200"/>
        <w:rPr>
          <w:rFonts w:ascii="宋体" w:hAnsi="宋体" w:cs="宋体"/>
          <w:b/>
          <w:snapToGrid w:val="0"/>
          <w:color w:val="auto"/>
          <w:kern w:val="0"/>
          <w:sz w:val="24"/>
          <w:szCs w:val="24"/>
          <w:highlight w:val="none"/>
        </w:rPr>
      </w:pPr>
      <w:r>
        <w:rPr>
          <w:rFonts w:hint="eastAsia" w:ascii="宋体" w:hAnsi="宋体" w:cs="宋体"/>
          <w:b/>
          <w:bCs/>
          <w:snapToGrid w:val="0"/>
          <w:color w:val="auto"/>
          <w:kern w:val="0"/>
          <w:sz w:val="24"/>
          <w:szCs w:val="24"/>
          <w:highlight w:val="none"/>
        </w:rPr>
        <w:t>注：投标人在详细评审阶段根据评分方法提供的佐证材料，其合法性、有效性和准确性不符合要求的，有关评分因素的评分按相应评分标准处理，但不否决投标。</w:t>
      </w:r>
    </w:p>
    <w:p w14:paraId="59780477">
      <w:pPr>
        <w:pStyle w:val="3"/>
        <w:numPr>
          <w:ilvl w:val="1"/>
          <w:numId w:val="0"/>
        </w:numPr>
        <w:spacing w:before="158" w:after="0" w:afterLines="0" w:line="420" w:lineRule="exact"/>
        <w:rPr>
          <w:rFonts w:cs="宋体"/>
          <w:color w:val="auto"/>
          <w:highlight w:val="none"/>
        </w:rPr>
      </w:pPr>
      <w:bookmarkStart w:id="128" w:name="_Toc32706"/>
      <w:bookmarkStart w:id="129" w:name="_Toc21063"/>
      <w:r>
        <w:rPr>
          <w:rFonts w:hint="eastAsia" w:cs="宋体"/>
          <w:color w:val="auto"/>
          <w:highlight w:val="none"/>
        </w:rPr>
        <w:t>17.推荐中标候选人</w:t>
      </w:r>
      <w:bookmarkEnd w:id="128"/>
      <w:bookmarkEnd w:id="129"/>
    </w:p>
    <w:p w14:paraId="376BF482">
      <w:pPr>
        <w:wordWrap w:val="0"/>
        <w:adjustRightInd w:val="0"/>
        <w:snapToGrid w:val="0"/>
        <w:spacing w:line="42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17.1 确定排名</w:t>
      </w:r>
    </w:p>
    <w:p w14:paraId="6DE9E634">
      <w:pPr>
        <w:wordWrap w:val="0"/>
        <w:adjustRightInd w:val="0"/>
        <w:snapToGrid w:val="0"/>
        <w:spacing w:line="42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评标委员会汇总、比较所有投标人的综合得分后，按照综合得分由高到低的次序排列。综合得分相等时，以投标总价低的优先；如果投标总价也相等的，由评标委员会投票确定。</w:t>
      </w:r>
    </w:p>
    <w:p w14:paraId="7939E76D">
      <w:pPr>
        <w:wordWrap w:val="0"/>
        <w:adjustRightInd w:val="0"/>
        <w:snapToGrid w:val="0"/>
        <w:spacing w:line="42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17.2 推荐方法</w:t>
      </w:r>
    </w:p>
    <w:p w14:paraId="1DE44AA8">
      <w:pPr>
        <w:wordWrap w:val="0"/>
        <w:adjustRightInd w:val="0"/>
        <w:snapToGrid w:val="0"/>
        <w:spacing w:line="42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（1）有效投标人数量达到或超过3个的，评标委员会将前三名投标人作为中标候选人向招标人推荐，并标明排列顺序。</w:t>
      </w:r>
    </w:p>
    <w:p w14:paraId="28AA5B3D">
      <w:pPr>
        <w:wordWrap w:val="0"/>
        <w:adjustRightInd w:val="0"/>
        <w:snapToGrid w:val="0"/>
        <w:spacing w:line="42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087E290C">
      <w:pPr>
        <w:wordWrap w:val="0"/>
        <w:adjustRightInd w:val="0"/>
        <w:snapToGrid w:val="0"/>
        <w:spacing w:line="42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17.3 评标委员会完成评标后，应向招标人提交由全体评标委员会成员签字的评标报告和中标候选人名单。</w:t>
      </w:r>
    </w:p>
    <w:p w14:paraId="31DA51FE">
      <w:pPr>
        <w:pStyle w:val="3"/>
        <w:numPr>
          <w:ilvl w:val="1"/>
          <w:numId w:val="0"/>
        </w:numPr>
        <w:spacing w:before="158" w:after="158" w:line="420" w:lineRule="exact"/>
        <w:rPr>
          <w:rFonts w:cs="宋体"/>
          <w:color w:val="auto"/>
          <w:highlight w:val="none"/>
        </w:rPr>
      </w:pPr>
      <w:bookmarkStart w:id="130" w:name="_Toc854"/>
      <w:bookmarkStart w:id="131" w:name="_Toc9500"/>
      <w:r>
        <w:rPr>
          <w:rFonts w:hint="eastAsia" w:cs="宋体"/>
          <w:color w:val="auto"/>
          <w:highlight w:val="none"/>
        </w:rPr>
        <w:t>18.中标候选人公示</w:t>
      </w:r>
      <w:bookmarkEnd w:id="130"/>
      <w:bookmarkEnd w:id="131"/>
    </w:p>
    <w:p w14:paraId="750D7215">
      <w:pPr>
        <w:wordWrap w:val="0"/>
        <w:adjustRightInd w:val="0"/>
        <w:snapToGrid w:val="0"/>
        <w:spacing w:line="42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18.1招标人自收到评标委员会提交的书面评标报告和中标候选人名单之日起3日内，将评标结果（即中标候选人名单）、中标候选人投标文件（指商务标书分册）、评标过程（评标专家姓名用代码标记）一并在广东省招标投标监管网（http://zbtb.gd.gov.cn）及全国公共资源交易平台（广东省·韶关市）（https://ygp.gdzwfw.gov.cn/ggzy-portal/#/440200/index）进行公示，公示期不得少于3天。</w:t>
      </w:r>
    </w:p>
    <w:p w14:paraId="03BDBE10">
      <w:pPr>
        <w:wordWrap w:val="0"/>
        <w:adjustRightInd w:val="0"/>
        <w:snapToGrid w:val="0"/>
        <w:spacing w:line="42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18.2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暂行办法》（韶发改〔2021〕44号）执行。</w:t>
      </w:r>
    </w:p>
    <w:p w14:paraId="7DB34415">
      <w:pPr>
        <w:wordWrap w:val="0"/>
        <w:adjustRightInd w:val="0"/>
        <w:snapToGrid w:val="0"/>
        <w:spacing w:line="42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18.3 中标候选人公示期满无异议（投诉）后，招标人确定第一中标候选人为中标人，并在中标人确定之日起7日内向中标人发出中标通知书。在中标通知书发出后5个工作日内，韶关市公共资源交易中心将投标保证金（或银行保函）退还给中标候选人以外的投标人。</w:t>
      </w:r>
    </w:p>
    <w:p w14:paraId="3E6FA778">
      <w:pPr>
        <w:pStyle w:val="3"/>
        <w:numPr>
          <w:ilvl w:val="1"/>
          <w:numId w:val="0"/>
        </w:numPr>
        <w:spacing w:before="158" w:after="158" w:line="420" w:lineRule="exact"/>
        <w:rPr>
          <w:rFonts w:cs="宋体"/>
          <w:color w:val="auto"/>
          <w:szCs w:val="24"/>
          <w:highlight w:val="none"/>
        </w:rPr>
      </w:pPr>
      <w:bookmarkStart w:id="132" w:name="_Toc31980"/>
      <w:bookmarkStart w:id="133" w:name="_Toc2752"/>
      <w:r>
        <w:rPr>
          <w:rStyle w:val="39"/>
          <w:rFonts w:hint="eastAsia" w:cs="宋体"/>
          <w:b/>
          <w:bCs/>
          <w:color w:val="auto"/>
          <w:sz w:val="28"/>
          <w:szCs w:val="18"/>
          <w:highlight w:val="none"/>
        </w:rPr>
        <w:br w:type="page"/>
      </w:r>
      <w:bookmarkStart w:id="134" w:name="_Toc19789"/>
      <w:r>
        <w:rPr>
          <w:rStyle w:val="39"/>
          <w:rFonts w:hint="eastAsia" w:cs="宋体"/>
          <w:b/>
          <w:bCs/>
          <w:color w:val="auto"/>
          <w:szCs w:val="24"/>
          <w:highlight w:val="none"/>
        </w:rPr>
        <w:t>第四节 否决投标条件</w:t>
      </w:r>
      <w:bookmarkEnd w:id="132"/>
      <w:bookmarkEnd w:id="133"/>
      <w:bookmarkEnd w:id="134"/>
    </w:p>
    <w:p w14:paraId="12A3599A">
      <w:pPr>
        <w:wordWrap w:val="0"/>
        <w:adjustRightInd w:val="0"/>
        <w:snapToGrid w:val="0"/>
        <w:spacing w:line="420" w:lineRule="exact"/>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本节所集中列示的否决投标条件，是本章第三节“投标人须知正文”的组成部分，是对本章第三节所规定的否决投标条件的总结和补充。</w:t>
      </w:r>
      <w:r>
        <w:rPr>
          <w:rFonts w:hint="eastAsia" w:ascii="宋体" w:hAnsi="宋体" w:cs="宋体"/>
          <w:b/>
          <w:bCs/>
          <w:snapToGrid w:val="0"/>
          <w:color w:val="auto"/>
          <w:kern w:val="0"/>
          <w:sz w:val="24"/>
          <w:szCs w:val="22"/>
          <w:highlight w:val="none"/>
        </w:rPr>
        <w:t>投标人未有列入本节情形的，评标时一律不得否决其投标。</w:t>
      </w:r>
      <w:r>
        <w:rPr>
          <w:rFonts w:hint="eastAsia" w:ascii="宋体" w:hAnsi="宋体" w:cs="宋体"/>
          <w:snapToGrid w:val="0"/>
          <w:color w:val="auto"/>
          <w:kern w:val="0"/>
          <w:sz w:val="24"/>
          <w:szCs w:val="22"/>
          <w:highlight w:val="none"/>
        </w:rPr>
        <w:t>本节所称“规定”均指招标文件的规定。</w:t>
      </w:r>
    </w:p>
    <w:p w14:paraId="52BC5262">
      <w:pPr>
        <w:pStyle w:val="4"/>
        <w:numPr>
          <w:ilvl w:val="2"/>
          <w:numId w:val="0"/>
        </w:numPr>
        <w:spacing w:before="52" w:after="0" w:line="420" w:lineRule="exact"/>
        <w:ind w:left="420" w:leftChars="200"/>
        <w:rPr>
          <w:rFonts w:ascii="宋体" w:hAnsi="宋体" w:cs="宋体"/>
          <w:color w:val="auto"/>
          <w:sz w:val="24"/>
          <w:szCs w:val="24"/>
          <w:highlight w:val="none"/>
        </w:rPr>
      </w:pPr>
      <w:bookmarkStart w:id="135" w:name="_Toc11881"/>
      <w:bookmarkStart w:id="136" w:name="_Toc4139"/>
      <w:bookmarkStart w:id="137" w:name="_Toc22578"/>
      <w:bookmarkStart w:id="138" w:name="_Toc31713"/>
      <w:bookmarkStart w:id="139" w:name="_Toc22301"/>
      <w:r>
        <w:rPr>
          <w:rFonts w:hint="eastAsia" w:ascii="宋体" w:hAnsi="宋体" w:cs="宋体"/>
          <w:color w:val="auto"/>
          <w:sz w:val="24"/>
          <w:szCs w:val="24"/>
          <w:highlight w:val="none"/>
        </w:rPr>
        <w:t>1．资格评审环节</w:t>
      </w:r>
      <w:bookmarkEnd w:id="135"/>
      <w:bookmarkEnd w:id="136"/>
      <w:bookmarkEnd w:id="137"/>
      <w:bookmarkEnd w:id="138"/>
      <w:bookmarkEnd w:id="139"/>
    </w:p>
    <w:p w14:paraId="68C2281E">
      <w:pPr>
        <w:wordWrap w:val="0"/>
        <w:adjustRightInd w:val="0"/>
        <w:snapToGrid w:val="0"/>
        <w:spacing w:line="420" w:lineRule="exact"/>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投标人有下列情形之一的，评标委员会应否决其投标。被否决的投标，不进入形式评审环节。</w:t>
      </w:r>
    </w:p>
    <w:p w14:paraId="7B1AD54C">
      <w:pPr>
        <w:wordWrap w:val="0"/>
        <w:adjustRightInd w:val="0"/>
        <w:snapToGrid w:val="0"/>
        <w:spacing w:line="420" w:lineRule="exact"/>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（1）有本章第三节第</w:t>
      </w:r>
      <w:r>
        <w:rPr>
          <w:rFonts w:hint="eastAsia" w:ascii="宋体" w:hAnsi="宋体" w:cs="宋体"/>
          <w:b/>
          <w:bCs/>
          <w:snapToGrid w:val="0"/>
          <w:color w:val="auto"/>
          <w:kern w:val="0"/>
          <w:sz w:val="24"/>
          <w:szCs w:val="22"/>
          <w:highlight w:val="none"/>
        </w:rPr>
        <w:t>4.4</w:t>
      </w:r>
      <w:r>
        <w:rPr>
          <w:rFonts w:hint="eastAsia" w:ascii="宋体" w:hAnsi="宋体" w:cs="宋体"/>
          <w:snapToGrid w:val="0"/>
          <w:color w:val="auto"/>
          <w:kern w:val="0"/>
          <w:sz w:val="24"/>
          <w:szCs w:val="22"/>
          <w:highlight w:val="none"/>
        </w:rPr>
        <w:t>条“禁止投标条款”规定的任何一种情形；</w:t>
      </w:r>
    </w:p>
    <w:p w14:paraId="71306D87">
      <w:pPr>
        <w:wordWrap w:val="0"/>
        <w:adjustRightInd w:val="0"/>
        <w:snapToGrid w:val="0"/>
        <w:spacing w:line="420" w:lineRule="exact"/>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（2）投标人资质不符合</w:t>
      </w:r>
      <w:r>
        <w:rPr>
          <w:rFonts w:hint="eastAsia" w:ascii="宋体" w:hAnsi="宋体" w:cs="宋体"/>
          <w:snapToGrid w:val="0"/>
          <w:color w:val="auto"/>
          <w:kern w:val="0"/>
          <w:sz w:val="24"/>
          <w:szCs w:val="21"/>
          <w:highlight w:val="none"/>
        </w:rPr>
        <w:t>规定的；</w:t>
      </w:r>
    </w:p>
    <w:p w14:paraId="72F77D90">
      <w:pPr>
        <w:wordWrap w:val="0"/>
        <w:adjustRightInd w:val="0"/>
        <w:snapToGrid w:val="0"/>
        <w:spacing w:line="420" w:lineRule="exact"/>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（3）投标人名称与营业执照、资质证书上的企业名称相互不一致的；其资质证书不是由住房城乡建设主管部门颁发的；营业执照、资质证书被吊销、暂扣或不在有效期内的；</w:t>
      </w:r>
    </w:p>
    <w:p w14:paraId="3EE3D7F8">
      <w:pPr>
        <w:wordWrap w:val="0"/>
        <w:adjustRightInd w:val="0"/>
        <w:snapToGrid w:val="0"/>
        <w:spacing w:line="420" w:lineRule="exact"/>
        <w:ind w:firstLine="480"/>
        <w:rPr>
          <w:rFonts w:ascii="宋体" w:hAnsi="宋体" w:cs="宋体"/>
          <w:b/>
          <w:bCs/>
          <w:snapToGrid w:val="0"/>
          <w:color w:val="auto"/>
          <w:kern w:val="0"/>
          <w:sz w:val="24"/>
          <w:szCs w:val="22"/>
          <w:highlight w:val="none"/>
        </w:rPr>
      </w:pPr>
      <w:r>
        <w:rPr>
          <w:rFonts w:hint="eastAsia" w:ascii="宋体" w:hAnsi="宋体" w:cs="宋体"/>
          <w:b/>
          <w:bCs/>
          <w:snapToGrid w:val="0"/>
          <w:color w:val="auto"/>
          <w:kern w:val="0"/>
          <w:sz w:val="24"/>
          <w:szCs w:val="22"/>
          <w:highlight w:val="none"/>
        </w:rPr>
        <w:t>注：投标人已经工商变更，但其企业资质证书的企业名称未完成变更的，不得否决其投标；投标人营业执照、资质证书之间登记的信息不一致，应当允许投标人澄清，不得直接否决其投标。</w:t>
      </w:r>
    </w:p>
    <w:p w14:paraId="07DF4330">
      <w:pPr>
        <w:wordWrap w:val="0"/>
        <w:adjustRightInd w:val="0"/>
        <w:snapToGrid w:val="0"/>
        <w:spacing w:line="420" w:lineRule="exact"/>
        <w:ind w:firstLine="482" w:firstLineChars="200"/>
        <w:rPr>
          <w:rFonts w:ascii="宋体" w:hAnsi="宋体" w:cs="宋体"/>
          <w:b/>
          <w:bCs/>
          <w:snapToGrid w:val="0"/>
          <w:color w:val="auto"/>
          <w:kern w:val="0"/>
          <w:sz w:val="24"/>
          <w:szCs w:val="22"/>
          <w:highlight w:val="none"/>
        </w:rPr>
      </w:pPr>
      <w:r>
        <w:rPr>
          <w:rFonts w:hint="eastAsia" w:ascii="宋体" w:hAnsi="宋体" w:cs="宋体"/>
          <w:b/>
          <w:bCs/>
          <w:snapToGrid w:val="0"/>
          <w:color w:val="auto"/>
          <w:kern w:val="0"/>
          <w:sz w:val="24"/>
          <w:szCs w:val="22"/>
          <w:highlight w:val="none"/>
        </w:rPr>
        <w:t>投标人的企业相关证书到期的，均按该证书的发证机构相关行业主管部门最新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p>
    <w:p w14:paraId="172580BF">
      <w:pPr>
        <w:numPr>
          <w:ilvl w:val="0"/>
          <w:numId w:val="0"/>
        </w:numPr>
        <w:wordWrap w:val="0"/>
        <w:adjustRightInd w:val="0"/>
        <w:snapToGrid w:val="0"/>
        <w:spacing w:line="420" w:lineRule="exact"/>
        <w:ind w:firstLine="480" w:firstLineChars="200"/>
        <w:rPr>
          <w:rFonts w:ascii="宋体" w:hAnsi="宋体" w:cs="宋体"/>
          <w:snapToGrid w:val="0"/>
          <w:color w:val="auto"/>
          <w:kern w:val="0"/>
          <w:sz w:val="24"/>
          <w:szCs w:val="22"/>
          <w:highlight w:val="none"/>
        </w:rPr>
      </w:pPr>
      <w:r>
        <w:rPr>
          <w:rFonts w:ascii="宋体" w:hAnsi="宋体" w:eastAsia="宋体" w:cs="宋体"/>
          <w:snapToGrid w:val="0"/>
          <w:color w:val="auto"/>
          <w:kern w:val="0"/>
          <w:sz w:val="24"/>
          <w:szCs w:val="22"/>
          <w:highlight w:val="none"/>
          <w:lang w:val="en-US" w:eastAsia="zh-CN" w:bidi="ar-SA"/>
        </w:rPr>
        <w:t>（4）</w:t>
      </w:r>
      <w:r>
        <w:rPr>
          <w:rFonts w:hint="eastAsia" w:ascii="宋体" w:hAnsi="宋体" w:cs="宋体"/>
          <w:snapToGrid w:val="0"/>
          <w:color w:val="auto"/>
          <w:kern w:val="0"/>
          <w:sz w:val="24"/>
          <w:szCs w:val="22"/>
          <w:highlight w:val="none"/>
        </w:rPr>
        <w:t>拟派负责人的条件不符合规定的；</w:t>
      </w:r>
    </w:p>
    <w:p w14:paraId="0CD0486C">
      <w:pPr>
        <w:numPr>
          <w:ilvl w:val="0"/>
          <w:numId w:val="0"/>
        </w:numPr>
        <w:wordWrap w:val="0"/>
        <w:adjustRightInd w:val="0"/>
        <w:snapToGrid w:val="0"/>
        <w:spacing w:line="420" w:lineRule="exact"/>
        <w:ind w:firstLine="480" w:firstLineChars="200"/>
        <w:rPr>
          <w:rFonts w:ascii="宋体" w:hAnsi="宋体" w:cs="宋体"/>
          <w:snapToGrid w:val="0"/>
          <w:color w:val="auto"/>
          <w:kern w:val="0"/>
          <w:sz w:val="24"/>
          <w:szCs w:val="21"/>
          <w:highlight w:val="none"/>
        </w:rPr>
      </w:pPr>
      <w:r>
        <w:rPr>
          <w:rFonts w:ascii="宋体" w:hAnsi="宋体" w:eastAsia="宋体" w:cs="宋体"/>
          <w:snapToGrid w:val="0"/>
          <w:color w:val="auto"/>
          <w:kern w:val="0"/>
          <w:sz w:val="24"/>
          <w:szCs w:val="21"/>
          <w:highlight w:val="none"/>
          <w:lang w:val="en-US" w:eastAsia="zh-CN" w:bidi="ar-SA"/>
        </w:rPr>
        <w:t>（5）</w:t>
      </w:r>
      <w:r>
        <w:rPr>
          <w:rFonts w:hint="eastAsia" w:ascii="宋体" w:hAnsi="宋体" w:cs="宋体"/>
          <w:snapToGrid w:val="0"/>
          <w:color w:val="auto"/>
          <w:kern w:val="0"/>
          <w:sz w:val="24"/>
          <w:szCs w:val="21"/>
          <w:highlight w:val="none"/>
        </w:rPr>
        <w:t>联合体投标，未提交《联合体协议书》的；擅自修改、遗漏《联合体协议书》实质性内容的；联合体成员的数量、资质不符合规定的；联合体成员同时以自己名义单独投标或者参加其他联合体投标的；</w:t>
      </w:r>
    </w:p>
    <w:p w14:paraId="01D02977">
      <w:pPr>
        <w:numPr>
          <w:ilvl w:val="0"/>
          <w:numId w:val="0"/>
        </w:numPr>
        <w:wordWrap w:val="0"/>
        <w:adjustRightInd w:val="0"/>
        <w:snapToGrid w:val="0"/>
        <w:spacing w:line="420" w:lineRule="exact"/>
        <w:ind w:firstLine="480" w:firstLineChars="200"/>
        <w:rPr>
          <w:rFonts w:ascii="宋体" w:hAnsi="宋体" w:cs="宋体"/>
          <w:snapToGrid w:val="0"/>
          <w:color w:val="auto"/>
          <w:kern w:val="0"/>
          <w:sz w:val="24"/>
          <w:szCs w:val="21"/>
          <w:highlight w:val="none"/>
        </w:rPr>
      </w:pPr>
      <w:r>
        <w:rPr>
          <w:rFonts w:ascii="宋体" w:hAnsi="宋体" w:eastAsia="宋体" w:cs="宋体"/>
          <w:snapToGrid w:val="0"/>
          <w:color w:val="auto"/>
          <w:kern w:val="0"/>
          <w:sz w:val="24"/>
          <w:szCs w:val="21"/>
          <w:highlight w:val="none"/>
          <w:lang w:val="en-US" w:eastAsia="zh-CN" w:bidi="ar-SA"/>
        </w:rPr>
        <w:t>（6）</w:t>
      </w:r>
      <w:r>
        <w:rPr>
          <w:rFonts w:hint="eastAsia" w:ascii="宋体" w:hAnsi="宋体" w:cs="宋体"/>
          <w:snapToGrid w:val="0"/>
          <w:color w:val="auto"/>
          <w:kern w:val="0"/>
          <w:sz w:val="24"/>
          <w:szCs w:val="21"/>
          <w:highlight w:val="none"/>
        </w:rPr>
        <w:t>投标人为外省企业，但未提供“进粤企业和人员诚信信息登记平台”企业信息情况网页截图的。</w:t>
      </w:r>
    </w:p>
    <w:p w14:paraId="7EC9AD1B">
      <w:pPr>
        <w:pStyle w:val="4"/>
        <w:numPr>
          <w:ilvl w:val="2"/>
          <w:numId w:val="0"/>
        </w:numPr>
        <w:spacing w:before="52" w:after="0" w:line="420" w:lineRule="exact"/>
        <w:ind w:left="420" w:leftChars="200"/>
        <w:rPr>
          <w:rFonts w:ascii="宋体" w:hAnsi="宋体" w:cs="宋体"/>
          <w:color w:val="auto"/>
          <w:sz w:val="24"/>
          <w:szCs w:val="24"/>
          <w:highlight w:val="none"/>
        </w:rPr>
      </w:pPr>
      <w:bookmarkStart w:id="140" w:name="_Toc17710"/>
      <w:bookmarkStart w:id="141" w:name="_Toc28069"/>
      <w:bookmarkStart w:id="142" w:name="_Toc32171"/>
      <w:bookmarkStart w:id="143" w:name="_Toc22692"/>
      <w:bookmarkStart w:id="144" w:name="_Toc276"/>
      <w:r>
        <w:rPr>
          <w:rFonts w:hint="eastAsia" w:ascii="宋体" w:hAnsi="宋体" w:cs="宋体"/>
          <w:color w:val="auto"/>
          <w:sz w:val="24"/>
          <w:szCs w:val="24"/>
          <w:highlight w:val="none"/>
        </w:rPr>
        <w:t>2．形式评审环节</w:t>
      </w:r>
      <w:bookmarkEnd w:id="140"/>
      <w:bookmarkEnd w:id="141"/>
      <w:bookmarkEnd w:id="142"/>
      <w:bookmarkEnd w:id="143"/>
      <w:bookmarkEnd w:id="144"/>
    </w:p>
    <w:p w14:paraId="777A08C2">
      <w:pPr>
        <w:wordWrap w:val="0"/>
        <w:adjustRightInd w:val="0"/>
        <w:snapToGrid w:val="0"/>
        <w:spacing w:line="420" w:lineRule="exact"/>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投标人有下列情形之一的，评标委员会应否决其投标。被否决的投标，不进入响应性评审环节。</w:t>
      </w:r>
    </w:p>
    <w:p w14:paraId="2655AE6E">
      <w:pPr>
        <w:numPr>
          <w:ilvl w:val="0"/>
          <w:numId w:val="0"/>
        </w:numPr>
        <w:wordWrap w:val="0"/>
        <w:adjustRightInd w:val="0"/>
        <w:snapToGrid w:val="0"/>
        <w:spacing w:line="420" w:lineRule="exact"/>
        <w:ind w:firstLine="480" w:firstLineChars="200"/>
        <w:rPr>
          <w:rFonts w:hint="eastAsia" w:ascii="宋体" w:hAnsi="宋体" w:cs="宋体"/>
          <w:snapToGrid w:val="0"/>
          <w:color w:val="auto"/>
          <w:kern w:val="0"/>
          <w:sz w:val="24"/>
          <w:szCs w:val="21"/>
          <w:highlight w:val="none"/>
        </w:rPr>
      </w:pPr>
      <w:bookmarkStart w:id="145" w:name="_Toc24680"/>
      <w:bookmarkStart w:id="146" w:name="_Toc14299"/>
      <w:bookmarkStart w:id="147" w:name="_Toc29122"/>
      <w:bookmarkStart w:id="148" w:name="_Toc26983"/>
      <w:bookmarkStart w:id="149" w:name="_Toc24528"/>
      <w:r>
        <w:rPr>
          <w:rFonts w:hint="eastAsia" w:ascii="宋体" w:hAnsi="宋体" w:cs="宋体"/>
          <w:snapToGrid w:val="0"/>
          <w:color w:val="auto"/>
          <w:kern w:val="0"/>
          <w:sz w:val="24"/>
          <w:szCs w:val="21"/>
          <w:highlight w:val="none"/>
        </w:rPr>
        <w:t>（1）投标文件的分册组成不符合规定的；</w:t>
      </w:r>
      <w:bookmarkEnd w:id="145"/>
    </w:p>
    <w:p w14:paraId="345832F5">
      <w:pPr>
        <w:numPr>
          <w:ilvl w:val="0"/>
          <w:numId w:val="0"/>
        </w:numPr>
        <w:wordWrap w:val="0"/>
        <w:adjustRightInd w:val="0"/>
        <w:snapToGrid w:val="0"/>
        <w:spacing w:line="420" w:lineRule="exact"/>
        <w:ind w:firstLine="480" w:firstLineChars="200"/>
        <w:rPr>
          <w:rFonts w:hint="eastAsia" w:ascii="宋体" w:hAnsi="宋体" w:cs="宋体"/>
          <w:snapToGrid w:val="0"/>
          <w:color w:val="auto"/>
          <w:kern w:val="0"/>
          <w:sz w:val="24"/>
          <w:szCs w:val="21"/>
          <w:highlight w:val="none"/>
        </w:rPr>
      </w:pPr>
      <w:bookmarkStart w:id="150" w:name="_Toc1703"/>
      <w:r>
        <w:rPr>
          <w:rFonts w:hint="eastAsia" w:ascii="宋体" w:hAnsi="宋体" w:cs="宋体"/>
          <w:snapToGrid w:val="0"/>
          <w:color w:val="auto"/>
          <w:kern w:val="0"/>
          <w:sz w:val="24"/>
          <w:szCs w:val="21"/>
          <w:highlight w:val="none"/>
        </w:rPr>
        <w:t>（2）本章第三节第10.2.2目、第10.3.2目中规定的“所有投标人均应提供”的组成内</w:t>
      </w:r>
      <w:bookmarkEnd w:id="150"/>
      <w:bookmarkStart w:id="151" w:name="_Toc29593"/>
      <w:r>
        <w:rPr>
          <w:rFonts w:hint="eastAsia" w:ascii="宋体" w:hAnsi="宋体" w:cs="宋体"/>
          <w:snapToGrid w:val="0"/>
          <w:color w:val="auto"/>
          <w:kern w:val="0"/>
          <w:sz w:val="24"/>
          <w:szCs w:val="21"/>
          <w:highlight w:val="none"/>
        </w:rPr>
        <w:t>容（包括该组成内容的所附资料）中，任何一项有缺漏的；</w:t>
      </w:r>
      <w:bookmarkEnd w:id="151"/>
    </w:p>
    <w:p w14:paraId="2D1C8810">
      <w:pPr>
        <w:numPr>
          <w:ilvl w:val="0"/>
          <w:numId w:val="0"/>
        </w:numPr>
        <w:wordWrap w:val="0"/>
        <w:adjustRightInd w:val="0"/>
        <w:snapToGrid w:val="0"/>
        <w:spacing w:line="420" w:lineRule="exact"/>
        <w:ind w:firstLine="480" w:firstLineChars="200"/>
        <w:rPr>
          <w:rFonts w:hint="eastAsia" w:ascii="宋体" w:hAnsi="宋体" w:cs="宋体"/>
          <w:snapToGrid w:val="0"/>
          <w:color w:val="auto"/>
          <w:kern w:val="0"/>
          <w:sz w:val="24"/>
          <w:szCs w:val="21"/>
          <w:highlight w:val="none"/>
        </w:rPr>
      </w:pPr>
      <w:bookmarkStart w:id="152" w:name="_Toc30567"/>
      <w:r>
        <w:rPr>
          <w:rFonts w:hint="eastAsia" w:ascii="宋体" w:hAnsi="宋体" w:cs="宋体"/>
          <w:snapToGrid w:val="0"/>
          <w:color w:val="auto"/>
          <w:kern w:val="0"/>
          <w:sz w:val="24"/>
          <w:szCs w:val="21"/>
          <w:highlight w:val="none"/>
        </w:rPr>
        <w:t>（3）关键字迹模糊、无法辨认，且该种过错将导致评标委员会无法作出投标文件是否响</w:t>
      </w:r>
      <w:bookmarkEnd w:id="152"/>
      <w:bookmarkStart w:id="153" w:name="_Toc3841"/>
      <w:r>
        <w:rPr>
          <w:rFonts w:hint="eastAsia" w:ascii="宋体" w:hAnsi="宋体" w:cs="宋体"/>
          <w:snapToGrid w:val="0"/>
          <w:color w:val="auto"/>
          <w:kern w:val="0"/>
          <w:sz w:val="24"/>
          <w:szCs w:val="21"/>
          <w:highlight w:val="none"/>
        </w:rPr>
        <w:t>应招标文件实质性要求的；出现手工涂改、行间插字或删除，但未加盖单位章或由投标人的法定代表人或其委托代理人签字确认的；</w:t>
      </w:r>
      <w:bookmarkEnd w:id="153"/>
    </w:p>
    <w:p w14:paraId="377EB724">
      <w:pPr>
        <w:numPr>
          <w:ilvl w:val="0"/>
          <w:numId w:val="0"/>
        </w:numPr>
        <w:wordWrap w:val="0"/>
        <w:adjustRightInd w:val="0"/>
        <w:snapToGrid w:val="0"/>
        <w:spacing w:line="420" w:lineRule="exact"/>
        <w:ind w:firstLine="480" w:firstLineChars="200"/>
        <w:rPr>
          <w:rFonts w:hint="eastAsia" w:ascii="宋体" w:hAnsi="宋体" w:eastAsia="宋体" w:cs="宋体"/>
          <w:snapToGrid w:val="0"/>
          <w:color w:val="auto"/>
          <w:kern w:val="0"/>
          <w:sz w:val="24"/>
          <w:szCs w:val="21"/>
          <w:highlight w:val="none"/>
          <w:lang w:eastAsia="zh-CN"/>
        </w:rPr>
      </w:pPr>
      <w:bookmarkStart w:id="154" w:name="_Toc5718"/>
      <w:r>
        <w:rPr>
          <w:rFonts w:hint="eastAsia" w:ascii="宋体" w:hAnsi="宋体" w:cs="宋体"/>
          <w:snapToGrid w:val="0"/>
          <w:color w:val="auto"/>
          <w:kern w:val="0"/>
          <w:sz w:val="24"/>
          <w:szCs w:val="21"/>
          <w:highlight w:val="none"/>
        </w:rPr>
        <w:t>（4）投标文件未按规定签字、盖章的</w:t>
      </w:r>
      <w:bookmarkEnd w:id="154"/>
      <w:r>
        <w:rPr>
          <w:rFonts w:hint="eastAsia" w:ascii="宋体" w:hAnsi="宋体" w:cs="宋体"/>
          <w:snapToGrid w:val="0"/>
          <w:color w:val="auto"/>
          <w:kern w:val="0"/>
          <w:sz w:val="24"/>
          <w:szCs w:val="21"/>
          <w:highlight w:val="none"/>
          <w:lang w:eastAsia="zh-CN"/>
        </w:rPr>
        <w:t>。</w:t>
      </w:r>
    </w:p>
    <w:p w14:paraId="7BA04B25">
      <w:pPr>
        <w:pStyle w:val="4"/>
        <w:numPr>
          <w:ilvl w:val="2"/>
          <w:numId w:val="0"/>
        </w:numPr>
        <w:spacing w:before="52" w:after="0" w:line="420" w:lineRule="exact"/>
        <w:ind w:left="420" w:leftChars="200"/>
        <w:rPr>
          <w:rFonts w:ascii="宋体" w:hAnsi="宋体" w:cs="宋体"/>
          <w:color w:val="auto"/>
          <w:sz w:val="24"/>
          <w:szCs w:val="24"/>
          <w:highlight w:val="none"/>
        </w:rPr>
      </w:pPr>
      <w:bookmarkStart w:id="155" w:name="_Toc12378"/>
      <w:r>
        <w:rPr>
          <w:rFonts w:hint="eastAsia" w:ascii="宋体" w:hAnsi="宋体" w:cs="宋体"/>
          <w:color w:val="auto"/>
          <w:sz w:val="24"/>
          <w:szCs w:val="24"/>
          <w:highlight w:val="none"/>
        </w:rPr>
        <w:t>3．响应性评审环节</w:t>
      </w:r>
      <w:bookmarkEnd w:id="146"/>
      <w:bookmarkEnd w:id="147"/>
      <w:bookmarkEnd w:id="148"/>
      <w:bookmarkEnd w:id="149"/>
      <w:bookmarkEnd w:id="155"/>
    </w:p>
    <w:p w14:paraId="50BD20FB">
      <w:pPr>
        <w:numPr>
          <w:ilvl w:val="0"/>
          <w:numId w:val="0"/>
        </w:numPr>
        <w:wordWrap w:val="0"/>
        <w:adjustRightInd w:val="0"/>
        <w:snapToGrid w:val="0"/>
        <w:spacing w:line="420" w:lineRule="exact"/>
        <w:ind w:firstLine="480" w:firstLineChars="200"/>
        <w:rPr>
          <w:rFonts w:hint="eastAsia" w:ascii="宋体" w:hAnsi="宋体" w:cs="宋体"/>
          <w:snapToGrid w:val="0"/>
          <w:color w:val="auto"/>
          <w:kern w:val="0"/>
          <w:sz w:val="24"/>
          <w:szCs w:val="21"/>
          <w:highlight w:val="none"/>
        </w:rPr>
      </w:pPr>
      <w:r>
        <w:rPr>
          <w:rFonts w:hint="eastAsia" w:ascii="宋体" w:hAnsi="宋体" w:cs="宋体"/>
          <w:snapToGrid w:val="0"/>
          <w:color w:val="auto"/>
          <w:kern w:val="0"/>
          <w:sz w:val="24"/>
          <w:szCs w:val="21"/>
          <w:highlight w:val="none"/>
        </w:rPr>
        <w:t>投标人有下列情形之一的，评标委员会应否决其投标。被否决的投标，不进入详细评审阶段。</w:t>
      </w:r>
    </w:p>
    <w:p w14:paraId="29F75DA7">
      <w:pPr>
        <w:numPr>
          <w:ilvl w:val="0"/>
          <w:numId w:val="0"/>
        </w:numPr>
        <w:wordWrap w:val="0"/>
        <w:adjustRightInd w:val="0"/>
        <w:snapToGrid w:val="0"/>
        <w:spacing w:line="420" w:lineRule="exact"/>
        <w:ind w:firstLine="480" w:firstLineChars="200"/>
        <w:rPr>
          <w:rFonts w:hint="eastAsia" w:ascii="宋体" w:hAnsi="宋体" w:cs="宋体"/>
          <w:snapToGrid w:val="0"/>
          <w:color w:val="auto"/>
          <w:kern w:val="0"/>
          <w:sz w:val="24"/>
          <w:szCs w:val="21"/>
          <w:highlight w:val="none"/>
        </w:rPr>
      </w:pPr>
      <w:bookmarkStart w:id="156" w:name="_Toc17137"/>
      <w:bookmarkStart w:id="157" w:name="_Toc19353"/>
      <w:bookmarkStart w:id="158" w:name="_Toc6331"/>
      <w:bookmarkStart w:id="159" w:name="_Toc7584"/>
      <w:bookmarkStart w:id="160" w:name="_Toc20070"/>
      <w:r>
        <w:rPr>
          <w:rFonts w:hint="eastAsia" w:ascii="宋体" w:hAnsi="宋体" w:cs="宋体"/>
          <w:snapToGrid w:val="0"/>
          <w:color w:val="auto"/>
          <w:kern w:val="0"/>
          <w:sz w:val="24"/>
          <w:szCs w:val="21"/>
          <w:highlight w:val="none"/>
        </w:rPr>
        <w:t>（1）投标有效期、工期不符合规定的；擅自修改、遗漏《投标函》《各项承诺一览表》</w:t>
      </w:r>
      <w:bookmarkEnd w:id="156"/>
      <w:bookmarkStart w:id="161" w:name="_Toc22324"/>
      <w:r>
        <w:rPr>
          <w:rFonts w:hint="eastAsia" w:ascii="宋体" w:hAnsi="宋体" w:cs="宋体"/>
          <w:snapToGrid w:val="0"/>
          <w:color w:val="auto"/>
          <w:kern w:val="0"/>
          <w:sz w:val="24"/>
          <w:szCs w:val="21"/>
          <w:highlight w:val="none"/>
        </w:rPr>
        <w:t>实质性内容的；</w:t>
      </w:r>
      <w:bookmarkEnd w:id="161"/>
    </w:p>
    <w:p w14:paraId="52172D19">
      <w:pPr>
        <w:numPr>
          <w:ilvl w:val="0"/>
          <w:numId w:val="0"/>
        </w:numPr>
        <w:wordWrap w:val="0"/>
        <w:adjustRightInd w:val="0"/>
        <w:snapToGrid w:val="0"/>
        <w:spacing w:line="420" w:lineRule="exact"/>
        <w:ind w:firstLine="480" w:firstLineChars="200"/>
        <w:rPr>
          <w:rFonts w:hint="eastAsia" w:ascii="宋体" w:hAnsi="宋体" w:cs="宋体"/>
          <w:snapToGrid w:val="0"/>
          <w:color w:val="auto"/>
          <w:kern w:val="0"/>
          <w:sz w:val="24"/>
          <w:szCs w:val="21"/>
          <w:highlight w:val="none"/>
        </w:rPr>
      </w:pPr>
      <w:bookmarkStart w:id="162" w:name="_Toc11396"/>
      <w:r>
        <w:rPr>
          <w:rFonts w:hint="eastAsia" w:ascii="宋体" w:hAnsi="宋体" w:cs="宋体"/>
          <w:snapToGrid w:val="0"/>
          <w:color w:val="auto"/>
          <w:kern w:val="0"/>
          <w:sz w:val="24"/>
          <w:szCs w:val="21"/>
          <w:highlight w:val="none"/>
        </w:rPr>
        <w:t>（2）出现两个或两个以上投标总价的（同一个投标总价大、小写不一致的除外）；投标</w:t>
      </w:r>
      <w:bookmarkEnd w:id="162"/>
      <w:bookmarkStart w:id="163" w:name="_Toc21436"/>
      <w:r>
        <w:rPr>
          <w:rFonts w:hint="eastAsia" w:ascii="宋体" w:hAnsi="宋体" w:cs="宋体"/>
          <w:snapToGrid w:val="0"/>
          <w:color w:val="auto"/>
          <w:kern w:val="0"/>
          <w:sz w:val="24"/>
          <w:szCs w:val="21"/>
          <w:highlight w:val="none"/>
        </w:rPr>
        <w:t>总价超出最高投标总价限价的；勘察费及初步设计费超出对应的最高投标限价的；</w:t>
      </w:r>
      <w:bookmarkEnd w:id="163"/>
    </w:p>
    <w:p w14:paraId="6133591C">
      <w:pPr>
        <w:numPr>
          <w:ilvl w:val="0"/>
          <w:numId w:val="0"/>
        </w:numPr>
        <w:wordWrap w:val="0"/>
        <w:adjustRightInd w:val="0"/>
        <w:snapToGrid w:val="0"/>
        <w:spacing w:line="420" w:lineRule="exact"/>
        <w:ind w:firstLine="480" w:firstLineChars="200"/>
        <w:rPr>
          <w:rFonts w:hint="eastAsia" w:ascii="宋体" w:hAnsi="宋体" w:cs="宋体"/>
          <w:snapToGrid w:val="0"/>
          <w:color w:val="auto"/>
          <w:kern w:val="0"/>
          <w:sz w:val="24"/>
          <w:szCs w:val="21"/>
          <w:highlight w:val="none"/>
        </w:rPr>
      </w:pPr>
      <w:bookmarkStart w:id="164" w:name="_Toc4177"/>
      <w:r>
        <w:rPr>
          <w:rFonts w:hint="eastAsia" w:ascii="宋体" w:hAnsi="宋体" w:cs="宋体"/>
          <w:snapToGrid w:val="0"/>
          <w:color w:val="auto"/>
          <w:kern w:val="0"/>
          <w:sz w:val="24"/>
          <w:szCs w:val="21"/>
          <w:highlight w:val="none"/>
        </w:rPr>
        <w:t>（3）在技术标书评审中，评标委员会认定质量、保障措施与国家和省市现行有关规范、</w:t>
      </w:r>
      <w:bookmarkEnd w:id="164"/>
      <w:bookmarkStart w:id="165" w:name="_Toc3273"/>
      <w:r>
        <w:rPr>
          <w:rFonts w:hint="eastAsia" w:ascii="宋体" w:hAnsi="宋体" w:cs="宋体"/>
          <w:snapToGrid w:val="0"/>
          <w:color w:val="auto"/>
          <w:kern w:val="0"/>
          <w:sz w:val="24"/>
          <w:szCs w:val="21"/>
          <w:highlight w:val="none"/>
        </w:rPr>
        <w:t>定、标准有重大偏差，且该种过错将导致工程质量、进度管理目标无法实现的。</w:t>
      </w:r>
      <w:bookmarkEnd w:id="165"/>
    </w:p>
    <w:p w14:paraId="16F70A90">
      <w:pPr>
        <w:pStyle w:val="4"/>
        <w:numPr>
          <w:ilvl w:val="2"/>
          <w:numId w:val="0"/>
        </w:numPr>
        <w:spacing w:before="52" w:after="0" w:line="420" w:lineRule="exact"/>
        <w:ind w:left="420" w:leftChars="200"/>
        <w:rPr>
          <w:rFonts w:ascii="宋体" w:hAnsi="宋体" w:cs="宋体"/>
          <w:color w:val="auto"/>
          <w:sz w:val="24"/>
          <w:szCs w:val="24"/>
          <w:highlight w:val="none"/>
        </w:rPr>
      </w:pPr>
      <w:bookmarkStart w:id="166" w:name="_Toc26090"/>
      <w:r>
        <w:rPr>
          <w:rFonts w:hint="eastAsia" w:ascii="宋体" w:hAnsi="宋体" w:cs="宋体"/>
          <w:color w:val="auto"/>
          <w:sz w:val="24"/>
          <w:szCs w:val="24"/>
          <w:highlight w:val="none"/>
        </w:rPr>
        <w:t>4．其他</w:t>
      </w:r>
      <w:bookmarkEnd w:id="157"/>
      <w:bookmarkEnd w:id="158"/>
      <w:bookmarkEnd w:id="159"/>
      <w:bookmarkEnd w:id="160"/>
      <w:bookmarkEnd w:id="166"/>
    </w:p>
    <w:p w14:paraId="054A87FA">
      <w:pPr>
        <w:wordWrap w:val="0"/>
        <w:adjustRightInd w:val="0"/>
        <w:snapToGrid w:val="0"/>
        <w:spacing w:line="420" w:lineRule="exact"/>
        <w:ind w:firstLine="480" w:firstLineChars="200"/>
        <w:rPr>
          <w:rFonts w:ascii="宋体" w:hAnsi="宋体" w:cs="宋体"/>
          <w:snapToGrid w:val="0"/>
          <w:color w:val="auto"/>
          <w:kern w:val="0"/>
          <w:sz w:val="24"/>
          <w:szCs w:val="28"/>
          <w:highlight w:val="none"/>
        </w:rPr>
      </w:pPr>
      <w:r>
        <w:rPr>
          <w:rFonts w:hint="eastAsia" w:ascii="宋体" w:hAnsi="宋体" w:cs="宋体"/>
          <w:snapToGrid w:val="0"/>
          <w:color w:val="auto"/>
          <w:kern w:val="0"/>
          <w:sz w:val="24"/>
          <w:szCs w:val="22"/>
          <w:highlight w:val="none"/>
        </w:rPr>
        <w:t>在任何评标环节（或阶段），投标人有下列情形之一的，评标委员会应否决其投标。</w:t>
      </w:r>
      <w:r>
        <w:rPr>
          <w:rFonts w:hint="eastAsia" w:ascii="宋体" w:hAnsi="宋体" w:cs="宋体"/>
          <w:snapToGrid w:val="0"/>
          <w:color w:val="auto"/>
          <w:kern w:val="0"/>
          <w:sz w:val="24"/>
          <w:szCs w:val="28"/>
          <w:highlight w:val="none"/>
        </w:rPr>
        <w:t>被否决的投标，不进入下一环节（或阶段）。</w:t>
      </w:r>
    </w:p>
    <w:p w14:paraId="5A9E371C">
      <w:pPr>
        <w:wordWrap w:val="0"/>
        <w:adjustRightInd w:val="0"/>
        <w:snapToGrid w:val="0"/>
        <w:spacing w:line="420" w:lineRule="exact"/>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（1）不按评标委员会要求澄清、说明或补正的；</w:t>
      </w:r>
    </w:p>
    <w:p w14:paraId="323EE433">
      <w:pPr>
        <w:wordWrap w:val="0"/>
        <w:adjustRightInd w:val="0"/>
        <w:snapToGrid w:val="0"/>
        <w:spacing w:line="420" w:lineRule="exact"/>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（2）有下列情形之一，被评标委员会认定属于串通投标的：</w:t>
      </w:r>
    </w:p>
    <w:p w14:paraId="7C56DDDA">
      <w:pPr>
        <w:wordWrap w:val="0"/>
        <w:adjustRightInd w:val="0"/>
        <w:snapToGrid w:val="0"/>
        <w:spacing w:line="420" w:lineRule="exact"/>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①不同投标人的投标文件两处以上（含两处）错、漏一致；</w:t>
      </w:r>
    </w:p>
    <w:p w14:paraId="75189EF3">
      <w:pPr>
        <w:wordWrap w:val="0"/>
        <w:adjustRightInd w:val="0"/>
        <w:snapToGrid w:val="0"/>
        <w:spacing w:line="420" w:lineRule="exact"/>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②不同投标人的投标各项报价存在异常一致或者呈规律性变化；</w:t>
      </w:r>
    </w:p>
    <w:p w14:paraId="78780CA1">
      <w:pPr>
        <w:wordWrap w:val="0"/>
        <w:adjustRightInd w:val="0"/>
        <w:snapToGrid w:val="0"/>
        <w:spacing w:line="420" w:lineRule="exact"/>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③不同投标人的投标文件由同一单位或者同一个人编制；</w:t>
      </w:r>
    </w:p>
    <w:p w14:paraId="2D7B3381">
      <w:pPr>
        <w:wordWrap w:val="0"/>
        <w:adjustRightInd w:val="0"/>
        <w:snapToGrid w:val="0"/>
        <w:spacing w:line="420" w:lineRule="exact"/>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④不同投标人的投标文件中投标资料（包括电子资料）相互混装或项目班子成员出现同一人；</w:t>
      </w:r>
    </w:p>
    <w:p w14:paraId="50A8EF55">
      <w:pPr>
        <w:wordWrap w:val="0"/>
        <w:adjustRightInd w:val="0"/>
        <w:snapToGrid w:val="0"/>
        <w:spacing w:line="420" w:lineRule="exact"/>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⑤不同投标人的投标文件由同一电脑编制或同一台附属设备打印；</w:t>
      </w:r>
    </w:p>
    <w:p w14:paraId="0191F569">
      <w:pPr>
        <w:wordWrap w:val="0"/>
        <w:adjustRightInd w:val="0"/>
        <w:snapToGrid w:val="0"/>
        <w:spacing w:line="420" w:lineRule="exact"/>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⑥不同投标人的投标保证由同一企业或同一账户资金缴纳；</w:t>
      </w:r>
    </w:p>
    <w:p w14:paraId="0745EFF7">
      <w:pPr>
        <w:spacing w:line="420" w:lineRule="exact"/>
        <w:ind w:firstLine="480" w:firstLineChars="200"/>
        <w:rPr>
          <w:rFonts w:ascii="宋体" w:hAnsi="宋体" w:cs="宋体"/>
          <w:bCs/>
          <w:color w:val="auto"/>
          <w:kern w:val="1"/>
          <w:sz w:val="24"/>
          <w:highlight w:val="none"/>
        </w:rPr>
      </w:pPr>
      <w:r>
        <w:rPr>
          <w:rFonts w:hint="eastAsia" w:ascii="宋体" w:hAnsi="宋体" w:cs="宋体"/>
          <w:snapToGrid w:val="0"/>
          <w:color w:val="auto"/>
          <w:kern w:val="0"/>
          <w:sz w:val="24"/>
          <w:szCs w:val="22"/>
          <w:highlight w:val="none"/>
        </w:rPr>
        <w:t>⑦不同投标人委托同一个人或注册在同一家企业的注册人员或同一家企业为其投标提供投标咨询、商务报价、技术咨询（招标项目本身要求采用专有技术的除外）等服务。</w:t>
      </w:r>
    </w:p>
    <w:p w14:paraId="7D2A3C2D">
      <w:pPr>
        <w:pStyle w:val="2"/>
        <w:numPr>
          <w:ilvl w:val="0"/>
          <w:numId w:val="0"/>
        </w:numPr>
        <w:spacing w:before="77" w:after="77"/>
        <w:jc w:val="center"/>
        <w:rPr>
          <w:rStyle w:val="57"/>
          <w:rFonts w:ascii="Times New Roman" w:hAnsi="宋体" w:cs="宋体"/>
          <w:b/>
          <w:bCs/>
          <w:color w:val="auto"/>
          <w:kern w:val="0"/>
          <w:szCs w:val="18"/>
          <w:highlight w:val="none"/>
        </w:rPr>
      </w:pPr>
      <w:r>
        <w:rPr>
          <w:rFonts w:hint="eastAsia"/>
          <w:bCs/>
          <w:color w:val="auto"/>
          <w:highlight w:val="none"/>
        </w:rPr>
        <w:br w:type="page"/>
      </w:r>
      <w:bookmarkStart w:id="167" w:name="_Toc32602"/>
      <w:r>
        <w:rPr>
          <w:rStyle w:val="57"/>
          <w:rFonts w:hint="eastAsia" w:ascii="Times New Roman" w:hAnsi="宋体" w:cs="宋体"/>
          <w:b/>
          <w:bCs/>
          <w:color w:val="auto"/>
          <w:kern w:val="0"/>
          <w:szCs w:val="18"/>
          <w:highlight w:val="none"/>
        </w:rPr>
        <w:t>第二章</w:t>
      </w:r>
      <w:bookmarkStart w:id="168" w:name="_Hlt87793831"/>
      <w:bookmarkEnd w:id="168"/>
      <w:r>
        <w:rPr>
          <w:rStyle w:val="57"/>
          <w:rFonts w:hint="eastAsia" w:ascii="Times New Roman" w:hAnsi="宋体" w:cs="宋体"/>
          <w:b/>
          <w:bCs/>
          <w:color w:val="auto"/>
          <w:kern w:val="0"/>
          <w:szCs w:val="18"/>
          <w:highlight w:val="none"/>
        </w:rPr>
        <w:t xml:space="preserve"> </w:t>
      </w:r>
      <w:bookmarkEnd w:id="125"/>
      <w:r>
        <w:rPr>
          <w:rStyle w:val="57"/>
          <w:rFonts w:hint="eastAsia" w:ascii="Times New Roman" w:hAnsi="宋体" w:cs="宋体"/>
          <w:b/>
          <w:bCs/>
          <w:color w:val="auto"/>
          <w:kern w:val="0"/>
          <w:szCs w:val="18"/>
          <w:highlight w:val="none"/>
        </w:rPr>
        <w:t>拟签订合同的主要条款</w:t>
      </w:r>
      <w:bookmarkEnd w:id="167"/>
    </w:p>
    <w:bookmarkEnd w:id="126"/>
    <w:bookmarkEnd w:id="127"/>
    <w:p w14:paraId="0EB25C93">
      <w:pPr>
        <w:snapToGrid w:val="0"/>
        <w:spacing w:line="470" w:lineRule="exact"/>
        <w:ind w:firstLine="482" w:firstLineChars="200"/>
        <w:rPr>
          <w:rFonts w:ascii="宋体" w:hAnsi="宋体" w:cs="宋体"/>
          <w:b/>
          <w:bCs/>
          <w:color w:val="auto"/>
          <w:sz w:val="24"/>
          <w:szCs w:val="24"/>
          <w:highlight w:val="none"/>
        </w:rPr>
      </w:pPr>
      <w:bookmarkStart w:id="169" w:name="_Toc143765509"/>
      <w:bookmarkStart w:id="170" w:name="_Toc353462320"/>
      <w:bookmarkStart w:id="171" w:name="_Toc24616749"/>
      <w:bookmarkStart w:id="172" w:name="_Toc71811321"/>
      <w:bookmarkStart w:id="173" w:name="_Toc18268"/>
      <w:bookmarkStart w:id="174" w:name="_Toc71811188"/>
      <w:bookmarkStart w:id="175" w:name="_Toc71813711"/>
      <w:bookmarkStart w:id="176" w:name="_Toc143766475"/>
      <w:bookmarkStart w:id="177" w:name="_Toc353462211"/>
      <w:bookmarkStart w:id="178" w:name="_Toc371968727"/>
      <w:bookmarkStart w:id="179" w:name="_Toc26730"/>
      <w:bookmarkStart w:id="180" w:name="_Hlt69698722"/>
      <w:bookmarkStart w:id="181" w:name="_Hlt69698741"/>
      <w:bookmarkStart w:id="182" w:name="_Hlt69698769"/>
      <w:r>
        <w:rPr>
          <w:rFonts w:hint="eastAsia" w:ascii="宋体" w:hAnsi="宋体" w:cs="宋体"/>
          <w:b/>
          <w:bCs/>
          <w:color w:val="auto"/>
          <w:sz w:val="24"/>
          <w:szCs w:val="24"/>
          <w:highlight w:val="none"/>
        </w:rPr>
        <w:t>1.承包方式</w:t>
      </w:r>
      <w:bookmarkEnd w:id="169"/>
      <w:bookmarkEnd w:id="170"/>
      <w:bookmarkEnd w:id="171"/>
      <w:bookmarkEnd w:id="172"/>
      <w:bookmarkEnd w:id="173"/>
      <w:bookmarkEnd w:id="174"/>
      <w:bookmarkEnd w:id="175"/>
      <w:bookmarkEnd w:id="176"/>
      <w:bookmarkEnd w:id="177"/>
      <w:bookmarkEnd w:id="178"/>
    </w:p>
    <w:p w14:paraId="5E505B08">
      <w:pPr>
        <w:snapToGrid w:val="0"/>
        <w:spacing w:line="470" w:lineRule="exact"/>
        <w:ind w:firstLine="480" w:firstLineChars="200"/>
        <w:rPr>
          <w:rFonts w:ascii="宋体" w:hAnsi="宋体" w:cs="宋体"/>
          <w:color w:val="auto"/>
          <w:sz w:val="24"/>
          <w:szCs w:val="24"/>
          <w:highlight w:val="none"/>
        </w:rPr>
      </w:pPr>
      <w:bookmarkStart w:id="183" w:name="_Hlt112206782"/>
      <w:bookmarkEnd w:id="183"/>
      <w:bookmarkStart w:id="184" w:name="_Toc371968728"/>
      <w:bookmarkStart w:id="185" w:name="_Toc143765510"/>
      <w:bookmarkStart w:id="186" w:name="_Toc24616750"/>
      <w:bookmarkStart w:id="187" w:name="_Toc353462321"/>
      <w:bookmarkStart w:id="188" w:name="_Toc353462212"/>
      <w:bookmarkStart w:id="189" w:name="_Toc143766476"/>
      <w:bookmarkStart w:id="190" w:name="_Toc19364"/>
      <w:bookmarkStart w:id="191" w:name="_Hlt87951777"/>
      <w:r>
        <w:rPr>
          <w:rFonts w:hint="eastAsia" w:ascii="宋体" w:hAnsi="宋体" w:cs="宋体"/>
          <w:color w:val="auto"/>
          <w:sz w:val="24"/>
          <w:szCs w:val="24"/>
          <w:highlight w:val="none"/>
        </w:rPr>
        <w:t>中标人以中标价按合同约定和招标文件内容要求，法律法规及国家强制性标准要求，提供完整的初步设计及概算文件和建设期的服务内容。双方约束内容以实际签订合同为准。</w:t>
      </w:r>
    </w:p>
    <w:bookmarkEnd w:id="184"/>
    <w:bookmarkEnd w:id="185"/>
    <w:bookmarkEnd w:id="186"/>
    <w:bookmarkEnd w:id="187"/>
    <w:bookmarkEnd w:id="188"/>
    <w:bookmarkEnd w:id="189"/>
    <w:bookmarkEnd w:id="190"/>
    <w:p w14:paraId="44924877">
      <w:pPr>
        <w:snapToGrid w:val="0"/>
        <w:spacing w:line="470" w:lineRule="exact"/>
        <w:ind w:firstLine="482" w:firstLineChars="200"/>
        <w:rPr>
          <w:rFonts w:ascii="宋体" w:hAnsi="宋体" w:cs="宋体"/>
          <w:b/>
          <w:bCs/>
          <w:color w:val="auto"/>
          <w:sz w:val="24"/>
          <w:szCs w:val="24"/>
          <w:highlight w:val="none"/>
        </w:rPr>
      </w:pPr>
      <w:bookmarkStart w:id="192" w:name="_Toc71813712"/>
      <w:bookmarkStart w:id="193" w:name="_Toc71811322"/>
      <w:bookmarkStart w:id="194" w:name="_Toc71811189"/>
      <w:r>
        <w:rPr>
          <w:rFonts w:hint="eastAsia" w:ascii="宋体" w:hAnsi="宋体" w:cs="宋体"/>
          <w:b/>
          <w:bCs/>
          <w:color w:val="auto"/>
          <w:sz w:val="24"/>
          <w:szCs w:val="24"/>
          <w:highlight w:val="none"/>
        </w:rPr>
        <w:t>2.合同价款支付办法及结算原则</w:t>
      </w:r>
      <w:bookmarkEnd w:id="192"/>
      <w:bookmarkEnd w:id="193"/>
      <w:bookmarkEnd w:id="194"/>
    </w:p>
    <w:bookmarkEnd w:id="191"/>
    <w:p w14:paraId="31100E87">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2.1 </w:t>
      </w:r>
      <w:r>
        <w:rPr>
          <w:rFonts w:hint="eastAsia" w:ascii="宋体" w:hAnsi="宋体" w:cs="宋体"/>
          <w:color w:val="auto"/>
          <w:sz w:val="24"/>
          <w:szCs w:val="32"/>
          <w:highlight w:val="none"/>
        </w:rPr>
        <w:t>初步设计费支付：</w:t>
      </w:r>
    </w:p>
    <w:p w14:paraId="08E5471F">
      <w:pPr>
        <w:snapToGrid w:val="0"/>
        <w:spacing w:line="440" w:lineRule="exact"/>
        <w:ind w:firstLine="480" w:firstLineChars="200"/>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rPr>
        <w:t>（1）合同签订生效后的 10 个日历天内，发包人支付初步设计费（含规划设计费、方案设计费、概算编制费）暂定价的 30%作为预付款</w:t>
      </w:r>
      <w:r>
        <w:rPr>
          <w:rFonts w:hint="eastAsia" w:ascii="宋体" w:hAnsi="宋体" w:cs="宋体"/>
          <w:color w:val="auto"/>
          <w:sz w:val="24"/>
          <w:szCs w:val="32"/>
          <w:highlight w:val="none"/>
          <w:lang w:eastAsia="zh-CN"/>
        </w:rPr>
        <w:t>。</w:t>
      </w:r>
    </w:p>
    <w:p w14:paraId="1CF8510A">
      <w:pPr>
        <w:snapToGrid w:val="0"/>
        <w:spacing w:line="440" w:lineRule="exact"/>
        <w:ind w:firstLine="480" w:firstLineChars="200"/>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rPr>
        <w:t>（2）承包人提交初步设计评审文件后的 10 个日历天内，发包人支付初步设计费（含规划设计费、方案设计费、概算编制费）暂定价的 30% 给承包人</w:t>
      </w:r>
      <w:r>
        <w:rPr>
          <w:rFonts w:hint="eastAsia" w:ascii="宋体" w:hAnsi="宋体" w:cs="宋体"/>
          <w:color w:val="auto"/>
          <w:sz w:val="24"/>
          <w:szCs w:val="32"/>
          <w:highlight w:val="none"/>
          <w:lang w:eastAsia="zh-CN"/>
        </w:rPr>
        <w:t>。</w:t>
      </w:r>
    </w:p>
    <w:p w14:paraId="79CB0D22">
      <w:pPr>
        <w:snapToGrid w:val="0"/>
        <w:spacing w:line="440" w:lineRule="exact"/>
        <w:ind w:firstLine="480" w:firstLineChars="200"/>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rPr>
        <w:t>（3）初步设计评审并取得相关部门批复或经发包人审核确认后 10 个日历天内，发包人结清初步设计费（含规划设计费、方案设计费、概算编制费）暂定价尾款</w:t>
      </w:r>
      <w:r>
        <w:rPr>
          <w:rFonts w:hint="eastAsia" w:ascii="宋体" w:hAnsi="宋体" w:cs="宋体"/>
          <w:color w:val="auto"/>
          <w:sz w:val="24"/>
          <w:szCs w:val="32"/>
          <w:highlight w:val="none"/>
          <w:lang w:eastAsia="zh-CN"/>
        </w:rPr>
        <w:t>。</w:t>
      </w:r>
    </w:p>
    <w:p w14:paraId="6C1E634C">
      <w:pPr>
        <w:snapToGrid w:val="0"/>
        <w:spacing w:line="440" w:lineRule="exact"/>
        <w:ind w:firstLine="480" w:firstLineChars="200"/>
        <w:rPr>
          <w:color w:val="auto"/>
          <w:highlight w:val="none"/>
        </w:rPr>
      </w:pPr>
      <w:r>
        <w:rPr>
          <w:rFonts w:hint="eastAsia" w:ascii="宋体" w:hAnsi="宋体" w:cs="宋体"/>
          <w:color w:val="auto"/>
          <w:sz w:val="24"/>
          <w:szCs w:val="32"/>
          <w:highlight w:val="none"/>
        </w:rPr>
        <w:t>（4）承包人提供的工程款发票必须按照发包人要求提供相应增值税普通发票给发包人，发包人收到符合要求的发票后方可支付工程款。</w:t>
      </w:r>
    </w:p>
    <w:p w14:paraId="77C30844">
      <w:pPr>
        <w:snapToGrid w:val="0"/>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 结算原则</w:t>
      </w:r>
    </w:p>
    <w:p w14:paraId="37A6F511">
      <w:pPr>
        <w:snapToGrid w:val="0"/>
        <w:spacing w:line="440" w:lineRule="exact"/>
        <w:ind w:firstLine="480" w:firstLineChars="200"/>
        <w:rPr>
          <w:rStyle w:val="57"/>
          <w:rFonts w:ascii="Times New Roman" w:hAnsi="宋体" w:cs="宋体" w:eastAsiaTheme="minorEastAsia"/>
          <w:bCs/>
          <w:color w:val="auto"/>
          <w:kern w:val="0"/>
          <w:szCs w:val="18"/>
          <w:highlight w:val="none"/>
        </w:rPr>
      </w:pPr>
      <w:r>
        <w:rPr>
          <w:rFonts w:hint="eastAsia" w:ascii="宋体" w:hAnsi="宋体" w:cs="宋体"/>
          <w:color w:val="auto"/>
          <w:sz w:val="24"/>
          <w:szCs w:val="32"/>
          <w:highlight w:val="none"/>
        </w:rPr>
        <w:t>工程设计费已包含但不限于规划方案设计文件、初步设计文件、概算文件的费用。工程设计费结算价为韶关市投资评估中心审定的本项目概算中对应的设计费。工程设计费结算价最高限额为工程设计费中标价，工程设计费结算价不得高于工程设计费中标价，若高于工程设计费中标价，则以工程设计费中标价作为工程设计费最终结算价。</w:t>
      </w:r>
      <w:r>
        <w:rPr>
          <w:rStyle w:val="57"/>
          <w:rFonts w:hint="eastAsia" w:ascii="Times New Roman" w:hAnsi="宋体" w:cs="宋体" w:eastAsiaTheme="minorEastAsia"/>
          <w:bCs/>
          <w:color w:val="auto"/>
          <w:kern w:val="0"/>
          <w:szCs w:val="18"/>
          <w:highlight w:val="none"/>
        </w:rPr>
        <w:br w:type="page"/>
      </w:r>
    </w:p>
    <w:p w14:paraId="095B66D7">
      <w:pPr>
        <w:wordWrap w:val="0"/>
        <w:adjustRightInd w:val="0"/>
        <w:snapToGrid w:val="0"/>
        <w:spacing w:line="470" w:lineRule="exact"/>
        <w:ind w:firstLine="562" w:firstLineChars="200"/>
        <w:jc w:val="center"/>
        <w:outlineLvl w:val="0"/>
        <w:rPr>
          <w:b/>
          <w:bCs/>
          <w:color w:val="auto"/>
          <w:highlight w:val="none"/>
        </w:rPr>
      </w:pPr>
      <w:bookmarkStart w:id="195" w:name="_Toc21311"/>
      <w:r>
        <w:rPr>
          <w:rStyle w:val="57"/>
          <w:rFonts w:hint="eastAsia" w:ascii="Times New Roman" w:hAnsi="宋体" w:cs="宋体" w:eastAsiaTheme="minorEastAsia"/>
          <w:bCs/>
          <w:color w:val="auto"/>
          <w:kern w:val="0"/>
          <w:szCs w:val="18"/>
          <w:highlight w:val="none"/>
        </w:rPr>
        <w:t>第</w:t>
      </w:r>
      <w:bookmarkStart w:id="196" w:name="_Hlt69669171"/>
      <w:bookmarkEnd w:id="196"/>
      <w:r>
        <w:rPr>
          <w:rStyle w:val="57"/>
          <w:rFonts w:hint="eastAsia" w:ascii="Times New Roman" w:hAnsi="宋体" w:cs="宋体" w:eastAsiaTheme="minorEastAsia"/>
          <w:bCs/>
          <w:color w:val="auto"/>
          <w:kern w:val="0"/>
          <w:szCs w:val="18"/>
          <w:highlight w:val="none"/>
        </w:rPr>
        <w:t>三章</w:t>
      </w:r>
      <w:bookmarkStart w:id="197" w:name="_Hlt87793839"/>
      <w:bookmarkEnd w:id="197"/>
      <w:r>
        <w:rPr>
          <w:rStyle w:val="57"/>
          <w:rFonts w:hint="eastAsia" w:ascii="Times New Roman" w:hAnsi="宋体" w:cs="宋体" w:eastAsiaTheme="minorEastAsia"/>
          <w:bCs/>
          <w:color w:val="auto"/>
          <w:kern w:val="0"/>
          <w:szCs w:val="18"/>
          <w:highlight w:val="none"/>
        </w:rPr>
        <w:t xml:space="preserve"> 中标人须知</w:t>
      </w:r>
      <w:bookmarkEnd w:id="179"/>
      <w:bookmarkEnd w:id="195"/>
    </w:p>
    <w:bookmarkEnd w:id="180"/>
    <w:bookmarkEnd w:id="181"/>
    <w:bookmarkEnd w:id="182"/>
    <w:p w14:paraId="791098A6">
      <w:pPr>
        <w:wordWrap w:val="0"/>
        <w:adjustRightInd w:val="0"/>
        <w:snapToGrid w:val="0"/>
        <w:spacing w:line="440" w:lineRule="exact"/>
        <w:ind w:firstLine="482" w:firstLineChars="200"/>
        <w:rPr>
          <w:rFonts w:ascii="宋体" w:hAnsi="宋体" w:cs="宋体"/>
          <w:snapToGrid w:val="0"/>
          <w:color w:val="auto"/>
          <w:kern w:val="0"/>
          <w:sz w:val="24"/>
          <w:szCs w:val="24"/>
          <w:highlight w:val="none"/>
        </w:rPr>
      </w:pPr>
      <w:bookmarkStart w:id="198" w:name="_Hlt69698776"/>
      <w:r>
        <w:rPr>
          <w:rFonts w:hint="eastAsia" w:ascii="宋体" w:hAnsi="宋体" w:cs="宋体"/>
          <w:b/>
          <w:snapToGrid w:val="0"/>
          <w:color w:val="auto"/>
          <w:kern w:val="0"/>
          <w:sz w:val="24"/>
          <w:szCs w:val="24"/>
          <w:highlight w:val="none"/>
        </w:rPr>
        <w:t>1．中标通知书</w:t>
      </w:r>
    </w:p>
    <w:p w14:paraId="68EF5D7D">
      <w:pPr>
        <w:wordWrap w:val="0"/>
        <w:adjustRightInd w:val="0"/>
        <w:snapToGrid w:val="0"/>
        <w:spacing w:line="44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64000534">
      <w:pPr>
        <w:wordWrap w:val="0"/>
        <w:adjustRightInd w:val="0"/>
        <w:snapToGrid w:val="0"/>
        <w:spacing w:line="440" w:lineRule="exact"/>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2．中标结果公示</w:t>
      </w:r>
    </w:p>
    <w:p w14:paraId="3386000F">
      <w:pPr>
        <w:wordWrap w:val="0"/>
        <w:adjustRightInd w:val="0"/>
        <w:snapToGrid w:val="0"/>
        <w:spacing w:line="44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中标通知书发出后15日内，招标人应将中标结果在广东省招标投标监管网（http://zbtb.gd.gov.cn）及全国公共资源交易平台（广东省·韶关市）（https://ygp.gdzwfw.gov.cn/ggzy-portal/#/440200/index）进行公示。</w:t>
      </w:r>
    </w:p>
    <w:p w14:paraId="60AF72BE">
      <w:pPr>
        <w:pStyle w:val="46"/>
        <w:rPr>
          <w:rFonts w:ascii="宋体" w:hAnsi="宋体" w:cs="宋体"/>
          <w:color w:val="auto"/>
          <w:highlight w:val="none"/>
        </w:rPr>
      </w:pPr>
    </w:p>
    <w:p w14:paraId="016262B5">
      <w:pPr>
        <w:wordWrap w:val="0"/>
        <w:adjustRightInd w:val="0"/>
        <w:snapToGrid w:val="0"/>
        <w:spacing w:line="360" w:lineRule="auto"/>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3．履约保证</w:t>
      </w:r>
    </w:p>
    <w:p w14:paraId="033B5EA1">
      <w:pPr>
        <w:wordWrap w:val="0"/>
        <w:adjustRightInd w:val="0"/>
        <w:snapToGrid w:val="0"/>
        <w:spacing w:line="360" w:lineRule="auto"/>
        <w:ind w:firstLine="482" w:firstLineChars="200"/>
        <w:rPr>
          <w:rFonts w:ascii="宋体" w:hAnsi="宋体" w:cs="宋体"/>
          <w:snapToGrid w:val="0"/>
          <w:color w:val="auto"/>
          <w:kern w:val="0"/>
          <w:sz w:val="24"/>
          <w:szCs w:val="24"/>
          <w:highlight w:val="none"/>
        </w:rPr>
      </w:pPr>
      <w:r>
        <w:rPr>
          <w:rFonts w:hint="eastAsia" w:ascii="宋体" w:hAnsi="宋体" w:cs="宋体"/>
          <w:b/>
          <w:snapToGrid w:val="0"/>
          <w:color w:val="auto"/>
          <w:kern w:val="0"/>
          <w:sz w:val="24"/>
          <w:szCs w:val="24"/>
          <w:highlight w:val="none"/>
        </w:rPr>
        <w:t>3.1</w:t>
      </w:r>
      <w:r>
        <w:rPr>
          <w:rFonts w:hint="eastAsia" w:ascii="宋体" w:hAnsi="宋体" w:cs="宋体"/>
          <w:snapToGrid w:val="0"/>
          <w:color w:val="auto"/>
          <w:kern w:val="0"/>
          <w:sz w:val="24"/>
          <w:szCs w:val="24"/>
          <w:highlight w:val="none"/>
        </w:rPr>
        <w:t xml:space="preserve"> 中标人须在领取中标通知书之日起</w:t>
      </w:r>
      <w:r>
        <w:rPr>
          <w:rFonts w:hint="eastAsia" w:ascii="宋体" w:hAnsi="宋体" w:cs="宋体"/>
          <w:snapToGrid w:val="0"/>
          <w:color w:val="auto"/>
          <w:kern w:val="0"/>
          <w:sz w:val="24"/>
          <w:szCs w:val="24"/>
          <w:highlight w:val="none"/>
          <w:u w:val="single"/>
        </w:rPr>
        <w:t xml:space="preserve"> 10 </w:t>
      </w:r>
      <w:r>
        <w:rPr>
          <w:rFonts w:hint="eastAsia" w:ascii="宋体" w:hAnsi="宋体" w:cs="宋体"/>
          <w:snapToGrid w:val="0"/>
          <w:color w:val="auto"/>
          <w:kern w:val="0"/>
          <w:sz w:val="24"/>
          <w:szCs w:val="24"/>
          <w:highlight w:val="none"/>
        </w:rPr>
        <w:t>个工作日内、签订合同前向招标人提交金额为中标价</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%的履约保证。</w:t>
      </w:r>
    </w:p>
    <w:p w14:paraId="6199ECFC">
      <w:pPr>
        <w:wordWrap w:val="0"/>
        <w:adjustRightInd w:val="0"/>
        <w:snapToGrid w:val="0"/>
        <w:spacing w:line="360" w:lineRule="auto"/>
        <w:ind w:firstLine="482" w:firstLineChars="200"/>
        <w:rPr>
          <w:rFonts w:ascii="宋体" w:hAnsi="宋体" w:cs="宋体"/>
          <w:snapToGrid w:val="0"/>
          <w:color w:val="auto"/>
          <w:kern w:val="0"/>
          <w:sz w:val="24"/>
          <w:szCs w:val="24"/>
          <w:highlight w:val="none"/>
        </w:rPr>
      </w:pPr>
      <w:r>
        <w:rPr>
          <w:rFonts w:hint="eastAsia" w:ascii="宋体" w:hAnsi="宋体" w:cs="宋体"/>
          <w:b/>
          <w:snapToGrid w:val="0"/>
          <w:color w:val="auto"/>
          <w:kern w:val="0"/>
          <w:sz w:val="24"/>
          <w:szCs w:val="24"/>
          <w:highlight w:val="none"/>
        </w:rPr>
        <w:t>3.2</w:t>
      </w:r>
      <w:r>
        <w:rPr>
          <w:rFonts w:hint="eastAsia" w:ascii="宋体" w:hAnsi="宋体" w:cs="宋体"/>
          <w:snapToGrid w:val="0"/>
          <w:color w:val="auto"/>
          <w:kern w:val="0"/>
          <w:sz w:val="24"/>
          <w:szCs w:val="24"/>
          <w:highlight w:val="none"/>
        </w:rPr>
        <w:t xml:space="preserve"> 中标人根据《关于统一在市公共资源交易一体化服务平台缴退工程建设项目履约保证金的通知》办理相关手续，履约保证的形式包括履约保证金、履约保证担保、履约保证保险三种，由中标人在建设工程交易系统中自主选择一种进行缴交。项目竣工后，由招标人发起退保。</w:t>
      </w:r>
    </w:p>
    <w:p w14:paraId="1DAAE890">
      <w:pPr>
        <w:wordWrap w:val="0"/>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bCs/>
          <w:snapToGrid w:val="0"/>
          <w:color w:val="auto"/>
          <w:kern w:val="0"/>
          <w:sz w:val="24"/>
          <w:szCs w:val="24"/>
          <w:highlight w:val="none"/>
        </w:rPr>
        <w:t>3.3</w:t>
      </w:r>
      <w:r>
        <w:rPr>
          <w:rFonts w:hint="eastAsia" w:ascii="宋体" w:hAnsi="宋体" w:cs="宋体"/>
          <w:snapToGrid w:val="0"/>
          <w:color w:val="auto"/>
          <w:kern w:val="0"/>
          <w:sz w:val="24"/>
          <w:szCs w:val="24"/>
          <w:highlight w:val="none"/>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并由招标人通报建设行政管理部门。</w:t>
      </w:r>
    </w:p>
    <w:p w14:paraId="0108ACF9">
      <w:pPr>
        <w:wordWrap w:val="0"/>
        <w:adjustRightInd w:val="0"/>
        <w:snapToGrid w:val="0"/>
        <w:spacing w:line="360" w:lineRule="auto"/>
        <w:ind w:firstLine="480" w:firstLineChars="200"/>
        <w:rPr>
          <w:rFonts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3.4在项目实施过程中，如果承包人（即招标阶段的中标人，下同）由于自身的资金、技术、质量、非不可抗力等原因给发包人（即招标阶段的招标人，下同）造成经济损失，发包人有权扣划相应金额的履约保证。</w:t>
      </w:r>
    </w:p>
    <w:p w14:paraId="3159492F">
      <w:pPr>
        <w:wordWrap w:val="0"/>
        <w:adjustRightInd w:val="0"/>
        <w:snapToGrid w:val="0"/>
        <w:spacing w:line="360" w:lineRule="auto"/>
        <w:ind w:firstLine="480" w:firstLineChars="200"/>
        <w:rPr>
          <w:rFonts w:ascii="宋体" w:hAnsi="宋体" w:cs="宋体"/>
          <w:color w:val="auto"/>
          <w:highlight w:val="none"/>
        </w:rPr>
      </w:pPr>
      <w:r>
        <w:rPr>
          <w:rFonts w:hint="eastAsia" w:ascii="宋体" w:hAnsi="宋体" w:cs="宋体"/>
          <w:bCs/>
          <w:snapToGrid w:val="0"/>
          <w:color w:val="auto"/>
          <w:kern w:val="0"/>
          <w:sz w:val="24"/>
          <w:szCs w:val="24"/>
          <w:highlight w:val="none"/>
        </w:rPr>
        <w:t>3.5项目通过竣工验收之日后起28天内，招标人将履约保证</w:t>
      </w:r>
      <w:r>
        <w:rPr>
          <w:rFonts w:hint="eastAsia" w:ascii="宋体" w:hAnsi="宋体" w:cs="宋体"/>
          <w:bCs/>
          <w:snapToGrid w:val="0"/>
          <w:color w:val="auto"/>
          <w:kern w:val="0"/>
          <w:sz w:val="24"/>
          <w:szCs w:val="24"/>
          <w:highlight w:val="none"/>
          <w:lang w:val="en-US" w:eastAsia="zh-CN"/>
        </w:rPr>
        <w:t>无息</w:t>
      </w:r>
      <w:r>
        <w:rPr>
          <w:rFonts w:hint="eastAsia" w:ascii="宋体" w:hAnsi="宋体" w:cs="宋体"/>
          <w:bCs/>
          <w:snapToGrid w:val="0"/>
          <w:color w:val="auto"/>
          <w:kern w:val="0"/>
          <w:sz w:val="24"/>
          <w:szCs w:val="24"/>
          <w:highlight w:val="none"/>
        </w:rPr>
        <w:t>退还给承包人。</w:t>
      </w:r>
    </w:p>
    <w:p w14:paraId="347F1700">
      <w:pPr>
        <w:adjustRightInd w:val="0"/>
        <w:snapToGrid w:val="0"/>
        <w:spacing w:line="440" w:lineRule="exact"/>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4.</w:t>
      </w:r>
      <w:r>
        <w:rPr>
          <w:rFonts w:hint="eastAsia" w:ascii="宋体" w:hAnsi="宋体" w:cs="宋体"/>
          <w:b/>
          <w:bCs/>
          <w:color w:val="auto"/>
          <w:sz w:val="24"/>
          <w:szCs w:val="24"/>
          <w:highlight w:val="none"/>
        </w:rPr>
        <w:t>合同订立</w:t>
      </w:r>
    </w:p>
    <w:p w14:paraId="590709DF">
      <w:pPr>
        <w:adjustRightInd w:val="0"/>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 招标人应当自中标通知书发出之日起 30 日内，按照招标文件、中标人的投标文件与中标人订立书面合同。</w:t>
      </w:r>
    </w:p>
    <w:p w14:paraId="3A1F9DDF">
      <w:pPr>
        <w:adjustRightInd w:val="0"/>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 本招标项目合同计价方式为:工程设计费结算价最高限额为工程设计费中标价，工程设计费结算价不得高于工程设计费中标价，若高于工程设计费中标价，则以工程设计费中标价作为工程设计费最终结算价。</w:t>
      </w:r>
    </w:p>
    <w:p w14:paraId="658EE3D1">
      <w:pPr>
        <w:adjustRightInd w:val="0"/>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 合同的标的、质量、履行期限条款和合同的价款、单价、比例条款等主要条款,应当与招标文件、中标人的投标文件的内容一致。中标人在签订合同时不得向招标人提出附加条件</w:t>
      </w:r>
    </w:p>
    <w:p w14:paraId="6D0BD7C8">
      <w:pPr>
        <w:adjustRightInd w:val="0"/>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4.4若中标人在领取中标通知书之日起 30 天内仍未签订合同，招标人发出第一次提醒函;在领取中标通知书之日起 40 天内仍未签订，招标人发出第二次提醒函；在领取中标通知书之日起 45 天内仍未签订，视其放弃中标。</w:t>
      </w:r>
    </w:p>
    <w:p w14:paraId="759E7AC3">
      <w:pPr>
        <w:adjustRightInd w:val="0"/>
        <w:snapToGrid w:val="0"/>
        <w:spacing w:line="440" w:lineRule="exact"/>
        <w:ind w:firstLine="480" w:firstLineChars="200"/>
        <w:rPr>
          <w:rFonts w:ascii="宋体" w:hAnsi="宋体" w:cs="宋体"/>
          <w:color w:val="auto"/>
          <w:highlight w:val="none"/>
        </w:rPr>
      </w:pPr>
      <w:r>
        <w:rPr>
          <w:rFonts w:hint="eastAsia" w:ascii="宋体" w:hAnsi="宋体" w:cs="宋体"/>
          <w:color w:val="auto"/>
          <w:sz w:val="24"/>
          <w:szCs w:val="24"/>
          <w:highlight w:val="none"/>
        </w:rPr>
        <w:t>4.5在书面合同订立之日起 2个工作日内，由招标人授权的招标代理机构将合同上传至建设工程交易系统，并发起退还投标保证的申请。韶关市公共资源交易中心在收到申请之日起 3个工作日内，将投标保证金(或银行保函)退还给中标人和其他中标候选人。</w:t>
      </w:r>
    </w:p>
    <w:p w14:paraId="5530D05B">
      <w:pPr>
        <w:adjustRightInd w:val="0"/>
        <w:snapToGrid w:val="0"/>
        <w:spacing w:line="44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5.放弃中标的处理</w:t>
      </w:r>
    </w:p>
    <w:p w14:paraId="1AEE7C1C">
      <w:pPr>
        <w:adjustRightInd w:val="0"/>
        <w:snapToGrid w:val="0"/>
        <w:spacing w:line="44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5.1 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31035DB3">
      <w:pPr>
        <w:adjustRightInd w:val="0"/>
        <w:snapToGrid w:val="0"/>
        <w:spacing w:line="440" w:lineRule="exact"/>
        <w:ind w:firstLine="480" w:firstLineChars="200"/>
        <w:rPr>
          <w:rFonts w:ascii="宋体" w:hAnsi="宋体" w:cs="宋体"/>
          <w:color w:val="auto"/>
          <w:highlight w:val="none"/>
        </w:rPr>
      </w:pPr>
      <w:r>
        <w:rPr>
          <w:rFonts w:hint="eastAsia" w:ascii="宋体" w:hAnsi="宋体" w:cs="宋体"/>
          <w:bCs/>
          <w:color w:val="auto"/>
          <w:sz w:val="24"/>
          <w:szCs w:val="24"/>
          <w:highlight w:val="none"/>
        </w:rPr>
        <w:t>5.2 中标人因不可抗力提出不能履行合同的，须在领取中标通知书之日起10日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4B0ADDDD">
      <w:pPr>
        <w:wordWrap w:val="0"/>
        <w:adjustRightInd w:val="0"/>
        <w:snapToGrid w:val="0"/>
        <w:spacing w:line="440" w:lineRule="exact"/>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6．项目管理机构</w:t>
      </w:r>
    </w:p>
    <w:p w14:paraId="52386FB1">
      <w:pPr>
        <w:wordWrap w:val="0"/>
        <w:adjustRightInd w:val="0"/>
        <w:snapToGrid w:val="0"/>
        <w:spacing w:line="440" w:lineRule="exact"/>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6.1</w:t>
      </w:r>
      <w:r>
        <w:rPr>
          <w:rFonts w:hint="eastAsia" w:ascii="宋体" w:hAnsi="宋体" w:cs="宋体"/>
          <w:snapToGrid w:val="0"/>
          <w:color w:val="auto"/>
          <w:kern w:val="0"/>
          <w:sz w:val="24"/>
          <w:szCs w:val="24"/>
          <w:highlight w:val="none"/>
        </w:rPr>
        <w:t xml:space="preserve"> 承包人派驻的项目管理班子成员必须为其投标文件确定的人员，否则发包人有权终止合同。</w:t>
      </w:r>
    </w:p>
    <w:p w14:paraId="5F7781F1">
      <w:pPr>
        <w:wordWrap w:val="0"/>
        <w:adjustRightInd w:val="0"/>
        <w:snapToGrid w:val="0"/>
        <w:spacing w:line="440" w:lineRule="exact"/>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6.2</w:t>
      </w:r>
      <w:r>
        <w:rPr>
          <w:rFonts w:hint="eastAsia" w:ascii="宋体" w:hAnsi="宋体" w:cs="宋体"/>
          <w:snapToGrid w:val="0"/>
          <w:color w:val="auto"/>
          <w:kern w:val="0"/>
          <w:sz w:val="24"/>
          <w:szCs w:val="24"/>
          <w:highlight w:val="none"/>
        </w:rPr>
        <w:t xml:space="preserve"> 项目管理班子成员不得擅自变更。其中，项目负责人若有《广东省住房和城乡建设厅关于建设工程项目招标中标后监督检查的办法》（粤建市〔2009〕8号，以下简称“《办法》”）第九条所述除外情形之一确需变更的，承包人应填写《建设工程项目管理班子变更情况报告表》（《办法》附件4）并附上相关证明资料，经发包人和建设行政主管部门审核同意方可变更，且更换后的项目负责人应与承包人的投标文件所确定的原项目负责人的主要条件一致；项目管理班子其他成员若有《办法》第九条所述除外情形之一确需变更的，承包人应填写《建设工程项目管理班子变更情况报告表》并附上相关证明资料，经发包人审核同意方可变更。</w:t>
      </w:r>
    </w:p>
    <w:p w14:paraId="52CC34D4">
      <w:pPr>
        <w:wordWrap w:val="0"/>
        <w:adjustRightInd w:val="0"/>
        <w:snapToGrid w:val="0"/>
        <w:spacing w:line="440" w:lineRule="exact"/>
        <w:ind w:firstLine="482" w:firstLineChars="200"/>
        <w:rPr>
          <w:rFonts w:ascii="宋体" w:hAnsi="宋体" w:cs="宋体"/>
          <w:strike/>
          <w:snapToGrid w:val="0"/>
          <w:color w:val="auto"/>
          <w:kern w:val="0"/>
          <w:sz w:val="24"/>
          <w:szCs w:val="24"/>
          <w:highlight w:val="none"/>
        </w:rPr>
      </w:pPr>
      <w:r>
        <w:rPr>
          <w:rFonts w:hint="eastAsia" w:ascii="宋体" w:hAnsi="宋体" w:cs="宋体"/>
          <w:b/>
          <w:snapToGrid w:val="0"/>
          <w:color w:val="auto"/>
          <w:kern w:val="0"/>
          <w:sz w:val="24"/>
          <w:szCs w:val="24"/>
          <w:highlight w:val="none"/>
        </w:rPr>
        <w:t>7．现场管理</w:t>
      </w:r>
    </w:p>
    <w:p w14:paraId="65946A1E">
      <w:pPr>
        <w:wordWrap w:val="0"/>
        <w:adjustRightInd w:val="0"/>
        <w:snapToGrid w:val="0"/>
        <w:spacing w:line="440" w:lineRule="exact"/>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7.1</w:t>
      </w:r>
      <w:r>
        <w:rPr>
          <w:rFonts w:hint="eastAsia" w:ascii="宋体" w:hAnsi="宋体" w:cs="宋体"/>
          <w:snapToGrid w:val="0"/>
          <w:color w:val="auto"/>
          <w:kern w:val="0"/>
          <w:sz w:val="24"/>
          <w:szCs w:val="24"/>
          <w:highlight w:val="none"/>
        </w:rPr>
        <w:t xml:space="preserve"> 承包人在项目实施期间应严格遵守国家、广东省、韶关市有关绿色施工、文明施工、噪音扬尘、消防爆破、环境卫生、渣土清运、治安保卫等方面的规定，并建立相应规章制度和保障措施。否则由此造成的经济损失和法律责任，均由承包人承担。</w:t>
      </w:r>
    </w:p>
    <w:p w14:paraId="698BF6C4">
      <w:pPr>
        <w:wordWrap w:val="0"/>
        <w:adjustRightInd w:val="0"/>
        <w:snapToGrid w:val="0"/>
        <w:spacing w:line="440" w:lineRule="exact"/>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7.2</w:t>
      </w:r>
      <w:r>
        <w:rPr>
          <w:rFonts w:hint="eastAsia" w:ascii="宋体" w:hAnsi="宋体" w:cs="宋体"/>
          <w:snapToGrid w:val="0"/>
          <w:color w:val="auto"/>
          <w:kern w:val="0"/>
          <w:sz w:val="24"/>
          <w:szCs w:val="24"/>
          <w:highlight w:val="none"/>
        </w:rPr>
        <w:t xml:space="preserve"> </w:t>
      </w:r>
      <w:r>
        <w:rPr>
          <w:rFonts w:hint="eastAsia" w:ascii="宋体" w:hAnsi="宋体" w:cs="宋体"/>
          <w:color w:val="auto"/>
          <w:sz w:val="24"/>
          <w:szCs w:val="24"/>
          <w:highlight w:val="none"/>
        </w:rPr>
        <w:t>承包人应按安全管理有关规定，采取严格、科学的安全防护措施，确保项目实施现场和人员（包括第三者）的安全，承担由于自身安全防护措施不力所造成的安全事故责任和发生的费用。</w:t>
      </w:r>
    </w:p>
    <w:p w14:paraId="66A867E0">
      <w:pPr>
        <w:wordWrap w:val="0"/>
        <w:adjustRightInd w:val="0"/>
        <w:snapToGrid w:val="0"/>
        <w:spacing w:line="440" w:lineRule="exact"/>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7.3</w:t>
      </w:r>
      <w:r>
        <w:rPr>
          <w:rFonts w:hint="eastAsia" w:ascii="宋体" w:hAnsi="宋体" w:cs="宋体"/>
          <w:snapToGrid w:val="0"/>
          <w:color w:val="auto"/>
          <w:kern w:val="0"/>
          <w:sz w:val="24"/>
          <w:szCs w:val="24"/>
          <w:highlight w:val="none"/>
        </w:rPr>
        <w:t xml:space="preserve"> 为保证项目实施现场的环境卫生，承包人在本项目实施过程中，所有的车辆必须按发包人规定的行车路线行驶。</w:t>
      </w:r>
    </w:p>
    <w:p w14:paraId="383F06C4">
      <w:pPr>
        <w:wordWrap w:val="0"/>
        <w:adjustRightInd w:val="0"/>
        <w:snapToGrid w:val="0"/>
        <w:spacing w:line="440" w:lineRule="exact"/>
        <w:ind w:firstLine="482" w:firstLineChars="200"/>
        <w:rPr>
          <w:rFonts w:ascii="宋体" w:hAnsi="宋体" w:cs="宋体"/>
          <w:strike/>
          <w:snapToGrid w:val="0"/>
          <w:color w:val="auto"/>
          <w:kern w:val="0"/>
          <w:sz w:val="24"/>
          <w:szCs w:val="24"/>
          <w:highlight w:val="none"/>
        </w:rPr>
      </w:pPr>
      <w:r>
        <w:rPr>
          <w:rFonts w:hint="eastAsia" w:ascii="宋体" w:hAnsi="宋体" w:cs="宋体"/>
          <w:b/>
          <w:snapToGrid w:val="0"/>
          <w:color w:val="auto"/>
          <w:kern w:val="0"/>
          <w:sz w:val="24"/>
          <w:szCs w:val="24"/>
          <w:highlight w:val="none"/>
        </w:rPr>
        <w:t>8．监督实施</w:t>
      </w:r>
    </w:p>
    <w:p w14:paraId="26FAB28C">
      <w:pPr>
        <w:wordWrap w:val="0"/>
        <w:adjustRightInd w:val="0"/>
        <w:snapToGrid w:val="0"/>
        <w:spacing w:line="44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承包人须服从发包人对工程质量、进度、成本的全方位的监督，项目资料应及时报送招标人审查备案。</w:t>
      </w:r>
    </w:p>
    <w:p w14:paraId="740AACC0">
      <w:pPr>
        <w:pStyle w:val="49"/>
        <w:wordWrap w:val="0"/>
        <w:adjustRightInd w:val="0"/>
        <w:snapToGrid w:val="0"/>
        <w:spacing w:line="440" w:lineRule="exact"/>
        <w:ind w:firstLine="482" w:firstLineChars="200"/>
        <w:rPr>
          <w:rFonts w:hAnsi="宋体" w:cs="宋体"/>
          <w:b/>
          <w:bCs/>
          <w:snapToGrid w:val="0"/>
          <w:color w:val="auto"/>
          <w:kern w:val="0"/>
          <w:highlight w:val="none"/>
        </w:rPr>
      </w:pPr>
      <w:r>
        <w:rPr>
          <w:rFonts w:hint="eastAsia" w:hAnsi="宋体" w:cs="宋体"/>
          <w:b/>
          <w:bCs/>
          <w:snapToGrid w:val="0"/>
          <w:color w:val="auto"/>
          <w:kern w:val="0"/>
          <w:highlight w:val="none"/>
        </w:rPr>
        <w:t>9.其他事项</w:t>
      </w:r>
    </w:p>
    <w:p w14:paraId="3946496D">
      <w:pPr>
        <w:adjustRightInd w:val="0"/>
        <w:snapToGrid w:val="0"/>
        <w:spacing w:line="440" w:lineRule="exact"/>
        <w:ind w:firstLine="482" w:firstLineChars="200"/>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 xml:space="preserve">9.1 </w:t>
      </w:r>
      <w:r>
        <w:rPr>
          <w:rFonts w:hint="eastAsia" w:ascii="宋体" w:hAnsi="宋体" w:cs="宋体"/>
          <w:snapToGrid w:val="0"/>
          <w:color w:val="auto"/>
          <w:kern w:val="0"/>
          <w:sz w:val="24"/>
          <w:szCs w:val="24"/>
          <w:highlight w:val="none"/>
        </w:rPr>
        <w:t>中标人须在收到中标通知书之日十天内向招标人提交各阶段详细的工期计划承诺书。</w:t>
      </w:r>
    </w:p>
    <w:p w14:paraId="1BBC7D1C">
      <w:pPr>
        <w:adjustRightInd w:val="0"/>
        <w:snapToGrid w:val="0"/>
        <w:spacing w:line="440" w:lineRule="exact"/>
        <w:ind w:firstLine="482" w:firstLineChars="200"/>
        <w:rPr>
          <w:rFonts w:ascii="宋体" w:hAnsi="宋体" w:cs="宋体"/>
          <w:bCs/>
          <w:color w:val="auto"/>
          <w:sz w:val="24"/>
          <w:szCs w:val="24"/>
          <w:highlight w:val="none"/>
        </w:rPr>
      </w:pPr>
      <w:r>
        <w:rPr>
          <w:rFonts w:hint="eastAsia" w:ascii="宋体" w:hAnsi="宋体" w:cs="宋体"/>
          <w:b/>
          <w:bCs/>
          <w:snapToGrid w:val="0"/>
          <w:color w:val="auto"/>
          <w:kern w:val="0"/>
          <w:sz w:val="24"/>
          <w:szCs w:val="24"/>
          <w:highlight w:val="none"/>
        </w:rPr>
        <w:t>9.2</w:t>
      </w:r>
      <w:r>
        <w:rPr>
          <w:rFonts w:hint="eastAsia" w:ascii="宋体" w:hAnsi="宋体" w:cs="宋体"/>
          <w:bCs/>
          <w:color w:val="auto"/>
          <w:sz w:val="24"/>
          <w:szCs w:val="24"/>
          <w:highlight w:val="none"/>
        </w:rPr>
        <w:t>签订合同后，中标人的法人代表或其授权委托人、项目负责人（即设计负责人）须参加招标人组织的廉政谈话。</w:t>
      </w:r>
    </w:p>
    <w:p w14:paraId="7F6A8259">
      <w:pPr>
        <w:adjustRightInd w:val="0"/>
        <w:snapToGrid w:val="0"/>
        <w:spacing w:line="440" w:lineRule="exact"/>
        <w:ind w:firstLine="482" w:firstLineChars="200"/>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9.3</w:t>
      </w:r>
      <w:r>
        <w:rPr>
          <w:rFonts w:hint="eastAsia" w:ascii="宋体" w:hAnsi="宋体" w:cs="宋体"/>
          <w:color w:val="auto"/>
          <w:sz w:val="24"/>
          <w:szCs w:val="24"/>
          <w:highlight w:val="none"/>
        </w:rPr>
        <w:t>本项目各个阶段的设计成果必须经招标人及有关审批部门同意后方可进行下一工序的设计工作，若由于招标人或有关审批部门在审批过程中提出的设计修改或变更，中标人必须无条件进行修改或变更，招标人不再支付由此而增加的设计费用。若设计超过了限额标准，中标人必须无条件优化，直至达到限额要求为止，设计工期不予以顺延，招标人不再支付由此而增加的设计费。</w:t>
      </w:r>
    </w:p>
    <w:p w14:paraId="57020DA3">
      <w:pPr>
        <w:adjustRightInd w:val="0"/>
        <w:snapToGrid w:val="0"/>
        <w:spacing w:line="440" w:lineRule="exact"/>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 xml:space="preserve">9.4 </w:t>
      </w:r>
      <w:r>
        <w:rPr>
          <w:rFonts w:hint="eastAsia" w:ascii="宋体" w:hAnsi="宋体" w:cs="宋体"/>
          <w:snapToGrid w:val="0"/>
          <w:color w:val="auto"/>
          <w:kern w:val="0"/>
          <w:sz w:val="24"/>
          <w:szCs w:val="24"/>
          <w:highlight w:val="none"/>
        </w:rPr>
        <w:t>每一步设计工作必须经招标人及有关部门审核批准后方可进行下一步设计。中标人提交的初步设计成果必须经招标人确认后，再送有资质的审图单位的进行审查，若由于招标人和审图单位在审查过程中提出的设计修改或变更，中标人必须无条件进行修改或优化设计，招标人不再支付由此而增加的设计费用。</w:t>
      </w:r>
    </w:p>
    <w:p w14:paraId="5C2695D2">
      <w:pPr>
        <w:adjustRightInd w:val="0"/>
        <w:snapToGrid w:val="0"/>
        <w:spacing w:line="440" w:lineRule="exact"/>
        <w:ind w:firstLine="482" w:firstLineChars="200"/>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 xml:space="preserve">9.5 </w:t>
      </w:r>
      <w:r>
        <w:rPr>
          <w:rFonts w:hint="eastAsia" w:ascii="宋体" w:hAnsi="宋体" w:cs="宋体"/>
          <w:snapToGrid w:val="0"/>
          <w:color w:val="auto"/>
          <w:kern w:val="0"/>
          <w:sz w:val="24"/>
          <w:szCs w:val="24"/>
          <w:highlight w:val="none"/>
        </w:rPr>
        <w:t>若勘察作业受用地征收影响，设计人需积极选取周边勘探点参照，待征收问题解决后再入场详勘，相应部分的施工图预算以暂定工程量计算。</w:t>
      </w:r>
    </w:p>
    <w:p w14:paraId="019878BA">
      <w:pPr>
        <w:adjustRightInd w:val="0"/>
        <w:snapToGrid w:val="0"/>
        <w:spacing w:line="440" w:lineRule="exact"/>
        <w:ind w:firstLine="482" w:firstLineChars="200"/>
        <w:rPr>
          <w:rFonts w:ascii="宋体" w:hAnsi="宋体" w:cs="宋体"/>
          <w:color w:val="auto"/>
          <w:sz w:val="24"/>
          <w:szCs w:val="24"/>
          <w:highlight w:val="none"/>
        </w:rPr>
      </w:pPr>
      <w:r>
        <w:rPr>
          <w:rFonts w:hint="eastAsia" w:ascii="宋体" w:hAnsi="宋体" w:cs="宋体"/>
          <w:b/>
          <w:bCs/>
          <w:snapToGrid w:val="0"/>
          <w:color w:val="auto"/>
          <w:kern w:val="0"/>
          <w:sz w:val="24"/>
          <w:szCs w:val="24"/>
          <w:highlight w:val="none"/>
        </w:rPr>
        <w:t xml:space="preserve">9.6 </w:t>
      </w:r>
      <w:r>
        <w:rPr>
          <w:rFonts w:hint="eastAsia" w:ascii="宋体" w:hAnsi="宋体" w:cs="宋体"/>
          <w:snapToGrid w:val="0"/>
          <w:color w:val="auto"/>
          <w:kern w:val="0"/>
          <w:sz w:val="24"/>
          <w:szCs w:val="24"/>
          <w:highlight w:val="none"/>
        </w:rPr>
        <w:t>中标人应按招标人要求及有关方面的尺寸和材质要求制作鸟瞰图。否则，招标人另行委托相关单位完成该项工作，费用由中标人承担。</w:t>
      </w:r>
    </w:p>
    <w:p w14:paraId="5785400E">
      <w:pPr>
        <w:adjustRightInd w:val="0"/>
        <w:snapToGrid w:val="0"/>
        <w:spacing w:line="440" w:lineRule="exact"/>
        <w:ind w:firstLine="482" w:firstLineChars="200"/>
        <w:rPr>
          <w:rFonts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 xml:space="preserve">9.7 </w:t>
      </w:r>
      <w:r>
        <w:rPr>
          <w:rFonts w:hint="eastAsia" w:ascii="宋体" w:hAnsi="宋体" w:cs="宋体"/>
          <w:snapToGrid w:val="0"/>
          <w:color w:val="auto"/>
          <w:kern w:val="0"/>
          <w:sz w:val="24"/>
          <w:szCs w:val="24"/>
          <w:highlight w:val="none"/>
        </w:rPr>
        <w:t>设计人义务及违约责任</w:t>
      </w:r>
    </w:p>
    <w:p w14:paraId="66B1827A">
      <w:pPr>
        <w:adjustRightInd w:val="0"/>
        <w:snapToGrid w:val="0"/>
        <w:spacing w:line="440" w:lineRule="exact"/>
        <w:ind w:firstLine="482" w:firstLineChars="200"/>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9.7.1.设计人义务</w:t>
      </w:r>
    </w:p>
    <w:p w14:paraId="48C03FB8">
      <w:pPr>
        <w:adjustRightInd w:val="0"/>
        <w:snapToGrid w:val="0"/>
        <w:spacing w:line="44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9.7.1.1．中标通知书发出后30天内第一中标候选人不按招标文件约定条款签订设计合同的，视为自动放弃中标资格，没收投标保证金，并确定第二中标候选人为中标人，以此类推。并上报建设行政主管部门。</w:t>
      </w:r>
    </w:p>
    <w:p w14:paraId="035459EA">
      <w:pPr>
        <w:adjustRightInd w:val="0"/>
        <w:snapToGrid w:val="0"/>
        <w:spacing w:line="44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9.7.1.2．合同生效后，非因法定或约定的原因，设计人不得单方解除合同。设计人要求终止或解除合同视为设计人违约，扣除履约保证金。</w:t>
      </w:r>
    </w:p>
    <w:p w14:paraId="67AFD06D">
      <w:pPr>
        <w:adjustRightInd w:val="0"/>
        <w:snapToGrid w:val="0"/>
        <w:spacing w:line="44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9.7.1.3．设计人负责按照合同规定承包范围、内容和方式，在规定时间内提交满足规定质量要求的设计成果，并完成约定的服务内容。设计人交付设计文件后，按规定参加有关的设计审查，并根据审查结论负责不超出原定范围的内容做必要调整补充。设计人按合同规定时限交付设计文件。</w:t>
      </w:r>
    </w:p>
    <w:p w14:paraId="46EDE264">
      <w:pPr>
        <w:adjustRightInd w:val="0"/>
        <w:snapToGrid w:val="0"/>
        <w:spacing w:line="44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9.7.1.4．设计人应对发包人提供的文件、资料进行认真研究，对本项目的特点和不确定因素进行认真考虑，并提出合理建议和评价,对影响设计稳定的重大问题要进行多方案比较选择。</w:t>
      </w:r>
    </w:p>
    <w:p w14:paraId="138611CF">
      <w:pPr>
        <w:adjustRightInd w:val="0"/>
        <w:snapToGrid w:val="0"/>
        <w:spacing w:line="44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9.7.1.5．设计应尽可能减少施工难度，为施工创造方便合理的施工条件；应尽量减少施工对城市交通、市民生活以及水利、通航的干扰，并尽可能减少对施工期的影响。</w:t>
      </w:r>
    </w:p>
    <w:p w14:paraId="33F28703">
      <w:pPr>
        <w:adjustRightInd w:val="0"/>
        <w:snapToGrid w:val="0"/>
        <w:spacing w:line="44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9.7.1.6．未经发包人书面同意，设计人不得对已批准的设计和勘探点布置方案作重大修改、增减或删除。</w:t>
      </w:r>
    </w:p>
    <w:p w14:paraId="0CB4ABEC">
      <w:pPr>
        <w:adjustRightInd w:val="0"/>
        <w:snapToGrid w:val="0"/>
        <w:spacing w:line="44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9.7.1.7．设计人提交的全部设计文件应考虑地质因素、正常施工中可能出现的各种因素，对设计文件出现的遗漏或错误负责修改或补充。</w:t>
      </w:r>
    </w:p>
    <w:p w14:paraId="5AE768F1">
      <w:pPr>
        <w:adjustRightInd w:val="0"/>
        <w:snapToGrid w:val="0"/>
        <w:spacing w:line="44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9.7.1.8．设计人承诺在交付项目的部分或全部设计文件后，如有更好的新工艺、新技术、新材料、新设备等适用于本项目，应及时向发包人推荐并提供科学的评估和来源证明。</w:t>
      </w:r>
    </w:p>
    <w:p w14:paraId="5075792E">
      <w:pPr>
        <w:adjustRightInd w:val="0"/>
        <w:snapToGrid w:val="0"/>
        <w:spacing w:line="440"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9.7.1.9．设计人驻韶办公的项目负责人</w:t>
      </w:r>
      <w:r>
        <w:rPr>
          <w:rFonts w:hint="eastAsia" w:ascii="宋体" w:hAnsi="宋体" w:cs="宋体"/>
          <w:b/>
          <w:bCs/>
          <w:snapToGrid w:val="0"/>
          <w:color w:val="auto"/>
          <w:kern w:val="0"/>
          <w:sz w:val="24"/>
          <w:szCs w:val="24"/>
          <w:highlight w:val="none"/>
        </w:rPr>
        <w:t>（即投标文件所拟派的项目负责人）</w:t>
      </w:r>
      <w:r>
        <w:rPr>
          <w:rFonts w:hint="eastAsia" w:ascii="宋体" w:hAnsi="宋体" w:cs="宋体"/>
          <w:snapToGrid w:val="0"/>
          <w:color w:val="auto"/>
          <w:kern w:val="0"/>
          <w:sz w:val="24"/>
          <w:szCs w:val="24"/>
          <w:highlight w:val="none"/>
        </w:rPr>
        <w:t>必须负责本项目设计全过程（包括完善方案设计及概算、初步设计评审、初步设计修编、概算审核、跟踪服务</w:t>
      </w:r>
    </w:p>
    <w:p w14:paraId="7895DCD0">
      <w:pPr>
        <w:adjustRightInd w:val="0"/>
        <w:snapToGrid w:val="0"/>
        <w:spacing w:line="44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9.7.1.1</w:t>
      </w:r>
      <w:r>
        <w:rPr>
          <w:rFonts w:hint="eastAsia" w:ascii="宋体" w:hAnsi="宋体" w:cs="宋体"/>
          <w:snapToGrid w:val="0"/>
          <w:color w:val="auto"/>
          <w:kern w:val="0"/>
          <w:sz w:val="24"/>
          <w:szCs w:val="24"/>
          <w:highlight w:val="none"/>
          <w:lang w:val="en-US" w:eastAsia="zh-CN"/>
        </w:rPr>
        <w:t>0</w:t>
      </w:r>
      <w:r>
        <w:rPr>
          <w:rFonts w:hint="eastAsia" w:ascii="宋体" w:hAnsi="宋体" w:cs="宋体"/>
          <w:snapToGrid w:val="0"/>
          <w:color w:val="auto"/>
          <w:kern w:val="0"/>
          <w:sz w:val="24"/>
          <w:szCs w:val="24"/>
          <w:highlight w:val="none"/>
        </w:rPr>
        <w:t>．涉及设计方案专家论证会（含初步设计评审）的相关费用由设计人承担。</w:t>
      </w:r>
    </w:p>
    <w:p w14:paraId="0D1DDC47">
      <w:pPr>
        <w:adjustRightInd w:val="0"/>
        <w:snapToGrid w:val="0"/>
        <w:spacing w:line="44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9.7.1.1</w:t>
      </w:r>
      <w:r>
        <w:rPr>
          <w:rFonts w:hint="eastAsia" w:ascii="宋体" w:hAnsi="宋体" w:cs="宋体"/>
          <w:snapToGrid w:val="0"/>
          <w:color w:val="auto"/>
          <w:kern w:val="0"/>
          <w:sz w:val="24"/>
          <w:szCs w:val="24"/>
          <w:highlight w:val="none"/>
          <w:lang w:val="en-US" w:eastAsia="zh-CN"/>
        </w:rPr>
        <w:t>1</w:t>
      </w:r>
      <w:r>
        <w:rPr>
          <w:rFonts w:hint="eastAsia" w:ascii="宋体" w:hAnsi="宋体" w:cs="宋体"/>
          <w:snapToGrid w:val="0"/>
          <w:color w:val="auto"/>
          <w:kern w:val="0"/>
          <w:sz w:val="24"/>
          <w:szCs w:val="24"/>
          <w:highlight w:val="none"/>
        </w:rPr>
        <w:t>．设计人要按照批准的设计任务书及投资估算控制初步设计，按照批准的初步设计总概算控制，即限额设计。设计人要无条件对设计文件出现的遗漏或错误负责修改或补充，直到满足要求。</w:t>
      </w:r>
    </w:p>
    <w:p w14:paraId="3F258001">
      <w:pPr>
        <w:adjustRightInd w:val="0"/>
        <w:snapToGrid w:val="0"/>
        <w:spacing w:line="44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9.7.1.1</w:t>
      </w:r>
      <w:r>
        <w:rPr>
          <w:rFonts w:hint="eastAsia" w:ascii="宋体" w:hAnsi="宋体" w:cs="宋体"/>
          <w:snapToGrid w:val="0"/>
          <w:color w:val="auto"/>
          <w:kern w:val="0"/>
          <w:sz w:val="24"/>
          <w:szCs w:val="24"/>
          <w:highlight w:val="none"/>
          <w:lang w:val="en-US" w:eastAsia="zh-CN"/>
        </w:rPr>
        <w:t>2</w:t>
      </w:r>
      <w:r>
        <w:rPr>
          <w:rFonts w:hint="eastAsia" w:ascii="宋体" w:hAnsi="宋体" w:cs="宋体"/>
          <w:snapToGrid w:val="0"/>
          <w:color w:val="auto"/>
          <w:kern w:val="0"/>
          <w:sz w:val="24"/>
          <w:szCs w:val="24"/>
          <w:highlight w:val="none"/>
        </w:rPr>
        <w:t>．发包人及咨询单位、上级主管部门对设计成果（包括研究试验成果）设计文件的审查并不免除设计人的责任。</w:t>
      </w:r>
    </w:p>
    <w:p w14:paraId="4E866E09">
      <w:pPr>
        <w:adjustRightInd w:val="0"/>
        <w:snapToGrid w:val="0"/>
        <w:spacing w:line="440" w:lineRule="exact"/>
        <w:ind w:firstLine="482" w:firstLineChars="200"/>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9.7.2．设计人违约的处理</w:t>
      </w:r>
    </w:p>
    <w:p w14:paraId="693041A0">
      <w:pPr>
        <w:adjustRightInd w:val="0"/>
        <w:snapToGrid w:val="0"/>
        <w:spacing w:line="44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9.7.2.1．中标人发生合同约定的违约情况时（如中标人未按合同约定履行相应义务），无论发包人是否解除合同，发包人均有权向设计人课以违约金，并由发包人将其违约行为记录在合同履约评价报告中，作为合同履约综合评价的依据。同时，发包人将设计人的违约行为上报建设行政主管部门。</w:t>
      </w:r>
    </w:p>
    <w:p w14:paraId="077E52CE">
      <w:pPr>
        <w:adjustRightInd w:val="0"/>
        <w:snapToGrid w:val="0"/>
        <w:spacing w:line="44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9.7.2.2．发包人按合同规定向设计人开出的任何违约金，除合同另有规定外，均从发包人应向设计人支付的工程款中直接扣除。除非合同另有规定，发包人向设计人开出的任何违约金将导致中标人最终的应得结算价款相应地减少。设计人必须完全接受上述条款。</w:t>
      </w:r>
    </w:p>
    <w:p w14:paraId="01AA5E14">
      <w:pPr>
        <w:adjustRightInd w:val="0"/>
        <w:snapToGrid w:val="0"/>
        <w:spacing w:line="44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9.7.2.3．发包人按合同规定向设计人开出的任何违约金的扣除时间，可以在发包人认为合适的任何一个期中支付月份中扣除。发包人扣除违约金时间的延迟或滞后并不代表对设计人当时各种行为的认可或默认。</w:t>
      </w:r>
    </w:p>
    <w:p w14:paraId="4ACD1041">
      <w:pPr>
        <w:adjustRightInd w:val="0"/>
        <w:snapToGrid w:val="0"/>
        <w:spacing w:line="440" w:lineRule="exact"/>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9.7.2.4．设计人的违约金由发包人掌握使用。</w:t>
      </w:r>
    </w:p>
    <w:p w14:paraId="39E68BDE">
      <w:pPr>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rPr>
        <w:t>9.7.2.5.设计人自身原因造成逾期交付设计成果的，在逾期第壹天起每天按 5000元向发包人返纳逾期违约金，违约金总额上限</w:t>
      </w:r>
      <w:r>
        <w:rPr>
          <w:rFonts w:hint="eastAsia" w:ascii="宋体" w:hAnsi="宋体" w:cs="宋体"/>
          <w:snapToGrid w:val="0"/>
          <w:color w:val="auto"/>
          <w:kern w:val="0"/>
          <w:sz w:val="24"/>
          <w:szCs w:val="24"/>
          <w:highlight w:val="none"/>
          <w:lang w:val="en-US" w:eastAsia="zh-CN"/>
        </w:rPr>
        <w:t>为</w:t>
      </w:r>
      <w:r>
        <w:rPr>
          <w:rFonts w:hint="eastAsia" w:ascii="宋体" w:hAnsi="宋体" w:cs="宋体"/>
          <w:snapToGrid w:val="0"/>
          <w:color w:val="auto"/>
          <w:kern w:val="0"/>
          <w:sz w:val="24"/>
          <w:szCs w:val="24"/>
          <w:highlight w:val="none"/>
        </w:rPr>
        <w:t>合同价款的10%</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rPr>
        <w:t>如延期达到30日历天，发包人可单方解除合同。</w:t>
      </w:r>
    </w:p>
    <w:bookmarkEnd w:id="0"/>
    <w:bookmarkEnd w:id="198"/>
    <w:p w14:paraId="305E4F44">
      <w:pPr>
        <w:pStyle w:val="2"/>
        <w:keepNext w:val="0"/>
        <w:keepLines w:val="0"/>
        <w:numPr>
          <w:ilvl w:val="0"/>
          <w:numId w:val="0"/>
        </w:numPr>
        <w:autoSpaceDE w:val="0"/>
        <w:autoSpaceDN w:val="0"/>
        <w:adjustRightInd w:val="0"/>
        <w:spacing w:line="400" w:lineRule="exact"/>
        <w:ind w:left="420" w:leftChars="200"/>
        <w:jc w:val="center"/>
        <w:rPr>
          <w:rFonts w:ascii="宋体" w:hAnsi="宋体" w:cs="宋体"/>
          <w:color w:val="auto"/>
          <w:sz w:val="30"/>
          <w:szCs w:val="30"/>
          <w:highlight w:val="none"/>
        </w:rPr>
      </w:pPr>
      <w:bookmarkStart w:id="199" w:name="_Toc466640610"/>
      <w:bookmarkStart w:id="200" w:name="_Toc28264"/>
      <w:r>
        <w:rPr>
          <w:rFonts w:hint="eastAsia" w:ascii="宋体" w:hAnsi="宋体" w:cs="宋体"/>
          <w:color w:val="auto"/>
          <w:sz w:val="30"/>
          <w:szCs w:val="30"/>
          <w:highlight w:val="none"/>
        </w:rPr>
        <w:br w:type="page"/>
      </w:r>
      <w:bookmarkStart w:id="201" w:name="_Toc2787"/>
      <w:r>
        <w:rPr>
          <w:rStyle w:val="57"/>
          <w:rFonts w:hint="eastAsia" w:ascii="Times New Roman" w:hAnsi="宋体" w:cs="宋体" w:eastAsiaTheme="minorEastAsia"/>
          <w:b/>
          <w:bCs/>
          <w:color w:val="auto"/>
          <w:kern w:val="0"/>
          <w:szCs w:val="18"/>
          <w:highlight w:val="none"/>
        </w:rPr>
        <w:t xml:space="preserve">第四章 </w:t>
      </w:r>
      <w:bookmarkEnd w:id="199"/>
      <w:bookmarkEnd w:id="200"/>
      <w:r>
        <w:rPr>
          <w:rStyle w:val="57"/>
          <w:rFonts w:hint="eastAsia" w:ascii="Times New Roman" w:hAnsi="宋体" w:cs="宋体" w:eastAsiaTheme="minorEastAsia"/>
          <w:b/>
          <w:bCs/>
          <w:color w:val="auto"/>
          <w:kern w:val="0"/>
          <w:szCs w:val="18"/>
          <w:highlight w:val="none"/>
        </w:rPr>
        <w:t>招标项目的设计要求</w:t>
      </w:r>
      <w:bookmarkEnd w:id="201"/>
    </w:p>
    <w:p w14:paraId="026BA1A5">
      <w:pPr>
        <w:wordWrap w:val="0"/>
        <w:adjustRightInd w:val="0"/>
        <w:snapToGrid w:val="0"/>
        <w:spacing w:before="317" w:beforeLines="100" w:line="420" w:lineRule="exact"/>
        <w:ind w:firstLine="482" w:firstLineChars="200"/>
        <w:rPr>
          <w:rFonts w:ascii="宋体" w:hAnsi="宋体" w:cs="宋体"/>
          <w:b/>
          <w:snapToGrid w:val="0"/>
          <w:color w:val="auto"/>
          <w:kern w:val="0"/>
          <w:sz w:val="24"/>
          <w:szCs w:val="24"/>
          <w:highlight w:val="none"/>
        </w:rPr>
      </w:pPr>
      <w:bookmarkStart w:id="202" w:name="_Hlt80411122"/>
      <w:bookmarkEnd w:id="202"/>
      <w:bookmarkStart w:id="203" w:name="_Hlt69265216"/>
      <w:bookmarkEnd w:id="203"/>
      <w:bookmarkStart w:id="204" w:name="_Hlt69116854"/>
      <w:bookmarkEnd w:id="204"/>
      <w:bookmarkStart w:id="205" w:name="_Hlt69358458"/>
      <w:bookmarkEnd w:id="205"/>
      <w:bookmarkStart w:id="206" w:name="_Hlt66104926"/>
      <w:bookmarkEnd w:id="206"/>
      <w:bookmarkStart w:id="207" w:name="_Hlt69357851"/>
      <w:bookmarkEnd w:id="207"/>
      <w:bookmarkStart w:id="208" w:name="_Hlt87793370"/>
      <w:bookmarkEnd w:id="208"/>
      <w:bookmarkStart w:id="209" w:name="_Hlt78709799"/>
      <w:bookmarkEnd w:id="209"/>
      <w:bookmarkStart w:id="210" w:name="_Hlt69635252"/>
      <w:bookmarkEnd w:id="210"/>
      <w:bookmarkStart w:id="211" w:name="_Hlt75685840"/>
      <w:bookmarkEnd w:id="211"/>
      <w:bookmarkStart w:id="212" w:name="_Hlt87793346"/>
      <w:bookmarkEnd w:id="212"/>
      <w:bookmarkStart w:id="213" w:name="_Hlt69359243"/>
      <w:bookmarkEnd w:id="213"/>
      <w:bookmarkStart w:id="214" w:name="_Hlt69358207"/>
      <w:bookmarkEnd w:id="214"/>
      <w:bookmarkStart w:id="215" w:name="_Hlt69359086"/>
      <w:bookmarkEnd w:id="215"/>
      <w:bookmarkStart w:id="216" w:name="_Hlt69116858"/>
      <w:bookmarkEnd w:id="216"/>
      <w:bookmarkStart w:id="217" w:name="_Hlt69359335"/>
      <w:bookmarkEnd w:id="217"/>
      <w:bookmarkStart w:id="218" w:name="_Hlt69359245"/>
      <w:bookmarkEnd w:id="218"/>
      <w:bookmarkStart w:id="219" w:name="_Hlt68774758"/>
      <w:bookmarkEnd w:id="219"/>
      <w:bookmarkStart w:id="220" w:name="_Toc466640612"/>
      <w:r>
        <w:rPr>
          <w:rFonts w:hint="eastAsia" w:ascii="宋体" w:hAnsi="宋体" w:cs="宋体"/>
          <w:b/>
          <w:snapToGrid w:val="0"/>
          <w:color w:val="auto"/>
          <w:kern w:val="0"/>
          <w:sz w:val="24"/>
          <w:szCs w:val="24"/>
          <w:highlight w:val="none"/>
        </w:rPr>
        <w:t xml:space="preserve">1.工程的设计要求 </w:t>
      </w:r>
    </w:p>
    <w:p w14:paraId="3E7E3DC7">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必须执行的现行设计标准与规范，包括且不限于：</w:t>
      </w:r>
    </w:p>
    <w:p w14:paraId="76C02BD0">
      <w:pPr>
        <w:wordWrap w:val="0"/>
        <w:adjustRightInd w:val="0"/>
        <w:snapToGrid w:val="0"/>
        <w:spacing w:before="0" w:beforeLines="0" w:line="360" w:lineRule="auto"/>
        <w:ind w:firstLine="480" w:firstLineChars="200"/>
        <w:jc w:val="left"/>
        <w:rPr>
          <w:rFonts w:hint="eastAsia" w:ascii="宋体" w:hAnsi="宋体" w:cs="宋体"/>
          <w:b w:val="0"/>
          <w:bCs/>
          <w:snapToGrid w:val="0"/>
          <w:color w:val="auto"/>
          <w:kern w:val="0"/>
          <w:sz w:val="24"/>
          <w:szCs w:val="24"/>
          <w:highlight w:val="none"/>
          <w:lang w:val="en-US" w:eastAsia="zh-CN"/>
        </w:rPr>
      </w:pPr>
      <w:r>
        <w:rPr>
          <w:rFonts w:hint="eastAsia" w:ascii="宋体" w:hAnsi="宋体" w:cs="宋体"/>
          <w:b w:val="0"/>
          <w:bCs/>
          <w:snapToGrid w:val="0"/>
          <w:color w:val="auto"/>
          <w:kern w:val="0"/>
          <w:sz w:val="24"/>
          <w:szCs w:val="24"/>
          <w:highlight w:val="none"/>
          <w:lang w:val="en-US" w:eastAsia="zh-CN"/>
        </w:rPr>
        <w:t>建筑：</w:t>
      </w:r>
    </w:p>
    <w:p w14:paraId="3B4BC954">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《中华人民共和国建筑法》2011</w:t>
      </w:r>
    </w:p>
    <w:p w14:paraId="3F59C0E0">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《中华人民共和国城乡规划法》2008</w:t>
      </w:r>
    </w:p>
    <w:p w14:paraId="3535021F">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《工程建设标准强制性条文》（城乡规划部分）（房屋建筑部分）（城市建设部分）2013年版(未废止部分)</w:t>
      </w:r>
    </w:p>
    <w:p w14:paraId="4FBE2BAA">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《建筑工程设计文件编制深度规定》2016年版</w:t>
      </w:r>
    </w:p>
    <w:p w14:paraId="407A0B38">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《总图制图标准》GB/T50103-2010</w:t>
      </w:r>
    </w:p>
    <w:p w14:paraId="0A485BE8">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《建筑制图标准》GB/T50104-2010</w:t>
      </w:r>
    </w:p>
    <w:p w14:paraId="011C8403">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《综合医院建筑设计标准》GB51039-2014（2024局部修订版）</w:t>
      </w:r>
    </w:p>
    <w:p w14:paraId="4BF12A8F">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《民用建筑通用规范》GB55031-2022</w:t>
      </w:r>
    </w:p>
    <w:p w14:paraId="6AFB8A53">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《建筑防火通用规范》GB55037-2022</w:t>
      </w:r>
    </w:p>
    <w:p w14:paraId="1890FD88">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《消防设施通用规范》GB55036-2022</w:t>
      </w:r>
    </w:p>
    <w:p w14:paraId="680F657D">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《建筑与市政工程防水通用规范》GB55030-2022</w:t>
      </w:r>
    </w:p>
    <w:p w14:paraId="70947C3A">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《建筑节能与可再生能源利用通用规范》GB55015-2021</w:t>
      </w:r>
    </w:p>
    <w:p w14:paraId="2145EF9A">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《建筑与市政工程无障碍通用规范》GB55019-2021</w:t>
      </w:r>
    </w:p>
    <w:p w14:paraId="4A04C31C">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《建筑环境通用规范》GB55016-2021</w:t>
      </w:r>
    </w:p>
    <w:p w14:paraId="5C218A09">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《建筑防火封堵应用技术标准》GB/T 51410-2020</w:t>
      </w:r>
    </w:p>
    <w:p w14:paraId="6FFC2688">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《民用建筑设计统一标准》GB 50352-2019</w:t>
      </w:r>
    </w:p>
    <w:p w14:paraId="60CA2DCC">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《建筑设计防火规范》GB50016-2014（2018年版）</w:t>
      </w:r>
    </w:p>
    <w:p w14:paraId="7CAEC7D2">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《汽车库、修车库、停车场设计防火规范》GB50067-2014</w:t>
      </w:r>
    </w:p>
    <w:p w14:paraId="374B6DB0">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《车库建筑设计规范》JGJ100-2015</w:t>
      </w:r>
    </w:p>
    <w:p w14:paraId="68C01CE2">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《无障碍设计规范》GB50763-2012</w:t>
      </w:r>
    </w:p>
    <w:p w14:paraId="4A2B713A">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《办公建筑设计标准》JGJ67-2019</w:t>
      </w:r>
    </w:p>
    <w:p w14:paraId="72E6EE48">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《建筑内部装修设计防火规范》GB50222-2017</w:t>
      </w:r>
    </w:p>
    <w:p w14:paraId="51E96EE7">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《人民防空工程设计防火规范》GB50098—2009</w:t>
      </w:r>
    </w:p>
    <w:p w14:paraId="765A421A">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《人民防空地下室设计规范》GB50038-2005（2023年版）</w:t>
      </w:r>
    </w:p>
    <w:p w14:paraId="7EECFB81">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《综合医院建设标准》建标110-2021</w:t>
      </w:r>
    </w:p>
    <w:p w14:paraId="07258B89">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《医院洁净手术部建筑技术规范》GB50333-2013</w:t>
      </w:r>
    </w:p>
    <w:p w14:paraId="5C30F59D">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《洁净室施工及验收规范》GB50591-2010</w:t>
      </w:r>
    </w:p>
    <w:p w14:paraId="07792C14">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《医院消毒卫生标准》GB15982-2012</w:t>
      </w:r>
    </w:p>
    <w:p w14:paraId="0793FCCB">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《生物安全实验室建筑技术规范》GB50346-2011</w:t>
      </w:r>
    </w:p>
    <w:p w14:paraId="2845D88A">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《医疗机构水污染物排放标准》GB18466-2005</w:t>
      </w:r>
    </w:p>
    <w:p w14:paraId="3A43A5A6">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 xml:space="preserve">《电动汽车充电基础设施建设技术规程》DBJ/T 15-150-2018 </w:t>
      </w:r>
    </w:p>
    <w:p w14:paraId="0E2577D9">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《电动汽车充电站设计规范》GB50966-2014</w:t>
      </w:r>
    </w:p>
    <w:p w14:paraId="2CC614AE">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《电动汽车分散充电设施工程技术标准》GB/T51313-2018</w:t>
      </w:r>
    </w:p>
    <w:p w14:paraId="39839127">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《建筑外墙外保温防火隔离带技术规程》JGJ289-2012</w:t>
      </w:r>
    </w:p>
    <w:p w14:paraId="02252850">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《民用建筑隔声设计规范》GB 50118-2010</w:t>
      </w:r>
    </w:p>
    <w:p w14:paraId="155BF484">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《民用建筑工程室内环境污染控制标准》GB50325-2020</w:t>
      </w:r>
    </w:p>
    <w:p w14:paraId="22F80CA5">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《建筑材料放射性核素限量》GB6566-2010</w:t>
      </w:r>
    </w:p>
    <w:p w14:paraId="7FADF1CB">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《公共建筑节能设计标准》GB50189-2015</w:t>
      </w:r>
    </w:p>
    <w:p w14:paraId="77101AB4">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《广东省公共建筑节能设计标准》DBJ15-51-2020</w:t>
      </w:r>
    </w:p>
    <w:p w14:paraId="78C7EB44">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《建筑遮阳工程技术规范》JGJ237-2011</w:t>
      </w:r>
    </w:p>
    <w:p w14:paraId="2CDC8137">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《建筑工程建筑面积计算规范》GB/T50353-2013</w:t>
      </w:r>
    </w:p>
    <w:p w14:paraId="137C79A8">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《屋面工程技术规范》GB50345-2012</w:t>
      </w:r>
    </w:p>
    <w:p w14:paraId="244B4F88">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《种植屋面工程技术规程》JGJ155-2013</w:t>
      </w:r>
    </w:p>
    <w:p w14:paraId="7FBB32C8">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《倒置式屋面工程技术规程》JGJ230-2010</w:t>
      </w:r>
    </w:p>
    <w:p w14:paraId="092B92C5">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《建筑与市政工程防水通用规范》GB55030-2022</w:t>
      </w:r>
    </w:p>
    <w:p w14:paraId="30B42452">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《建筑地面设计规范》GB50037-2013</w:t>
      </w:r>
    </w:p>
    <w:p w14:paraId="1FB61FC1">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《建筑地面工程防滑技术规程》JGJ/T331-2014</w:t>
      </w:r>
    </w:p>
    <w:p w14:paraId="71862EFB">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《地下工程防水技术规范》GB50108—2008</w:t>
      </w:r>
    </w:p>
    <w:p w14:paraId="6D9B765A">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广东省《建筑防水工程技术规程》DBJ/T15-19-2020</w:t>
      </w:r>
    </w:p>
    <w:p w14:paraId="23CFFE69">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《建筑外墙防水工程技术规程》JGJ/T235-2011</w:t>
      </w:r>
    </w:p>
    <w:p w14:paraId="741A0969">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《铝合金门窗》GB／T 8478-2020</w:t>
      </w:r>
    </w:p>
    <w:p w14:paraId="2660C80B">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《建筑外门窗气密、水密、抗风压性能分级及检测方法》GB／T 7106-2019</w:t>
      </w:r>
    </w:p>
    <w:p w14:paraId="017224E9">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《建筑玻璃应用技术规程》JGJ113-2015</w:t>
      </w:r>
    </w:p>
    <w:p w14:paraId="48BCDAEC">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《民用建筑热工设计规范》GB 50176-2016</w:t>
      </w:r>
    </w:p>
    <w:p w14:paraId="7194B705">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《绿色建筑评价标准》GB/T 50378-2019</w:t>
      </w:r>
    </w:p>
    <w:p w14:paraId="10D2B72B">
      <w:pPr>
        <w:wordWrap w:val="0"/>
        <w:adjustRightInd w:val="0"/>
        <w:snapToGrid w:val="0"/>
        <w:spacing w:before="0" w:beforeLines="0"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《外墙饰面砖工程施工及验收规程》JGJ126-2015</w:t>
      </w:r>
    </w:p>
    <w:p w14:paraId="544F6744">
      <w:pPr>
        <w:wordWrap w:val="0"/>
        <w:adjustRightInd w:val="0"/>
        <w:snapToGrid w:val="0"/>
        <w:spacing w:before="0" w:beforeLines="0" w:line="360" w:lineRule="auto"/>
        <w:ind w:firstLine="480" w:firstLineChars="200"/>
        <w:jc w:val="left"/>
        <w:rPr>
          <w:rFonts w:hint="eastAsia" w:ascii="宋体" w:hAnsi="宋体" w:cs="宋体"/>
          <w:b w:val="0"/>
          <w:bCs/>
          <w:snapToGrid w:val="0"/>
          <w:color w:val="auto"/>
          <w:kern w:val="0"/>
          <w:sz w:val="24"/>
          <w:szCs w:val="24"/>
          <w:highlight w:val="none"/>
          <w:lang w:val="en-US" w:eastAsia="zh-CN"/>
        </w:rPr>
      </w:pPr>
      <w:r>
        <w:rPr>
          <w:rFonts w:hint="eastAsia" w:ascii="宋体" w:hAnsi="宋体" w:cs="宋体"/>
          <w:b w:val="0"/>
          <w:bCs/>
          <w:snapToGrid w:val="0"/>
          <w:color w:val="auto"/>
          <w:kern w:val="0"/>
          <w:sz w:val="24"/>
          <w:szCs w:val="24"/>
          <w:highlight w:val="none"/>
          <w:lang w:val="en-US" w:eastAsia="zh-CN"/>
        </w:rPr>
        <w:t>结构：</w:t>
      </w:r>
    </w:p>
    <w:p w14:paraId="2AE0538D">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《建筑结构可靠性设计统一标准》GB50068-2018</w:t>
      </w:r>
    </w:p>
    <w:p w14:paraId="5E7C0386">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《建筑结构荷载规范》GB50009-2001</w:t>
      </w:r>
    </w:p>
    <w:p w14:paraId="4DFB5A47">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《建筑结构荷载规范》GB50009-2012</w:t>
      </w:r>
    </w:p>
    <w:p w14:paraId="6E7A9F1B">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《建筑抗震设计规范》GB50011-2001</w:t>
      </w:r>
    </w:p>
    <w:p w14:paraId="5EE7DBA5">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《建筑抗震设计标准》GB/T50011-2010</w:t>
      </w:r>
    </w:p>
    <w:p w14:paraId="74C41147">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《建筑工程抗震设防分类标准》GB50223-2008</w:t>
      </w:r>
    </w:p>
    <w:p w14:paraId="387455BE">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《工程结构可靠性设计统一标准》GB50153-2008</w:t>
      </w:r>
    </w:p>
    <w:p w14:paraId="737007B8">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《混凝土结构设计规范》GB50010-2010 (2015年版)</w:t>
      </w:r>
    </w:p>
    <w:p w14:paraId="0CBB58D1">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《混凝土结构耐久性设计规范》GB/T50476-2019</w:t>
      </w:r>
    </w:p>
    <w:p w14:paraId="77F3F95C">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《建筑设计防火规范》GB50016-2014(2018年版)</w:t>
      </w:r>
    </w:p>
    <w:p w14:paraId="1C5C83E2">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《高层建筑混凝土结构技术规程》JGJ3-2010</w:t>
      </w:r>
    </w:p>
    <w:p w14:paraId="7BE7882F">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《砌体结构设计规范》GB50003-2011</w:t>
      </w:r>
    </w:p>
    <w:p w14:paraId="6A4F239B">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《钢结构设计标准》GB50017-2017</w:t>
      </w:r>
    </w:p>
    <w:p w14:paraId="0FB4A2E5">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《工程结构通用规范》GB 55001-2021</w:t>
      </w:r>
    </w:p>
    <w:p w14:paraId="13E7FDD4">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《建筑与市政工程抗震通用规范》 GB 55002-2021</w:t>
      </w:r>
    </w:p>
    <w:p w14:paraId="04F19CAA">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《钢结构通用规范》GB 55006-2021</w:t>
      </w:r>
    </w:p>
    <w:p w14:paraId="383AA818">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《砌体结构通用规范》 GB 55007-2021</w:t>
      </w:r>
    </w:p>
    <w:p w14:paraId="73CF1652">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《混凝土结构通用规范》 GB 55008-2021</w:t>
      </w:r>
    </w:p>
    <w:p w14:paraId="10CA8411">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《建筑结构制图标准》GB/T50105-2010</w:t>
      </w:r>
    </w:p>
    <w:p w14:paraId="0537C51C">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《建筑工程设计文件编制深度规定》(2016年版)</w:t>
      </w:r>
    </w:p>
    <w:p w14:paraId="0DFB7098">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《混凝土结构加固设计规范》 （GB 50367-2013）</w:t>
      </w:r>
    </w:p>
    <w:p w14:paraId="2680634A">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《建筑结构加固工程施工质量验收规范》 GB50550-2010</w:t>
      </w:r>
    </w:p>
    <w:p w14:paraId="423B16B9">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《地震灾后建筑鉴定与加固技术指南》 建标【2008】132号</w:t>
      </w:r>
    </w:p>
    <w:p w14:paraId="6089F906">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《建筑抗震加固技术规程》（JGJ 116-2009）</w:t>
      </w:r>
    </w:p>
    <w:p w14:paraId="5E70AE24">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《建筑抗震鉴定标准》（GB50023—2009）</w:t>
      </w:r>
    </w:p>
    <w:p w14:paraId="6B0B3E20">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《民用建筑可靠性鉴定标准》(GB50292-2015)</w:t>
      </w:r>
    </w:p>
    <w:p w14:paraId="1F69DB36">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《碳纤维片材加固混凝土结构技术规程》 (CECS 146：2007)</w:t>
      </w:r>
    </w:p>
    <w:p w14:paraId="0ED9EF20">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《既有建筑鉴定与加固通用规范》GB55021-2021</w:t>
      </w:r>
    </w:p>
    <w:p w14:paraId="635678A5">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《既有建筑改造技术管理规范》DBJ/T15-178-2020</w:t>
      </w:r>
    </w:p>
    <w:p w14:paraId="359033A7">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《既有建筑混凝土结构改造设计规范》DBJ/T15-182-2020</w:t>
      </w:r>
    </w:p>
    <w:p w14:paraId="7C40D413">
      <w:pPr>
        <w:wordWrap w:val="0"/>
        <w:adjustRightInd w:val="0"/>
        <w:snapToGrid w:val="0"/>
        <w:spacing w:before="0" w:beforeLines="0" w:line="360" w:lineRule="auto"/>
        <w:ind w:firstLine="480" w:firstLineChars="200"/>
        <w:jc w:val="left"/>
        <w:rPr>
          <w:rFonts w:hint="eastAsia" w:ascii="宋体" w:hAnsi="宋体" w:cs="宋体"/>
          <w:b w:val="0"/>
          <w:bCs/>
          <w:snapToGrid w:val="0"/>
          <w:color w:val="auto"/>
          <w:kern w:val="0"/>
          <w:sz w:val="24"/>
          <w:szCs w:val="24"/>
          <w:highlight w:val="none"/>
          <w:lang w:val="en-US" w:eastAsia="zh-CN"/>
        </w:rPr>
      </w:pPr>
      <w:r>
        <w:rPr>
          <w:rFonts w:hint="eastAsia" w:ascii="宋体" w:hAnsi="宋体" w:cs="宋体"/>
          <w:b w:val="0"/>
          <w:bCs/>
          <w:snapToGrid w:val="0"/>
          <w:color w:val="auto"/>
          <w:kern w:val="0"/>
          <w:sz w:val="24"/>
          <w:szCs w:val="24"/>
          <w:highlight w:val="none"/>
          <w:lang w:val="en-US" w:eastAsia="zh-CN"/>
        </w:rPr>
        <w:t>给排水：</w:t>
      </w:r>
    </w:p>
    <w:p w14:paraId="406D20CD">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lang w:bidi="ar"/>
        </w:rPr>
      </w:pPr>
      <w:r>
        <w:rPr>
          <w:rFonts w:hint="eastAsia" w:ascii="宋体" w:hAnsi="宋体" w:cs="宋体"/>
          <w:bCs/>
          <w:snapToGrid w:val="0"/>
          <w:color w:val="auto"/>
          <w:kern w:val="0"/>
          <w:sz w:val="24"/>
          <w:szCs w:val="24"/>
          <w:highlight w:val="none"/>
          <w:lang w:bidi="ar"/>
        </w:rPr>
        <w:t>《城市给水工程项目规范》GB55026-2022</w:t>
      </w:r>
    </w:p>
    <w:p w14:paraId="7A8FBF63">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lang w:bidi="ar"/>
        </w:rPr>
      </w:pPr>
      <w:r>
        <w:rPr>
          <w:rFonts w:hint="eastAsia" w:ascii="宋体" w:hAnsi="宋体" w:cs="宋体"/>
          <w:bCs/>
          <w:snapToGrid w:val="0"/>
          <w:color w:val="auto"/>
          <w:kern w:val="0"/>
          <w:sz w:val="24"/>
          <w:szCs w:val="24"/>
          <w:highlight w:val="none"/>
          <w:lang w:bidi="ar"/>
        </w:rPr>
        <w:t>《城乡排水工程项目规范》GB55027-2022</w:t>
      </w:r>
    </w:p>
    <w:p w14:paraId="60BA7D2C">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lang w:bidi="ar"/>
        </w:rPr>
        <w:t>《建筑给水排水设计标准》GB50015-2019</w:t>
      </w:r>
    </w:p>
    <w:p w14:paraId="01064B0E">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lang w:bidi="ar"/>
        </w:rPr>
      </w:pPr>
      <w:r>
        <w:rPr>
          <w:rFonts w:hint="eastAsia" w:ascii="宋体" w:hAnsi="宋体" w:cs="宋体"/>
          <w:bCs/>
          <w:snapToGrid w:val="0"/>
          <w:color w:val="auto"/>
          <w:kern w:val="0"/>
          <w:sz w:val="24"/>
          <w:szCs w:val="24"/>
          <w:highlight w:val="none"/>
          <w:lang w:bidi="ar"/>
        </w:rPr>
        <w:t>《建筑给水排水与节水通用规范》GB55020-2021</w:t>
      </w:r>
    </w:p>
    <w:p w14:paraId="6F84A8A5">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lang w:bidi="ar"/>
        </w:rPr>
        <w:t>《办公建筑设计标准》JGJ/T67-2019</w:t>
      </w:r>
    </w:p>
    <w:p w14:paraId="575E279E">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lang w:bidi="ar"/>
        </w:rPr>
        <w:t>《综合医院建筑设计标准》GB51039-2014（2024年版）</w:t>
      </w:r>
    </w:p>
    <w:p w14:paraId="2B12D8C4">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lang w:bidi="ar"/>
        </w:rPr>
        <w:t>《民用建筑设计统一标准》GB50352-2019</w:t>
      </w:r>
    </w:p>
    <w:p w14:paraId="4DE0D2EE">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lang w:bidi="ar"/>
        </w:rPr>
      </w:pPr>
      <w:r>
        <w:rPr>
          <w:rFonts w:hint="eastAsia" w:ascii="宋体" w:hAnsi="宋体" w:cs="宋体"/>
          <w:bCs/>
          <w:snapToGrid w:val="0"/>
          <w:color w:val="auto"/>
          <w:kern w:val="0"/>
          <w:sz w:val="24"/>
          <w:szCs w:val="24"/>
          <w:highlight w:val="none"/>
          <w:lang w:bidi="ar"/>
        </w:rPr>
        <w:t>《民用建筑节水设计标准》GB50555-2010</w:t>
      </w:r>
    </w:p>
    <w:p w14:paraId="3E2A8D4E">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《建筑节能与可再生能源利用通用规范》GB55015-2021</w:t>
      </w:r>
    </w:p>
    <w:p w14:paraId="29645B14">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lang w:bidi="ar"/>
        </w:rPr>
        <w:t>《医院污水处理设计规范》CECS 07：2004</w:t>
      </w:r>
    </w:p>
    <w:p w14:paraId="67940BE3">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lang w:bidi="ar"/>
        </w:rPr>
        <w:t>《医疗机构水污染物排放标准》GB18466-2005</w:t>
      </w:r>
    </w:p>
    <w:p w14:paraId="317DA42F">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lang w:bidi="ar"/>
        </w:rPr>
        <w:t>《医院洁净手术部建筑技术规范》GB50333-2013</w:t>
      </w:r>
    </w:p>
    <w:p w14:paraId="5D99D39D">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lang w:bidi="ar"/>
        </w:rPr>
      </w:pPr>
      <w:r>
        <w:rPr>
          <w:rFonts w:hint="eastAsia" w:ascii="宋体" w:hAnsi="宋体" w:cs="宋体"/>
          <w:bCs/>
          <w:snapToGrid w:val="0"/>
          <w:color w:val="auto"/>
          <w:kern w:val="0"/>
          <w:sz w:val="24"/>
          <w:szCs w:val="24"/>
          <w:highlight w:val="none"/>
          <w:lang w:bidi="ar"/>
        </w:rPr>
        <w:t>《建筑与市政工程抗震设计通用规范》GB55002-2021</w:t>
      </w:r>
    </w:p>
    <w:p w14:paraId="79E84EEC">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lang w:bidi="ar"/>
        </w:rPr>
        <w:t>《建筑机电工程抗震设计规范》GB50981-2014</w:t>
      </w:r>
    </w:p>
    <w:p w14:paraId="510642C4">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lang w:bidi="ar"/>
        </w:rPr>
        <w:t>《建筑与小区雨水控制及利用工程技术规范》GB50400-2016</w:t>
      </w:r>
    </w:p>
    <w:p w14:paraId="517B5C0B">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lang w:bidi="ar"/>
        </w:rPr>
        <w:t>《建筑屋面雨水排水系统技术规程》CJJ142—2014</w:t>
      </w:r>
    </w:p>
    <w:p w14:paraId="5974C51E">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lang w:bidi="ar"/>
        </w:rPr>
        <w:t>《民用建筑太阳能热水系统应用技术标准》GB50364-2018</w:t>
      </w:r>
    </w:p>
    <w:p w14:paraId="28954AD8">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lang w:bidi="ar"/>
        </w:rPr>
        <w:t>《公共建筑节能设计标准》GB50189-2015</w:t>
      </w:r>
    </w:p>
    <w:p w14:paraId="149E9B46">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lang w:bidi="ar"/>
        </w:rPr>
      </w:pPr>
      <w:r>
        <w:rPr>
          <w:rFonts w:hint="eastAsia" w:ascii="宋体" w:hAnsi="宋体" w:cs="宋体"/>
          <w:bCs/>
          <w:snapToGrid w:val="0"/>
          <w:color w:val="auto"/>
          <w:kern w:val="0"/>
          <w:sz w:val="24"/>
          <w:szCs w:val="24"/>
          <w:highlight w:val="none"/>
          <w:lang w:bidi="ar"/>
        </w:rPr>
        <w:t>《绿色建筑评价标准》GB/T50378-2019（2024年版）</w:t>
      </w:r>
    </w:p>
    <w:p w14:paraId="70E2F399">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《建筑设计防火规范》GB 50016-2014（2018年版)</w:t>
      </w:r>
    </w:p>
    <w:p w14:paraId="030B8ECF">
      <w:pPr>
        <w:wordWrap w:val="0"/>
        <w:adjustRightInd w:val="0"/>
        <w:snapToGrid w:val="0"/>
        <w:spacing w:before="0" w:beforeLines="0" w:line="360" w:lineRule="auto"/>
        <w:ind w:firstLine="480" w:firstLineChars="200"/>
        <w:rPr>
          <w:rFonts w:hint="eastAsia" w:ascii="宋体" w:hAnsi="宋体" w:cs="宋体"/>
          <w:b w:val="0"/>
          <w:bCs/>
          <w:snapToGrid w:val="0"/>
          <w:color w:val="auto"/>
          <w:kern w:val="0"/>
          <w:sz w:val="24"/>
          <w:szCs w:val="24"/>
          <w:highlight w:val="none"/>
        </w:rPr>
      </w:pPr>
      <w:r>
        <w:rPr>
          <w:rFonts w:hint="eastAsia" w:ascii="宋体" w:hAnsi="宋体" w:cs="宋体"/>
          <w:b w:val="0"/>
          <w:bCs/>
          <w:snapToGrid w:val="0"/>
          <w:color w:val="auto"/>
          <w:kern w:val="0"/>
          <w:sz w:val="24"/>
          <w:szCs w:val="24"/>
          <w:highlight w:val="none"/>
        </w:rPr>
        <w:t>《建筑防火通用规范》GB 55037-2022</w:t>
      </w:r>
    </w:p>
    <w:p w14:paraId="253B7516">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《自动喷水灭火系统设计规范》GB 50084-2017</w:t>
      </w:r>
    </w:p>
    <w:p w14:paraId="5105FDE6">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《消防给水及消火栓系统技术规范》GB 50974-2014</w:t>
      </w:r>
    </w:p>
    <w:p w14:paraId="519FAB9F">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《消防设施通用规范》GB 55036-2022</w:t>
      </w:r>
    </w:p>
    <w:p w14:paraId="756065F1">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《建筑灭火器配置设计规范》GB 50140-2005</w:t>
      </w:r>
    </w:p>
    <w:p w14:paraId="7C079884">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《气体灭火系统设计规范》GB 50370-2005</w:t>
      </w:r>
    </w:p>
    <w:p w14:paraId="7ED64424">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《综合医院建筑设计标准》GB 51039-2014（2024年版）</w:t>
      </w:r>
    </w:p>
    <w:p w14:paraId="33608BC6">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《医院洁净手术部建筑技术规范》GB 50333-2013</w:t>
      </w:r>
    </w:p>
    <w:p w14:paraId="02811A57">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《办公建筑设计标准》JGJ/T67-2019</w:t>
      </w:r>
    </w:p>
    <w:p w14:paraId="0AD50C16">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《建筑与市政工程抗震设计通用规范》GB 55002-2021</w:t>
      </w:r>
    </w:p>
    <w:p w14:paraId="426FE08C">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《建筑机电工程抗震设计规范》GB 50981-2014</w:t>
      </w:r>
    </w:p>
    <w:p w14:paraId="54DF96FA">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《自动喷水灭火系统施工及验收规范》GB 50261-2017</w:t>
      </w:r>
    </w:p>
    <w:p w14:paraId="13B43AE7">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《自动跟踪定位射流灭火系统技术标准》GB 51427-2021</w:t>
      </w:r>
    </w:p>
    <w:p w14:paraId="419A57F7">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lang w:bidi="ar"/>
        </w:rPr>
        <w:t>建筑、空调专业提供的设计条件、市政资料；</w:t>
      </w:r>
    </w:p>
    <w:p w14:paraId="5C7FF88F">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lang w:bidi="ar"/>
        </w:rPr>
        <w:t>项目环境影响报告书，环保局批文；</w:t>
      </w:r>
    </w:p>
    <w:p w14:paraId="77963F0A">
      <w:pPr>
        <w:wordWrap w:val="0"/>
        <w:adjustRightInd w:val="0"/>
        <w:snapToGrid w:val="0"/>
        <w:spacing w:before="0" w:beforeLines="0" w:line="360" w:lineRule="auto"/>
        <w:ind w:firstLine="480" w:firstLineChars="200"/>
        <w:jc w:val="left"/>
        <w:rPr>
          <w:rFonts w:hint="eastAsia" w:ascii="宋体" w:hAnsi="宋体" w:cs="宋体"/>
          <w:b w:val="0"/>
          <w:bCs/>
          <w:snapToGrid w:val="0"/>
          <w:color w:val="auto"/>
          <w:kern w:val="0"/>
          <w:sz w:val="24"/>
          <w:szCs w:val="24"/>
          <w:highlight w:val="none"/>
          <w:lang w:val="en-US" w:eastAsia="zh-CN"/>
        </w:rPr>
      </w:pPr>
      <w:r>
        <w:rPr>
          <w:rFonts w:hint="eastAsia" w:ascii="宋体" w:hAnsi="宋体" w:cs="宋体"/>
          <w:b w:val="0"/>
          <w:bCs/>
          <w:snapToGrid w:val="0"/>
          <w:color w:val="auto"/>
          <w:kern w:val="0"/>
          <w:sz w:val="24"/>
          <w:szCs w:val="24"/>
          <w:highlight w:val="none"/>
          <w:lang w:val="en-US" w:eastAsia="zh-CN"/>
        </w:rPr>
        <w:t>电气：</w:t>
      </w:r>
    </w:p>
    <w:p w14:paraId="72C4433D">
      <w:pPr>
        <w:wordWrap w:val="0"/>
        <w:adjustRightInd w:val="0"/>
        <w:snapToGrid w:val="0"/>
        <w:spacing w:before="0" w:beforeLines="0" w:line="360" w:lineRule="auto"/>
        <w:ind w:firstLine="480" w:firstLineChars="200"/>
        <w:jc w:val="lef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《民用建筑电气设计标准》GB51348-2019</w:t>
      </w:r>
    </w:p>
    <w:p w14:paraId="519B32E6">
      <w:pPr>
        <w:wordWrap w:val="0"/>
        <w:adjustRightInd w:val="0"/>
        <w:snapToGrid w:val="0"/>
        <w:spacing w:before="0" w:beforeLines="0" w:line="360" w:lineRule="auto"/>
        <w:ind w:firstLine="480" w:firstLineChars="200"/>
        <w:jc w:val="lef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《20kV及以下变配电房设计规范》GB50053-2013</w:t>
      </w:r>
    </w:p>
    <w:p w14:paraId="4C554BA5">
      <w:pPr>
        <w:wordWrap w:val="0"/>
        <w:adjustRightInd w:val="0"/>
        <w:snapToGrid w:val="0"/>
        <w:spacing w:before="0" w:beforeLines="0" w:line="360" w:lineRule="auto"/>
        <w:ind w:firstLine="480" w:firstLineChars="200"/>
        <w:jc w:val="lef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《供配电系统设计规范》GB50052-2009</w:t>
      </w:r>
    </w:p>
    <w:p w14:paraId="5AB853A4">
      <w:pPr>
        <w:wordWrap w:val="0"/>
        <w:adjustRightInd w:val="0"/>
        <w:snapToGrid w:val="0"/>
        <w:spacing w:before="0" w:beforeLines="0" w:line="360" w:lineRule="auto"/>
        <w:ind w:firstLine="480" w:firstLineChars="200"/>
        <w:jc w:val="lef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《低压配电设计规范》GB50054-2011</w:t>
      </w:r>
    </w:p>
    <w:p w14:paraId="35CF9DAB">
      <w:pPr>
        <w:wordWrap w:val="0"/>
        <w:adjustRightInd w:val="0"/>
        <w:snapToGrid w:val="0"/>
        <w:spacing w:before="0" w:beforeLines="0" w:line="360" w:lineRule="auto"/>
        <w:ind w:firstLine="480" w:firstLineChars="200"/>
        <w:jc w:val="lef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《建筑物防雷设计规范》GB50057-2010</w:t>
      </w:r>
    </w:p>
    <w:p w14:paraId="107D4498">
      <w:pPr>
        <w:wordWrap w:val="0"/>
        <w:adjustRightInd w:val="0"/>
        <w:snapToGrid w:val="0"/>
        <w:spacing w:before="0" w:beforeLines="0" w:line="360" w:lineRule="auto"/>
        <w:ind w:firstLine="480" w:firstLineChars="200"/>
        <w:jc w:val="lef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《建筑物电子信息系统防雷技术规范》GB50343-2012</w:t>
      </w:r>
    </w:p>
    <w:p w14:paraId="159AD02A">
      <w:pPr>
        <w:wordWrap w:val="0"/>
        <w:adjustRightInd w:val="0"/>
        <w:snapToGrid w:val="0"/>
        <w:spacing w:before="0" w:beforeLines="0" w:line="360" w:lineRule="auto"/>
        <w:ind w:firstLine="480" w:firstLineChars="200"/>
        <w:jc w:val="lef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《建筑设计防火规范》（2018年版）GB50016-2014</w:t>
      </w:r>
    </w:p>
    <w:p w14:paraId="4AD3E325">
      <w:pPr>
        <w:wordWrap w:val="0"/>
        <w:adjustRightInd w:val="0"/>
        <w:snapToGrid w:val="0"/>
        <w:spacing w:before="0" w:beforeLines="0" w:line="360" w:lineRule="auto"/>
        <w:ind w:firstLine="480" w:firstLineChars="200"/>
        <w:jc w:val="lef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《建筑照明设计标准》GB/T50034-2024</w:t>
      </w:r>
    </w:p>
    <w:p w14:paraId="4AD5CCF5">
      <w:pPr>
        <w:wordWrap w:val="0"/>
        <w:adjustRightInd w:val="0"/>
        <w:snapToGrid w:val="0"/>
        <w:spacing w:before="0" w:beforeLines="0" w:line="360" w:lineRule="auto"/>
        <w:ind w:firstLine="480" w:firstLineChars="200"/>
        <w:jc w:val="lef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《电力工程电缆设计标准》GB50217-2018</w:t>
      </w:r>
    </w:p>
    <w:p w14:paraId="3C9C103B">
      <w:pPr>
        <w:wordWrap w:val="0"/>
        <w:adjustRightInd w:val="0"/>
        <w:snapToGrid w:val="0"/>
        <w:spacing w:before="0" w:beforeLines="0" w:line="360" w:lineRule="auto"/>
        <w:ind w:firstLine="480" w:firstLineChars="200"/>
        <w:jc w:val="lef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《综合医院建筑设计标准》（2024年版） GB51039-2014</w:t>
      </w:r>
    </w:p>
    <w:p w14:paraId="456EF022">
      <w:pPr>
        <w:wordWrap w:val="0"/>
        <w:adjustRightInd w:val="0"/>
        <w:snapToGrid w:val="0"/>
        <w:spacing w:before="0" w:beforeLines="0" w:line="360" w:lineRule="auto"/>
        <w:ind w:firstLine="480" w:firstLineChars="200"/>
        <w:jc w:val="lef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《医院洁净手术部建筑技术规范》GB50333-2013</w:t>
      </w:r>
    </w:p>
    <w:p w14:paraId="53628E46">
      <w:pPr>
        <w:wordWrap w:val="0"/>
        <w:adjustRightInd w:val="0"/>
        <w:snapToGrid w:val="0"/>
        <w:spacing w:before="0" w:beforeLines="0" w:line="360" w:lineRule="auto"/>
        <w:ind w:firstLine="480" w:firstLineChars="200"/>
        <w:jc w:val="lef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《医疗建筑电气设计规范》JGJ312-2013</w:t>
      </w:r>
    </w:p>
    <w:p w14:paraId="24F280CC">
      <w:pPr>
        <w:wordWrap w:val="0"/>
        <w:adjustRightInd w:val="0"/>
        <w:snapToGrid w:val="0"/>
        <w:spacing w:before="0" w:beforeLines="0" w:line="360" w:lineRule="auto"/>
        <w:ind w:firstLine="480" w:firstLineChars="200"/>
        <w:jc w:val="lef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《通用用电设备配电设计规范》GB50055-2011</w:t>
      </w:r>
    </w:p>
    <w:p w14:paraId="37174FB1">
      <w:pPr>
        <w:wordWrap w:val="0"/>
        <w:adjustRightInd w:val="0"/>
        <w:snapToGrid w:val="0"/>
        <w:spacing w:before="0" w:beforeLines="0" w:line="360" w:lineRule="auto"/>
        <w:ind w:firstLine="480" w:firstLineChars="200"/>
        <w:jc w:val="lef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《爆炸危险环境电力装置规范》GB50058-2014</w:t>
      </w:r>
    </w:p>
    <w:p w14:paraId="7FD7964D">
      <w:pPr>
        <w:wordWrap w:val="0"/>
        <w:adjustRightInd w:val="0"/>
        <w:snapToGrid w:val="0"/>
        <w:spacing w:before="0" w:beforeLines="0" w:line="360" w:lineRule="auto"/>
        <w:ind w:firstLine="480" w:firstLineChars="200"/>
        <w:jc w:val="lef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《公共建筑节能设计标准》GB50189-2015</w:t>
      </w:r>
    </w:p>
    <w:p w14:paraId="633BF4C9">
      <w:pPr>
        <w:wordWrap w:val="0"/>
        <w:adjustRightInd w:val="0"/>
        <w:snapToGrid w:val="0"/>
        <w:spacing w:before="0" w:beforeLines="0" w:line="360" w:lineRule="auto"/>
        <w:ind w:firstLine="480" w:firstLineChars="200"/>
        <w:jc w:val="lef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《民用建筑绿色设计规范》JGJ/T229-2010</w:t>
      </w:r>
    </w:p>
    <w:p w14:paraId="2EE43DAA">
      <w:pPr>
        <w:wordWrap w:val="0"/>
        <w:adjustRightInd w:val="0"/>
        <w:snapToGrid w:val="0"/>
        <w:spacing w:before="0" w:beforeLines="0" w:line="360" w:lineRule="auto"/>
        <w:ind w:firstLine="480" w:firstLineChars="200"/>
        <w:jc w:val="lef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《数据中心设计规范》GB50174-2017</w:t>
      </w:r>
    </w:p>
    <w:p w14:paraId="77741B47">
      <w:pPr>
        <w:wordWrap w:val="0"/>
        <w:adjustRightInd w:val="0"/>
        <w:snapToGrid w:val="0"/>
        <w:spacing w:before="0" w:beforeLines="0" w:line="360" w:lineRule="auto"/>
        <w:ind w:firstLine="480" w:firstLineChars="200"/>
        <w:jc w:val="lef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《消防给水及消火栓系统技术规范》GB50974-2014</w:t>
      </w:r>
    </w:p>
    <w:p w14:paraId="08A4314B">
      <w:pPr>
        <w:wordWrap w:val="0"/>
        <w:adjustRightInd w:val="0"/>
        <w:snapToGrid w:val="0"/>
        <w:spacing w:before="0" w:beforeLines="0" w:line="360" w:lineRule="auto"/>
        <w:ind w:firstLine="480" w:firstLineChars="200"/>
        <w:jc w:val="lef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《火灾自动报警系统设计规范》GB50116-2013</w:t>
      </w:r>
    </w:p>
    <w:p w14:paraId="65C55082">
      <w:pPr>
        <w:wordWrap w:val="0"/>
        <w:adjustRightInd w:val="0"/>
        <w:snapToGrid w:val="0"/>
        <w:spacing w:before="0" w:beforeLines="0" w:line="360" w:lineRule="auto"/>
        <w:ind w:firstLine="480" w:firstLineChars="200"/>
        <w:jc w:val="lef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《建筑机电工程抗震设计规范》GB50981-2014</w:t>
      </w:r>
    </w:p>
    <w:p w14:paraId="05A51D7E">
      <w:pPr>
        <w:wordWrap w:val="0"/>
        <w:adjustRightInd w:val="0"/>
        <w:snapToGrid w:val="0"/>
        <w:spacing w:before="0" w:beforeLines="0" w:line="360" w:lineRule="auto"/>
        <w:ind w:firstLine="480" w:firstLineChars="200"/>
        <w:jc w:val="lef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《消防应急照明和疏散指示系统技术标准》GB51309-2018</w:t>
      </w:r>
    </w:p>
    <w:p w14:paraId="7A49A965">
      <w:pPr>
        <w:wordWrap w:val="0"/>
        <w:adjustRightInd w:val="0"/>
        <w:snapToGrid w:val="0"/>
        <w:spacing w:before="0" w:beforeLines="0" w:line="360" w:lineRule="auto"/>
        <w:ind w:firstLine="480" w:firstLineChars="200"/>
        <w:jc w:val="lef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《广东省绿色建筑评价标准》DBJ15-86-2017</w:t>
      </w:r>
    </w:p>
    <w:p w14:paraId="2D08AC37">
      <w:pPr>
        <w:wordWrap w:val="0"/>
        <w:adjustRightInd w:val="0"/>
        <w:snapToGrid w:val="0"/>
        <w:spacing w:before="0" w:beforeLines="0" w:line="360" w:lineRule="auto"/>
        <w:ind w:firstLine="480" w:firstLineChars="200"/>
        <w:jc w:val="lef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《民用建筑电线电缆防火技术规程》DBJ/T15-226-2021</w:t>
      </w:r>
    </w:p>
    <w:p w14:paraId="65D0E193">
      <w:pPr>
        <w:wordWrap w:val="0"/>
        <w:adjustRightInd w:val="0"/>
        <w:snapToGrid w:val="0"/>
        <w:spacing w:before="0" w:beforeLines="0" w:line="360" w:lineRule="auto"/>
        <w:ind w:firstLine="480" w:firstLineChars="200"/>
        <w:jc w:val="lef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《建筑电气安装工程施工质量验收规范》GB50303-2015</w:t>
      </w:r>
    </w:p>
    <w:p w14:paraId="392AF149">
      <w:pPr>
        <w:wordWrap w:val="0"/>
        <w:adjustRightInd w:val="0"/>
        <w:snapToGrid w:val="0"/>
        <w:spacing w:before="0" w:beforeLines="0" w:line="360" w:lineRule="auto"/>
        <w:ind w:firstLine="480" w:firstLineChars="200"/>
        <w:jc w:val="lef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《消防控制室通用技术要求》GB25506-2010</w:t>
      </w:r>
    </w:p>
    <w:p w14:paraId="4FE8DEA7">
      <w:pPr>
        <w:wordWrap w:val="0"/>
        <w:adjustRightInd w:val="0"/>
        <w:snapToGrid w:val="0"/>
        <w:spacing w:before="0" w:beforeLines="0" w:line="360" w:lineRule="auto"/>
        <w:ind w:firstLine="480" w:firstLineChars="200"/>
        <w:jc w:val="lef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《建筑电气与智能化通用规范》GB55024-2022</w:t>
      </w:r>
    </w:p>
    <w:p w14:paraId="4DCEC5C9">
      <w:pPr>
        <w:wordWrap w:val="0"/>
        <w:adjustRightInd w:val="0"/>
        <w:snapToGrid w:val="0"/>
        <w:spacing w:before="0" w:beforeLines="0" w:line="360" w:lineRule="auto"/>
        <w:ind w:firstLine="480" w:firstLineChars="200"/>
        <w:jc w:val="lef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《消防设施通用规范》GB55036-2022</w:t>
      </w:r>
    </w:p>
    <w:p w14:paraId="60071161">
      <w:pPr>
        <w:wordWrap w:val="0"/>
        <w:adjustRightInd w:val="0"/>
        <w:snapToGrid w:val="0"/>
        <w:spacing w:before="0" w:beforeLines="0" w:line="360" w:lineRule="auto"/>
        <w:ind w:firstLine="480" w:firstLineChars="200"/>
        <w:jc w:val="lef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《建筑环境通用规范》GB55016-2021</w:t>
      </w:r>
    </w:p>
    <w:p w14:paraId="250BC8C4">
      <w:pPr>
        <w:wordWrap w:val="0"/>
        <w:adjustRightInd w:val="0"/>
        <w:snapToGrid w:val="0"/>
        <w:spacing w:before="0" w:beforeLines="0" w:line="360" w:lineRule="auto"/>
        <w:ind w:firstLine="480" w:firstLineChars="200"/>
        <w:jc w:val="lef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《建筑与市政工程抗震通用规范》GB55002-2021</w:t>
      </w:r>
    </w:p>
    <w:p w14:paraId="1B73BAC6">
      <w:pPr>
        <w:wordWrap w:val="0"/>
        <w:adjustRightInd w:val="0"/>
        <w:snapToGrid w:val="0"/>
        <w:spacing w:before="0" w:beforeLines="0" w:line="360" w:lineRule="auto"/>
        <w:ind w:firstLine="480" w:firstLineChars="200"/>
        <w:jc w:val="lef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《建筑与市政工程无障碍通用规范》GB55019-2021</w:t>
      </w:r>
    </w:p>
    <w:p w14:paraId="485B30E0">
      <w:pPr>
        <w:wordWrap w:val="0"/>
        <w:adjustRightInd w:val="0"/>
        <w:snapToGrid w:val="0"/>
        <w:spacing w:before="0" w:beforeLines="0" w:line="360" w:lineRule="auto"/>
        <w:ind w:firstLine="480" w:firstLineChars="200"/>
        <w:jc w:val="lef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《建筑防火通用规范》GB55037-2022</w:t>
      </w:r>
    </w:p>
    <w:p w14:paraId="0F1BB678">
      <w:pPr>
        <w:wordWrap w:val="0"/>
        <w:adjustRightInd w:val="0"/>
        <w:snapToGrid w:val="0"/>
        <w:spacing w:before="0" w:beforeLines="0" w:line="360" w:lineRule="auto"/>
        <w:ind w:firstLine="480" w:firstLineChars="200"/>
        <w:jc w:val="lef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《建筑工程设计文件编制深度规定》(2016版）中华人民共和国住房和城乡建设部</w:t>
      </w:r>
    </w:p>
    <w:p w14:paraId="7B3853A7">
      <w:pPr>
        <w:wordWrap w:val="0"/>
        <w:adjustRightInd w:val="0"/>
        <w:snapToGrid w:val="0"/>
        <w:spacing w:before="0" w:beforeLines="0" w:line="360" w:lineRule="auto"/>
        <w:ind w:firstLine="480" w:firstLineChars="200"/>
        <w:jc w:val="left"/>
        <w:rPr>
          <w:rFonts w:hint="eastAsia" w:ascii="宋体" w:hAnsi="宋体" w:cs="宋体"/>
          <w:b w:val="0"/>
          <w:bCs/>
          <w:snapToGrid w:val="0"/>
          <w:color w:val="auto"/>
          <w:kern w:val="0"/>
          <w:sz w:val="24"/>
          <w:szCs w:val="24"/>
          <w:highlight w:val="none"/>
          <w:lang w:val="en-US" w:eastAsia="zh-CN"/>
        </w:rPr>
      </w:pPr>
      <w:r>
        <w:rPr>
          <w:rFonts w:hint="eastAsia" w:ascii="宋体" w:hAnsi="宋体" w:cs="宋体"/>
          <w:b w:val="0"/>
          <w:bCs/>
          <w:snapToGrid w:val="0"/>
          <w:color w:val="auto"/>
          <w:kern w:val="0"/>
          <w:sz w:val="24"/>
          <w:szCs w:val="24"/>
          <w:highlight w:val="none"/>
          <w:lang w:val="en-US" w:eastAsia="zh-CN"/>
        </w:rPr>
        <w:t>暖通：</w:t>
      </w:r>
    </w:p>
    <w:p w14:paraId="32A7EE11">
      <w:pPr>
        <w:wordWrap w:val="0"/>
        <w:adjustRightInd w:val="0"/>
        <w:snapToGrid w:val="0"/>
        <w:spacing w:before="0" w:beforeLines="0" w:line="360" w:lineRule="auto"/>
        <w:ind w:firstLine="480" w:firstLineChars="200"/>
        <w:outlineLvl w:val="9"/>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1.1国家规范及国家和地方标准</w:t>
      </w:r>
    </w:p>
    <w:p w14:paraId="340EFEC9">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《民用建筑供暖通风与空气调节设计规范》GB50736-2012</w:t>
      </w:r>
    </w:p>
    <w:p w14:paraId="6712550A">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《民用建筑热工设计规范》GB50176-2016</w:t>
      </w:r>
    </w:p>
    <w:p w14:paraId="50678EEC">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《建筑设计防火规范》(2018年版) GB50016-2014</w:t>
      </w:r>
    </w:p>
    <w:p w14:paraId="43311280">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《建筑防烟排烟系统技术标准》GB51251-2017</w:t>
      </w:r>
    </w:p>
    <w:p w14:paraId="492CA21E">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《建筑防火通用规范》GB55037-2022</w:t>
      </w:r>
    </w:p>
    <w:p w14:paraId="4CF5AB55">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《消防设施通用规范》GB55036-2022</w:t>
      </w:r>
    </w:p>
    <w:p w14:paraId="7C35B65C">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《广东省公共建筑节能设计标准》BJ15-51-2020</w:t>
      </w:r>
    </w:p>
    <w:p w14:paraId="46356F69">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《公共建筑节能设计标准》GB50189-2015</w:t>
      </w:r>
    </w:p>
    <w:p w14:paraId="4A1C5535">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《建筑节能与可再生能源利用通用规范》GB 55015-2021</w:t>
      </w:r>
    </w:p>
    <w:p w14:paraId="52A1EAD1">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《广东省公共建筑节能设计标准》BJ15-51-2020</w:t>
      </w:r>
    </w:p>
    <w:p w14:paraId="35609F1A">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《绿色建筑评价标准》GB/T50378-2019</w:t>
      </w:r>
    </w:p>
    <w:p w14:paraId="64B2185A">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《综合医院建筑设计标准》</w:t>
      </w:r>
      <w:r>
        <w:rPr>
          <w:rFonts w:hint="eastAsia" w:ascii="宋体" w:hAnsi="宋体" w:cs="宋体"/>
          <w:bCs/>
          <w:snapToGrid w:val="0"/>
          <w:color w:val="auto"/>
          <w:kern w:val="0"/>
          <w:sz w:val="24"/>
          <w:szCs w:val="24"/>
          <w:highlight w:val="none"/>
          <w:lang w:eastAsia="zh-CN"/>
        </w:rPr>
        <w:t>（</w:t>
      </w:r>
      <w:r>
        <w:rPr>
          <w:rFonts w:hint="eastAsia" w:ascii="宋体" w:hAnsi="宋体" w:cs="宋体"/>
          <w:bCs/>
          <w:snapToGrid w:val="0"/>
          <w:color w:val="auto"/>
          <w:kern w:val="0"/>
          <w:sz w:val="24"/>
          <w:szCs w:val="24"/>
          <w:highlight w:val="none"/>
          <w:lang w:val="en-US" w:eastAsia="zh-CN"/>
        </w:rPr>
        <w:t>2024年版</w:t>
      </w:r>
      <w:r>
        <w:rPr>
          <w:rFonts w:hint="eastAsia" w:ascii="宋体" w:hAnsi="宋体" w:cs="宋体"/>
          <w:bCs/>
          <w:snapToGrid w:val="0"/>
          <w:color w:val="auto"/>
          <w:kern w:val="0"/>
          <w:sz w:val="24"/>
          <w:szCs w:val="24"/>
          <w:highlight w:val="none"/>
          <w:lang w:eastAsia="zh-CN"/>
        </w:rPr>
        <w:t>）</w:t>
      </w:r>
      <w:r>
        <w:rPr>
          <w:rFonts w:hint="eastAsia" w:ascii="宋体" w:hAnsi="宋体" w:cs="宋体"/>
          <w:bCs/>
          <w:snapToGrid w:val="0"/>
          <w:color w:val="auto"/>
          <w:kern w:val="0"/>
          <w:sz w:val="24"/>
          <w:szCs w:val="24"/>
          <w:highlight w:val="none"/>
        </w:rPr>
        <w:t>GB51039-2014</w:t>
      </w:r>
    </w:p>
    <w:p w14:paraId="40A12507">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《民用建筑隔声设计规范》GB 50118-2010</w:t>
      </w:r>
    </w:p>
    <w:p w14:paraId="0001E83C">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《公共场所集中空调通风系统卫生规范》WS394-2012</w:t>
      </w:r>
    </w:p>
    <w:p w14:paraId="513078C7">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《医院空气净化管理规范》WS/T368-2012</w:t>
      </w:r>
    </w:p>
    <w:p w14:paraId="5CC21E7E">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《建筑机电工程抗震设计规范》  GB50981-2014</w:t>
      </w:r>
    </w:p>
    <w:p w14:paraId="0CD4F924">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《建筑与市政工程抗震通用规范》GB 55002-2021</w:t>
      </w:r>
    </w:p>
    <w:p w14:paraId="035B3F3E">
      <w:pPr>
        <w:wordWrap w:val="0"/>
        <w:adjustRightInd w:val="0"/>
        <w:snapToGrid w:val="0"/>
        <w:spacing w:before="0" w:beforeLines="0" w:line="360" w:lineRule="auto"/>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cs="宋体"/>
          <w:b w:val="0"/>
          <w:bCs/>
          <w:snapToGrid w:val="0"/>
          <w:color w:val="auto"/>
          <w:kern w:val="0"/>
          <w:sz w:val="24"/>
          <w:szCs w:val="24"/>
          <w:highlight w:val="none"/>
          <w:lang w:val="en-US" w:eastAsia="zh-CN"/>
        </w:rPr>
        <w:t>智能化：</w:t>
      </w:r>
    </w:p>
    <w:p w14:paraId="433FD626">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《全国医疗卫生服务体系规划纲要》（2015—2020年）</w:t>
      </w:r>
    </w:p>
    <w:p w14:paraId="03073CAF">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《综合医院建筑设计标准》（GB 51039-2014，2025年局部修订版）</w:t>
      </w:r>
    </w:p>
    <w:p w14:paraId="47AFC6FD">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《智能建筑设计标准》（GB 50314-2015）</w:t>
      </w:r>
    </w:p>
    <w:p w14:paraId="3D71A158">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《公共建筑节能设计标准》（GB 50189-2015）</w:t>
      </w:r>
    </w:p>
    <w:p w14:paraId="4B4777BF">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《建筑设计防火规范》GB50016-2014（2018年版）</w:t>
      </w:r>
    </w:p>
    <w:p w14:paraId="0FC9BEDE">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 xml:space="preserve">《综合布线系统工程设计规范》（GB 50311-2016） </w:t>
      </w:r>
    </w:p>
    <w:p w14:paraId="49AC1461">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 xml:space="preserve">《民用建筑电气设计标准》（GB 51348-2019） </w:t>
      </w:r>
    </w:p>
    <w:p w14:paraId="69969CE3">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 xml:space="preserve">《建筑物防雷设计规范》（GB 50057-2010） </w:t>
      </w:r>
    </w:p>
    <w:p w14:paraId="520D8D86">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《民用闭路监视电视系统工程技术规范》（GB 50198-2011）</w:t>
      </w:r>
    </w:p>
    <w:p w14:paraId="6CFB3E72">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 xml:space="preserve">《安全防范工程技术规范》（GB 50348-2018） </w:t>
      </w:r>
    </w:p>
    <w:p w14:paraId="7D978369">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 xml:space="preserve">《入侵报警系统工程设计规范》（GB 50394-2007） </w:t>
      </w:r>
    </w:p>
    <w:p w14:paraId="389957D8">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 xml:space="preserve">《视频安防监控系统工程设计规范》（GB 50395-2007） </w:t>
      </w:r>
    </w:p>
    <w:p w14:paraId="3DAA6410">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 xml:space="preserve">《出入口控制系统工程设计规范》（GB 50396-2007） </w:t>
      </w:r>
    </w:p>
    <w:p w14:paraId="4CCD9A8B">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《安全防范报警设备安全要求和试验方法》（GB 16796-2009）</w:t>
      </w:r>
    </w:p>
    <w:p w14:paraId="06AEB372">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 xml:space="preserve">《建筑物电子信息系统防雷技术规范》（GB50343-2012） </w:t>
      </w:r>
    </w:p>
    <w:p w14:paraId="7726D3EF">
      <w:pPr>
        <w:wordWrap w:val="0"/>
        <w:adjustRightInd w:val="0"/>
        <w:snapToGrid w:val="0"/>
        <w:spacing w:before="0" w:beforeLines="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《无障碍设计规范》（GB 50763-2012）</w:t>
      </w:r>
    </w:p>
    <w:p w14:paraId="2563023A">
      <w:pPr>
        <w:wordWrap w:val="0"/>
        <w:adjustRightInd w:val="0"/>
        <w:snapToGrid w:val="0"/>
        <w:spacing w:beforeLines="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备注：若有相关主管部门颁发新的标准规范则按新的标准规范执行。</w:t>
      </w:r>
    </w:p>
    <w:p w14:paraId="5A36AEE7">
      <w:pPr>
        <w:wordWrap w:val="0"/>
        <w:adjustRightInd w:val="0"/>
        <w:snapToGrid w:val="0"/>
        <w:spacing w:before="0" w:beforeLines="0" w:line="360" w:lineRule="auto"/>
        <w:ind w:firstLine="482" w:firstLineChars="200"/>
        <w:rPr>
          <w:rFonts w:ascii="宋体" w:hAnsi="宋体" w:cs="宋体"/>
          <w:strike/>
          <w:snapToGrid w:val="0"/>
          <w:color w:val="auto"/>
          <w:kern w:val="0"/>
          <w:sz w:val="24"/>
          <w:szCs w:val="24"/>
          <w:highlight w:val="none"/>
        </w:rPr>
      </w:pPr>
      <w:r>
        <w:rPr>
          <w:rFonts w:hint="eastAsia" w:ascii="宋体" w:hAnsi="宋体" w:cs="宋体"/>
          <w:b/>
          <w:snapToGrid w:val="0"/>
          <w:color w:val="auto"/>
          <w:kern w:val="0"/>
          <w:sz w:val="24"/>
          <w:szCs w:val="24"/>
          <w:highlight w:val="none"/>
        </w:rPr>
        <w:t>2．备查要求</w:t>
      </w:r>
    </w:p>
    <w:p w14:paraId="1A070408">
      <w:pPr>
        <w:wordWrap w:val="0"/>
        <w:adjustRightInd w:val="0"/>
        <w:snapToGrid w:val="0"/>
        <w:spacing w:beforeLines="0" w:line="360" w:lineRule="auto"/>
        <w:ind w:firstLine="480" w:firstLineChars="200"/>
        <w:rPr>
          <w:rFonts w:ascii="宋体" w:hAnsi="宋体" w:cs="宋体"/>
          <w:bCs/>
          <w:snapToGrid w:val="0"/>
          <w:color w:val="auto"/>
          <w:kern w:val="0"/>
          <w:sz w:val="24"/>
          <w:szCs w:val="24"/>
          <w:highlight w:val="none"/>
        </w:rPr>
      </w:pPr>
      <w:r>
        <w:rPr>
          <w:rFonts w:hint="eastAsia" w:ascii="宋体" w:hAnsi="宋体" w:cs="宋体"/>
          <w:snapToGrid w:val="0"/>
          <w:color w:val="auto"/>
          <w:kern w:val="0"/>
          <w:sz w:val="24"/>
          <w:szCs w:val="24"/>
          <w:highlight w:val="none"/>
        </w:rPr>
        <w:t>承包</w:t>
      </w:r>
      <w:r>
        <w:rPr>
          <w:rFonts w:hint="eastAsia" w:ascii="宋体" w:hAnsi="宋体" w:cs="宋体"/>
          <w:bCs/>
          <w:snapToGrid w:val="0"/>
          <w:color w:val="auto"/>
          <w:kern w:val="0"/>
          <w:sz w:val="24"/>
          <w:szCs w:val="24"/>
          <w:highlight w:val="none"/>
        </w:rPr>
        <w:t>人必须在项目实施现场准备至少一套上述规范，</w:t>
      </w:r>
      <w:r>
        <w:rPr>
          <w:rFonts w:hint="eastAsia" w:ascii="宋体" w:hAnsi="宋体" w:cs="宋体"/>
          <w:snapToGrid w:val="0"/>
          <w:color w:val="auto"/>
          <w:kern w:val="0"/>
          <w:sz w:val="24"/>
          <w:szCs w:val="24"/>
          <w:highlight w:val="none"/>
        </w:rPr>
        <w:t>发包</w:t>
      </w:r>
      <w:r>
        <w:rPr>
          <w:rFonts w:hint="eastAsia" w:ascii="宋体" w:hAnsi="宋体" w:cs="宋体"/>
          <w:bCs/>
          <w:snapToGrid w:val="0"/>
          <w:color w:val="auto"/>
          <w:kern w:val="0"/>
          <w:sz w:val="24"/>
          <w:szCs w:val="24"/>
          <w:highlight w:val="none"/>
        </w:rPr>
        <w:t>人可随时检查</w:t>
      </w:r>
      <w:r>
        <w:rPr>
          <w:rFonts w:hint="eastAsia" w:ascii="宋体" w:hAnsi="宋体" w:cs="宋体"/>
          <w:snapToGrid w:val="0"/>
          <w:color w:val="auto"/>
          <w:kern w:val="0"/>
          <w:sz w:val="24"/>
          <w:szCs w:val="24"/>
          <w:highlight w:val="none"/>
        </w:rPr>
        <w:t>承包</w:t>
      </w:r>
      <w:r>
        <w:rPr>
          <w:rFonts w:hint="eastAsia" w:ascii="宋体" w:hAnsi="宋体" w:cs="宋体"/>
          <w:bCs/>
          <w:snapToGrid w:val="0"/>
          <w:color w:val="auto"/>
          <w:kern w:val="0"/>
          <w:sz w:val="24"/>
          <w:szCs w:val="24"/>
          <w:highlight w:val="none"/>
        </w:rPr>
        <w:t>人的上述规范，并监督</w:t>
      </w:r>
      <w:r>
        <w:rPr>
          <w:rFonts w:hint="eastAsia" w:ascii="宋体" w:hAnsi="宋体" w:cs="宋体"/>
          <w:snapToGrid w:val="0"/>
          <w:color w:val="auto"/>
          <w:kern w:val="0"/>
          <w:sz w:val="24"/>
          <w:szCs w:val="24"/>
          <w:highlight w:val="none"/>
        </w:rPr>
        <w:t>承包</w:t>
      </w:r>
      <w:r>
        <w:rPr>
          <w:rFonts w:hint="eastAsia" w:ascii="宋体" w:hAnsi="宋体" w:cs="宋体"/>
          <w:bCs/>
          <w:snapToGrid w:val="0"/>
          <w:color w:val="auto"/>
          <w:kern w:val="0"/>
          <w:sz w:val="24"/>
          <w:szCs w:val="24"/>
          <w:highlight w:val="none"/>
        </w:rPr>
        <w:t>人按规范要求执行。</w:t>
      </w:r>
      <w:bookmarkStart w:id="221" w:name="_Hlt69670335"/>
      <w:bookmarkEnd w:id="221"/>
    </w:p>
    <w:p w14:paraId="7C277D03">
      <w:pPr>
        <w:pStyle w:val="50"/>
        <w:rPr>
          <w:rFonts w:ascii="宋体" w:hAnsi="宋体" w:cs="宋体"/>
          <w:bCs/>
          <w:snapToGrid w:val="0"/>
          <w:color w:val="auto"/>
          <w:szCs w:val="21"/>
          <w:highlight w:val="none"/>
        </w:rPr>
      </w:pPr>
    </w:p>
    <w:bookmarkEnd w:id="220"/>
    <w:p w14:paraId="1E21901D">
      <w:pPr>
        <w:rPr>
          <w:color w:val="auto"/>
          <w:highlight w:val="none"/>
        </w:rPr>
      </w:pPr>
      <w:bookmarkStart w:id="222" w:name="_Hlt69698785"/>
    </w:p>
    <w:p w14:paraId="15E4FF91">
      <w:pPr>
        <w:rPr>
          <w:color w:val="auto"/>
          <w:highlight w:val="none"/>
        </w:rPr>
      </w:pPr>
    </w:p>
    <w:p w14:paraId="0B7AAF2A">
      <w:pPr>
        <w:rPr>
          <w:color w:val="auto"/>
          <w:highlight w:val="none"/>
        </w:rPr>
      </w:pPr>
    </w:p>
    <w:p w14:paraId="51DE1AAD">
      <w:pPr>
        <w:rPr>
          <w:color w:val="auto"/>
          <w:highlight w:val="none"/>
        </w:rPr>
      </w:pPr>
    </w:p>
    <w:p w14:paraId="48FB3C9B">
      <w:pPr>
        <w:rPr>
          <w:color w:val="auto"/>
          <w:highlight w:val="none"/>
        </w:rPr>
      </w:pPr>
    </w:p>
    <w:p w14:paraId="66D4D82F">
      <w:pPr>
        <w:rPr>
          <w:rStyle w:val="57"/>
          <w:rFonts w:ascii="Times New Roman" w:hAnsi="宋体" w:cs="宋体" w:eastAsiaTheme="minorEastAsia"/>
          <w:bCs/>
          <w:color w:val="auto"/>
          <w:kern w:val="0"/>
          <w:szCs w:val="18"/>
          <w:highlight w:val="none"/>
        </w:rPr>
      </w:pPr>
      <w:r>
        <w:rPr>
          <w:rStyle w:val="57"/>
          <w:rFonts w:hint="eastAsia" w:ascii="Times New Roman" w:hAnsi="宋体" w:cs="宋体" w:eastAsiaTheme="minorEastAsia"/>
          <w:bCs/>
          <w:color w:val="auto"/>
          <w:kern w:val="0"/>
          <w:szCs w:val="18"/>
          <w:highlight w:val="none"/>
        </w:rPr>
        <w:br w:type="page"/>
      </w:r>
    </w:p>
    <w:p w14:paraId="7FBAC62F">
      <w:pPr>
        <w:pStyle w:val="2"/>
        <w:keepNext w:val="0"/>
        <w:keepLines w:val="0"/>
        <w:numPr>
          <w:ilvl w:val="0"/>
          <w:numId w:val="0"/>
        </w:numPr>
        <w:autoSpaceDE w:val="0"/>
        <w:autoSpaceDN w:val="0"/>
        <w:adjustRightInd w:val="0"/>
        <w:spacing w:line="400" w:lineRule="exact"/>
        <w:ind w:left="420" w:leftChars="200"/>
        <w:jc w:val="center"/>
        <w:rPr>
          <w:rStyle w:val="57"/>
          <w:rFonts w:ascii="Times New Roman" w:hAnsi="宋体" w:cs="宋体" w:eastAsiaTheme="minorEastAsia"/>
          <w:b/>
          <w:bCs/>
          <w:color w:val="auto"/>
          <w:kern w:val="0"/>
          <w:szCs w:val="18"/>
          <w:highlight w:val="none"/>
        </w:rPr>
      </w:pPr>
      <w:bookmarkStart w:id="223" w:name="_Toc20014"/>
      <w:r>
        <w:rPr>
          <w:rStyle w:val="57"/>
          <w:rFonts w:hint="eastAsia" w:ascii="Times New Roman" w:hAnsi="宋体" w:cs="宋体" w:eastAsiaTheme="minorEastAsia"/>
          <w:b/>
          <w:bCs/>
          <w:color w:val="auto"/>
          <w:kern w:val="0"/>
          <w:szCs w:val="18"/>
          <w:highlight w:val="none"/>
        </w:rPr>
        <w:t>第五章 投标文件格式</w:t>
      </w:r>
      <w:bookmarkEnd w:id="223"/>
      <w:bookmarkStart w:id="224" w:name="_Toc464768767"/>
      <w:bookmarkStart w:id="225" w:name="_Toc19464"/>
      <w:bookmarkStart w:id="226" w:name="_Toc14506"/>
      <w:bookmarkStart w:id="227" w:name="_Toc18239"/>
      <w:bookmarkStart w:id="228" w:name="_Toc71811326"/>
      <w:bookmarkStart w:id="229" w:name="_Toc71813716"/>
      <w:bookmarkStart w:id="230" w:name="_Toc12059"/>
      <w:bookmarkStart w:id="231" w:name="_Toc71811193"/>
      <w:bookmarkStart w:id="232" w:name="_Toc415171883"/>
      <w:bookmarkStart w:id="233" w:name="_Toc396982994"/>
      <w:bookmarkStart w:id="234" w:name="_Toc396813629"/>
    </w:p>
    <w:p w14:paraId="0DA71BD8">
      <w:pPr>
        <w:pStyle w:val="2"/>
        <w:keepNext w:val="0"/>
        <w:keepLines w:val="0"/>
        <w:numPr>
          <w:ilvl w:val="0"/>
          <w:numId w:val="0"/>
        </w:numPr>
        <w:autoSpaceDE w:val="0"/>
        <w:autoSpaceDN w:val="0"/>
        <w:adjustRightInd w:val="0"/>
        <w:spacing w:line="400" w:lineRule="exact"/>
        <w:rPr>
          <w:bCs/>
          <w:color w:val="auto"/>
          <w:szCs w:val="28"/>
          <w:highlight w:val="none"/>
        </w:rPr>
      </w:pPr>
      <w:bookmarkStart w:id="235" w:name="_Toc31001"/>
      <w:r>
        <w:rPr>
          <w:rFonts w:hint="eastAsia"/>
          <w:bCs/>
          <w:color w:val="auto"/>
          <w:szCs w:val="28"/>
          <w:highlight w:val="none"/>
        </w:rPr>
        <w:t>格式一</w:t>
      </w:r>
      <w:bookmarkEnd w:id="224"/>
      <w:bookmarkEnd w:id="225"/>
      <w:bookmarkEnd w:id="226"/>
      <w:r>
        <w:rPr>
          <w:rFonts w:hint="eastAsia"/>
          <w:bCs/>
          <w:color w:val="auto"/>
          <w:szCs w:val="28"/>
          <w:highlight w:val="none"/>
        </w:rPr>
        <w:t xml:space="preserve">  封面</w:t>
      </w:r>
      <w:bookmarkEnd w:id="227"/>
      <w:bookmarkEnd w:id="228"/>
      <w:bookmarkEnd w:id="229"/>
      <w:bookmarkEnd w:id="230"/>
      <w:bookmarkEnd w:id="231"/>
      <w:bookmarkEnd w:id="235"/>
      <w:r>
        <w:rPr>
          <w:rFonts w:hint="eastAsia"/>
          <w:bCs/>
          <w:color w:val="auto"/>
          <w:szCs w:val="28"/>
          <w:highlight w:val="none"/>
        </w:rPr>
        <w:t xml:space="preserve">           </w:t>
      </w:r>
      <w:bookmarkEnd w:id="232"/>
      <w:bookmarkEnd w:id="233"/>
      <w:bookmarkEnd w:id="234"/>
    </w:p>
    <w:p w14:paraId="748B7411">
      <w:pPr>
        <w:pStyle w:val="42"/>
        <w:widowControl w:val="0"/>
        <w:wordWrap w:val="0"/>
        <w:adjustRightInd w:val="0"/>
        <w:snapToGrid w:val="0"/>
        <w:ind w:firstLine="0"/>
        <w:rPr>
          <w:rFonts w:ascii="宋体" w:hAnsi="宋体" w:eastAsia="宋体" w:cs="宋体"/>
          <w:b/>
          <w:snapToGrid w:val="0"/>
          <w:color w:val="auto"/>
          <w:sz w:val="24"/>
          <w:highlight w:val="none"/>
        </w:rPr>
      </w:pPr>
      <w:bookmarkStart w:id="236" w:name="_Toc9423"/>
      <w:bookmarkStart w:id="237" w:name="_Toc415171884"/>
      <w:bookmarkStart w:id="238" w:name="_Toc464768768"/>
      <w:bookmarkStart w:id="239" w:name="_Toc396813630"/>
      <w:bookmarkStart w:id="240" w:name="_Toc32042"/>
      <w:bookmarkStart w:id="241" w:name="_Toc396982995"/>
    </w:p>
    <w:p w14:paraId="7D8DED79">
      <w:pPr>
        <w:jc w:val="center"/>
        <w:rPr>
          <w:color w:val="auto"/>
          <w:highlight w:val="none"/>
        </w:rPr>
      </w:pPr>
    </w:p>
    <w:p w14:paraId="7C7BC0BE">
      <w:pPr>
        <w:ind w:firstLine="964" w:firstLineChars="200"/>
        <w:jc w:val="center"/>
        <w:rPr>
          <w:b/>
          <w:bCs/>
          <w:color w:val="auto"/>
          <w:sz w:val="48"/>
          <w:szCs w:val="44"/>
          <w:highlight w:val="none"/>
        </w:rPr>
      </w:pPr>
      <w:bookmarkStart w:id="242" w:name="_Toc17225"/>
      <w:bookmarkStart w:id="243" w:name="_Toc10931_WPSOffice_Level2"/>
      <w:bookmarkStart w:id="244" w:name="_Toc11141"/>
      <w:bookmarkStart w:id="245" w:name="_Toc14006"/>
      <w:bookmarkStart w:id="246" w:name="_Toc19515_WPSOffice_Level2"/>
      <w:bookmarkStart w:id="247" w:name="_Toc15910_WPSOffice_Level2"/>
      <w:bookmarkStart w:id="248" w:name="_Toc24590_WPSOffice_Level2"/>
      <w:bookmarkStart w:id="249" w:name="_Toc14783"/>
      <w:bookmarkStart w:id="250" w:name="_Toc29993"/>
      <w:r>
        <w:rPr>
          <w:rFonts w:hint="eastAsia"/>
          <w:b/>
          <w:bCs/>
          <w:color w:val="auto"/>
          <w:sz w:val="48"/>
          <w:szCs w:val="44"/>
          <w:highlight w:val="none"/>
          <w:u w:val="single"/>
        </w:rPr>
        <w:t>（项目名称）</w:t>
      </w:r>
      <w:bookmarkEnd w:id="242"/>
      <w:bookmarkEnd w:id="243"/>
      <w:bookmarkEnd w:id="244"/>
      <w:bookmarkEnd w:id="245"/>
      <w:bookmarkEnd w:id="246"/>
      <w:bookmarkEnd w:id="247"/>
      <w:bookmarkEnd w:id="248"/>
      <w:r>
        <w:rPr>
          <w:rFonts w:hint="eastAsia"/>
          <w:b/>
          <w:bCs/>
          <w:color w:val="auto"/>
          <w:sz w:val="48"/>
          <w:szCs w:val="44"/>
          <w:highlight w:val="none"/>
          <w:u w:val="single"/>
        </w:rPr>
        <w:t xml:space="preserve"> </w:t>
      </w:r>
      <w:r>
        <w:rPr>
          <w:rFonts w:hint="eastAsia"/>
          <w:b/>
          <w:bCs/>
          <w:color w:val="auto"/>
          <w:sz w:val="48"/>
          <w:szCs w:val="44"/>
          <w:highlight w:val="none"/>
        </w:rPr>
        <w:t xml:space="preserve"> </w:t>
      </w:r>
      <w:bookmarkEnd w:id="249"/>
      <w:bookmarkEnd w:id="250"/>
      <w:r>
        <w:rPr>
          <w:rFonts w:hint="eastAsia"/>
          <w:b/>
          <w:bCs/>
          <w:color w:val="auto"/>
          <w:sz w:val="48"/>
          <w:szCs w:val="44"/>
          <w:highlight w:val="none"/>
        </w:rPr>
        <w:t>招标</w:t>
      </w:r>
    </w:p>
    <w:p w14:paraId="67F66663">
      <w:pPr>
        <w:jc w:val="center"/>
        <w:rPr>
          <w:color w:val="auto"/>
          <w:highlight w:val="none"/>
        </w:rPr>
      </w:pPr>
    </w:p>
    <w:p w14:paraId="0CC01947">
      <w:pPr>
        <w:jc w:val="center"/>
        <w:rPr>
          <w:color w:val="auto"/>
          <w:highlight w:val="none"/>
        </w:rPr>
      </w:pPr>
    </w:p>
    <w:p w14:paraId="35657D2F">
      <w:pPr>
        <w:ind w:firstLine="1446" w:firstLineChars="200"/>
        <w:jc w:val="center"/>
        <w:rPr>
          <w:b/>
          <w:bCs/>
          <w:color w:val="auto"/>
          <w:sz w:val="72"/>
          <w:szCs w:val="56"/>
          <w:highlight w:val="none"/>
        </w:rPr>
      </w:pPr>
      <w:bookmarkStart w:id="251" w:name="_Toc8798_WPSOffice_Level3"/>
      <w:bookmarkStart w:id="252" w:name="_Toc5301_WPSOffice_Level3"/>
    </w:p>
    <w:p w14:paraId="10F952ED">
      <w:pPr>
        <w:ind w:firstLine="1446" w:firstLineChars="200"/>
        <w:jc w:val="center"/>
        <w:rPr>
          <w:b/>
          <w:bCs/>
          <w:color w:val="auto"/>
          <w:sz w:val="72"/>
          <w:szCs w:val="56"/>
          <w:highlight w:val="none"/>
        </w:rPr>
      </w:pPr>
    </w:p>
    <w:p w14:paraId="319C8039">
      <w:pPr>
        <w:ind w:firstLine="1446" w:firstLineChars="200"/>
        <w:jc w:val="center"/>
        <w:rPr>
          <w:b/>
          <w:bCs/>
          <w:color w:val="auto"/>
          <w:sz w:val="72"/>
          <w:szCs w:val="56"/>
          <w:highlight w:val="none"/>
        </w:rPr>
      </w:pPr>
      <w:r>
        <w:rPr>
          <w:rFonts w:hint="eastAsia"/>
          <w:b/>
          <w:bCs/>
          <w:color w:val="auto"/>
          <w:sz w:val="72"/>
          <w:szCs w:val="56"/>
          <w:highlight w:val="none"/>
        </w:rPr>
        <w:t>投  标  文  件</w:t>
      </w:r>
      <w:bookmarkEnd w:id="251"/>
      <w:bookmarkEnd w:id="252"/>
    </w:p>
    <w:p w14:paraId="6E546F78">
      <w:pPr>
        <w:jc w:val="center"/>
        <w:rPr>
          <w:color w:val="auto"/>
          <w:highlight w:val="none"/>
        </w:rPr>
      </w:pPr>
    </w:p>
    <w:p w14:paraId="3355910D">
      <w:pPr>
        <w:ind w:firstLine="960" w:firstLineChars="200"/>
        <w:jc w:val="center"/>
        <w:rPr>
          <w:color w:val="auto"/>
          <w:sz w:val="48"/>
          <w:szCs w:val="44"/>
          <w:highlight w:val="none"/>
        </w:rPr>
      </w:pPr>
      <w:bookmarkStart w:id="253" w:name="_Toc6046_WPSOffice_Level2"/>
      <w:bookmarkStart w:id="254" w:name="_Toc639_WPSOffice_Level2"/>
      <w:bookmarkStart w:id="255" w:name="_Toc14127"/>
      <w:bookmarkStart w:id="256" w:name="_Toc18349_WPSOffice_Level2"/>
      <w:bookmarkStart w:id="257" w:name="_Toc24704"/>
      <w:bookmarkStart w:id="258" w:name="_Toc7210_WPSOffice_Level2"/>
      <w:bookmarkStart w:id="259" w:name="_Toc2104"/>
      <w:bookmarkStart w:id="260" w:name="_Toc8292"/>
      <w:bookmarkStart w:id="261" w:name="_Toc23773"/>
      <w:r>
        <w:rPr>
          <w:rFonts w:hint="eastAsia"/>
          <w:color w:val="auto"/>
          <w:sz w:val="48"/>
          <w:szCs w:val="44"/>
          <w:highlight w:val="none"/>
        </w:rPr>
        <w:t>（商务经济标书／技术标书）</w:t>
      </w:r>
      <w:bookmarkEnd w:id="253"/>
      <w:bookmarkEnd w:id="254"/>
      <w:bookmarkEnd w:id="255"/>
      <w:bookmarkEnd w:id="256"/>
      <w:bookmarkEnd w:id="257"/>
      <w:bookmarkEnd w:id="258"/>
      <w:bookmarkEnd w:id="259"/>
      <w:bookmarkEnd w:id="260"/>
      <w:bookmarkEnd w:id="261"/>
    </w:p>
    <w:p w14:paraId="3C6711AD">
      <w:pPr>
        <w:jc w:val="center"/>
        <w:rPr>
          <w:color w:val="auto"/>
          <w:highlight w:val="none"/>
        </w:rPr>
      </w:pPr>
    </w:p>
    <w:p w14:paraId="60DB0748">
      <w:pPr>
        <w:jc w:val="center"/>
        <w:rPr>
          <w:color w:val="auto"/>
          <w:highlight w:val="none"/>
        </w:rPr>
      </w:pPr>
    </w:p>
    <w:p w14:paraId="07E2C09D">
      <w:pPr>
        <w:jc w:val="center"/>
        <w:rPr>
          <w:color w:val="auto"/>
          <w:highlight w:val="none"/>
        </w:rPr>
      </w:pPr>
    </w:p>
    <w:p w14:paraId="6066B136">
      <w:pPr>
        <w:jc w:val="center"/>
        <w:rPr>
          <w:color w:val="auto"/>
          <w:highlight w:val="none"/>
        </w:rPr>
      </w:pPr>
    </w:p>
    <w:p w14:paraId="130408DE">
      <w:pPr>
        <w:jc w:val="center"/>
        <w:rPr>
          <w:color w:val="auto"/>
          <w:highlight w:val="none"/>
        </w:rPr>
      </w:pPr>
    </w:p>
    <w:p w14:paraId="33844B7C">
      <w:pPr>
        <w:jc w:val="center"/>
        <w:rPr>
          <w:color w:val="auto"/>
          <w:highlight w:val="none"/>
        </w:rPr>
      </w:pPr>
    </w:p>
    <w:p w14:paraId="142B89C2">
      <w:pPr>
        <w:ind w:firstLine="640" w:firstLineChars="200"/>
        <w:jc w:val="center"/>
        <w:rPr>
          <w:color w:val="auto"/>
          <w:sz w:val="32"/>
          <w:szCs w:val="28"/>
          <w:highlight w:val="none"/>
        </w:rPr>
      </w:pPr>
      <w:bookmarkStart w:id="262" w:name="_Toc15825_WPSOffice_Level2"/>
      <w:bookmarkStart w:id="263" w:name="_Toc23809"/>
      <w:bookmarkStart w:id="264" w:name="_Toc695"/>
      <w:bookmarkStart w:id="265" w:name="_Toc1506"/>
      <w:bookmarkStart w:id="266" w:name="_Toc3918_WPSOffice_Level2"/>
      <w:bookmarkStart w:id="267" w:name="_Toc10578_WPSOffice_Level2"/>
      <w:bookmarkStart w:id="268" w:name="_Toc9798"/>
      <w:bookmarkStart w:id="269" w:name="_Toc881_WPSOffice_Level2"/>
      <w:bookmarkStart w:id="270" w:name="_Toc7044"/>
      <w:r>
        <w:rPr>
          <w:rFonts w:hint="eastAsia"/>
          <w:color w:val="auto"/>
          <w:sz w:val="32"/>
          <w:szCs w:val="28"/>
          <w:highlight w:val="none"/>
        </w:rPr>
        <w:t>投标人：</w:t>
      </w:r>
      <w:r>
        <w:rPr>
          <w:rFonts w:hint="eastAsia"/>
          <w:color w:val="auto"/>
          <w:sz w:val="32"/>
          <w:szCs w:val="28"/>
          <w:highlight w:val="none"/>
          <w:u w:val="single"/>
        </w:rPr>
        <w:t xml:space="preserve">                    </w:t>
      </w:r>
      <w:r>
        <w:rPr>
          <w:rFonts w:hint="eastAsia"/>
          <w:color w:val="auto"/>
          <w:sz w:val="32"/>
          <w:szCs w:val="28"/>
          <w:highlight w:val="none"/>
        </w:rPr>
        <w:t>（盖单位章）</w:t>
      </w:r>
      <w:bookmarkEnd w:id="262"/>
      <w:bookmarkEnd w:id="263"/>
      <w:bookmarkEnd w:id="264"/>
      <w:bookmarkEnd w:id="265"/>
      <w:bookmarkEnd w:id="266"/>
      <w:bookmarkEnd w:id="267"/>
      <w:bookmarkEnd w:id="268"/>
      <w:bookmarkEnd w:id="269"/>
      <w:bookmarkEnd w:id="270"/>
    </w:p>
    <w:p w14:paraId="6D1B456E">
      <w:pPr>
        <w:rPr>
          <w:color w:val="auto"/>
          <w:sz w:val="32"/>
          <w:szCs w:val="28"/>
          <w:highlight w:val="none"/>
        </w:rPr>
      </w:pPr>
    </w:p>
    <w:p w14:paraId="51D97493">
      <w:pPr>
        <w:ind w:firstLine="640" w:firstLineChars="200"/>
        <w:jc w:val="center"/>
        <w:rPr>
          <w:color w:val="auto"/>
          <w:sz w:val="32"/>
          <w:szCs w:val="28"/>
          <w:highlight w:val="none"/>
        </w:rPr>
      </w:pPr>
      <w:bookmarkStart w:id="271" w:name="_Toc27613_WPSOffice_Level2"/>
      <w:bookmarkStart w:id="272" w:name="_Toc2370"/>
      <w:bookmarkStart w:id="273" w:name="_Toc12474"/>
      <w:bookmarkStart w:id="274" w:name="_Toc13744_WPSOffice_Level2"/>
      <w:bookmarkStart w:id="275" w:name="_Toc32628_WPSOffice_Level2"/>
      <w:bookmarkStart w:id="276" w:name="_Toc31144"/>
      <w:bookmarkStart w:id="277" w:name="_Toc27630_WPSOffice_Level2"/>
      <w:bookmarkStart w:id="278" w:name="_Toc24086"/>
      <w:bookmarkStart w:id="279" w:name="_Toc29706"/>
      <w:r>
        <w:rPr>
          <w:rFonts w:hint="eastAsia"/>
          <w:color w:val="auto"/>
          <w:sz w:val="32"/>
          <w:szCs w:val="28"/>
          <w:highlight w:val="none"/>
        </w:rPr>
        <w:t>法定代表人或其委托代理人：</w:t>
      </w:r>
      <w:r>
        <w:rPr>
          <w:rFonts w:hint="eastAsia"/>
          <w:color w:val="auto"/>
          <w:sz w:val="32"/>
          <w:szCs w:val="28"/>
          <w:highlight w:val="none"/>
          <w:u w:val="single"/>
        </w:rPr>
        <w:t xml:space="preserve">           </w:t>
      </w:r>
      <w:r>
        <w:rPr>
          <w:rFonts w:hint="eastAsia"/>
          <w:color w:val="auto"/>
          <w:sz w:val="32"/>
          <w:szCs w:val="28"/>
          <w:highlight w:val="none"/>
        </w:rPr>
        <w:t>（签字或盖章）</w:t>
      </w:r>
      <w:bookmarkEnd w:id="271"/>
      <w:bookmarkEnd w:id="272"/>
      <w:bookmarkEnd w:id="273"/>
      <w:bookmarkEnd w:id="274"/>
      <w:bookmarkEnd w:id="275"/>
      <w:bookmarkEnd w:id="276"/>
      <w:bookmarkEnd w:id="277"/>
      <w:bookmarkEnd w:id="278"/>
      <w:bookmarkEnd w:id="279"/>
    </w:p>
    <w:p w14:paraId="4F0FD93A">
      <w:pPr>
        <w:rPr>
          <w:color w:val="auto"/>
          <w:sz w:val="32"/>
          <w:szCs w:val="28"/>
          <w:highlight w:val="none"/>
        </w:rPr>
      </w:pPr>
    </w:p>
    <w:p w14:paraId="33E0D72D">
      <w:pPr>
        <w:ind w:firstLine="640" w:firstLineChars="200"/>
        <w:jc w:val="center"/>
        <w:rPr>
          <w:color w:val="auto"/>
          <w:sz w:val="32"/>
          <w:szCs w:val="28"/>
          <w:highlight w:val="none"/>
        </w:rPr>
      </w:pPr>
      <w:bookmarkStart w:id="280" w:name="_Toc7063"/>
      <w:bookmarkStart w:id="281" w:name="_Toc28896"/>
      <w:bookmarkStart w:id="282" w:name="_Toc23570"/>
      <w:bookmarkStart w:id="283" w:name="_Toc4261_WPSOffice_Level2"/>
      <w:bookmarkStart w:id="284" w:name="_Toc25506"/>
      <w:bookmarkStart w:id="285" w:name="_Toc28423_WPSOffice_Level2"/>
      <w:bookmarkStart w:id="286" w:name="_Toc6799"/>
      <w:bookmarkStart w:id="287" w:name="_Toc1745_WPSOffice_Level2"/>
      <w:bookmarkStart w:id="288" w:name="_Toc15044_WPSOffice_Level2"/>
      <w:r>
        <w:rPr>
          <w:rFonts w:hint="eastAsia"/>
          <w:color w:val="auto"/>
          <w:sz w:val="32"/>
          <w:szCs w:val="28"/>
          <w:highlight w:val="none"/>
        </w:rPr>
        <w:t>年    月    日</w:t>
      </w:r>
      <w:bookmarkEnd w:id="280"/>
      <w:bookmarkEnd w:id="281"/>
      <w:bookmarkEnd w:id="282"/>
      <w:bookmarkEnd w:id="283"/>
      <w:bookmarkEnd w:id="284"/>
      <w:bookmarkEnd w:id="285"/>
      <w:bookmarkEnd w:id="286"/>
      <w:bookmarkEnd w:id="287"/>
      <w:bookmarkEnd w:id="288"/>
    </w:p>
    <w:p w14:paraId="4948957E">
      <w:pPr>
        <w:jc w:val="left"/>
        <w:outlineLvl w:val="1"/>
        <w:rPr>
          <w:rStyle w:val="39"/>
          <w:color w:val="auto"/>
          <w:sz w:val="28"/>
          <w:szCs w:val="24"/>
          <w:highlight w:val="none"/>
        </w:rPr>
      </w:pPr>
      <w:r>
        <w:rPr>
          <w:rFonts w:hint="eastAsia"/>
          <w:color w:val="auto"/>
          <w:highlight w:val="none"/>
        </w:rPr>
        <w:br w:type="page"/>
      </w:r>
      <w:bookmarkStart w:id="289" w:name="_Toc71811327"/>
      <w:bookmarkStart w:id="290" w:name="_Toc71811194"/>
      <w:bookmarkStart w:id="291" w:name="_Toc71813717"/>
      <w:bookmarkStart w:id="292" w:name="_Toc9284"/>
      <w:bookmarkStart w:id="293" w:name="_Toc4428"/>
      <w:bookmarkStart w:id="294" w:name="_Toc16288"/>
      <w:r>
        <w:rPr>
          <w:rStyle w:val="39"/>
          <w:rFonts w:hint="eastAsia"/>
          <w:color w:val="auto"/>
          <w:sz w:val="28"/>
          <w:szCs w:val="24"/>
          <w:highlight w:val="none"/>
        </w:rPr>
        <w:t>格式二</w:t>
      </w:r>
      <w:bookmarkEnd w:id="236"/>
      <w:bookmarkEnd w:id="237"/>
      <w:bookmarkEnd w:id="238"/>
      <w:bookmarkEnd w:id="239"/>
      <w:bookmarkEnd w:id="240"/>
      <w:bookmarkEnd w:id="241"/>
      <w:bookmarkEnd w:id="289"/>
      <w:bookmarkEnd w:id="290"/>
      <w:bookmarkEnd w:id="291"/>
    </w:p>
    <w:bookmarkEnd w:id="292"/>
    <w:bookmarkEnd w:id="293"/>
    <w:bookmarkEnd w:id="294"/>
    <w:p w14:paraId="4DF95A92">
      <w:pPr>
        <w:spacing w:line="360" w:lineRule="auto"/>
        <w:ind w:firstLine="643" w:firstLineChars="200"/>
        <w:jc w:val="center"/>
        <w:rPr>
          <w:rFonts w:ascii="宋体" w:hAnsi="宋体" w:cs="宋体"/>
          <w:color w:val="auto"/>
          <w:sz w:val="32"/>
          <w:szCs w:val="32"/>
          <w:highlight w:val="none"/>
        </w:rPr>
      </w:pPr>
      <w:r>
        <w:rPr>
          <w:rFonts w:hint="eastAsia" w:ascii="宋体" w:hAnsi="宋体" w:cs="宋体"/>
          <w:b/>
          <w:color w:val="auto"/>
          <w:sz w:val="32"/>
          <w:szCs w:val="32"/>
          <w:highlight w:val="none"/>
        </w:rPr>
        <w:t>投  标  函</w:t>
      </w:r>
    </w:p>
    <w:p w14:paraId="5F3C4934">
      <w:pPr>
        <w:wordWrap w:val="0"/>
        <w:adjustRightInd w:val="0"/>
        <w:snapToGrid w:val="0"/>
        <w:spacing w:line="440" w:lineRule="exact"/>
        <w:ind w:firstLine="480" w:firstLineChars="200"/>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致：</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（招标人名称）</w:t>
      </w:r>
    </w:p>
    <w:p w14:paraId="3DF2C68C">
      <w:pPr>
        <w:numPr>
          <w:ilvl w:val="0"/>
          <w:numId w:val="6"/>
        </w:numPr>
        <w:spacing w:line="440" w:lineRule="exact"/>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经分析研究了贵方提供的</w:t>
      </w:r>
      <w:r>
        <w:rPr>
          <w:rFonts w:hint="eastAsia" w:ascii="宋体" w:hAnsi="宋体" w:cs="宋体"/>
          <w:color w:val="auto"/>
          <w:sz w:val="24"/>
          <w:szCs w:val="32"/>
          <w:highlight w:val="none"/>
          <w:u w:val="single"/>
        </w:rPr>
        <w:t xml:space="preserve">      </w:t>
      </w:r>
      <w:r>
        <w:rPr>
          <w:rFonts w:hint="eastAsia" w:ascii="宋体" w:hAnsi="宋体" w:cs="宋体"/>
          <w:b/>
          <w:bCs/>
          <w:color w:val="auto"/>
          <w:sz w:val="24"/>
          <w:szCs w:val="32"/>
          <w:highlight w:val="none"/>
          <w:u w:val="single"/>
        </w:rPr>
        <w:t xml:space="preserve">  </w:t>
      </w:r>
      <w:r>
        <w:rPr>
          <w:rFonts w:hint="eastAsia" w:ascii="宋体" w:hAnsi="宋体" w:cs="宋体"/>
          <w:snapToGrid w:val="0"/>
          <w:color w:val="auto"/>
          <w:kern w:val="0"/>
          <w:sz w:val="24"/>
          <w:szCs w:val="22"/>
          <w:highlight w:val="none"/>
          <w:u w:val="single"/>
        </w:rPr>
        <w:t>（项目名称）</w:t>
      </w:r>
      <w:r>
        <w:rPr>
          <w:rFonts w:hint="eastAsia" w:ascii="宋体" w:hAnsi="宋体" w:cs="宋体"/>
          <w:b/>
          <w:bCs/>
          <w:color w:val="auto"/>
          <w:sz w:val="24"/>
          <w:szCs w:val="32"/>
          <w:highlight w:val="none"/>
          <w:u w:val="single"/>
        </w:rPr>
        <w:t xml:space="preserve">      </w:t>
      </w:r>
      <w:r>
        <w:rPr>
          <w:rFonts w:hint="eastAsia" w:ascii="宋体" w:hAnsi="宋体" w:cs="宋体"/>
          <w:snapToGrid w:val="0"/>
          <w:color w:val="auto"/>
          <w:kern w:val="0"/>
          <w:sz w:val="24"/>
          <w:szCs w:val="22"/>
          <w:highlight w:val="none"/>
        </w:rPr>
        <w:t>（以下简称“本项目”）</w:t>
      </w:r>
      <w:r>
        <w:rPr>
          <w:rFonts w:hint="eastAsia" w:ascii="宋体" w:hAnsi="宋体" w:cs="宋体"/>
          <w:color w:val="auto"/>
          <w:sz w:val="24"/>
          <w:szCs w:val="32"/>
          <w:highlight w:val="none"/>
        </w:rPr>
        <w:t>招标文件中的投标须知、拟签订合同的主要条款、项目介绍、本次招标答疑后，我方（即文末签名人），考虑了本企业的实力和特点，愿意接受招标文件的全部内容和条件，愿以</w:t>
      </w:r>
      <w:r>
        <w:rPr>
          <w:rFonts w:hint="eastAsia" w:ascii="宋体" w:hAnsi="宋体" w:cs="宋体"/>
          <w:snapToGrid w:val="0"/>
          <w:color w:val="auto"/>
          <w:kern w:val="0"/>
          <w:sz w:val="24"/>
          <w:szCs w:val="24"/>
          <w:highlight w:val="none"/>
        </w:rPr>
        <w:t>人民币（大写）：</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 xml:space="preserve">（小写）：（¥ </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）的投标总价</w:t>
      </w:r>
      <w:r>
        <w:rPr>
          <w:rFonts w:hint="eastAsia" w:ascii="宋体" w:hAnsi="宋体" w:cs="宋体"/>
          <w:color w:val="auto"/>
          <w:sz w:val="24"/>
          <w:szCs w:val="32"/>
          <w:highlight w:val="none"/>
        </w:rPr>
        <w:t>竞投承包上述工程</w:t>
      </w:r>
      <w:r>
        <w:rPr>
          <w:rFonts w:hint="eastAsia" w:ascii="宋体" w:hAnsi="宋体" w:cs="宋体"/>
          <w:snapToGrid w:val="0"/>
          <w:color w:val="auto"/>
          <w:kern w:val="0"/>
          <w:sz w:val="24"/>
          <w:szCs w:val="24"/>
          <w:highlight w:val="none"/>
        </w:rPr>
        <w:t>。</w:t>
      </w:r>
    </w:p>
    <w:p w14:paraId="0343920F">
      <w:pPr>
        <w:numPr>
          <w:ilvl w:val="0"/>
          <w:numId w:val="6"/>
        </w:numPr>
        <w:spacing w:line="440" w:lineRule="exact"/>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如我方中标，我方保证按合同条款、规范和附件要求，实施并完成上述工程勘察、初步设计，并修补其任何缺陷。</w:t>
      </w:r>
    </w:p>
    <w:p w14:paraId="41F9684F">
      <w:pPr>
        <w:spacing w:line="440" w:lineRule="exact"/>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3、我方同意本投标书在投标有效期内</w:t>
      </w:r>
      <w:r>
        <w:rPr>
          <w:rFonts w:hint="eastAsia" w:ascii="宋体" w:hAnsi="宋体" w:cs="宋体"/>
          <w:color w:val="auto"/>
          <w:sz w:val="24"/>
          <w:szCs w:val="32"/>
          <w:highlight w:val="none"/>
          <w:lang w:eastAsia="zh-CN"/>
        </w:rPr>
        <w:t>（投标有效期为90天）</w:t>
      </w:r>
      <w:r>
        <w:rPr>
          <w:rFonts w:hint="eastAsia" w:ascii="宋体" w:hAnsi="宋体" w:cs="宋体"/>
          <w:color w:val="auto"/>
          <w:sz w:val="24"/>
          <w:szCs w:val="32"/>
          <w:highlight w:val="none"/>
        </w:rPr>
        <w:t>有效，在此期间我方的投标随时愿意被委托人接受，我方将受此约束。</w:t>
      </w:r>
    </w:p>
    <w:p w14:paraId="389A0359">
      <w:pPr>
        <w:spacing w:line="440" w:lineRule="exact"/>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4、在正式签订建设工程委托初步设计合同之前，本投标书连同贵方的中标通知书应成为约束贵、我双方的合同文件。</w:t>
      </w:r>
    </w:p>
    <w:p w14:paraId="2BB9EF7D">
      <w:pPr>
        <w:spacing w:line="440" w:lineRule="exact"/>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5、我单位理解，贵方不一定接受最低标价投标或可能接受其他任何投标；同时也理解，贵方不负担我单位任何投标费用。</w:t>
      </w:r>
    </w:p>
    <w:p w14:paraId="4CBDFB1B">
      <w:pPr>
        <w:wordWrap w:val="0"/>
        <w:adjustRightInd w:val="0"/>
        <w:snapToGrid w:val="0"/>
        <w:spacing w:line="440" w:lineRule="exact"/>
        <w:ind w:firstLine="480" w:firstLineChars="200"/>
        <w:rPr>
          <w:rFonts w:ascii="宋体" w:hAnsi="宋体" w:cs="宋体"/>
          <w:snapToGrid w:val="0"/>
          <w:color w:val="auto"/>
          <w:kern w:val="0"/>
          <w:sz w:val="24"/>
          <w:szCs w:val="22"/>
          <w:highlight w:val="none"/>
        </w:rPr>
      </w:pPr>
    </w:p>
    <w:p w14:paraId="4EE8B23F">
      <w:pPr>
        <w:wordWrap w:val="0"/>
        <w:adjustRightInd w:val="0"/>
        <w:snapToGrid w:val="0"/>
        <w:spacing w:line="440" w:lineRule="exact"/>
        <w:rPr>
          <w:rFonts w:ascii="宋体" w:hAnsi="宋体" w:cs="宋体"/>
          <w:snapToGrid w:val="0"/>
          <w:color w:val="auto"/>
          <w:kern w:val="0"/>
          <w:sz w:val="24"/>
          <w:szCs w:val="22"/>
          <w:highlight w:val="none"/>
        </w:rPr>
      </w:pPr>
    </w:p>
    <w:p w14:paraId="7FA040F4">
      <w:pPr>
        <w:wordWrap w:val="0"/>
        <w:adjustRightInd w:val="0"/>
        <w:snapToGrid w:val="0"/>
        <w:spacing w:line="440" w:lineRule="exact"/>
        <w:rPr>
          <w:rFonts w:ascii="宋体" w:hAnsi="宋体" w:cs="宋体"/>
          <w:snapToGrid w:val="0"/>
          <w:color w:val="auto"/>
          <w:kern w:val="0"/>
          <w:sz w:val="24"/>
          <w:szCs w:val="22"/>
          <w:highlight w:val="none"/>
        </w:rPr>
      </w:pPr>
    </w:p>
    <w:p w14:paraId="3339F95F">
      <w:pPr>
        <w:wordWrap w:val="0"/>
        <w:adjustRightInd w:val="0"/>
        <w:snapToGrid w:val="0"/>
        <w:spacing w:line="440" w:lineRule="exact"/>
        <w:rPr>
          <w:rFonts w:ascii="宋体" w:hAnsi="宋体" w:cs="宋体"/>
          <w:snapToGrid w:val="0"/>
          <w:color w:val="auto"/>
          <w:kern w:val="0"/>
          <w:sz w:val="24"/>
          <w:szCs w:val="22"/>
          <w:highlight w:val="none"/>
        </w:rPr>
      </w:pPr>
    </w:p>
    <w:p w14:paraId="4F38C9FF">
      <w:pPr>
        <w:wordWrap w:val="0"/>
        <w:adjustRightInd w:val="0"/>
        <w:snapToGrid w:val="0"/>
        <w:spacing w:line="440" w:lineRule="exact"/>
        <w:rPr>
          <w:rFonts w:ascii="宋体" w:hAnsi="宋体" w:cs="宋体"/>
          <w:snapToGrid w:val="0"/>
          <w:color w:val="auto"/>
          <w:kern w:val="0"/>
          <w:sz w:val="24"/>
          <w:szCs w:val="22"/>
          <w:highlight w:val="none"/>
        </w:rPr>
      </w:pPr>
    </w:p>
    <w:p w14:paraId="3BBD35EA">
      <w:pPr>
        <w:wordWrap w:val="0"/>
        <w:adjustRightInd w:val="0"/>
        <w:snapToGrid w:val="0"/>
        <w:spacing w:line="440" w:lineRule="exact"/>
        <w:ind w:firstLine="480" w:firstLineChars="200"/>
        <w:jc w:val="right"/>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 xml:space="preserve">    投标人：</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（盖单位章）</w:t>
      </w:r>
    </w:p>
    <w:p w14:paraId="7463F1D5">
      <w:pPr>
        <w:wordWrap w:val="0"/>
        <w:adjustRightInd w:val="0"/>
        <w:snapToGrid w:val="0"/>
        <w:spacing w:line="440" w:lineRule="exact"/>
        <w:ind w:firstLine="480" w:firstLineChars="200"/>
        <w:jc w:val="right"/>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法定代表人或其委托代理人：</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（签字或盖章）</w:t>
      </w:r>
    </w:p>
    <w:p w14:paraId="419C2C9B">
      <w:pPr>
        <w:wordWrap w:val="0"/>
        <w:adjustRightInd w:val="0"/>
        <w:snapToGrid w:val="0"/>
        <w:spacing w:line="440" w:lineRule="exact"/>
        <w:ind w:firstLine="480" w:firstLineChars="200"/>
        <w:jc w:val="left"/>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 xml:space="preserve">                                       </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年</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月</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日</w:t>
      </w:r>
    </w:p>
    <w:p w14:paraId="3DABDE62">
      <w:pPr>
        <w:wordWrap w:val="0"/>
        <w:adjustRightInd w:val="0"/>
        <w:snapToGrid w:val="0"/>
        <w:spacing w:line="440" w:lineRule="exact"/>
        <w:jc w:val="left"/>
        <w:rPr>
          <w:rFonts w:ascii="宋体" w:hAnsi="宋体" w:cs="宋体"/>
          <w:snapToGrid w:val="0"/>
          <w:color w:val="auto"/>
          <w:kern w:val="0"/>
          <w:highlight w:val="none"/>
        </w:rPr>
      </w:pPr>
    </w:p>
    <w:p w14:paraId="707E2EDD">
      <w:pPr>
        <w:rPr>
          <w:color w:val="auto"/>
          <w:highlight w:val="none"/>
        </w:rPr>
      </w:pPr>
    </w:p>
    <w:p w14:paraId="0312DD2A">
      <w:pPr>
        <w:rPr>
          <w:color w:val="auto"/>
          <w:highlight w:val="none"/>
        </w:rPr>
      </w:pPr>
    </w:p>
    <w:p w14:paraId="328E8ACB">
      <w:pPr>
        <w:rPr>
          <w:color w:val="auto"/>
          <w:highlight w:val="none"/>
        </w:rPr>
      </w:pPr>
    </w:p>
    <w:p w14:paraId="45B36F2C">
      <w:pPr>
        <w:rPr>
          <w:color w:val="auto"/>
          <w:highlight w:val="none"/>
        </w:rPr>
      </w:pPr>
    </w:p>
    <w:p w14:paraId="56CE577C">
      <w:pPr>
        <w:rPr>
          <w:color w:val="auto"/>
          <w:highlight w:val="none"/>
        </w:rPr>
      </w:pPr>
    </w:p>
    <w:p w14:paraId="21F06113">
      <w:pPr>
        <w:rPr>
          <w:color w:val="auto"/>
          <w:highlight w:val="none"/>
        </w:rPr>
      </w:pPr>
    </w:p>
    <w:p w14:paraId="436ED328">
      <w:pPr>
        <w:rPr>
          <w:color w:val="auto"/>
          <w:highlight w:val="none"/>
        </w:rPr>
      </w:pPr>
    </w:p>
    <w:bookmarkEnd w:id="222"/>
    <w:p w14:paraId="5A7B1D41">
      <w:pPr>
        <w:rPr>
          <w:rStyle w:val="39"/>
          <w:rFonts w:hint="eastAsia" w:ascii="Times New Roman" w:hAnsi="Times New Roman"/>
          <w:color w:val="auto"/>
          <w:sz w:val="28"/>
          <w:szCs w:val="24"/>
          <w:highlight w:val="none"/>
        </w:rPr>
      </w:pPr>
      <w:bookmarkStart w:id="295" w:name="_Toc3718"/>
      <w:bookmarkStart w:id="296" w:name="_Toc14192"/>
      <w:bookmarkStart w:id="297" w:name="_Toc25895"/>
      <w:r>
        <w:rPr>
          <w:rStyle w:val="39"/>
          <w:rFonts w:hint="eastAsia" w:ascii="Times New Roman" w:hAnsi="Times New Roman"/>
          <w:color w:val="auto"/>
          <w:sz w:val="28"/>
          <w:szCs w:val="24"/>
          <w:highlight w:val="none"/>
        </w:rPr>
        <w:br w:type="page"/>
      </w:r>
    </w:p>
    <w:p w14:paraId="3DCEF993">
      <w:pPr>
        <w:jc w:val="left"/>
        <w:outlineLvl w:val="1"/>
        <w:rPr>
          <w:rStyle w:val="39"/>
          <w:rFonts w:ascii="Times New Roman" w:hAnsi="Times New Roman"/>
          <w:color w:val="auto"/>
          <w:sz w:val="28"/>
          <w:szCs w:val="24"/>
          <w:highlight w:val="none"/>
        </w:rPr>
      </w:pPr>
      <w:r>
        <w:rPr>
          <w:rStyle w:val="39"/>
          <w:rFonts w:hint="eastAsia" w:ascii="Times New Roman" w:hAnsi="Times New Roman"/>
          <w:color w:val="auto"/>
          <w:sz w:val="28"/>
          <w:szCs w:val="24"/>
          <w:highlight w:val="none"/>
        </w:rPr>
        <w:t>格式</w:t>
      </w:r>
      <w:bookmarkEnd w:id="295"/>
      <w:bookmarkEnd w:id="296"/>
      <w:r>
        <w:rPr>
          <w:rStyle w:val="39"/>
          <w:rFonts w:hint="eastAsia" w:ascii="Times New Roman" w:hAnsi="Times New Roman"/>
          <w:color w:val="auto"/>
          <w:sz w:val="28"/>
          <w:szCs w:val="24"/>
          <w:highlight w:val="none"/>
        </w:rPr>
        <w:t>三</w:t>
      </w:r>
    </w:p>
    <w:bookmarkEnd w:id="297"/>
    <w:p w14:paraId="43043898">
      <w:pPr>
        <w:pStyle w:val="3"/>
        <w:numPr>
          <w:ilvl w:val="1"/>
          <w:numId w:val="0"/>
        </w:numPr>
        <w:spacing w:before="158" w:after="158"/>
        <w:jc w:val="center"/>
        <w:rPr>
          <w:rFonts w:cs="宋体"/>
          <w:color w:val="auto"/>
          <w:szCs w:val="21"/>
          <w:highlight w:val="none"/>
        </w:rPr>
      </w:pPr>
      <w:bookmarkStart w:id="298" w:name="_Toc23664"/>
      <w:r>
        <w:rPr>
          <w:rFonts w:hint="eastAsia"/>
          <w:color w:val="auto"/>
          <w:sz w:val="32"/>
          <w:szCs w:val="28"/>
          <w:highlight w:val="none"/>
        </w:rPr>
        <w:t>工程项目报价表</w:t>
      </w:r>
      <w:bookmarkEnd w:id="298"/>
    </w:p>
    <w:tbl>
      <w:tblPr>
        <w:tblStyle w:val="27"/>
        <w:tblW w:w="87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3"/>
        <w:gridCol w:w="2025"/>
        <w:gridCol w:w="2561"/>
        <w:gridCol w:w="3373"/>
      </w:tblGrid>
      <w:tr w14:paraId="3154B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813" w:type="dxa"/>
            <w:vAlign w:val="center"/>
          </w:tcPr>
          <w:p w14:paraId="0AF8D049">
            <w:pPr>
              <w:jc w:val="center"/>
              <w:rPr>
                <w:rFonts w:ascii="宋体" w:hAnsi="宋体" w:cs="宋体"/>
                <w:b/>
                <w:bCs/>
                <w:color w:val="auto"/>
                <w:kern w:val="1"/>
                <w:sz w:val="24"/>
                <w:szCs w:val="24"/>
                <w:highlight w:val="none"/>
              </w:rPr>
            </w:pPr>
            <w:r>
              <w:rPr>
                <w:rFonts w:hint="eastAsia" w:ascii="宋体" w:hAnsi="宋体" w:cs="宋体"/>
                <w:b/>
                <w:bCs/>
                <w:color w:val="auto"/>
                <w:kern w:val="1"/>
                <w:sz w:val="24"/>
                <w:szCs w:val="24"/>
                <w:highlight w:val="none"/>
              </w:rPr>
              <w:t>序号</w:t>
            </w:r>
          </w:p>
        </w:tc>
        <w:tc>
          <w:tcPr>
            <w:tcW w:w="2025" w:type="dxa"/>
            <w:vAlign w:val="center"/>
          </w:tcPr>
          <w:p w14:paraId="1318F185">
            <w:pPr>
              <w:jc w:val="center"/>
              <w:rPr>
                <w:rFonts w:ascii="宋体" w:hAnsi="宋体" w:cs="宋体"/>
                <w:b/>
                <w:bCs/>
                <w:color w:val="auto"/>
                <w:kern w:val="1"/>
                <w:sz w:val="24"/>
                <w:szCs w:val="24"/>
                <w:highlight w:val="none"/>
              </w:rPr>
            </w:pPr>
            <w:r>
              <w:rPr>
                <w:rFonts w:hint="eastAsia" w:ascii="宋体" w:hAnsi="宋体" w:cs="宋体"/>
                <w:b/>
                <w:bCs/>
                <w:color w:val="auto"/>
                <w:kern w:val="1"/>
                <w:sz w:val="24"/>
                <w:szCs w:val="24"/>
                <w:highlight w:val="none"/>
              </w:rPr>
              <w:t>项目名称</w:t>
            </w:r>
          </w:p>
        </w:tc>
        <w:tc>
          <w:tcPr>
            <w:tcW w:w="2561" w:type="dxa"/>
            <w:vAlign w:val="center"/>
          </w:tcPr>
          <w:p w14:paraId="5D9B844E">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投标报价（元）</w:t>
            </w:r>
          </w:p>
        </w:tc>
        <w:tc>
          <w:tcPr>
            <w:tcW w:w="3373" w:type="dxa"/>
            <w:vAlign w:val="center"/>
          </w:tcPr>
          <w:p w14:paraId="6BA9473F">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备注</w:t>
            </w:r>
          </w:p>
        </w:tc>
      </w:tr>
      <w:tr w14:paraId="6A357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813" w:type="dxa"/>
            <w:vAlign w:val="center"/>
          </w:tcPr>
          <w:p w14:paraId="53DACB73">
            <w:pPr>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1</w:t>
            </w:r>
          </w:p>
        </w:tc>
        <w:tc>
          <w:tcPr>
            <w:tcW w:w="2025" w:type="dxa"/>
            <w:vAlign w:val="center"/>
          </w:tcPr>
          <w:p w14:paraId="7A9DAA9F">
            <w:pPr>
              <w:jc w:val="center"/>
              <w:rPr>
                <w:rFonts w:ascii="宋体" w:hAnsi="宋体" w:cs="宋体"/>
                <w:color w:val="auto"/>
                <w:sz w:val="24"/>
                <w:szCs w:val="24"/>
                <w:highlight w:val="none"/>
              </w:rPr>
            </w:pPr>
            <w:r>
              <w:rPr>
                <w:rFonts w:hint="eastAsia" w:ascii="宋体" w:hAnsi="宋体" w:cs="宋体"/>
                <w:color w:val="auto"/>
                <w:sz w:val="24"/>
                <w:szCs w:val="24"/>
                <w:highlight w:val="none"/>
              </w:rPr>
              <w:t>初步设计费</w:t>
            </w:r>
          </w:p>
          <w:p w14:paraId="0C5546AC">
            <w:pPr>
              <w:jc w:val="center"/>
              <w:rPr>
                <w:rFonts w:ascii="宋体" w:hAnsi="宋体" w:cs="宋体"/>
                <w:color w:val="auto"/>
                <w:kern w:val="1"/>
                <w:sz w:val="24"/>
                <w:szCs w:val="24"/>
                <w:highlight w:val="none"/>
              </w:rPr>
            </w:pPr>
            <w:r>
              <w:rPr>
                <w:rFonts w:hint="eastAsia" w:ascii="宋体" w:hAnsi="宋体" w:cs="宋体"/>
                <w:color w:val="auto"/>
                <w:sz w:val="24"/>
                <w:szCs w:val="24"/>
                <w:highlight w:val="none"/>
              </w:rPr>
              <w:t>（含概算）</w:t>
            </w:r>
          </w:p>
        </w:tc>
        <w:tc>
          <w:tcPr>
            <w:tcW w:w="2561" w:type="dxa"/>
            <w:vAlign w:val="center"/>
          </w:tcPr>
          <w:p w14:paraId="63C3C7A4">
            <w:pPr>
              <w:pStyle w:val="6"/>
              <w:numPr>
                <w:ilvl w:val="3"/>
                <w:numId w:val="0"/>
              </w:numPr>
              <w:ind w:firstLine="1200" w:firstLineChars="500"/>
              <w:rPr>
                <w:color w:val="auto"/>
                <w:highlight w:val="none"/>
              </w:rPr>
            </w:pPr>
          </w:p>
        </w:tc>
        <w:tc>
          <w:tcPr>
            <w:tcW w:w="3373" w:type="dxa"/>
            <w:vMerge w:val="restart"/>
            <w:vAlign w:val="center"/>
          </w:tcPr>
          <w:p w14:paraId="0F6AFDA9">
            <w:pPr>
              <w:pStyle w:val="6"/>
              <w:numPr>
                <w:ilvl w:val="3"/>
                <w:numId w:val="0"/>
              </w:numPr>
              <w:spacing w:before="0" w:after="0" w:line="460" w:lineRule="exact"/>
              <w:ind w:firstLine="240" w:firstLineChars="100"/>
              <w:rPr>
                <w:color w:val="auto"/>
                <w:highlight w:val="none"/>
              </w:rPr>
            </w:pPr>
            <w:bookmarkStart w:id="299" w:name="_Toc1385"/>
            <w:r>
              <w:rPr>
                <w:rFonts w:hint="eastAsia" w:cs="宋体"/>
                <w:color w:val="auto"/>
                <w:kern w:val="0"/>
                <w:szCs w:val="24"/>
                <w:highlight w:val="none"/>
                <w:lang w:bidi="ar"/>
              </w:rPr>
              <w:t>初步设计费由投标人自行报价（费用包含</w:t>
            </w:r>
            <w:r>
              <w:rPr>
                <w:rFonts w:hint="eastAsia" w:cs="宋体"/>
                <w:color w:val="auto"/>
                <w:kern w:val="0"/>
                <w:szCs w:val="24"/>
                <w:highlight w:val="none"/>
                <w:lang w:val="en-US" w:eastAsia="zh-CN" w:bidi="ar"/>
              </w:rPr>
              <w:t>方案设计费</w:t>
            </w:r>
            <w:r>
              <w:rPr>
                <w:rFonts w:hint="eastAsia" w:cs="宋体"/>
                <w:color w:val="auto"/>
                <w:kern w:val="0"/>
                <w:szCs w:val="24"/>
                <w:highlight w:val="none"/>
                <w:lang w:bidi="ar"/>
              </w:rPr>
              <w:t>、初步设计费、概算</w:t>
            </w:r>
            <w:r>
              <w:rPr>
                <w:rFonts w:hint="eastAsia" w:cs="宋体"/>
                <w:color w:val="auto"/>
                <w:kern w:val="0"/>
                <w:szCs w:val="24"/>
                <w:highlight w:val="none"/>
                <w:lang w:val="en-US" w:eastAsia="zh-CN" w:bidi="ar"/>
              </w:rPr>
              <w:t>编制费</w:t>
            </w:r>
            <w:r>
              <w:rPr>
                <w:rFonts w:hint="eastAsia" w:cs="宋体"/>
                <w:color w:val="auto"/>
                <w:kern w:val="0"/>
                <w:szCs w:val="24"/>
                <w:highlight w:val="none"/>
                <w:lang w:bidi="ar"/>
              </w:rPr>
              <w:t>等）。</w:t>
            </w:r>
            <w:bookmarkEnd w:id="299"/>
          </w:p>
        </w:tc>
      </w:tr>
      <w:tr w14:paraId="74715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2838" w:type="dxa"/>
            <w:gridSpan w:val="2"/>
            <w:vAlign w:val="center"/>
          </w:tcPr>
          <w:p w14:paraId="70AC8B79">
            <w:pPr>
              <w:jc w:val="center"/>
              <w:rPr>
                <w:rFonts w:ascii="宋体" w:hAnsi="宋体" w:cs="宋体"/>
                <w:color w:val="auto"/>
                <w:sz w:val="24"/>
                <w:szCs w:val="24"/>
                <w:highlight w:val="none"/>
              </w:rPr>
            </w:pPr>
            <w:r>
              <w:rPr>
                <w:rFonts w:hint="eastAsia" w:ascii="宋体" w:hAnsi="宋体" w:cs="宋体"/>
                <w:b/>
                <w:bCs/>
                <w:color w:val="auto"/>
                <w:sz w:val="24"/>
                <w:szCs w:val="24"/>
                <w:highlight w:val="none"/>
              </w:rPr>
              <w:t>合  计</w:t>
            </w:r>
          </w:p>
        </w:tc>
        <w:tc>
          <w:tcPr>
            <w:tcW w:w="2561" w:type="dxa"/>
            <w:vAlign w:val="center"/>
          </w:tcPr>
          <w:p w14:paraId="4815D969">
            <w:pPr>
              <w:pStyle w:val="6"/>
              <w:numPr>
                <w:ilvl w:val="3"/>
                <w:numId w:val="0"/>
              </w:numPr>
              <w:ind w:firstLine="1200" w:firstLineChars="500"/>
              <w:rPr>
                <w:color w:val="auto"/>
                <w:highlight w:val="none"/>
              </w:rPr>
            </w:pPr>
          </w:p>
        </w:tc>
        <w:tc>
          <w:tcPr>
            <w:tcW w:w="3373" w:type="dxa"/>
            <w:vMerge w:val="continue"/>
            <w:vAlign w:val="center"/>
          </w:tcPr>
          <w:p w14:paraId="6144C24E">
            <w:pPr>
              <w:pStyle w:val="6"/>
              <w:numPr>
                <w:ilvl w:val="3"/>
                <w:numId w:val="0"/>
              </w:numPr>
              <w:spacing w:before="0" w:after="0" w:line="460" w:lineRule="exact"/>
              <w:ind w:left="420" w:leftChars="200"/>
              <w:rPr>
                <w:rFonts w:cs="宋体"/>
                <w:color w:val="auto"/>
                <w:kern w:val="0"/>
                <w:szCs w:val="24"/>
                <w:highlight w:val="none"/>
                <w:lang w:bidi="ar"/>
              </w:rPr>
            </w:pPr>
          </w:p>
        </w:tc>
      </w:tr>
    </w:tbl>
    <w:p w14:paraId="23C0FF30">
      <w:pPr>
        <w:spacing w:line="288" w:lineRule="auto"/>
        <w:ind w:firstLine="480" w:firstLineChars="200"/>
        <w:rPr>
          <w:rFonts w:ascii="宋体" w:hAnsi="宋体" w:cs="宋体"/>
          <w:color w:val="auto"/>
          <w:sz w:val="24"/>
          <w:szCs w:val="24"/>
          <w:highlight w:val="none"/>
        </w:rPr>
      </w:pPr>
    </w:p>
    <w:p w14:paraId="70DE4E69">
      <w:pPr>
        <w:spacing w:line="460" w:lineRule="exact"/>
        <w:ind w:firstLine="480" w:firstLineChars="200"/>
        <w:rPr>
          <w:rFonts w:hint="eastAsia" w:ascii="宋体" w:hAnsi="宋体" w:cs="宋体"/>
          <w:snapToGrid w:val="0"/>
          <w:color w:val="auto"/>
          <w:kern w:val="0"/>
          <w:sz w:val="24"/>
          <w:szCs w:val="32"/>
          <w:highlight w:val="none"/>
        </w:rPr>
      </w:pPr>
      <w:r>
        <w:rPr>
          <w:rFonts w:hint="eastAsia" w:ascii="宋体" w:hAnsi="宋体" w:cs="宋体"/>
          <w:snapToGrid w:val="0"/>
          <w:color w:val="auto"/>
          <w:kern w:val="0"/>
          <w:sz w:val="24"/>
          <w:szCs w:val="32"/>
          <w:highlight w:val="none"/>
        </w:rPr>
        <w:t>备注：1.本项目设最高投标限价，各单项报价不能超过各单项最高投标限价，投标报价</w:t>
      </w:r>
    </w:p>
    <w:p w14:paraId="1E53EB5D">
      <w:pPr>
        <w:spacing w:line="460" w:lineRule="exact"/>
        <w:ind w:firstLine="480" w:firstLineChars="200"/>
        <w:rPr>
          <w:rFonts w:hint="eastAsia" w:ascii="宋体" w:hAnsi="宋体" w:cs="宋体"/>
          <w:snapToGrid w:val="0"/>
          <w:color w:val="auto"/>
          <w:kern w:val="0"/>
          <w:sz w:val="24"/>
          <w:szCs w:val="32"/>
          <w:highlight w:val="none"/>
        </w:rPr>
      </w:pPr>
      <w:r>
        <w:rPr>
          <w:rFonts w:hint="eastAsia" w:ascii="宋体" w:hAnsi="宋体" w:cs="宋体"/>
          <w:snapToGrid w:val="0"/>
          <w:color w:val="auto"/>
          <w:kern w:val="0"/>
          <w:sz w:val="24"/>
          <w:szCs w:val="32"/>
          <w:highlight w:val="none"/>
        </w:rPr>
        <w:t>超过最高投标限价为无效报价。</w:t>
      </w:r>
    </w:p>
    <w:p w14:paraId="6F8ECBD7">
      <w:pPr>
        <w:wordWrap w:val="0"/>
        <w:snapToGrid w:val="0"/>
        <w:spacing w:line="460" w:lineRule="exact"/>
        <w:ind w:firstLine="1200" w:firstLineChars="500"/>
        <w:rPr>
          <w:rFonts w:hint="eastAsia" w:ascii="宋体" w:hAnsi="宋体" w:cs="宋体"/>
          <w:snapToGrid w:val="0"/>
          <w:color w:val="auto"/>
          <w:kern w:val="0"/>
          <w:sz w:val="24"/>
          <w:szCs w:val="32"/>
          <w:highlight w:val="none"/>
        </w:rPr>
      </w:pPr>
      <w:r>
        <w:rPr>
          <w:rFonts w:hint="eastAsia" w:ascii="宋体" w:hAnsi="宋体" w:cs="宋体"/>
          <w:snapToGrid w:val="0"/>
          <w:color w:val="auto"/>
          <w:kern w:val="0"/>
          <w:sz w:val="24"/>
          <w:szCs w:val="32"/>
          <w:highlight w:val="none"/>
        </w:rPr>
        <w:t>2.投标报价均保留至小数点后两位。</w:t>
      </w:r>
    </w:p>
    <w:p w14:paraId="5D27F152">
      <w:pPr>
        <w:wordWrap w:val="0"/>
        <w:snapToGrid w:val="0"/>
        <w:spacing w:line="460" w:lineRule="exact"/>
        <w:ind w:firstLine="1200" w:firstLineChars="500"/>
        <w:rPr>
          <w:rFonts w:hint="eastAsia" w:ascii="宋体" w:hAnsi="宋体" w:eastAsia="宋体" w:cs="宋体"/>
          <w:snapToGrid w:val="0"/>
          <w:color w:val="auto"/>
          <w:kern w:val="0"/>
          <w:sz w:val="24"/>
          <w:szCs w:val="32"/>
          <w:highlight w:val="none"/>
          <w:lang w:eastAsia="zh-CN"/>
        </w:rPr>
      </w:pPr>
      <w:r>
        <w:rPr>
          <w:rFonts w:hint="eastAsia" w:ascii="宋体" w:hAnsi="宋体" w:cs="宋体"/>
          <w:snapToGrid w:val="0"/>
          <w:color w:val="auto"/>
          <w:kern w:val="0"/>
          <w:sz w:val="24"/>
          <w:szCs w:val="32"/>
          <w:highlight w:val="none"/>
        </w:rPr>
        <w:t>3.以上投标报价均为含税报价（增值税）</w:t>
      </w:r>
      <w:r>
        <w:rPr>
          <w:rFonts w:hint="eastAsia" w:ascii="宋体" w:hAnsi="宋体" w:cs="宋体"/>
          <w:snapToGrid w:val="0"/>
          <w:color w:val="auto"/>
          <w:kern w:val="0"/>
          <w:sz w:val="24"/>
          <w:szCs w:val="32"/>
          <w:highlight w:val="none"/>
          <w:lang w:eastAsia="zh-CN"/>
        </w:rPr>
        <w:t>。</w:t>
      </w:r>
    </w:p>
    <w:p w14:paraId="04F46242">
      <w:pPr>
        <w:pStyle w:val="46"/>
        <w:spacing w:line="360" w:lineRule="auto"/>
        <w:ind w:firstLine="420"/>
        <w:jc w:val="both"/>
        <w:rPr>
          <w:rFonts w:ascii="宋体" w:hAnsi="宋体" w:cs="宋体"/>
          <w:color w:val="auto"/>
          <w:sz w:val="24"/>
          <w:highlight w:val="none"/>
        </w:rPr>
      </w:pPr>
    </w:p>
    <w:p w14:paraId="483CEC69">
      <w:pPr>
        <w:pStyle w:val="46"/>
        <w:ind w:firstLine="420"/>
        <w:jc w:val="both"/>
        <w:rPr>
          <w:rFonts w:ascii="宋体" w:hAnsi="宋体" w:cs="宋体"/>
          <w:color w:val="auto"/>
          <w:sz w:val="24"/>
          <w:highlight w:val="none"/>
        </w:rPr>
      </w:pPr>
    </w:p>
    <w:p w14:paraId="4EF0FF08">
      <w:pPr>
        <w:spacing w:before="100" w:after="100"/>
        <w:jc w:val="center"/>
        <w:rPr>
          <w:rFonts w:ascii="宋体" w:hAnsi="宋体" w:cs="宋体"/>
          <w:b/>
          <w:color w:val="auto"/>
          <w:sz w:val="24"/>
          <w:szCs w:val="24"/>
          <w:highlight w:val="none"/>
        </w:rPr>
      </w:pPr>
    </w:p>
    <w:p w14:paraId="20FDB500">
      <w:pPr>
        <w:wordWrap w:val="0"/>
        <w:adjustRightInd w:val="0"/>
        <w:snapToGrid w:val="0"/>
        <w:spacing w:line="440" w:lineRule="exact"/>
        <w:jc w:val="left"/>
        <w:rPr>
          <w:rFonts w:ascii="宋体" w:hAnsi="宋体" w:cs="宋体"/>
          <w:b/>
          <w:snapToGrid w:val="0"/>
          <w:color w:val="auto"/>
          <w:kern w:val="0"/>
          <w:sz w:val="30"/>
          <w:highlight w:val="none"/>
        </w:rPr>
      </w:pPr>
    </w:p>
    <w:p w14:paraId="2D705925">
      <w:pPr>
        <w:wordWrap w:val="0"/>
        <w:adjustRightInd w:val="0"/>
        <w:snapToGrid w:val="0"/>
        <w:spacing w:line="440" w:lineRule="exact"/>
        <w:jc w:val="left"/>
        <w:rPr>
          <w:rFonts w:ascii="宋体" w:hAnsi="宋体" w:cs="宋体"/>
          <w:b/>
          <w:snapToGrid w:val="0"/>
          <w:color w:val="auto"/>
          <w:kern w:val="0"/>
          <w:sz w:val="30"/>
          <w:highlight w:val="none"/>
        </w:rPr>
      </w:pPr>
    </w:p>
    <w:p w14:paraId="779EBD30">
      <w:pPr>
        <w:wordWrap w:val="0"/>
        <w:adjustRightInd w:val="0"/>
        <w:snapToGrid w:val="0"/>
        <w:spacing w:line="440" w:lineRule="exact"/>
        <w:jc w:val="right"/>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 xml:space="preserve">   投标人：</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（盖单位章）</w:t>
      </w:r>
    </w:p>
    <w:p w14:paraId="29971935">
      <w:pPr>
        <w:wordWrap w:val="0"/>
        <w:adjustRightInd w:val="0"/>
        <w:snapToGrid w:val="0"/>
        <w:spacing w:line="440" w:lineRule="exact"/>
        <w:ind w:firstLine="480" w:firstLineChars="200"/>
        <w:jc w:val="right"/>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法定代表人或其委托代理人：</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（签字或盖章）</w:t>
      </w:r>
    </w:p>
    <w:p w14:paraId="3354FE54">
      <w:pPr>
        <w:wordWrap w:val="0"/>
        <w:adjustRightInd w:val="0"/>
        <w:snapToGrid w:val="0"/>
        <w:spacing w:line="440" w:lineRule="exact"/>
        <w:jc w:val="left"/>
        <w:rPr>
          <w:rFonts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 xml:space="preserve">                                       </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年</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月</w:t>
      </w:r>
      <w:r>
        <w:rPr>
          <w:rFonts w:hint="eastAsia" w:ascii="宋体" w:hAnsi="宋体" w:cs="宋体"/>
          <w:snapToGrid w:val="0"/>
          <w:color w:val="auto"/>
          <w:kern w:val="0"/>
          <w:sz w:val="24"/>
          <w:szCs w:val="22"/>
          <w:highlight w:val="none"/>
          <w:u w:val="single"/>
        </w:rPr>
        <w:t xml:space="preserve">     </w:t>
      </w:r>
      <w:r>
        <w:rPr>
          <w:rFonts w:hint="eastAsia" w:ascii="宋体" w:hAnsi="宋体" w:cs="宋体"/>
          <w:snapToGrid w:val="0"/>
          <w:color w:val="auto"/>
          <w:kern w:val="0"/>
          <w:sz w:val="24"/>
          <w:szCs w:val="22"/>
          <w:highlight w:val="none"/>
        </w:rPr>
        <w:t>日</w:t>
      </w:r>
    </w:p>
    <w:p w14:paraId="0B64CFC5">
      <w:pPr>
        <w:wordWrap w:val="0"/>
        <w:adjustRightInd w:val="0"/>
        <w:snapToGrid w:val="0"/>
        <w:spacing w:line="440" w:lineRule="exact"/>
        <w:jc w:val="left"/>
        <w:rPr>
          <w:rFonts w:ascii="宋体" w:hAnsi="宋体" w:cs="宋体"/>
          <w:b/>
          <w:snapToGrid w:val="0"/>
          <w:color w:val="auto"/>
          <w:kern w:val="0"/>
          <w:sz w:val="30"/>
          <w:highlight w:val="none"/>
        </w:rPr>
      </w:pPr>
    </w:p>
    <w:p w14:paraId="6BD1A415">
      <w:pPr>
        <w:pStyle w:val="3"/>
        <w:numPr>
          <w:ilvl w:val="1"/>
          <w:numId w:val="0"/>
        </w:numPr>
        <w:spacing w:before="158" w:after="158"/>
        <w:rPr>
          <w:color w:val="auto"/>
          <w:sz w:val="28"/>
          <w:szCs w:val="28"/>
          <w:highlight w:val="none"/>
        </w:rPr>
      </w:pPr>
      <w:r>
        <w:rPr>
          <w:color w:val="auto"/>
          <w:sz w:val="28"/>
          <w:szCs w:val="28"/>
          <w:highlight w:val="none"/>
        </w:rPr>
        <w:br w:type="page"/>
      </w:r>
      <w:bookmarkStart w:id="300" w:name="_Toc19124"/>
      <w:r>
        <w:rPr>
          <w:rFonts w:hint="eastAsia"/>
          <w:color w:val="auto"/>
          <w:sz w:val="28"/>
          <w:szCs w:val="28"/>
          <w:highlight w:val="none"/>
        </w:rPr>
        <w:t>格式四</w:t>
      </w:r>
      <w:bookmarkEnd w:id="300"/>
    </w:p>
    <w:p w14:paraId="554EFD00">
      <w:pPr>
        <w:spacing w:line="360" w:lineRule="auto"/>
        <w:ind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各项承诺一览表</w:t>
      </w:r>
    </w:p>
    <w:tbl>
      <w:tblPr>
        <w:tblStyle w:val="27"/>
        <w:tblW w:w="9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2"/>
        <w:gridCol w:w="1711"/>
        <w:gridCol w:w="3431"/>
        <w:gridCol w:w="3653"/>
      </w:tblGrid>
      <w:tr w14:paraId="43096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tblHeader/>
          <w:jc w:val="center"/>
        </w:trPr>
        <w:tc>
          <w:tcPr>
            <w:tcW w:w="652" w:type="dxa"/>
            <w:vAlign w:val="center"/>
          </w:tcPr>
          <w:p w14:paraId="65945868">
            <w:pPr>
              <w:adjustRightInd w:val="0"/>
              <w:snapToGrid w:val="0"/>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1711" w:type="dxa"/>
            <w:vAlign w:val="center"/>
          </w:tcPr>
          <w:p w14:paraId="495F4637">
            <w:pPr>
              <w:adjustRightInd w:val="0"/>
              <w:snapToGrid w:val="0"/>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承诺标题</w:t>
            </w:r>
          </w:p>
        </w:tc>
        <w:tc>
          <w:tcPr>
            <w:tcW w:w="3431" w:type="dxa"/>
            <w:vAlign w:val="center"/>
          </w:tcPr>
          <w:p w14:paraId="26B66D8A">
            <w:pPr>
              <w:adjustRightInd w:val="0"/>
              <w:snapToGrid w:val="0"/>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承诺内容</w:t>
            </w:r>
          </w:p>
        </w:tc>
        <w:tc>
          <w:tcPr>
            <w:tcW w:w="3653" w:type="dxa"/>
            <w:tcBorders>
              <w:bottom w:val="single" w:color="auto" w:sz="4" w:space="0"/>
            </w:tcBorders>
            <w:vAlign w:val="center"/>
          </w:tcPr>
          <w:p w14:paraId="13DC2ADF">
            <w:pPr>
              <w:adjustRightInd w:val="0"/>
              <w:snapToGrid w:val="0"/>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违约承诺</w:t>
            </w:r>
          </w:p>
        </w:tc>
      </w:tr>
      <w:tr w14:paraId="6925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jc w:val="center"/>
        </w:trPr>
        <w:tc>
          <w:tcPr>
            <w:tcW w:w="652" w:type="dxa"/>
            <w:vAlign w:val="center"/>
          </w:tcPr>
          <w:p w14:paraId="177FF943">
            <w:pPr>
              <w:adjustRightInd w:val="0"/>
              <w:snapToGrid w:val="0"/>
              <w:spacing w:line="41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711" w:type="dxa"/>
            <w:vAlign w:val="center"/>
          </w:tcPr>
          <w:p w14:paraId="072D0134">
            <w:pPr>
              <w:pStyle w:val="14"/>
              <w:adjustRightInd w:val="0"/>
              <w:snapToGrid w:val="0"/>
              <w:spacing w:line="410" w:lineRule="exact"/>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对招标文件条款自愿接受承诺</w:t>
            </w:r>
          </w:p>
        </w:tc>
        <w:tc>
          <w:tcPr>
            <w:tcW w:w="3431" w:type="dxa"/>
            <w:vAlign w:val="center"/>
          </w:tcPr>
          <w:p w14:paraId="5340EF49">
            <w:pPr>
              <w:pStyle w:val="14"/>
              <w:adjustRightInd w:val="0"/>
              <w:snapToGrid w:val="0"/>
              <w:spacing w:line="41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我方保证接受招标文件的所有条款，响应招标文件的</w:t>
            </w:r>
            <w:bookmarkStart w:id="301" w:name="_Hlt66510765"/>
            <w:bookmarkEnd w:id="301"/>
            <w:r>
              <w:rPr>
                <w:rFonts w:hint="eastAsia" w:ascii="宋体" w:hAnsi="宋体" w:cs="宋体"/>
                <w:color w:val="auto"/>
                <w:sz w:val="24"/>
                <w:szCs w:val="24"/>
                <w:highlight w:val="none"/>
              </w:rPr>
              <w:t>所有要求。</w:t>
            </w:r>
          </w:p>
        </w:tc>
        <w:tc>
          <w:tcPr>
            <w:tcW w:w="3653" w:type="dxa"/>
            <w:tcBorders>
              <w:tr2bl w:val="single" w:color="auto" w:sz="4" w:space="0"/>
            </w:tcBorders>
            <w:vAlign w:val="center"/>
          </w:tcPr>
          <w:p w14:paraId="0EC2BEE0">
            <w:pPr>
              <w:pStyle w:val="14"/>
              <w:adjustRightInd w:val="0"/>
              <w:snapToGrid w:val="0"/>
              <w:spacing w:line="410" w:lineRule="exact"/>
              <w:ind w:firstLine="480"/>
              <w:rPr>
                <w:rFonts w:ascii="宋体" w:hAnsi="宋体" w:cs="宋体"/>
                <w:color w:val="auto"/>
                <w:sz w:val="24"/>
                <w:szCs w:val="24"/>
                <w:highlight w:val="none"/>
              </w:rPr>
            </w:pPr>
          </w:p>
        </w:tc>
      </w:tr>
      <w:tr w14:paraId="0318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5" w:hRule="atLeast"/>
          <w:jc w:val="center"/>
        </w:trPr>
        <w:tc>
          <w:tcPr>
            <w:tcW w:w="652" w:type="dxa"/>
            <w:vAlign w:val="center"/>
          </w:tcPr>
          <w:p w14:paraId="7390924A">
            <w:pPr>
              <w:adjustRightInd w:val="0"/>
              <w:snapToGrid w:val="0"/>
              <w:spacing w:line="41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711" w:type="dxa"/>
            <w:vAlign w:val="center"/>
          </w:tcPr>
          <w:p w14:paraId="36982BE6">
            <w:pPr>
              <w:pStyle w:val="14"/>
              <w:adjustRightInd w:val="0"/>
              <w:snapToGrid w:val="0"/>
              <w:spacing w:line="410" w:lineRule="exact"/>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履约保证金承诺</w:t>
            </w:r>
          </w:p>
        </w:tc>
        <w:tc>
          <w:tcPr>
            <w:tcW w:w="3431" w:type="dxa"/>
            <w:vAlign w:val="center"/>
          </w:tcPr>
          <w:p w14:paraId="7679A967">
            <w:pPr>
              <w:pStyle w:val="14"/>
              <w:adjustRightInd w:val="0"/>
              <w:snapToGrid w:val="0"/>
              <w:spacing w:line="41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我方保证按时缴纳全部履约保证金</w:t>
            </w:r>
            <w:bookmarkStart w:id="302" w:name="_Hlt104711307"/>
            <w:bookmarkEnd w:id="302"/>
            <w:r>
              <w:rPr>
                <w:rFonts w:hint="eastAsia" w:ascii="宋体" w:hAnsi="宋体" w:cs="宋体"/>
                <w:color w:val="auto"/>
                <w:sz w:val="24"/>
                <w:szCs w:val="24"/>
                <w:highlight w:val="none"/>
              </w:rPr>
              <w:t>。</w:t>
            </w:r>
          </w:p>
        </w:tc>
        <w:tc>
          <w:tcPr>
            <w:tcW w:w="3653" w:type="dxa"/>
            <w:vAlign w:val="center"/>
          </w:tcPr>
          <w:p w14:paraId="6CC1F256">
            <w:pPr>
              <w:pStyle w:val="14"/>
              <w:adjustRightInd w:val="0"/>
              <w:snapToGrid w:val="0"/>
              <w:spacing w:line="41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在设计过程中，如由于我方自身的资金、技术、质量、非不可抗力等原因给招标人造成经济损失、工期延误时，或未能按招标文件所约定的各项承诺完成时，我方同意扣除相应履约保证金，并承担由此引起的所有责任。</w:t>
            </w:r>
          </w:p>
        </w:tc>
      </w:tr>
      <w:tr w14:paraId="6040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5" w:hRule="atLeast"/>
          <w:jc w:val="center"/>
        </w:trPr>
        <w:tc>
          <w:tcPr>
            <w:tcW w:w="652" w:type="dxa"/>
            <w:vAlign w:val="center"/>
          </w:tcPr>
          <w:p w14:paraId="78F38BD6">
            <w:pPr>
              <w:adjustRightInd w:val="0"/>
              <w:snapToGrid w:val="0"/>
              <w:spacing w:line="41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711" w:type="dxa"/>
            <w:vAlign w:val="center"/>
          </w:tcPr>
          <w:p w14:paraId="3D98D7DA">
            <w:pPr>
              <w:pStyle w:val="14"/>
              <w:adjustRightInd w:val="0"/>
              <w:snapToGrid w:val="0"/>
              <w:spacing w:line="410" w:lineRule="exact"/>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工期、进度承诺</w:t>
            </w:r>
          </w:p>
        </w:tc>
        <w:tc>
          <w:tcPr>
            <w:tcW w:w="3431" w:type="dxa"/>
            <w:vAlign w:val="center"/>
          </w:tcPr>
          <w:p w14:paraId="1D9FEEE4">
            <w:pPr>
              <w:pStyle w:val="14"/>
              <w:adjustRightInd w:val="0"/>
              <w:snapToGrid w:val="0"/>
              <w:spacing w:line="41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我方保证在与招标人签定设计合同后壹天内开工，并在招标文件规定要求的计工期内完成全部招标工程。</w:t>
            </w:r>
          </w:p>
          <w:p w14:paraId="74FE4555">
            <w:pPr>
              <w:pStyle w:val="14"/>
              <w:adjustRightInd w:val="0"/>
              <w:snapToGrid w:val="0"/>
              <w:spacing w:line="41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我方保证按我方投标文件中的初步设计进度计划完成设计任务。</w:t>
            </w:r>
          </w:p>
        </w:tc>
        <w:tc>
          <w:tcPr>
            <w:tcW w:w="3653" w:type="dxa"/>
            <w:vAlign w:val="center"/>
          </w:tcPr>
          <w:p w14:paraId="5AC33C89">
            <w:pPr>
              <w:pStyle w:val="14"/>
              <w:adjustRightInd w:val="0"/>
              <w:snapToGrid w:val="0"/>
              <w:spacing w:line="41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若因我方原因，初步设计没有按期完成时，我方须在逾期第壹天起每天按</w:t>
            </w:r>
            <w:r>
              <w:rPr>
                <w:rFonts w:hint="eastAsia" w:ascii="宋体" w:hAnsi="宋体" w:cs="宋体"/>
                <w:b/>
                <w:bCs/>
                <w:color w:val="auto"/>
                <w:sz w:val="24"/>
                <w:szCs w:val="24"/>
                <w:highlight w:val="none"/>
                <w:u w:val="single"/>
                <w:lang w:val="en-US" w:eastAsia="zh-CN"/>
              </w:rPr>
              <w:t>合同价</w:t>
            </w:r>
            <w:r>
              <w:rPr>
                <w:rFonts w:hint="eastAsia" w:ascii="宋体" w:hAnsi="宋体" w:cs="宋体"/>
                <w:b/>
                <w:bCs/>
                <w:color w:val="auto"/>
                <w:sz w:val="24"/>
                <w:szCs w:val="24"/>
                <w:highlight w:val="none"/>
                <w:u w:val="single"/>
              </w:rPr>
              <w:t>的千分之二</w:t>
            </w:r>
            <w:r>
              <w:rPr>
                <w:rFonts w:hint="eastAsia" w:ascii="宋体" w:hAnsi="宋体" w:cs="宋体"/>
                <w:color w:val="auto"/>
                <w:sz w:val="24"/>
                <w:szCs w:val="24"/>
                <w:highlight w:val="none"/>
              </w:rPr>
              <w:t>向招标人返纳逾期违约金。</w:t>
            </w:r>
          </w:p>
        </w:tc>
      </w:tr>
      <w:tr w14:paraId="4B45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5" w:hRule="atLeast"/>
          <w:jc w:val="center"/>
        </w:trPr>
        <w:tc>
          <w:tcPr>
            <w:tcW w:w="652" w:type="dxa"/>
            <w:vAlign w:val="center"/>
          </w:tcPr>
          <w:p w14:paraId="70254497">
            <w:pPr>
              <w:adjustRightInd w:val="0"/>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711" w:type="dxa"/>
            <w:vAlign w:val="center"/>
          </w:tcPr>
          <w:p w14:paraId="6F86E680">
            <w:pPr>
              <w:pStyle w:val="14"/>
              <w:adjustRightInd w:val="0"/>
              <w:snapToGrid w:val="0"/>
              <w:spacing w:line="400" w:lineRule="exact"/>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质量承诺</w:t>
            </w:r>
          </w:p>
        </w:tc>
        <w:tc>
          <w:tcPr>
            <w:tcW w:w="3431" w:type="dxa"/>
            <w:vAlign w:val="center"/>
          </w:tcPr>
          <w:p w14:paraId="4F68A9C6">
            <w:pPr>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我方保证按照现行的国家、广东省规定和合同约定的技术规范、标准进行设计，按本招标文件规定的内容、时间及份数向招标人交付初步设计文件，并对提交的初步设计质量负责。</w:t>
            </w:r>
          </w:p>
          <w:p w14:paraId="7705D558">
            <w:pPr>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我方保证按经过批准的初步设计概算（建安费）进行限额设计，并对初步设计文件出现的遗漏或错误负责修改或补充。</w:t>
            </w:r>
          </w:p>
        </w:tc>
        <w:tc>
          <w:tcPr>
            <w:tcW w:w="3653" w:type="dxa"/>
            <w:vAlign w:val="center"/>
          </w:tcPr>
          <w:p w14:paraId="76C7F33C">
            <w:pPr>
              <w:pStyle w:val="14"/>
              <w:adjustRightInd w:val="0"/>
              <w:snapToGrid w:val="0"/>
              <w:spacing w:line="400" w:lineRule="exact"/>
              <w:ind w:firstLine="48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若因我方设计错误造成工程质量事故损失，我方除负责采取补救措施外，并保证免收损失部分的设计费，并根据损失程度向发包人支付赔偿金，赔偿金为直接损失部分设计费。损失严重的根据损失的程度和承包方责任大小由双方商定赔偿事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协商不成的，提交</w:t>
            </w:r>
            <w:r>
              <w:rPr>
                <w:rFonts w:hint="eastAsia" w:ascii="宋体" w:hAnsi="宋体" w:cs="宋体"/>
                <w:color w:val="auto"/>
                <w:sz w:val="24"/>
                <w:szCs w:val="24"/>
                <w:highlight w:val="none"/>
                <w:lang w:val="en-US" w:eastAsia="zh-CN"/>
              </w:rPr>
              <w:t>韶关市仲裁委员会</w:t>
            </w:r>
            <w:r>
              <w:rPr>
                <w:rFonts w:hint="eastAsia" w:ascii="宋体" w:hAnsi="宋体" w:cs="宋体"/>
                <w:color w:val="auto"/>
                <w:sz w:val="24"/>
                <w:szCs w:val="24"/>
                <w:highlight w:val="none"/>
              </w:rPr>
              <w:t>仲裁或</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所在地人民法院</w:t>
            </w:r>
            <w:r>
              <w:rPr>
                <w:rFonts w:hint="eastAsia" w:ascii="宋体" w:hAnsi="宋体" w:cs="宋体"/>
                <w:color w:val="auto"/>
                <w:sz w:val="24"/>
                <w:szCs w:val="24"/>
                <w:highlight w:val="none"/>
                <w:lang w:eastAsia="zh-CN"/>
              </w:rPr>
              <w:t>。</w:t>
            </w:r>
          </w:p>
          <w:p w14:paraId="0FF4216C">
            <w:pPr>
              <w:pStyle w:val="14"/>
              <w:adjustRightInd w:val="0"/>
              <w:snapToGrid w:val="0"/>
              <w:spacing w:line="4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我方同意所有违约金以及赔偿金在初步设计费中扣除或在履约保证金中扣除。</w:t>
            </w:r>
          </w:p>
        </w:tc>
      </w:tr>
      <w:tr w14:paraId="2C33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5" w:hRule="atLeast"/>
          <w:jc w:val="center"/>
        </w:trPr>
        <w:tc>
          <w:tcPr>
            <w:tcW w:w="652" w:type="dxa"/>
            <w:vAlign w:val="center"/>
          </w:tcPr>
          <w:p w14:paraId="392C786A">
            <w:pPr>
              <w:adjustRightInd w:val="0"/>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711" w:type="dxa"/>
            <w:vAlign w:val="center"/>
          </w:tcPr>
          <w:p w14:paraId="7CF9D0E3">
            <w:pPr>
              <w:pStyle w:val="14"/>
              <w:adjustRightInd w:val="0"/>
              <w:snapToGrid w:val="0"/>
              <w:spacing w:line="400" w:lineRule="exact"/>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账户承诺</w:t>
            </w:r>
          </w:p>
        </w:tc>
        <w:tc>
          <w:tcPr>
            <w:tcW w:w="3431" w:type="dxa"/>
            <w:vAlign w:val="center"/>
          </w:tcPr>
          <w:p w14:paraId="39D0B528">
            <w:pPr>
              <w:adjustRightInd w:val="0"/>
              <w:snapToGrid w:val="0"/>
              <w:spacing w:line="400" w:lineRule="exact"/>
              <w:ind w:firstLine="560"/>
              <w:rPr>
                <w:rFonts w:ascii="宋体" w:hAnsi="宋体" w:cs="宋体"/>
                <w:color w:val="auto"/>
                <w:sz w:val="24"/>
                <w:szCs w:val="24"/>
                <w:highlight w:val="none"/>
              </w:rPr>
            </w:pPr>
            <w:r>
              <w:rPr>
                <w:rFonts w:hint="eastAsia" w:ascii="宋体" w:hAnsi="宋体" w:cs="宋体"/>
                <w:color w:val="auto"/>
                <w:spacing w:val="-2"/>
                <w:sz w:val="24"/>
                <w:szCs w:val="24"/>
                <w:highlight w:val="none"/>
              </w:rPr>
              <w:t>我方保证招标人的资金随时可划入合同中规定的我方账户。</w:t>
            </w:r>
          </w:p>
        </w:tc>
        <w:tc>
          <w:tcPr>
            <w:tcW w:w="3653" w:type="dxa"/>
            <w:vAlign w:val="center"/>
          </w:tcPr>
          <w:p w14:paraId="0913A908">
            <w:pPr>
              <w:pStyle w:val="14"/>
              <w:adjustRightInd w:val="0"/>
              <w:snapToGrid w:val="0"/>
              <w:spacing w:line="400" w:lineRule="exact"/>
              <w:ind w:firstLine="472"/>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若因我方原因造成招标人的资金无法划入合同中规定的我方账户，如时间达到30日历天，招标人有权终止合同。我方承担由此造成的所有责任及经济损失。</w:t>
            </w:r>
          </w:p>
        </w:tc>
      </w:tr>
      <w:tr w14:paraId="0B16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0" w:hRule="atLeast"/>
          <w:jc w:val="center"/>
        </w:trPr>
        <w:tc>
          <w:tcPr>
            <w:tcW w:w="652" w:type="dxa"/>
            <w:vAlign w:val="center"/>
          </w:tcPr>
          <w:p w14:paraId="741ECFC6">
            <w:pPr>
              <w:adjustRightInd w:val="0"/>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711" w:type="dxa"/>
            <w:vAlign w:val="center"/>
          </w:tcPr>
          <w:p w14:paraId="13E16220">
            <w:pPr>
              <w:pStyle w:val="14"/>
              <w:adjustRightInd w:val="0"/>
              <w:snapToGrid w:val="0"/>
              <w:spacing w:line="400" w:lineRule="exact"/>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工程的配合服务承诺</w:t>
            </w:r>
          </w:p>
        </w:tc>
        <w:tc>
          <w:tcPr>
            <w:tcW w:w="3431" w:type="dxa"/>
            <w:vAlign w:val="center"/>
          </w:tcPr>
          <w:p w14:paraId="6A70CACA">
            <w:pPr>
              <w:adjustRightInd w:val="0"/>
              <w:snapToGrid w:val="0"/>
              <w:spacing w:line="400" w:lineRule="exact"/>
              <w:ind w:firstLine="560"/>
              <w:rPr>
                <w:rFonts w:ascii="宋体" w:hAnsi="宋体" w:cs="宋体"/>
                <w:color w:val="auto"/>
                <w:spacing w:val="-2"/>
                <w:sz w:val="24"/>
                <w:szCs w:val="24"/>
                <w:highlight w:val="none"/>
              </w:rPr>
            </w:pPr>
            <w:r>
              <w:rPr>
                <w:rFonts w:hint="eastAsia" w:ascii="宋体" w:hAnsi="宋体" w:cs="宋体"/>
                <w:color w:val="auto"/>
                <w:sz w:val="24"/>
                <w:szCs w:val="24"/>
                <w:highlight w:val="none"/>
              </w:rPr>
              <w:t>我方保证安排各专业设计人员常驻施工现场或不定期到现场配合施工，并安排一名设计代表驻招标人地点作为处理现场问题及联络双方需协调事宜。根据施工进度情况和招标人的要求，每个专业各安排二名专职设计人员组成设计小组配合施工。其他专业为不定期到现场配合施工。配合施工的设计人员应服从施工需要，随时到现场配合施工。</w:t>
            </w:r>
          </w:p>
        </w:tc>
        <w:tc>
          <w:tcPr>
            <w:tcW w:w="3653" w:type="dxa"/>
            <w:vAlign w:val="center"/>
          </w:tcPr>
          <w:p w14:paraId="0C60F43E">
            <w:pPr>
              <w:pStyle w:val="14"/>
              <w:adjustRightInd w:val="0"/>
              <w:snapToGrid w:val="0"/>
              <w:spacing w:line="400" w:lineRule="exact"/>
              <w:ind w:firstLine="472"/>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若因我方原因，未及时配合与施工单位的工程施工，给招标人或施工单位造成损失的，我方承担所有的责任及经济损失。</w:t>
            </w:r>
          </w:p>
          <w:p w14:paraId="1A67D04E">
            <w:pPr>
              <w:pStyle w:val="14"/>
              <w:adjustRightInd w:val="0"/>
              <w:snapToGrid w:val="0"/>
              <w:spacing w:line="400" w:lineRule="exact"/>
              <w:ind w:firstLine="480"/>
              <w:rPr>
                <w:rFonts w:ascii="宋体" w:hAnsi="宋体" w:cs="宋体"/>
                <w:color w:val="auto"/>
                <w:spacing w:val="-2"/>
                <w:sz w:val="24"/>
                <w:szCs w:val="24"/>
                <w:highlight w:val="none"/>
              </w:rPr>
            </w:pPr>
            <w:r>
              <w:rPr>
                <w:rFonts w:hint="eastAsia" w:ascii="宋体" w:hAnsi="宋体" w:cs="宋体"/>
                <w:color w:val="auto"/>
                <w:sz w:val="24"/>
                <w:szCs w:val="24"/>
                <w:highlight w:val="none"/>
              </w:rPr>
              <w:t>各专业安排常驻施工现场的专职设计人员</w:t>
            </w:r>
            <w:r>
              <w:rPr>
                <w:rFonts w:hint="eastAsia" w:ascii="宋体" w:hAnsi="宋体" w:cs="宋体"/>
                <w:color w:val="auto"/>
                <w:spacing w:val="-2"/>
                <w:sz w:val="24"/>
                <w:szCs w:val="24"/>
                <w:highlight w:val="none"/>
              </w:rPr>
              <w:t>未及时配合与施工单位的工程施工，每缺席一人次扣除2000元,缺席累计达10人次的，招标人有权终止合同。我方承担由此造成的所有责任及经济损失。</w:t>
            </w:r>
          </w:p>
        </w:tc>
      </w:tr>
      <w:tr w14:paraId="3795B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8" w:hRule="atLeast"/>
          <w:jc w:val="center"/>
        </w:trPr>
        <w:tc>
          <w:tcPr>
            <w:tcW w:w="652" w:type="dxa"/>
            <w:vAlign w:val="center"/>
          </w:tcPr>
          <w:p w14:paraId="4720BA85">
            <w:pPr>
              <w:adjustRightInd w:val="0"/>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711" w:type="dxa"/>
            <w:vAlign w:val="center"/>
          </w:tcPr>
          <w:p w14:paraId="3579B7EA">
            <w:pPr>
              <w:pStyle w:val="14"/>
              <w:adjustRightInd w:val="0"/>
              <w:snapToGrid w:val="0"/>
              <w:spacing w:line="400" w:lineRule="exact"/>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项目管理班子人员承诺</w:t>
            </w:r>
          </w:p>
        </w:tc>
        <w:tc>
          <w:tcPr>
            <w:tcW w:w="3431" w:type="dxa"/>
            <w:vAlign w:val="center"/>
          </w:tcPr>
          <w:p w14:paraId="7AA65A78">
            <w:pPr>
              <w:adjustRightInd w:val="0"/>
              <w:snapToGrid w:val="0"/>
              <w:spacing w:line="400" w:lineRule="exact"/>
              <w:ind w:firstLine="560"/>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我方保证投标文件中所拟派的项目负责人具有相对应的职称证书或注册资格证书。拟派人员全部到位，负责各自职责。</w:t>
            </w:r>
          </w:p>
        </w:tc>
        <w:tc>
          <w:tcPr>
            <w:tcW w:w="3653" w:type="dxa"/>
            <w:vAlign w:val="center"/>
          </w:tcPr>
          <w:p w14:paraId="0AF5CA66">
            <w:pPr>
              <w:pStyle w:val="14"/>
              <w:adjustRightInd w:val="0"/>
              <w:snapToGrid w:val="0"/>
              <w:spacing w:line="400" w:lineRule="exact"/>
              <w:ind w:firstLine="472"/>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若我方中标后，各负责人未按时参加招标人要求出席的会议（包括图纸会审和技术交底等，具体以招标人书面通知为准），每缺席一人次扣2000元违约金。我方承担由此造成的所有责任及经济损失。</w:t>
            </w:r>
          </w:p>
        </w:tc>
      </w:tr>
      <w:tr w14:paraId="4808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652" w:type="dxa"/>
            <w:vAlign w:val="center"/>
          </w:tcPr>
          <w:p w14:paraId="1B0B0028">
            <w:pPr>
              <w:adjustRightInd w:val="0"/>
              <w:snapToGrid w:val="0"/>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711" w:type="dxa"/>
            <w:vAlign w:val="center"/>
          </w:tcPr>
          <w:p w14:paraId="3763F775">
            <w:pPr>
              <w:pStyle w:val="14"/>
              <w:adjustRightInd w:val="0"/>
              <w:snapToGrid w:val="0"/>
              <w:spacing w:line="400" w:lineRule="exact"/>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项目负责人承诺</w:t>
            </w:r>
          </w:p>
        </w:tc>
        <w:tc>
          <w:tcPr>
            <w:tcW w:w="3431" w:type="dxa"/>
            <w:vAlign w:val="center"/>
          </w:tcPr>
          <w:p w14:paraId="02865AF1">
            <w:pPr>
              <w:pStyle w:val="14"/>
              <w:adjustRightInd w:val="0"/>
              <w:snapToGrid w:val="0"/>
              <w:spacing w:line="400" w:lineRule="exact"/>
              <w:ind w:firstLine="472"/>
              <w:rPr>
                <w:rFonts w:ascii="宋体" w:hAnsi="宋体" w:cs="宋体"/>
                <w:color w:val="auto"/>
                <w:spacing w:val="-2"/>
                <w:sz w:val="24"/>
                <w:szCs w:val="24"/>
                <w:highlight w:val="none"/>
              </w:rPr>
            </w:pPr>
            <w:r>
              <w:rPr>
                <w:rFonts w:hint="eastAsia" w:ascii="宋体" w:hAnsi="宋体" w:eastAsia="宋体" w:cs="宋体"/>
                <w:color w:val="auto"/>
                <w:spacing w:val="-2"/>
                <w:kern w:val="2"/>
                <w:sz w:val="24"/>
                <w:szCs w:val="24"/>
                <w:highlight w:val="none"/>
                <w:lang w:val="en-US" w:eastAsia="zh-CN" w:bidi="ar-SA"/>
              </w:rPr>
              <w:t>我方保证投标文件中所拟派的项目负责人负责本项目初步设计全过程（包括初步设计评审、初步设计修编、概算审核、跟踪服务、图纸会审和技术交底）</w:t>
            </w:r>
            <w:r>
              <w:rPr>
                <w:rFonts w:hint="eastAsia" w:ascii="宋体" w:hAnsi="宋体" w:cs="宋体"/>
                <w:color w:val="auto"/>
                <w:spacing w:val="-2"/>
                <w:sz w:val="24"/>
                <w:szCs w:val="24"/>
                <w:highlight w:val="none"/>
              </w:rPr>
              <w:t>。</w:t>
            </w:r>
          </w:p>
        </w:tc>
        <w:tc>
          <w:tcPr>
            <w:tcW w:w="3653" w:type="dxa"/>
            <w:vAlign w:val="center"/>
          </w:tcPr>
          <w:p w14:paraId="7D2CBBBB">
            <w:pPr>
              <w:pStyle w:val="14"/>
              <w:adjustRightInd w:val="0"/>
              <w:snapToGrid w:val="0"/>
              <w:spacing w:line="400" w:lineRule="exact"/>
              <w:ind w:firstLine="472"/>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若因我方原因，项目负责人未准时参加本项目勘察、初步设计全过程（包括初步设计评审、初步设计修编、概算审核、跟踪服务、图纸会审和技术交底）的，每缺席一次扣2000元（以发包人发出的违约通知为准）。</w:t>
            </w:r>
          </w:p>
        </w:tc>
      </w:tr>
      <w:tr w14:paraId="2287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2" w:type="dxa"/>
            <w:vAlign w:val="center"/>
          </w:tcPr>
          <w:p w14:paraId="37B2DCBE">
            <w:pPr>
              <w:adjustRightInd w:val="0"/>
              <w:snapToGrid w:val="0"/>
              <w:spacing w:line="41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1711" w:type="dxa"/>
            <w:vAlign w:val="center"/>
          </w:tcPr>
          <w:p w14:paraId="09222EA0">
            <w:pPr>
              <w:pStyle w:val="14"/>
              <w:adjustRightInd w:val="0"/>
              <w:snapToGrid w:val="0"/>
              <w:spacing w:line="410" w:lineRule="exact"/>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廉政承诺</w:t>
            </w:r>
          </w:p>
        </w:tc>
        <w:tc>
          <w:tcPr>
            <w:tcW w:w="3431" w:type="dxa"/>
            <w:vAlign w:val="center"/>
          </w:tcPr>
          <w:p w14:paraId="7ABA61C4">
            <w:pPr>
              <w:pStyle w:val="14"/>
              <w:adjustRightInd w:val="0"/>
              <w:snapToGrid w:val="0"/>
              <w:spacing w:line="410" w:lineRule="exact"/>
              <w:ind w:firstLine="240" w:firstLineChars="100"/>
              <w:rPr>
                <w:rFonts w:ascii="宋体" w:hAnsi="宋体" w:cs="宋体"/>
                <w:color w:val="auto"/>
                <w:spacing w:val="-2"/>
                <w:sz w:val="24"/>
                <w:szCs w:val="24"/>
                <w:highlight w:val="none"/>
              </w:rPr>
            </w:pPr>
            <w:r>
              <w:rPr>
                <w:rFonts w:hint="eastAsia" w:ascii="宋体" w:hAnsi="宋体" w:cs="宋体"/>
                <w:color w:val="auto"/>
                <w:sz w:val="24"/>
                <w:szCs w:val="24"/>
                <w:highlight w:val="none"/>
              </w:rPr>
              <w:t>我方保证严格遵守有关法律法规及廉政规定。</w:t>
            </w:r>
          </w:p>
        </w:tc>
        <w:tc>
          <w:tcPr>
            <w:tcW w:w="3653" w:type="dxa"/>
            <w:vAlign w:val="center"/>
          </w:tcPr>
          <w:p w14:paraId="71588722">
            <w:pPr>
              <w:widowControl/>
              <w:adjustRightInd w:val="0"/>
              <w:snapToGrid w:val="0"/>
              <w:spacing w:line="41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如我单位及其工作人员违反本承诺规定的，愿接受党纪、政纪处理直至追究法律责任；给招标单位造成经济损失的，依法给予赔偿。</w:t>
            </w:r>
          </w:p>
        </w:tc>
      </w:tr>
      <w:tr w14:paraId="797D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52" w:type="dxa"/>
            <w:vAlign w:val="center"/>
          </w:tcPr>
          <w:p w14:paraId="18609D79">
            <w:pPr>
              <w:adjustRightInd w:val="0"/>
              <w:snapToGrid w:val="0"/>
              <w:spacing w:line="41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1711" w:type="dxa"/>
            <w:vAlign w:val="center"/>
          </w:tcPr>
          <w:p w14:paraId="1FDC6101">
            <w:pPr>
              <w:adjustRightInd w:val="0"/>
              <w:snapToGrid w:val="0"/>
              <w:spacing w:line="41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投标文件信息公开承诺</w:t>
            </w:r>
          </w:p>
        </w:tc>
        <w:tc>
          <w:tcPr>
            <w:tcW w:w="3431" w:type="dxa"/>
            <w:vAlign w:val="center"/>
          </w:tcPr>
          <w:p w14:paraId="459532A5">
            <w:pPr>
              <w:pStyle w:val="51"/>
              <w:wordWrap w:val="0"/>
              <w:adjustRightInd w:val="0"/>
              <w:snapToGrid w:val="0"/>
              <w:spacing w:line="410" w:lineRule="exact"/>
              <w:ind w:firstLine="480"/>
              <w:rPr>
                <w:rFonts w:hAnsi="宋体" w:eastAsia="宋体" w:cs="宋体"/>
                <w:snapToGrid w:val="0"/>
                <w:color w:val="auto"/>
                <w:kern w:val="0"/>
                <w:szCs w:val="24"/>
                <w:highlight w:val="none"/>
              </w:rPr>
            </w:pPr>
            <w:r>
              <w:rPr>
                <w:rFonts w:hint="eastAsia" w:hAnsi="宋体" w:eastAsia="宋体" w:cs="宋体"/>
                <w:snapToGrid w:val="0"/>
                <w:color w:val="auto"/>
                <w:kern w:val="0"/>
                <w:szCs w:val="24"/>
                <w:highlight w:val="none"/>
              </w:rPr>
              <w:t>我方提供完整的电子文件。如果我方成为本项目中标候选人，我方同意并授权招标人在评标结果公示期内公开我方商务经济部分的全部内容。</w:t>
            </w:r>
          </w:p>
        </w:tc>
        <w:tc>
          <w:tcPr>
            <w:tcW w:w="3653" w:type="dxa"/>
            <w:vAlign w:val="center"/>
          </w:tcPr>
          <w:p w14:paraId="7B519E91">
            <w:pPr>
              <w:pStyle w:val="51"/>
              <w:wordWrap w:val="0"/>
              <w:adjustRightInd w:val="0"/>
              <w:snapToGrid w:val="0"/>
              <w:ind w:firstLine="0" w:firstLineChars="0"/>
              <w:jc w:val="left"/>
              <w:rPr>
                <w:rFonts w:hAnsi="宋体" w:eastAsia="宋体" w:cs="宋体"/>
                <w:color w:val="auto"/>
                <w:szCs w:val="24"/>
                <w:highlight w:val="none"/>
              </w:rPr>
            </w:pPr>
          </w:p>
        </w:tc>
      </w:tr>
    </w:tbl>
    <w:p w14:paraId="4AC532FE">
      <w:pPr>
        <w:rPr>
          <w:rFonts w:ascii="宋体" w:hAnsi="宋体" w:cs="宋体"/>
          <w:color w:val="auto"/>
          <w:sz w:val="24"/>
          <w:szCs w:val="24"/>
          <w:highlight w:val="none"/>
        </w:rPr>
      </w:pPr>
    </w:p>
    <w:p w14:paraId="7BF4E9F4">
      <w:pPr>
        <w:wordWrap w:val="0"/>
        <w:adjustRightInd w:val="0"/>
        <w:snapToGrid w:val="0"/>
        <w:spacing w:line="440" w:lineRule="exact"/>
        <w:jc w:val="right"/>
        <w:rPr>
          <w:rFonts w:ascii="宋体" w:hAnsi="宋体" w:cs="宋体"/>
          <w:snapToGrid w:val="0"/>
          <w:color w:val="auto"/>
          <w:kern w:val="0"/>
          <w:sz w:val="24"/>
          <w:szCs w:val="24"/>
          <w:highlight w:val="none"/>
        </w:rPr>
      </w:pPr>
    </w:p>
    <w:p w14:paraId="7F192493">
      <w:pPr>
        <w:wordWrap w:val="0"/>
        <w:adjustRightInd w:val="0"/>
        <w:snapToGrid w:val="0"/>
        <w:spacing w:line="440" w:lineRule="exact"/>
        <w:jc w:val="right"/>
        <w:rPr>
          <w:rFonts w:ascii="宋体" w:hAnsi="宋体" w:cs="宋体"/>
          <w:snapToGrid w:val="0"/>
          <w:color w:val="auto"/>
          <w:kern w:val="0"/>
          <w:sz w:val="24"/>
          <w:szCs w:val="24"/>
          <w:highlight w:val="none"/>
        </w:rPr>
      </w:pPr>
    </w:p>
    <w:p w14:paraId="0DBFE91D">
      <w:pPr>
        <w:wordWrap w:val="0"/>
        <w:adjustRightInd w:val="0"/>
        <w:snapToGrid w:val="0"/>
        <w:spacing w:line="440" w:lineRule="exact"/>
        <w:ind w:firstLine="480" w:firstLineChars="200"/>
        <w:jc w:val="righ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投标人：</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（盖单位章）</w:t>
      </w:r>
    </w:p>
    <w:p w14:paraId="57391305">
      <w:pPr>
        <w:wordWrap w:val="0"/>
        <w:adjustRightInd w:val="0"/>
        <w:snapToGrid w:val="0"/>
        <w:spacing w:line="440" w:lineRule="exact"/>
        <w:ind w:firstLine="480" w:firstLineChars="200"/>
        <w:jc w:val="righ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法定代表人或其委托代理人：</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（签字或盖章）</w:t>
      </w:r>
    </w:p>
    <w:p w14:paraId="642A2B47">
      <w:pPr>
        <w:wordWrap w:val="0"/>
        <w:adjustRightInd w:val="0"/>
        <w:snapToGrid w:val="0"/>
        <w:spacing w:line="440" w:lineRule="exact"/>
        <w:ind w:firstLine="480" w:firstLineChars="200"/>
        <w:jc w:val="left"/>
        <w:rPr>
          <w:rFonts w:ascii="宋体" w:hAnsi="宋体" w:cs="宋体"/>
          <w:b/>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p>
    <w:p w14:paraId="3D4F032D">
      <w:pPr>
        <w:wordWrap w:val="0"/>
        <w:adjustRightInd w:val="0"/>
        <w:snapToGrid w:val="0"/>
        <w:spacing w:line="440" w:lineRule="exact"/>
        <w:outlineLvl w:val="1"/>
        <w:rPr>
          <w:rStyle w:val="39"/>
          <w:color w:val="auto"/>
          <w:sz w:val="28"/>
          <w:szCs w:val="24"/>
          <w:highlight w:val="none"/>
        </w:rPr>
      </w:pPr>
      <w:r>
        <w:rPr>
          <w:rFonts w:hint="eastAsia" w:ascii="宋体" w:hAnsi="宋体" w:cs="宋体"/>
          <w:color w:val="auto"/>
          <w:sz w:val="24"/>
          <w:szCs w:val="24"/>
          <w:highlight w:val="none"/>
        </w:rPr>
        <w:br w:type="page"/>
      </w:r>
      <w:bookmarkStart w:id="303" w:name="_Toc18034"/>
      <w:bookmarkStart w:id="304" w:name="_Toc4393"/>
      <w:bookmarkStart w:id="305" w:name="_Toc13344"/>
      <w:r>
        <w:rPr>
          <w:rStyle w:val="39"/>
          <w:rFonts w:hint="eastAsia"/>
          <w:color w:val="auto"/>
          <w:sz w:val="28"/>
          <w:szCs w:val="24"/>
          <w:highlight w:val="none"/>
        </w:rPr>
        <w:t>格式五</w:t>
      </w:r>
    </w:p>
    <w:bookmarkEnd w:id="303"/>
    <w:bookmarkEnd w:id="304"/>
    <w:bookmarkEnd w:id="305"/>
    <w:p w14:paraId="4006C9F3">
      <w:pPr>
        <w:wordWrap w:val="0"/>
        <w:adjustRightInd w:val="0"/>
        <w:snapToGrid w:val="0"/>
        <w:spacing w:line="440" w:lineRule="exact"/>
        <w:rPr>
          <w:rFonts w:ascii="宋体" w:hAnsi="宋体" w:cs="宋体"/>
          <w:b/>
          <w:bCs/>
          <w:snapToGrid w:val="0"/>
          <w:color w:val="auto"/>
          <w:kern w:val="0"/>
          <w:sz w:val="24"/>
          <w:szCs w:val="24"/>
          <w:highlight w:val="none"/>
        </w:rPr>
      </w:pPr>
    </w:p>
    <w:p w14:paraId="6B7C3ABC">
      <w:pPr>
        <w:spacing w:line="360" w:lineRule="auto"/>
        <w:ind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投标人基本情况表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908"/>
        <w:gridCol w:w="1711"/>
        <w:gridCol w:w="815"/>
        <w:gridCol w:w="288"/>
        <w:gridCol w:w="974"/>
        <w:gridCol w:w="262"/>
        <w:gridCol w:w="717"/>
        <w:gridCol w:w="1439"/>
      </w:tblGrid>
      <w:tr w14:paraId="2CD0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505" w:type="dxa"/>
            <w:vAlign w:val="center"/>
          </w:tcPr>
          <w:p w14:paraId="298B63DC">
            <w:pPr>
              <w:pStyle w:val="52"/>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投标人名称</w:t>
            </w:r>
          </w:p>
        </w:tc>
        <w:tc>
          <w:tcPr>
            <w:tcW w:w="7114" w:type="dxa"/>
            <w:gridSpan w:val="8"/>
            <w:vAlign w:val="center"/>
          </w:tcPr>
          <w:p w14:paraId="0EC1E610">
            <w:pPr>
              <w:pStyle w:val="52"/>
              <w:wordWrap w:val="0"/>
              <w:adjustRightInd w:val="0"/>
              <w:snapToGrid w:val="0"/>
              <w:jc w:val="center"/>
              <w:rPr>
                <w:rFonts w:ascii="宋体" w:hAnsi="宋体" w:cs="宋体"/>
                <w:snapToGrid w:val="0"/>
                <w:color w:val="auto"/>
                <w:kern w:val="0"/>
                <w:szCs w:val="21"/>
                <w:highlight w:val="none"/>
              </w:rPr>
            </w:pPr>
          </w:p>
        </w:tc>
      </w:tr>
      <w:tr w14:paraId="1420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1505" w:type="dxa"/>
            <w:vAlign w:val="center"/>
          </w:tcPr>
          <w:p w14:paraId="58FDC6D9">
            <w:pPr>
              <w:pStyle w:val="52"/>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注册地址</w:t>
            </w:r>
          </w:p>
        </w:tc>
        <w:tc>
          <w:tcPr>
            <w:tcW w:w="3434" w:type="dxa"/>
            <w:gridSpan w:val="3"/>
            <w:vAlign w:val="center"/>
          </w:tcPr>
          <w:p w14:paraId="68409F4B">
            <w:pPr>
              <w:pStyle w:val="52"/>
              <w:wordWrap w:val="0"/>
              <w:adjustRightInd w:val="0"/>
              <w:snapToGrid w:val="0"/>
              <w:jc w:val="center"/>
              <w:rPr>
                <w:rFonts w:ascii="宋体" w:hAnsi="宋体" w:cs="宋体"/>
                <w:snapToGrid w:val="0"/>
                <w:color w:val="auto"/>
                <w:kern w:val="0"/>
                <w:szCs w:val="21"/>
                <w:highlight w:val="none"/>
              </w:rPr>
            </w:pPr>
          </w:p>
        </w:tc>
        <w:tc>
          <w:tcPr>
            <w:tcW w:w="1262" w:type="dxa"/>
            <w:gridSpan w:val="2"/>
            <w:vAlign w:val="center"/>
          </w:tcPr>
          <w:p w14:paraId="288CCC08">
            <w:pPr>
              <w:pStyle w:val="52"/>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邮政编码</w:t>
            </w:r>
          </w:p>
        </w:tc>
        <w:tc>
          <w:tcPr>
            <w:tcW w:w="2418" w:type="dxa"/>
            <w:gridSpan w:val="3"/>
            <w:vAlign w:val="center"/>
          </w:tcPr>
          <w:p w14:paraId="4E75CAA3">
            <w:pPr>
              <w:pStyle w:val="52"/>
              <w:wordWrap w:val="0"/>
              <w:adjustRightInd w:val="0"/>
              <w:snapToGrid w:val="0"/>
              <w:jc w:val="center"/>
              <w:rPr>
                <w:rFonts w:ascii="宋体" w:hAnsi="宋体" w:cs="宋体"/>
                <w:snapToGrid w:val="0"/>
                <w:color w:val="auto"/>
                <w:kern w:val="0"/>
                <w:szCs w:val="21"/>
                <w:highlight w:val="none"/>
              </w:rPr>
            </w:pPr>
          </w:p>
        </w:tc>
      </w:tr>
      <w:tr w14:paraId="30E9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505" w:type="dxa"/>
            <w:vMerge w:val="restart"/>
            <w:vAlign w:val="center"/>
          </w:tcPr>
          <w:p w14:paraId="4E88A88F">
            <w:pPr>
              <w:pStyle w:val="52"/>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联系方式</w:t>
            </w:r>
          </w:p>
        </w:tc>
        <w:tc>
          <w:tcPr>
            <w:tcW w:w="908" w:type="dxa"/>
            <w:vAlign w:val="center"/>
          </w:tcPr>
          <w:p w14:paraId="2107AC69">
            <w:pPr>
              <w:pStyle w:val="52"/>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联系人</w:t>
            </w:r>
          </w:p>
        </w:tc>
        <w:tc>
          <w:tcPr>
            <w:tcW w:w="2526" w:type="dxa"/>
            <w:gridSpan w:val="2"/>
            <w:vAlign w:val="center"/>
          </w:tcPr>
          <w:p w14:paraId="08BF4347">
            <w:pPr>
              <w:pStyle w:val="52"/>
              <w:wordWrap w:val="0"/>
              <w:adjustRightInd w:val="0"/>
              <w:snapToGrid w:val="0"/>
              <w:jc w:val="center"/>
              <w:rPr>
                <w:rFonts w:ascii="宋体" w:hAnsi="宋体" w:cs="宋体"/>
                <w:snapToGrid w:val="0"/>
                <w:color w:val="auto"/>
                <w:kern w:val="0"/>
                <w:szCs w:val="21"/>
                <w:highlight w:val="none"/>
              </w:rPr>
            </w:pPr>
          </w:p>
        </w:tc>
        <w:tc>
          <w:tcPr>
            <w:tcW w:w="1262" w:type="dxa"/>
            <w:gridSpan w:val="2"/>
            <w:vAlign w:val="center"/>
          </w:tcPr>
          <w:p w14:paraId="752BB1B0">
            <w:pPr>
              <w:pStyle w:val="52"/>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p>
        </w:tc>
        <w:tc>
          <w:tcPr>
            <w:tcW w:w="2418" w:type="dxa"/>
            <w:gridSpan w:val="3"/>
            <w:vAlign w:val="center"/>
          </w:tcPr>
          <w:p w14:paraId="1C465212">
            <w:pPr>
              <w:pStyle w:val="52"/>
              <w:wordWrap w:val="0"/>
              <w:adjustRightInd w:val="0"/>
              <w:snapToGrid w:val="0"/>
              <w:jc w:val="center"/>
              <w:rPr>
                <w:rFonts w:ascii="宋体" w:hAnsi="宋体" w:cs="宋体"/>
                <w:snapToGrid w:val="0"/>
                <w:color w:val="auto"/>
                <w:kern w:val="0"/>
                <w:szCs w:val="21"/>
                <w:highlight w:val="none"/>
              </w:rPr>
            </w:pPr>
          </w:p>
        </w:tc>
      </w:tr>
      <w:tr w14:paraId="742E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1505" w:type="dxa"/>
            <w:vMerge w:val="continue"/>
            <w:vAlign w:val="center"/>
          </w:tcPr>
          <w:p w14:paraId="359F3EBA">
            <w:pPr>
              <w:pStyle w:val="52"/>
              <w:wordWrap w:val="0"/>
              <w:adjustRightInd w:val="0"/>
              <w:snapToGrid w:val="0"/>
              <w:jc w:val="center"/>
              <w:rPr>
                <w:rFonts w:ascii="宋体" w:hAnsi="宋体" w:cs="宋体"/>
                <w:snapToGrid w:val="0"/>
                <w:color w:val="auto"/>
                <w:kern w:val="0"/>
                <w:szCs w:val="21"/>
                <w:highlight w:val="none"/>
              </w:rPr>
            </w:pPr>
          </w:p>
        </w:tc>
        <w:tc>
          <w:tcPr>
            <w:tcW w:w="908" w:type="dxa"/>
            <w:vAlign w:val="center"/>
          </w:tcPr>
          <w:p w14:paraId="14AC7590">
            <w:pPr>
              <w:pStyle w:val="52"/>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传  真</w:t>
            </w:r>
          </w:p>
        </w:tc>
        <w:tc>
          <w:tcPr>
            <w:tcW w:w="2526" w:type="dxa"/>
            <w:gridSpan w:val="2"/>
            <w:vAlign w:val="center"/>
          </w:tcPr>
          <w:p w14:paraId="26569550">
            <w:pPr>
              <w:pStyle w:val="52"/>
              <w:wordWrap w:val="0"/>
              <w:adjustRightInd w:val="0"/>
              <w:snapToGrid w:val="0"/>
              <w:jc w:val="center"/>
              <w:rPr>
                <w:rFonts w:ascii="宋体" w:hAnsi="宋体" w:cs="宋体"/>
                <w:snapToGrid w:val="0"/>
                <w:color w:val="auto"/>
                <w:kern w:val="0"/>
                <w:szCs w:val="21"/>
                <w:highlight w:val="none"/>
              </w:rPr>
            </w:pPr>
          </w:p>
        </w:tc>
        <w:tc>
          <w:tcPr>
            <w:tcW w:w="1262" w:type="dxa"/>
            <w:gridSpan w:val="2"/>
            <w:vAlign w:val="center"/>
          </w:tcPr>
          <w:p w14:paraId="49B4031A">
            <w:pPr>
              <w:pStyle w:val="52"/>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电子邮箱</w:t>
            </w:r>
          </w:p>
        </w:tc>
        <w:tc>
          <w:tcPr>
            <w:tcW w:w="2418" w:type="dxa"/>
            <w:gridSpan w:val="3"/>
            <w:vAlign w:val="center"/>
          </w:tcPr>
          <w:p w14:paraId="0F0E59B1">
            <w:pPr>
              <w:pStyle w:val="52"/>
              <w:wordWrap w:val="0"/>
              <w:adjustRightInd w:val="0"/>
              <w:snapToGrid w:val="0"/>
              <w:jc w:val="center"/>
              <w:rPr>
                <w:rFonts w:ascii="宋体" w:hAnsi="宋体" w:cs="宋体"/>
                <w:snapToGrid w:val="0"/>
                <w:color w:val="auto"/>
                <w:kern w:val="0"/>
                <w:szCs w:val="21"/>
                <w:highlight w:val="none"/>
              </w:rPr>
            </w:pPr>
          </w:p>
        </w:tc>
      </w:tr>
      <w:tr w14:paraId="3A3B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1505" w:type="dxa"/>
            <w:vAlign w:val="center"/>
          </w:tcPr>
          <w:p w14:paraId="347DA206">
            <w:pPr>
              <w:pStyle w:val="52"/>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单位性质</w:t>
            </w:r>
          </w:p>
        </w:tc>
        <w:tc>
          <w:tcPr>
            <w:tcW w:w="7114" w:type="dxa"/>
            <w:gridSpan w:val="8"/>
            <w:vAlign w:val="center"/>
          </w:tcPr>
          <w:p w14:paraId="5D2B4E23">
            <w:pPr>
              <w:pStyle w:val="52"/>
              <w:wordWrap w:val="0"/>
              <w:adjustRightInd w:val="0"/>
              <w:snapToGrid w:val="0"/>
              <w:jc w:val="center"/>
              <w:rPr>
                <w:rFonts w:ascii="宋体" w:hAnsi="宋体" w:cs="宋体"/>
                <w:snapToGrid w:val="0"/>
                <w:color w:val="auto"/>
                <w:kern w:val="0"/>
                <w:szCs w:val="21"/>
                <w:highlight w:val="none"/>
              </w:rPr>
            </w:pPr>
          </w:p>
        </w:tc>
      </w:tr>
      <w:tr w14:paraId="0A39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1505" w:type="dxa"/>
            <w:vAlign w:val="center"/>
          </w:tcPr>
          <w:p w14:paraId="3F815EE7">
            <w:pPr>
              <w:pStyle w:val="52"/>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w:t>
            </w:r>
          </w:p>
        </w:tc>
        <w:tc>
          <w:tcPr>
            <w:tcW w:w="908" w:type="dxa"/>
            <w:vAlign w:val="center"/>
          </w:tcPr>
          <w:p w14:paraId="0C52DED6">
            <w:pPr>
              <w:pStyle w:val="52"/>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711" w:type="dxa"/>
            <w:vAlign w:val="center"/>
          </w:tcPr>
          <w:p w14:paraId="7D38CA82">
            <w:pPr>
              <w:pStyle w:val="52"/>
              <w:wordWrap w:val="0"/>
              <w:adjustRightInd w:val="0"/>
              <w:snapToGrid w:val="0"/>
              <w:jc w:val="center"/>
              <w:rPr>
                <w:rFonts w:ascii="宋体" w:hAnsi="宋体" w:cs="宋体"/>
                <w:snapToGrid w:val="0"/>
                <w:color w:val="auto"/>
                <w:kern w:val="0"/>
                <w:szCs w:val="21"/>
                <w:highlight w:val="none"/>
              </w:rPr>
            </w:pPr>
          </w:p>
        </w:tc>
        <w:tc>
          <w:tcPr>
            <w:tcW w:w="1103" w:type="dxa"/>
            <w:gridSpan w:val="2"/>
            <w:vAlign w:val="center"/>
          </w:tcPr>
          <w:p w14:paraId="1C8AE896">
            <w:pPr>
              <w:pStyle w:val="52"/>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36" w:type="dxa"/>
            <w:gridSpan w:val="2"/>
            <w:vAlign w:val="center"/>
          </w:tcPr>
          <w:p w14:paraId="72BF7510">
            <w:pPr>
              <w:pStyle w:val="52"/>
              <w:wordWrap w:val="0"/>
              <w:adjustRightInd w:val="0"/>
              <w:snapToGrid w:val="0"/>
              <w:jc w:val="center"/>
              <w:rPr>
                <w:rFonts w:ascii="宋体" w:hAnsi="宋体" w:cs="宋体"/>
                <w:snapToGrid w:val="0"/>
                <w:color w:val="auto"/>
                <w:kern w:val="0"/>
                <w:szCs w:val="21"/>
                <w:highlight w:val="none"/>
              </w:rPr>
            </w:pPr>
          </w:p>
        </w:tc>
        <w:tc>
          <w:tcPr>
            <w:tcW w:w="717" w:type="dxa"/>
            <w:vAlign w:val="center"/>
          </w:tcPr>
          <w:p w14:paraId="24D7DF32">
            <w:pPr>
              <w:pStyle w:val="52"/>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39" w:type="dxa"/>
            <w:vAlign w:val="center"/>
          </w:tcPr>
          <w:p w14:paraId="073A681E">
            <w:pPr>
              <w:pStyle w:val="52"/>
              <w:wordWrap w:val="0"/>
              <w:adjustRightInd w:val="0"/>
              <w:snapToGrid w:val="0"/>
              <w:jc w:val="center"/>
              <w:rPr>
                <w:rFonts w:ascii="宋体" w:hAnsi="宋体" w:cs="宋体"/>
                <w:snapToGrid w:val="0"/>
                <w:color w:val="auto"/>
                <w:kern w:val="0"/>
                <w:szCs w:val="21"/>
                <w:highlight w:val="none"/>
              </w:rPr>
            </w:pPr>
          </w:p>
        </w:tc>
      </w:tr>
      <w:tr w14:paraId="2354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505" w:type="dxa"/>
            <w:vAlign w:val="center"/>
          </w:tcPr>
          <w:p w14:paraId="5B52666B">
            <w:pPr>
              <w:pStyle w:val="52"/>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成立时间</w:t>
            </w:r>
          </w:p>
        </w:tc>
        <w:tc>
          <w:tcPr>
            <w:tcW w:w="2619" w:type="dxa"/>
            <w:gridSpan w:val="2"/>
            <w:vAlign w:val="center"/>
          </w:tcPr>
          <w:p w14:paraId="3825DA75">
            <w:pPr>
              <w:pStyle w:val="52"/>
              <w:wordWrap w:val="0"/>
              <w:adjustRightInd w:val="0"/>
              <w:snapToGrid w:val="0"/>
              <w:jc w:val="center"/>
              <w:rPr>
                <w:rFonts w:ascii="宋体" w:hAnsi="宋体" w:cs="宋体"/>
                <w:snapToGrid w:val="0"/>
                <w:color w:val="auto"/>
                <w:kern w:val="0"/>
                <w:szCs w:val="21"/>
                <w:highlight w:val="none"/>
              </w:rPr>
            </w:pPr>
          </w:p>
        </w:tc>
        <w:tc>
          <w:tcPr>
            <w:tcW w:w="4495" w:type="dxa"/>
            <w:gridSpan w:val="6"/>
            <w:vAlign w:val="center"/>
          </w:tcPr>
          <w:p w14:paraId="03A49691">
            <w:pPr>
              <w:pStyle w:val="52"/>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员工总人数（个）：</w:t>
            </w:r>
          </w:p>
        </w:tc>
      </w:tr>
      <w:tr w14:paraId="6A31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exact"/>
          <w:jc w:val="center"/>
        </w:trPr>
        <w:tc>
          <w:tcPr>
            <w:tcW w:w="1505" w:type="dxa"/>
            <w:vAlign w:val="center"/>
          </w:tcPr>
          <w:p w14:paraId="77B58744">
            <w:pPr>
              <w:pStyle w:val="52"/>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企业资质等级</w:t>
            </w:r>
          </w:p>
        </w:tc>
        <w:tc>
          <w:tcPr>
            <w:tcW w:w="2619" w:type="dxa"/>
            <w:gridSpan w:val="2"/>
            <w:vAlign w:val="center"/>
          </w:tcPr>
          <w:p w14:paraId="498F8C28">
            <w:pPr>
              <w:pStyle w:val="52"/>
              <w:wordWrap w:val="0"/>
              <w:adjustRightInd w:val="0"/>
              <w:snapToGrid w:val="0"/>
              <w:jc w:val="center"/>
              <w:rPr>
                <w:rFonts w:ascii="宋体" w:hAnsi="宋体" w:cs="宋体"/>
                <w:snapToGrid w:val="0"/>
                <w:color w:val="auto"/>
                <w:kern w:val="0"/>
                <w:szCs w:val="21"/>
                <w:highlight w:val="none"/>
              </w:rPr>
            </w:pPr>
          </w:p>
        </w:tc>
        <w:tc>
          <w:tcPr>
            <w:tcW w:w="1103" w:type="dxa"/>
            <w:gridSpan w:val="2"/>
            <w:vMerge w:val="restart"/>
            <w:vAlign w:val="center"/>
          </w:tcPr>
          <w:p w14:paraId="38E7758B">
            <w:pPr>
              <w:pStyle w:val="52"/>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其中</w:t>
            </w:r>
          </w:p>
        </w:tc>
        <w:tc>
          <w:tcPr>
            <w:tcW w:w="1953" w:type="dxa"/>
            <w:gridSpan w:val="3"/>
            <w:vAlign w:val="center"/>
          </w:tcPr>
          <w:p w14:paraId="4F26F44C">
            <w:pPr>
              <w:pStyle w:val="52"/>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项目负责人（即设计负责人）</w:t>
            </w:r>
          </w:p>
        </w:tc>
        <w:tc>
          <w:tcPr>
            <w:tcW w:w="1439" w:type="dxa"/>
            <w:vAlign w:val="center"/>
          </w:tcPr>
          <w:p w14:paraId="5AFC4376">
            <w:pPr>
              <w:pStyle w:val="52"/>
              <w:wordWrap w:val="0"/>
              <w:adjustRightInd w:val="0"/>
              <w:snapToGrid w:val="0"/>
              <w:jc w:val="center"/>
              <w:rPr>
                <w:rFonts w:ascii="宋体" w:hAnsi="宋体" w:cs="宋体"/>
                <w:snapToGrid w:val="0"/>
                <w:color w:val="auto"/>
                <w:kern w:val="0"/>
                <w:szCs w:val="21"/>
                <w:highlight w:val="none"/>
              </w:rPr>
            </w:pPr>
          </w:p>
        </w:tc>
      </w:tr>
      <w:tr w14:paraId="6154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1505" w:type="dxa"/>
            <w:vAlign w:val="center"/>
          </w:tcPr>
          <w:p w14:paraId="7D9655BF">
            <w:pPr>
              <w:pStyle w:val="52"/>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营业执照号</w:t>
            </w:r>
          </w:p>
        </w:tc>
        <w:tc>
          <w:tcPr>
            <w:tcW w:w="2619" w:type="dxa"/>
            <w:gridSpan w:val="2"/>
            <w:vAlign w:val="center"/>
          </w:tcPr>
          <w:p w14:paraId="77D2DE6B">
            <w:pPr>
              <w:pStyle w:val="52"/>
              <w:wordWrap w:val="0"/>
              <w:adjustRightInd w:val="0"/>
              <w:snapToGrid w:val="0"/>
              <w:jc w:val="center"/>
              <w:rPr>
                <w:rFonts w:ascii="宋体" w:hAnsi="宋体" w:cs="宋体"/>
                <w:snapToGrid w:val="0"/>
                <w:color w:val="auto"/>
                <w:kern w:val="0"/>
                <w:szCs w:val="21"/>
                <w:highlight w:val="none"/>
              </w:rPr>
            </w:pPr>
          </w:p>
        </w:tc>
        <w:tc>
          <w:tcPr>
            <w:tcW w:w="1103" w:type="dxa"/>
            <w:gridSpan w:val="2"/>
            <w:vMerge w:val="continue"/>
            <w:vAlign w:val="center"/>
          </w:tcPr>
          <w:p w14:paraId="72F4D73C">
            <w:pPr>
              <w:pStyle w:val="52"/>
              <w:wordWrap w:val="0"/>
              <w:adjustRightInd w:val="0"/>
              <w:snapToGrid w:val="0"/>
              <w:jc w:val="center"/>
              <w:rPr>
                <w:rFonts w:ascii="宋体" w:hAnsi="宋体" w:cs="宋体"/>
                <w:snapToGrid w:val="0"/>
                <w:color w:val="auto"/>
                <w:kern w:val="0"/>
                <w:szCs w:val="21"/>
                <w:highlight w:val="none"/>
              </w:rPr>
            </w:pPr>
          </w:p>
        </w:tc>
        <w:tc>
          <w:tcPr>
            <w:tcW w:w="1953" w:type="dxa"/>
            <w:gridSpan w:val="3"/>
            <w:vAlign w:val="center"/>
          </w:tcPr>
          <w:p w14:paraId="16EF790F">
            <w:pPr>
              <w:pStyle w:val="52"/>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高级职称人员</w:t>
            </w:r>
          </w:p>
        </w:tc>
        <w:tc>
          <w:tcPr>
            <w:tcW w:w="1439" w:type="dxa"/>
            <w:vAlign w:val="center"/>
          </w:tcPr>
          <w:p w14:paraId="6E6FD98C">
            <w:pPr>
              <w:pStyle w:val="52"/>
              <w:wordWrap w:val="0"/>
              <w:adjustRightInd w:val="0"/>
              <w:snapToGrid w:val="0"/>
              <w:jc w:val="center"/>
              <w:rPr>
                <w:rFonts w:ascii="宋体" w:hAnsi="宋体" w:cs="宋体"/>
                <w:snapToGrid w:val="0"/>
                <w:color w:val="auto"/>
                <w:kern w:val="0"/>
                <w:szCs w:val="21"/>
                <w:highlight w:val="none"/>
              </w:rPr>
            </w:pPr>
          </w:p>
        </w:tc>
      </w:tr>
      <w:tr w14:paraId="4896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1505" w:type="dxa"/>
            <w:vAlign w:val="center"/>
          </w:tcPr>
          <w:p w14:paraId="1B703DA1">
            <w:pPr>
              <w:pStyle w:val="52"/>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注册资金</w:t>
            </w:r>
          </w:p>
        </w:tc>
        <w:tc>
          <w:tcPr>
            <w:tcW w:w="2619" w:type="dxa"/>
            <w:gridSpan w:val="2"/>
            <w:vAlign w:val="center"/>
          </w:tcPr>
          <w:p w14:paraId="3DAB100D">
            <w:pPr>
              <w:pStyle w:val="52"/>
              <w:wordWrap w:val="0"/>
              <w:adjustRightInd w:val="0"/>
              <w:snapToGrid w:val="0"/>
              <w:jc w:val="center"/>
              <w:rPr>
                <w:rFonts w:ascii="宋体" w:hAnsi="宋体" w:cs="宋体"/>
                <w:snapToGrid w:val="0"/>
                <w:color w:val="auto"/>
                <w:kern w:val="0"/>
                <w:szCs w:val="21"/>
                <w:highlight w:val="none"/>
              </w:rPr>
            </w:pPr>
          </w:p>
        </w:tc>
        <w:tc>
          <w:tcPr>
            <w:tcW w:w="1103" w:type="dxa"/>
            <w:gridSpan w:val="2"/>
            <w:vMerge w:val="continue"/>
            <w:vAlign w:val="center"/>
          </w:tcPr>
          <w:p w14:paraId="4482E296">
            <w:pPr>
              <w:pStyle w:val="52"/>
              <w:wordWrap w:val="0"/>
              <w:adjustRightInd w:val="0"/>
              <w:snapToGrid w:val="0"/>
              <w:jc w:val="center"/>
              <w:rPr>
                <w:rFonts w:ascii="宋体" w:hAnsi="宋体" w:cs="宋体"/>
                <w:snapToGrid w:val="0"/>
                <w:color w:val="auto"/>
                <w:kern w:val="0"/>
                <w:szCs w:val="21"/>
                <w:highlight w:val="none"/>
              </w:rPr>
            </w:pPr>
          </w:p>
        </w:tc>
        <w:tc>
          <w:tcPr>
            <w:tcW w:w="1953" w:type="dxa"/>
            <w:gridSpan w:val="3"/>
            <w:vAlign w:val="center"/>
          </w:tcPr>
          <w:p w14:paraId="7B796A5D">
            <w:pPr>
              <w:pStyle w:val="52"/>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中级职称人员</w:t>
            </w:r>
          </w:p>
        </w:tc>
        <w:tc>
          <w:tcPr>
            <w:tcW w:w="1439" w:type="dxa"/>
            <w:vAlign w:val="center"/>
          </w:tcPr>
          <w:p w14:paraId="60973C82">
            <w:pPr>
              <w:pStyle w:val="52"/>
              <w:wordWrap w:val="0"/>
              <w:adjustRightInd w:val="0"/>
              <w:snapToGrid w:val="0"/>
              <w:jc w:val="center"/>
              <w:rPr>
                <w:rFonts w:ascii="宋体" w:hAnsi="宋体" w:cs="宋体"/>
                <w:snapToGrid w:val="0"/>
                <w:color w:val="auto"/>
                <w:kern w:val="0"/>
                <w:szCs w:val="21"/>
                <w:highlight w:val="none"/>
              </w:rPr>
            </w:pPr>
          </w:p>
        </w:tc>
      </w:tr>
      <w:tr w14:paraId="7C6B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1505" w:type="dxa"/>
            <w:vAlign w:val="center"/>
          </w:tcPr>
          <w:p w14:paraId="4F19284E">
            <w:pPr>
              <w:pStyle w:val="52"/>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开户银行</w:t>
            </w:r>
          </w:p>
        </w:tc>
        <w:tc>
          <w:tcPr>
            <w:tcW w:w="2619" w:type="dxa"/>
            <w:gridSpan w:val="2"/>
            <w:vAlign w:val="center"/>
          </w:tcPr>
          <w:p w14:paraId="7CCA572F">
            <w:pPr>
              <w:pStyle w:val="52"/>
              <w:wordWrap w:val="0"/>
              <w:adjustRightInd w:val="0"/>
              <w:snapToGrid w:val="0"/>
              <w:jc w:val="center"/>
              <w:rPr>
                <w:rFonts w:ascii="宋体" w:hAnsi="宋体" w:cs="宋体"/>
                <w:snapToGrid w:val="0"/>
                <w:color w:val="auto"/>
                <w:kern w:val="0"/>
                <w:szCs w:val="21"/>
                <w:highlight w:val="none"/>
              </w:rPr>
            </w:pPr>
          </w:p>
        </w:tc>
        <w:tc>
          <w:tcPr>
            <w:tcW w:w="1103" w:type="dxa"/>
            <w:gridSpan w:val="2"/>
            <w:vMerge w:val="continue"/>
            <w:vAlign w:val="center"/>
          </w:tcPr>
          <w:p w14:paraId="0FEE4A50">
            <w:pPr>
              <w:pStyle w:val="52"/>
              <w:wordWrap w:val="0"/>
              <w:adjustRightInd w:val="0"/>
              <w:snapToGrid w:val="0"/>
              <w:jc w:val="center"/>
              <w:rPr>
                <w:rFonts w:ascii="宋体" w:hAnsi="宋体" w:cs="宋体"/>
                <w:snapToGrid w:val="0"/>
                <w:color w:val="auto"/>
                <w:kern w:val="0"/>
                <w:szCs w:val="21"/>
                <w:highlight w:val="none"/>
              </w:rPr>
            </w:pPr>
          </w:p>
        </w:tc>
        <w:tc>
          <w:tcPr>
            <w:tcW w:w="1953" w:type="dxa"/>
            <w:gridSpan w:val="3"/>
            <w:vAlign w:val="center"/>
          </w:tcPr>
          <w:p w14:paraId="00C51F77">
            <w:pPr>
              <w:pStyle w:val="52"/>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初级职称人员</w:t>
            </w:r>
          </w:p>
        </w:tc>
        <w:tc>
          <w:tcPr>
            <w:tcW w:w="1439" w:type="dxa"/>
            <w:vAlign w:val="center"/>
          </w:tcPr>
          <w:p w14:paraId="3AA47468">
            <w:pPr>
              <w:pStyle w:val="52"/>
              <w:wordWrap w:val="0"/>
              <w:adjustRightInd w:val="0"/>
              <w:snapToGrid w:val="0"/>
              <w:jc w:val="center"/>
              <w:rPr>
                <w:rFonts w:ascii="宋体" w:hAnsi="宋体" w:cs="宋体"/>
                <w:snapToGrid w:val="0"/>
                <w:color w:val="auto"/>
                <w:kern w:val="0"/>
                <w:szCs w:val="21"/>
                <w:highlight w:val="none"/>
              </w:rPr>
            </w:pPr>
          </w:p>
        </w:tc>
      </w:tr>
      <w:tr w14:paraId="6E4C4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505" w:type="dxa"/>
            <w:vAlign w:val="center"/>
          </w:tcPr>
          <w:p w14:paraId="00DAC207">
            <w:pPr>
              <w:pStyle w:val="52"/>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账号</w:t>
            </w:r>
          </w:p>
        </w:tc>
        <w:tc>
          <w:tcPr>
            <w:tcW w:w="2619" w:type="dxa"/>
            <w:gridSpan w:val="2"/>
            <w:vAlign w:val="center"/>
          </w:tcPr>
          <w:p w14:paraId="01D80075">
            <w:pPr>
              <w:pStyle w:val="52"/>
              <w:wordWrap w:val="0"/>
              <w:adjustRightInd w:val="0"/>
              <w:snapToGrid w:val="0"/>
              <w:jc w:val="center"/>
              <w:rPr>
                <w:rFonts w:ascii="宋体" w:hAnsi="宋体" w:cs="宋体"/>
                <w:snapToGrid w:val="0"/>
                <w:color w:val="auto"/>
                <w:kern w:val="0"/>
                <w:szCs w:val="21"/>
                <w:highlight w:val="none"/>
              </w:rPr>
            </w:pPr>
          </w:p>
        </w:tc>
        <w:tc>
          <w:tcPr>
            <w:tcW w:w="1103" w:type="dxa"/>
            <w:gridSpan w:val="2"/>
            <w:vMerge w:val="continue"/>
            <w:vAlign w:val="center"/>
          </w:tcPr>
          <w:p w14:paraId="71ACCDAE">
            <w:pPr>
              <w:pStyle w:val="52"/>
              <w:wordWrap w:val="0"/>
              <w:adjustRightInd w:val="0"/>
              <w:snapToGrid w:val="0"/>
              <w:jc w:val="center"/>
              <w:rPr>
                <w:rFonts w:ascii="宋体" w:hAnsi="宋体" w:cs="宋体"/>
                <w:snapToGrid w:val="0"/>
                <w:color w:val="auto"/>
                <w:kern w:val="0"/>
                <w:szCs w:val="21"/>
                <w:highlight w:val="none"/>
              </w:rPr>
            </w:pPr>
          </w:p>
        </w:tc>
        <w:tc>
          <w:tcPr>
            <w:tcW w:w="1953" w:type="dxa"/>
            <w:gridSpan w:val="3"/>
            <w:vAlign w:val="center"/>
          </w:tcPr>
          <w:p w14:paraId="15E1C4DB">
            <w:pPr>
              <w:pStyle w:val="52"/>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技术员</w:t>
            </w:r>
          </w:p>
        </w:tc>
        <w:tc>
          <w:tcPr>
            <w:tcW w:w="1439" w:type="dxa"/>
            <w:vAlign w:val="center"/>
          </w:tcPr>
          <w:p w14:paraId="6C222828">
            <w:pPr>
              <w:pStyle w:val="52"/>
              <w:wordWrap w:val="0"/>
              <w:adjustRightInd w:val="0"/>
              <w:snapToGrid w:val="0"/>
              <w:jc w:val="center"/>
              <w:rPr>
                <w:rFonts w:ascii="宋体" w:hAnsi="宋体" w:cs="宋体"/>
                <w:snapToGrid w:val="0"/>
                <w:color w:val="auto"/>
                <w:kern w:val="0"/>
                <w:szCs w:val="21"/>
                <w:highlight w:val="none"/>
              </w:rPr>
            </w:pPr>
          </w:p>
        </w:tc>
      </w:tr>
      <w:tr w14:paraId="134D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jc w:val="center"/>
        </w:trPr>
        <w:tc>
          <w:tcPr>
            <w:tcW w:w="1505" w:type="dxa"/>
            <w:vAlign w:val="center"/>
          </w:tcPr>
          <w:p w14:paraId="2553F514">
            <w:pPr>
              <w:pStyle w:val="52"/>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经营范围</w:t>
            </w:r>
          </w:p>
        </w:tc>
        <w:tc>
          <w:tcPr>
            <w:tcW w:w="7114" w:type="dxa"/>
            <w:gridSpan w:val="8"/>
            <w:vAlign w:val="center"/>
          </w:tcPr>
          <w:p w14:paraId="71C13CB0">
            <w:pPr>
              <w:pStyle w:val="52"/>
              <w:wordWrap w:val="0"/>
              <w:adjustRightInd w:val="0"/>
              <w:snapToGrid w:val="0"/>
              <w:jc w:val="center"/>
              <w:rPr>
                <w:rFonts w:ascii="宋体" w:hAnsi="宋体" w:cs="宋体"/>
                <w:snapToGrid w:val="0"/>
                <w:color w:val="auto"/>
                <w:kern w:val="0"/>
                <w:szCs w:val="21"/>
                <w:highlight w:val="none"/>
              </w:rPr>
            </w:pPr>
          </w:p>
        </w:tc>
      </w:tr>
      <w:tr w14:paraId="2A0F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exact"/>
          <w:jc w:val="center"/>
        </w:trPr>
        <w:tc>
          <w:tcPr>
            <w:tcW w:w="1505" w:type="dxa"/>
            <w:vAlign w:val="center"/>
          </w:tcPr>
          <w:p w14:paraId="284C1B16">
            <w:pPr>
              <w:pStyle w:val="52"/>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关联企业情况</w:t>
            </w:r>
          </w:p>
        </w:tc>
        <w:tc>
          <w:tcPr>
            <w:tcW w:w="7114" w:type="dxa"/>
            <w:gridSpan w:val="8"/>
            <w:vAlign w:val="center"/>
          </w:tcPr>
          <w:p w14:paraId="5D925846">
            <w:pPr>
              <w:pStyle w:val="52"/>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包括但不限于与投标人存在以下关系的不同单位：</w:t>
            </w:r>
          </w:p>
          <w:p w14:paraId="3902BAC0">
            <w:pPr>
              <w:pStyle w:val="52"/>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1．法定代表人为同一人的。</w:t>
            </w:r>
          </w:p>
          <w:p w14:paraId="303AC0CD">
            <w:pPr>
              <w:pStyle w:val="52"/>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2．存在控股、管理关系的。</w:t>
            </w:r>
          </w:p>
          <w:p w14:paraId="7761F6E3">
            <w:pPr>
              <w:pStyle w:val="52"/>
              <w:wordWrap w:val="0"/>
              <w:adjustRightInd w:val="0"/>
              <w:snapToGrid w:val="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3．主要人员相互任职的。</w:t>
            </w:r>
          </w:p>
        </w:tc>
      </w:tr>
      <w:tr w14:paraId="7085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1505" w:type="dxa"/>
            <w:vAlign w:val="center"/>
          </w:tcPr>
          <w:p w14:paraId="5B47C71F">
            <w:pPr>
              <w:pStyle w:val="52"/>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备注</w:t>
            </w:r>
          </w:p>
        </w:tc>
        <w:tc>
          <w:tcPr>
            <w:tcW w:w="7114" w:type="dxa"/>
            <w:gridSpan w:val="8"/>
            <w:vAlign w:val="center"/>
          </w:tcPr>
          <w:p w14:paraId="7FF20B19">
            <w:pPr>
              <w:pStyle w:val="52"/>
              <w:wordWrap w:val="0"/>
              <w:adjustRightInd w:val="0"/>
              <w:snapToGrid w:val="0"/>
              <w:jc w:val="center"/>
              <w:rPr>
                <w:rFonts w:ascii="宋体" w:hAnsi="宋体" w:cs="宋体"/>
                <w:snapToGrid w:val="0"/>
                <w:color w:val="auto"/>
                <w:kern w:val="0"/>
                <w:szCs w:val="21"/>
                <w:highlight w:val="none"/>
              </w:rPr>
            </w:pPr>
          </w:p>
        </w:tc>
      </w:tr>
    </w:tbl>
    <w:p w14:paraId="5ED9F3AB">
      <w:pPr>
        <w:pStyle w:val="52"/>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说明：</w:t>
      </w:r>
    </w:p>
    <w:p w14:paraId="6AC76484">
      <w:pPr>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1.《投标人基本情况表》后应附以下资料：</w:t>
      </w:r>
    </w:p>
    <w:p w14:paraId="53E6808D">
      <w:pPr>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（1）企业营业执照、资质证书的彩色扫描件；</w:t>
      </w:r>
    </w:p>
    <w:p w14:paraId="5ABD13AB">
      <w:pPr>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（2）“进粤企业和人员诚信信息登记平台”企业信息情况网页截图。（适用于省外企业）；</w:t>
      </w:r>
    </w:p>
    <w:p w14:paraId="0745C95B">
      <w:pPr>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（3）《法人和非法人组织公共信用信息报告》扫描件(在“信用中国”网站企业查询界面中下载)。</w:t>
      </w:r>
    </w:p>
    <w:p w14:paraId="2A3D5153">
      <w:pPr>
        <w:spacing w:line="360" w:lineRule="auto"/>
        <w:ind w:firstLine="420" w:firstLineChars="200"/>
        <w:rPr>
          <w:color w:val="auto"/>
          <w:highlight w:val="none"/>
        </w:rPr>
      </w:pPr>
      <w:r>
        <w:rPr>
          <w:rFonts w:hint="eastAsia" w:ascii="宋体" w:hAnsi="宋体" w:cs="宋体"/>
          <w:snapToGrid w:val="0"/>
          <w:color w:val="auto"/>
          <w:kern w:val="0"/>
          <w:szCs w:val="21"/>
          <w:highlight w:val="none"/>
        </w:rPr>
        <w:t>2．联合体投标的，联合体成员单位均应填写《投标人基本情况表》并提供以上所需资料。</w:t>
      </w:r>
    </w:p>
    <w:p w14:paraId="38550D86">
      <w:pPr>
        <w:rPr>
          <w:color w:val="auto"/>
          <w:highlight w:val="none"/>
        </w:rPr>
      </w:pPr>
    </w:p>
    <w:p w14:paraId="1CDF166F">
      <w:pPr>
        <w:rPr>
          <w:color w:val="auto"/>
          <w:highlight w:val="none"/>
        </w:rPr>
      </w:pPr>
    </w:p>
    <w:p w14:paraId="3D1274AF">
      <w:pPr>
        <w:rPr>
          <w:color w:val="auto"/>
          <w:highlight w:val="none"/>
        </w:rPr>
      </w:pPr>
      <w:bookmarkStart w:id="306" w:name="_Toc18814"/>
      <w:bookmarkStart w:id="307" w:name="_Toc8038"/>
    </w:p>
    <w:p w14:paraId="542BDDB9">
      <w:pPr>
        <w:pStyle w:val="3"/>
        <w:numPr>
          <w:ilvl w:val="1"/>
          <w:numId w:val="0"/>
        </w:numPr>
        <w:spacing w:before="158" w:after="158"/>
        <w:rPr>
          <w:color w:val="auto"/>
          <w:sz w:val="28"/>
          <w:szCs w:val="28"/>
          <w:highlight w:val="none"/>
        </w:rPr>
      </w:pPr>
      <w:bookmarkStart w:id="308" w:name="_Toc7712"/>
      <w:r>
        <w:rPr>
          <w:rFonts w:hint="eastAsia"/>
          <w:color w:val="auto"/>
          <w:sz w:val="28"/>
          <w:szCs w:val="28"/>
          <w:highlight w:val="none"/>
        </w:rPr>
        <w:t>格式</w:t>
      </w:r>
      <w:bookmarkEnd w:id="306"/>
      <w:bookmarkEnd w:id="307"/>
      <w:r>
        <w:rPr>
          <w:rFonts w:hint="eastAsia"/>
          <w:color w:val="auto"/>
          <w:sz w:val="28"/>
          <w:szCs w:val="28"/>
          <w:highlight w:val="none"/>
        </w:rPr>
        <w:t>六</w:t>
      </w:r>
      <w:bookmarkEnd w:id="308"/>
    </w:p>
    <w:p w14:paraId="1FA3FEDB">
      <w:pPr>
        <w:spacing w:line="360" w:lineRule="auto"/>
        <w:ind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项目</w:t>
      </w:r>
      <w:r>
        <w:rPr>
          <w:rFonts w:hint="eastAsia" w:ascii="宋体" w:hAnsi="宋体" w:cs="宋体"/>
          <w:b/>
          <w:color w:val="auto"/>
          <w:sz w:val="32"/>
          <w:szCs w:val="32"/>
          <w:highlight w:val="none"/>
        </w:rPr>
        <w:t>负责人简历表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387"/>
        <w:gridCol w:w="704"/>
        <w:gridCol w:w="1473"/>
        <w:gridCol w:w="922"/>
        <w:gridCol w:w="99"/>
        <w:gridCol w:w="1158"/>
        <w:gridCol w:w="737"/>
        <w:gridCol w:w="66"/>
        <w:gridCol w:w="1358"/>
      </w:tblGrid>
      <w:tr w14:paraId="27B99A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735" w:type="dxa"/>
            <w:gridSpan w:val="10"/>
            <w:vAlign w:val="center"/>
          </w:tcPr>
          <w:p w14:paraId="3E3522BE">
            <w:pPr>
              <w:jc w:val="center"/>
              <w:rPr>
                <w:rFonts w:ascii="宋体" w:hAnsi="宋体" w:cs="宋体"/>
                <w:color w:val="auto"/>
                <w:highlight w:val="none"/>
              </w:rPr>
            </w:pPr>
            <w:r>
              <w:rPr>
                <w:rFonts w:hint="eastAsia" w:ascii="宋体" w:hAnsi="宋体" w:cs="宋体"/>
                <w:color w:val="auto"/>
                <w:highlight w:val="none"/>
              </w:rPr>
              <w:t>1.基本情况</w:t>
            </w:r>
          </w:p>
        </w:tc>
      </w:tr>
      <w:tr w14:paraId="515C9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1402CA7E">
            <w:pPr>
              <w:jc w:val="center"/>
              <w:rPr>
                <w:rFonts w:ascii="宋体" w:hAnsi="宋体" w:cs="宋体"/>
                <w:color w:val="auto"/>
                <w:highlight w:val="none"/>
              </w:rPr>
            </w:pPr>
            <w:r>
              <w:rPr>
                <w:rFonts w:hint="eastAsia" w:ascii="宋体" w:hAnsi="宋体" w:cs="宋体"/>
                <w:color w:val="auto"/>
                <w:highlight w:val="none"/>
              </w:rPr>
              <w:t>姓名</w:t>
            </w:r>
          </w:p>
        </w:tc>
        <w:tc>
          <w:tcPr>
            <w:tcW w:w="1387" w:type="dxa"/>
            <w:vAlign w:val="center"/>
          </w:tcPr>
          <w:p w14:paraId="7991009C">
            <w:pPr>
              <w:jc w:val="center"/>
              <w:rPr>
                <w:rFonts w:ascii="宋体" w:hAnsi="宋体" w:cs="宋体"/>
                <w:color w:val="auto"/>
                <w:highlight w:val="none"/>
              </w:rPr>
            </w:pPr>
          </w:p>
        </w:tc>
        <w:tc>
          <w:tcPr>
            <w:tcW w:w="704" w:type="dxa"/>
            <w:vAlign w:val="center"/>
          </w:tcPr>
          <w:p w14:paraId="57A5023A">
            <w:pPr>
              <w:jc w:val="center"/>
              <w:rPr>
                <w:rFonts w:ascii="宋体" w:hAnsi="宋体" w:cs="宋体"/>
                <w:color w:val="auto"/>
                <w:highlight w:val="none"/>
              </w:rPr>
            </w:pPr>
            <w:r>
              <w:rPr>
                <w:rFonts w:hint="eastAsia" w:ascii="宋体" w:hAnsi="宋体" w:cs="宋体"/>
                <w:color w:val="auto"/>
                <w:highlight w:val="none"/>
              </w:rPr>
              <w:t>性别</w:t>
            </w:r>
          </w:p>
        </w:tc>
        <w:tc>
          <w:tcPr>
            <w:tcW w:w="1473" w:type="dxa"/>
            <w:vAlign w:val="center"/>
          </w:tcPr>
          <w:p w14:paraId="2E04FF8E">
            <w:pPr>
              <w:jc w:val="center"/>
              <w:rPr>
                <w:rFonts w:ascii="宋体" w:hAnsi="宋体" w:cs="宋体"/>
                <w:color w:val="auto"/>
                <w:highlight w:val="none"/>
              </w:rPr>
            </w:pPr>
          </w:p>
        </w:tc>
        <w:tc>
          <w:tcPr>
            <w:tcW w:w="922" w:type="dxa"/>
            <w:vAlign w:val="center"/>
          </w:tcPr>
          <w:p w14:paraId="6594A538">
            <w:pPr>
              <w:jc w:val="center"/>
              <w:rPr>
                <w:rFonts w:ascii="宋体" w:hAnsi="宋体" w:cs="宋体"/>
                <w:color w:val="auto"/>
                <w:highlight w:val="none"/>
              </w:rPr>
            </w:pPr>
            <w:r>
              <w:rPr>
                <w:rFonts w:hint="eastAsia" w:ascii="宋体" w:hAnsi="宋体" w:cs="宋体"/>
                <w:color w:val="auto"/>
                <w:highlight w:val="none"/>
              </w:rPr>
              <w:t>年 龄</w:t>
            </w:r>
          </w:p>
        </w:tc>
        <w:tc>
          <w:tcPr>
            <w:tcW w:w="1257" w:type="dxa"/>
            <w:gridSpan w:val="2"/>
            <w:vAlign w:val="center"/>
          </w:tcPr>
          <w:p w14:paraId="7C902C90">
            <w:pPr>
              <w:jc w:val="center"/>
              <w:rPr>
                <w:rFonts w:ascii="宋体" w:hAnsi="宋体" w:cs="宋体"/>
                <w:color w:val="auto"/>
                <w:highlight w:val="none"/>
              </w:rPr>
            </w:pPr>
          </w:p>
        </w:tc>
        <w:tc>
          <w:tcPr>
            <w:tcW w:w="737" w:type="dxa"/>
            <w:vAlign w:val="center"/>
          </w:tcPr>
          <w:p w14:paraId="6138C1C4">
            <w:pPr>
              <w:jc w:val="center"/>
              <w:rPr>
                <w:rFonts w:ascii="宋体" w:hAnsi="宋体" w:cs="宋体"/>
                <w:color w:val="auto"/>
                <w:highlight w:val="none"/>
              </w:rPr>
            </w:pPr>
            <w:r>
              <w:rPr>
                <w:rFonts w:hint="eastAsia" w:ascii="宋体" w:hAnsi="宋体" w:cs="宋体"/>
                <w:color w:val="auto"/>
                <w:highlight w:val="none"/>
              </w:rPr>
              <w:t>学位</w:t>
            </w:r>
          </w:p>
        </w:tc>
        <w:tc>
          <w:tcPr>
            <w:tcW w:w="1424" w:type="dxa"/>
            <w:gridSpan w:val="2"/>
            <w:vAlign w:val="center"/>
          </w:tcPr>
          <w:p w14:paraId="0253C004">
            <w:pPr>
              <w:jc w:val="center"/>
              <w:rPr>
                <w:rFonts w:ascii="宋体" w:hAnsi="宋体" w:cs="宋体"/>
                <w:color w:val="auto"/>
                <w:highlight w:val="none"/>
              </w:rPr>
            </w:pPr>
          </w:p>
        </w:tc>
      </w:tr>
      <w:tr w14:paraId="798A34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17949FAF">
            <w:pPr>
              <w:jc w:val="center"/>
              <w:rPr>
                <w:rFonts w:ascii="宋体" w:hAnsi="宋体" w:cs="宋体"/>
                <w:color w:val="auto"/>
                <w:highlight w:val="none"/>
              </w:rPr>
            </w:pPr>
            <w:r>
              <w:rPr>
                <w:rFonts w:hint="eastAsia" w:ascii="宋体" w:hAnsi="宋体" w:cs="宋体"/>
                <w:color w:val="auto"/>
                <w:highlight w:val="none"/>
              </w:rPr>
              <w:t>职称</w:t>
            </w:r>
          </w:p>
        </w:tc>
        <w:tc>
          <w:tcPr>
            <w:tcW w:w="1387" w:type="dxa"/>
            <w:vAlign w:val="center"/>
          </w:tcPr>
          <w:p w14:paraId="213BA92B">
            <w:pPr>
              <w:jc w:val="center"/>
              <w:rPr>
                <w:rFonts w:ascii="宋体" w:hAnsi="宋体" w:cs="宋体"/>
                <w:color w:val="auto"/>
                <w:highlight w:val="none"/>
              </w:rPr>
            </w:pPr>
          </w:p>
        </w:tc>
        <w:tc>
          <w:tcPr>
            <w:tcW w:w="2177" w:type="dxa"/>
            <w:gridSpan w:val="2"/>
            <w:vAlign w:val="center"/>
          </w:tcPr>
          <w:p w14:paraId="71ADF36A">
            <w:pPr>
              <w:jc w:val="center"/>
              <w:rPr>
                <w:rFonts w:ascii="宋体" w:hAnsi="宋体" w:cs="宋体"/>
                <w:color w:val="auto"/>
                <w:highlight w:val="none"/>
              </w:rPr>
            </w:pPr>
            <w:r>
              <w:rPr>
                <w:rFonts w:hint="eastAsia" w:ascii="宋体" w:hAnsi="宋体" w:cs="宋体"/>
                <w:color w:val="auto"/>
                <w:highlight w:val="none"/>
              </w:rPr>
              <w:t>为投标人服务时间</w:t>
            </w:r>
          </w:p>
        </w:tc>
        <w:tc>
          <w:tcPr>
            <w:tcW w:w="922" w:type="dxa"/>
            <w:vAlign w:val="center"/>
          </w:tcPr>
          <w:p w14:paraId="554AE964">
            <w:pPr>
              <w:jc w:val="center"/>
              <w:rPr>
                <w:rFonts w:ascii="宋体" w:hAnsi="宋体" w:cs="宋体"/>
                <w:color w:val="auto"/>
                <w:highlight w:val="none"/>
              </w:rPr>
            </w:pPr>
          </w:p>
        </w:tc>
        <w:tc>
          <w:tcPr>
            <w:tcW w:w="1994" w:type="dxa"/>
            <w:gridSpan w:val="3"/>
            <w:vAlign w:val="center"/>
          </w:tcPr>
          <w:p w14:paraId="7684759D">
            <w:pPr>
              <w:ind w:firstLine="420" w:firstLineChars="200"/>
              <w:jc w:val="center"/>
              <w:rPr>
                <w:rFonts w:ascii="宋体" w:hAnsi="宋体" w:cs="宋体"/>
                <w:color w:val="auto"/>
                <w:highlight w:val="none"/>
              </w:rPr>
            </w:pPr>
            <w:r>
              <w:rPr>
                <w:rFonts w:hint="eastAsia" w:ascii="宋体" w:hAnsi="宋体" w:cs="宋体"/>
                <w:color w:val="auto"/>
                <w:highlight w:val="none"/>
              </w:rPr>
              <w:t>在本合同中</w:t>
            </w:r>
          </w:p>
          <w:p w14:paraId="5962161D">
            <w:pPr>
              <w:ind w:firstLine="420" w:firstLineChars="200"/>
              <w:jc w:val="center"/>
              <w:rPr>
                <w:rFonts w:ascii="宋体" w:hAnsi="宋体" w:cs="宋体"/>
                <w:color w:val="auto"/>
                <w:spacing w:val="-12"/>
                <w:highlight w:val="none"/>
              </w:rPr>
            </w:pPr>
            <w:r>
              <w:rPr>
                <w:rFonts w:hint="eastAsia" w:ascii="宋体" w:hAnsi="宋体" w:cs="宋体"/>
                <w:color w:val="auto"/>
                <w:highlight w:val="none"/>
              </w:rPr>
              <w:t>拟任职</w:t>
            </w:r>
          </w:p>
        </w:tc>
        <w:tc>
          <w:tcPr>
            <w:tcW w:w="1424" w:type="dxa"/>
            <w:gridSpan w:val="2"/>
            <w:vAlign w:val="center"/>
          </w:tcPr>
          <w:p w14:paraId="54BDDBE3">
            <w:pPr>
              <w:jc w:val="center"/>
              <w:rPr>
                <w:rFonts w:ascii="宋体" w:hAnsi="宋体" w:cs="宋体"/>
                <w:color w:val="auto"/>
                <w:highlight w:val="none"/>
              </w:rPr>
            </w:pPr>
          </w:p>
        </w:tc>
      </w:tr>
      <w:tr w14:paraId="066437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0BA8EF5D">
            <w:pPr>
              <w:jc w:val="center"/>
              <w:rPr>
                <w:rFonts w:ascii="宋体" w:hAnsi="宋体" w:cs="宋体"/>
                <w:color w:val="auto"/>
                <w:highlight w:val="none"/>
              </w:rPr>
            </w:pPr>
            <w:r>
              <w:rPr>
                <w:rFonts w:hint="eastAsia" w:ascii="宋体" w:hAnsi="宋体" w:cs="宋体"/>
                <w:color w:val="auto"/>
                <w:highlight w:val="none"/>
              </w:rPr>
              <w:t>学历</w:t>
            </w:r>
          </w:p>
        </w:tc>
        <w:tc>
          <w:tcPr>
            <w:tcW w:w="7904" w:type="dxa"/>
            <w:gridSpan w:val="9"/>
            <w:vAlign w:val="center"/>
          </w:tcPr>
          <w:p w14:paraId="5A75BF77">
            <w:pPr>
              <w:ind w:firstLine="600"/>
              <w:jc w:val="center"/>
              <w:rPr>
                <w:rFonts w:ascii="宋体" w:hAnsi="宋体" w:cs="宋体"/>
                <w:color w:val="auto"/>
                <w:highlight w:val="none"/>
              </w:rPr>
            </w:pPr>
            <w:r>
              <w:rPr>
                <w:rFonts w:hint="eastAsia" w:ascii="宋体" w:hAnsi="宋体" w:cs="宋体"/>
                <w:color w:val="auto"/>
                <w:highlight w:val="none"/>
              </w:rPr>
              <w:t>年毕业于              学校           专业</w:t>
            </w:r>
          </w:p>
        </w:tc>
      </w:tr>
      <w:tr w14:paraId="5F8AA3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3A14450C">
            <w:pPr>
              <w:jc w:val="center"/>
              <w:rPr>
                <w:rFonts w:ascii="宋体" w:hAnsi="宋体" w:cs="宋体"/>
                <w:color w:val="auto"/>
                <w:highlight w:val="none"/>
              </w:rPr>
            </w:pPr>
            <w:r>
              <w:rPr>
                <w:rFonts w:hint="eastAsia" w:ascii="宋体" w:hAnsi="宋体" w:cs="宋体"/>
                <w:color w:val="auto"/>
                <w:highlight w:val="none"/>
              </w:rPr>
              <w:t>2.经历</w:t>
            </w:r>
          </w:p>
        </w:tc>
      </w:tr>
      <w:tr w14:paraId="6C45A3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54C69F32">
            <w:pPr>
              <w:jc w:val="center"/>
              <w:rPr>
                <w:rFonts w:ascii="宋体" w:hAnsi="宋体" w:cs="宋体"/>
                <w:color w:val="auto"/>
                <w:highlight w:val="none"/>
              </w:rPr>
            </w:pPr>
            <w:r>
              <w:rPr>
                <w:rFonts w:hint="eastAsia" w:ascii="宋体" w:hAnsi="宋体" w:cs="宋体"/>
                <w:color w:val="auto"/>
                <w:highlight w:val="none"/>
              </w:rPr>
              <w:t>时间</w:t>
            </w:r>
          </w:p>
        </w:tc>
        <w:tc>
          <w:tcPr>
            <w:tcW w:w="4585" w:type="dxa"/>
            <w:gridSpan w:val="5"/>
            <w:vAlign w:val="center"/>
          </w:tcPr>
          <w:p w14:paraId="4572DF80">
            <w:pPr>
              <w:jc w:val="center"/>
              <w:rPr>
                <w:rFonts w:ascii="宋体" w:hAnsi="宋体" w:cs="宋体"/>
                <w:color w:val="auto"/>
                <w:highlight w:val="none"/>
              </w:rPr>
            </w:pPr>
            <w:r>
              <w:rPr>
                <w:rFonts w:hint="eastAsia" w:ascii="宋体" w:hAnsi="宋体" w:cs="宋体"/>
                <w:color w:val="auto"/>
                <w:highlight w:val="none"/>
              </w:rPr>
              <w:t>负责过的主要工程（类型和金额）</w:t>
            </w:r>
          </w:p>
        </w:tc>
        <w:tc>
          <w:tcPr>
            <w:tcW w:w="1961" w:type="dxa"/>
            <w:gridSpan w:val="3"/>
            <w:vAlign w:val="center"/>
          </w:tcPr>
          <w:p w14:paraId="7E74E536">
            <w:pPr>
              <w:jc w:val="center"/>
              <w:rPr>
                <w:rFonts w:ascii="宋体" w:hAnsi="宋体" w:cs="宋体"/>
                <w:color w:val="auto"/>
                <w:highlight w:val="none"/>
              </w:rPr>
            </w:pPr>
            <w:r>
              <w:rPr>
                <w:rFonts w:hint="eastAsia" w:ascii="宋体" w:hAnsi="宋体" w:cs="宋体"/>
                <w:color w:val="auto"/>
                <w:highlight w:val="none"/>
              </w:rPr>
              <w:t>该项目中任职</w:t>
            </w:r>
          </w:p>
        </w:tc>
        <w:tc>
          <w:tcPr>
            <w:tcW w:w="1358" w:type="dxa"/>
            <w:vAlign w:val="center"/>
          </w:tcPr>
          <w:p w14:paraId="488C33A4">
            <w:pPr>
              <w:jc w:val="center"/>
              <w:rPr>
                <w:rFonts w:ascii="宋体" w:hAnsi="宋体" w:cs="宋体"/>
                <w:color w:val="auto"/>
                <w:highlight w:val="none"/>
              </w:rPr>
            </w:pPr>
            <w:r>
              <w:rPr>
                <w:rFonts w:hint="eastAsia" w:ascii="宋体" w:hAnsi="宋体" w:cs="宋体"/>
                <w:color w:val="auto"/>
                <w:highlight w:val="none"/>
              </w:rPr>
              <w:t>备 注</w:t>
            </w:r>
          </w:p>
        </w:tc>
      </w:tr>
      <w:tr w14:paraId="08D9DD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29DBB1D8">
            <w:pPr>
              <w:jc w:val="center"/>
              <w:rPr>
                <w:rFonts w:ascii="宋体" w:hAnsi="宋体" w:cs="宋体"/>
                <w:color w:val="auto"/>
                <w:highlight w:val="none"/>
              </w:rPr>
            </w:pPr>
          </w:p>
        </w:tc>
        <w:tc>
          <w:tcPr>
            <w:tcW w:w="4585" w:type="dxa"/>
            <w:gridSpan w:val="5"/>
            <w:vAlign w:val="center"/>
          </w:tcPr>
          <w:p w14:paraId="18CDCDE5">
            <w:pPr>
              <w:jc w:val="center"/>
              <w:rPr>
                <w:rFonts w:ascii="宋体" w:hAnsi="宋体" w:cs="宋体"/>
                <w:color w:val="auto"/>
                <w:highlight w:val="none"/>
              </w:rPr>
            </w:pPr>
          </w:p>
        </w:tc>
        <w:tc>
          <w:tcPr>
            <w:tcW w:w="1961" w:type="dxa"/>
            <w:gridSpan w:val="3"/>
            <w:vAlign w:val="center"/>
          </w:tcPr>
          <w:p w14:paraId="061000E0">
            <w:pPr>
              <w:jc w:val="center"/>
              <w:rPr>
                <w:rFonts w:ascii="宋体" w:hAnsi="宋体" w:cs="宋体"/>
                <w:color w:val="auto"/>
                <w:highlight w:val="none"/>
              </w:rPr>
            </w:pPr>
          </w:p>
        </w:tc>
        <w:tc>
          <w:tcPr>
            <w:tcW w:w="1358" w:type="dxa"/>
            <w:vAlign w:val="center"/>
          </w:tcPr>
          <w:p w14:paraId="0BD7A3AD">
            <w:pPr>
              <w:jc w:val="center"/>
              <w:rPr>
                <w:rFonts w:ascii="宋体" w:hAnsi="宋体" w:cs="宋体"/>
                <w:color w:val="auto"/>
                <w:highlight w:val="none"/>
              </w:rPr>
            </w:pPr>
          </w:p>
        </w:tc>
      </w:tr>
      <w:tr w14:paraId="7B0EB6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32257EDA">
            <w:pPr>
              <w:jc w:val="center"/>
              <w:rPr>
                <w:rFonts w:ascii="宋体" w:hAnsi="宋体" w:cs="宋体"/>
                <w:color w:val="auto"/>
                <w:highlight w:val="none"/>
              </w:rPr>
            </w:pPr>
          </w:p>
        </w:tc>
        <w:tc>
          <w:tcPr>
            <w:tcW w:w="4585" w:type="dxa"/>
            <w:gridSpan w:val="5"/>
            <w:vAlign w:val="center"/>
          </w:tcPr>
          <w:p w14:paraId="2F7414EB">
            <w:pPr>
              <w:jc w:val="center"/>
              <w:rPr>
                <w:rFonts w:ascii="宋体" w:hAnsi="宋体" w:cs="宋体"/>
                <w:color w:val="auto"/>
                <w:highlight w:val="none"/>
              </w:rPr>
            </w:pPr>
          </w:p>
        </w:tc>
        <w:tc>
          <w:tcPr>
            <w:tcW w:w="1961" w:type="dxa"/>
            <w:gridSpan w:val="3"/>
            <w:vAlign w:val="center"/>
          </w:tcPr>
          <w:p w14:paraId="53D4E918">
            <w:pPr>
              <w:jc w:val="center"/>
              <w:rPr>
                <w:rFonts w:ascii="宋体" w:hAnsi="宋体" w:cs="宋体"/>
                <w:color w:val="auto"/>
                <w:highlight w:val="none"/>
              </w:rPr>
            </w:pPr>
          </w:p>
        </w:tc>
        <w:tc>
          <w:tcPr>
            <w:tcW w:w="1358" w:type="dxa"/>
            <w:vAlign w:val="center"/>
          </w:tcPr>
          <w:p w14:paraId="63420003">
            <w:pPr>
              <w:jc w:val="center"/>
              <w:rPr>
                <w:rFonts w:ascii="宋体" w:hAnsi="宋体" w:cs="宋体"/>
                <w:color w:val="auto"/>
                <w:highlight w:val="none"/>
              </w:rPr>
            </w:pPr>
          </w:p>
        </w:tc>
      </w:tr>
      <w:tr w14:paraId="3308FD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36AA35E0">
            <w:pPr>
              <w:jc w:val="center"/>
              <w:rPr>
                <w:rFonts w:ascii="宋体" w:hAnsi="宋体" w:cs="宋体"/>
                <w:color w:val="auto"/>
                <w:highlight w:val="none"/>
              </w:rPr>
            </w:pPr>
          </w:p>
        </w:tc>
        <w:tc>
          <w:tcPr>
            <w:tcW w:w="4585" w:type="dxa"/>
            <w:gridSpan w:val="5"/>
            <w:vAlign w:val="center"/>
          </w:tcPr>
          <w:p w14:paraId="71E679F8">
            <w:pPr>
              <w:jc w:val="center"/>
              <w:rPr>
                <w:rFonts w:ascii="宋体" w:hAnsi="宋体" w:cs="宋体"/>
                <w:color w:val="auto"/>
                <w:highlight w:val="none"/>
              </w:rPr>
            </w:pPr>
          </w:p>
        </w:tc>
        <w:tc>
          <w:tcPr>
            <w:tcW w:w="1961" w:type="dxa"/>
            <w:gridSpan w:val="3"/>
            <w:vAlign w:val="center"/>
          </w:tcPr>
          <w:p w14:paraId="31B5D4EA">
            <w:pPr>
              <w:jc w:val="center"/>
              <w:rPr>
                <w:rFonts w:ascii="宋体" w:hAnsi="宋体" w:cs="宋体"/>
                <w:color w:val="auto"/>
                <w:highlight w:val="none"/>
              </w:rPr>
            </w:pPr>
          </w:p>
        </w:tc>
        <w:tc>
          <w:tcPr>
            <w:tcW w:w="1358" w:type="dxa"/>
            <w:vAlign w:val="center"/>
          </w:tcPr>
          <w:p w14:paraId="47201193">
            <w:pPr>
              <w:jc w:val="center"/>
              <w:rPr>
                <w:rFonts w:ascii="宋体" w:hAnsi="宋体" w:cs="宋体"/>
                <w:color w:val="auto"/>
                <w:highlight w:val="none"/>
              </w:rPr>
            </w:pPr>
          </w:p>
        </w:tc>
      </w:tr>
      <w:tr w14:paraId="465E47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735" w:type="dxa"/>
            <w:gridSpan w:val="10"/>
            <w:vAlign w:val="center"/>
          </w:tcPr>
          <w:p w14:paraId="41894F6E">
            <w:pPr>
              <w:jc w:val="center"/>
              <w:rPr>
                <w:rFonts w:ascii="宋体" w:hAnsi="宋体" w:cs="宋体"/>
                <w:color w:val="auto"/>
                <w:highlight w:val="none"/>
              </w:rPr>
            </w:pPr>
            <w:r>
              <w:rPr>
                <w:rFonts w:hint="eastAsia" w:ascii="宋体" w:hAnsi="宋体" w:cs="宋体"/>
                <w:color w:val="auto"/>
                <w:highlight w:val="none"/>
              </w:rPr>
              <w:t>3.获奖情况（如有）</w:t>
            </w:r>
          </w:p>
        </w:tc>
      </w:tr>
      <w:tr w14:paraId="764D87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5" w:type="dxa"/>
            <w:gridSpan w:val="10"/>
            <w:vAlign w:val="center"/>
          </w:tcPr>
          <w:p w14:paraId="0BEB618F">
            <w:pPr>
              <w:jc w:val="center"/>
              <w:rPr>
                <w:rFonts w:ascii="宋体" w:hAnsi="宋体" w:cs="宋体"/>
                <w:color w:val="auto"/>
                <w:highlight w:val="none"/>
              </w:rPr>
            </w:pPr>
          </w:p>
        </w:tc>
      </w:tr>
      <w:tr w14:paraId="652A74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0B81981D">
            <w:pPr>
              <w:jc w:val="center"/>
              <w:rPr>
                <w:rFonts w:ascii="宋体" w:hAnsi="宋体" w:cs="宋体"/>
                <w:color w:val="auto"/>
                <w:highlight w:val="none"/>
              </w:rPr>
            </w:pPr>
            <w:r>
              <w:rPr>
                <w:rFonts w:hint="eastAsia" w:ascii="宋体" w:hAnsi="宋体" w:cs="宋体"/>
                <w:color w:val="auto"/>
                <w:highlight w:val="none"/>
              </w:rPr>
              <w:t>4.目前承担的任务</w:t>
            </w:r>
          </w:p>
        </w:tc>
      </w:tr>
      <w:tr w14:paraId="32F7B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5" w:type="dxa"/>
            <w:gridSpan w:val="10"/>
            <w:vAlign w:val="center"/>
          </w:tcPr>
          <w:p w14:paraId="78F99DE0">
            <w:pPr>
              <w:jc w:val="center"/>
              <w:rPr>
                <w:rFonts w:ascii="宋体" w:hAnsi="宋体" w:cs="宋体"/>
                <w:color w:val="auto"/>
                <w:highlight w:val="none"/>
              </w:rPr>
            </w:pPr>
          </w:p>
        </w:tc>
      </w:tr>
    </w:tbl>
    <w:p w14:paraId="23B5E792">
      <w:pPr>
        <w:wordWrap w:val="0"/>
        <w:adjustRightInd w:val="0"/>
        <w:snapToGrid w:val="0"/>
        <w:spacing w:line="440" w:lineRule="exact"/>
        <w:ind w:firstLine="420" w:firstLineChars="200"/>
        <w:jc w:val="right"/>
        <w:rPr>
          <w:rFonts w:ascii="宋体" w:hAnsi="宋体" w:cs="宋体"/>
          <w:snapToGrid w:val="0"/>
          <w:color w:val="auto"/>
          <w:kern w:val="0"/>
          <w:szCs w:val="28"/>
          <w:highlight w:val="none"/>
        </w:rPr>
      </w:pPr>
      <w:r>
        <w:rPr>
          <w:rFonts w:hint="eastAsia" w:ascii="宋体" w:hAnsi="宋体" w:cs="宋体"/>
          <w:color w:val="auto"/>
          <w:szCs w:val="24"/>
          <w:highlight w:val="none"/>
        </w:rPr>
        <w:t>注：本表不够时自制</w:t>
      </w:r>
    </w:p>
    <w:p w14:paraId="117B2AC3">
      <w:pPr>
        <w:rPr>
          <w:rFonts w:ascii="宋体" w:hAnsi="宋体" w:cs="宋体"/>
          <w:snapToGrid w:val="0"/>
          <w:color w:val="auto"/>
          <w:kern w:val="0"/>
          <w:szCs w:val="28"/>
          <w:highlight w:val="none"/>
        </w:rPr>
      </w:pPr>
    </w:p>
    <w:p w14:paraId="2FF5EE52">
      <w:pPr>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说明：《</w:t>
      </w:r>
      <w:r>
        <w:rPr>
          <w:rFonts w:hint="eastAsia" w:ascii="宋体" w:hAnsi="宋体" w:cs="宋体"/>
          <w:snapToGrid w:val="0"/>
          <w:color w:val="auto"/>
          <w:kern w:val="0"/>
          <w:szCs w:val="28"/>
          <w:highlight w:val="none"/>
          <w:lang w:eastAsia="zh-CN"/>
        </w:rPr>
        <w:t>项目</w:t>
      </w:r>
      <w:r>
        <w:rPr>
          <w:rFonts w:hint="eastAsia" w:ascii="宋体" w:hAnsi="宋体" w:cs="宋体"/>
          <w:snapToGrid w:val="0"/>
          <w:color w:val="auto"/>
          <w:kern w:val="0"/>
          <w:szCs w:val="28"/>
          <w:highlight w:val="none"/>
        </w:rPr>
        <w:t>负责人简历表》后应附拟派</w:t>
      </w:r>
      <w:r>
        <w:rPr>
          <w:rFonts w:hint="eastAsia" w:ascii="宋体" w:hAnsi="宋体" w:cs="宋体"/>
          <w:snapToGrid w:val="0"/>
          <w:color w:val="auto"/>
          <w:kern w:val="0"/>
          <w:szCs w:val="28"/>
          <w:highlight w:val="none"/>
          <w:lang w:eastAsia="zh-CN"/>
        </w:rPr>
        <w:t>项目</w:t>
      </w:r>
      <w:r>
        <w:rPr>
          <w:rFonts w:hint="eastAsia" w:ascii="宋体" w:hAnsi="宋体" w:cs="宋体"/>
          <w:snapToGrid w:val="0"/>
          <w:color w:val="auto"/>
          <w:kern w:val="0"/>
          <w:szCs w:val="28"/>
          <w:highlight w:val="none"/>
        </w:rPr>
        <w:t>负责人以下资料：</w:t>
      </w:r>
    </w:p>
    <w:p w14:paraId="31AB1519">
      <w:pPr>
        <w:ind w:firstLine="420" w:firstLineChars="200"/>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1．身份证彩色扫描件或电子身份证；</w:t>
      </w:r>
    </w:p>
    <w:p w14:paraId="3FE3CCAF">
      <w:pPr>
        <w:ind w:firstLine="420" w:firstLineChars="200"/>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2．注册证书（如需）、职称证（如需）彩色扫描件（须扫描变更注册栏，电子证书除外）；</w:t>
      </w:r>
    </w:p>
    <w:p w14:paraId="4B510752">
      <w:pPr>
        <w:ind w:firstLine="420" w:firstLineChars="200"/>
        <w:rPr>
          <w:rFonts w:ascii="宋体" w:hAnsi="宋体" w:cs="宋体"/>
          <w:snapToGrid w:val="0"/>
          <w:color w:val="auto"/>
          <w:kern w:val="0"/>
          <w:szCs w:val="28"/>
          <w:highlight w:val="none"/>
        </w:rPr>
      </w:pPr>
      <w:r>
        <w:rPr>
          <w:rFonts w:hint="eastAsia" w:ascii="宋体" w:hAnsi="宋体" w:cs="宋体"/>
          <w:snapToGrid w:val="0"/>
          <w:color w:val="auto"/>
          <w:kern w:val="0"/>
          <w:szCs w:val="28"/>
          <w:highlight w:val="none"/>
        </w:rPr>
        <w:t>3．在本单位（或分支机构）缴纳社保的有效证明（至少提供3个月，其中必须有202</w:t>
      </w:r>
      <w:r>
        <w:rPr>
          <w:rFonts w:hint="eastAsia" w:ascii="宋体" w:hAnsi="宋体" w:cs="宋体"/>
          <w:snapToGrid w:val="0"/>
          <w:color w:val="auto"/>
          <w:kern w:val="0"/>
          <w:szCs w:val="28"/>
          <w:highlight w:val="none"/>
          <w:lang w:val="en-US" w:eastAsia="zh-CN"/>
        </w:rPr>
        <w:t>6</w:t>
      </w:r>
      <w:r>
        <w:rPr>
          <w:rFonts w:hint="eastAsia" w:ascii="宋体" w:hAnsi="宋体" w:cs="宋体"/>
          <w:snapToGrid w:val="0"/>
          <w:color w:val="auto"/>
          <w:kern w:val="0"/>
          <w:szCs w:val="28"/>
          <w:highlight w:val="none"/>
        </w:rPr>
        <w:t>年</w:t>
      </w:r>
      <w:r>
        <w:rPr>
          <w:rFonts w:hint="eastAsia" w:ascii="宋体" w:hAnsi="宋体" w:cs="宋体"/>
          <w:snapToGrid w:val="0"/>
          <w:color w:val="auto"/>
          <w:kern w:val="0"/>
          <w:szCs w:val="28"/>
          <w:highlight w:val="none"/>
          <w:lang w:val="en-US" w:eastAsia="zh-CN"/>
        </w:rPr>
        <w:t>5</w:t>
      </w:r>
      <w:r>
        <w:rPr>
          <w:rFonts w:hint="eastAsia" w:ascii="宋体" w:hAnsi="宋体" w:cs="宋体"/>
          <w:snapToGrid w:val="0"/>
          <w:color w:val="auto"/>
          <w:kern w:val="0"/>
          <w:szCs w:val="28"/>
          <w:highlight w:val="none"/>
        </w:rPr>
        <w:t>月）彩色扫描件；拟派</w:t>
      </w:r>
      <w:r>
        <w:rPr>
          <w:rFonts w:hint="eastAsia" w:ascii="宋体" w:hAnsi="宋体" w:cs="宋体"/>
          <w:snapToGrid w:val="0"/>
          <w:color w:val="auto"/>
          <w:kern w:val="0"/>
          <w:szCs w:val="28"/>
          <w:highlight w:val="none"/>
          <w:lang w:eastAsia="zh-CN"/>
        </w:rPr>
        <w:t>项目</w:t>
      </w:r>
      <w:r>
        <w:rPr>
          <w:rFonts w:hint="eastAsia" w:ascii="宋体" w:hAnsi="宋体" w:cs="宋体"/>
          <w:snapToGrid w:val="0"/>
          <w:color w:val="auto"/>
          <w:kern w:val="0"/>
          <w:szCs w:val="28"/>
          <w:highlight w:val="none"/>
        </w:rPr>
        <w:t>负责人为退休返聘人员无法提供社保证明的，提供退休证和劳动合同彩色扫描件。</w:t>
      </w:r>
    </w:p>
    <w:p w14:paraId="27C78D43">
      <w:pPr>
        <w:spacing w:line="360" w:lineRule="auto"/>
        <w:rPr>
          <w:color w:val="auto"/>
          <w:highlight w:val="none"/>
        </w:rPr>
      </w:pPr>
    </w:p>
    <w:p w14:paraId="0795EE54">
      <w:pPr>
        <w:rPr>
          <w:b/>
          <w:bCs/>
          <w:color w:val="auto"/>
          <w:sz w:val="28"/>
          <w:szCs w:val="28"/>
          <w:highlight w:val="none"/>
        </w:rPr>
      </w:pPr>
      <w:bookmarkStart w:id="309" w:name="_Toc10420"/>
      <w:bookmarkStart w:id="310" w:name="_Toc21909"/>
      <w:r>
        <w:rPr>
          <w:rFonts w:hint="eastAsia"/>
          <w:b/>
          <w:bCs/>
          <w:color w:val="auto"/>
          <w:sz w:val="28"/>
          <w:szCs w:val="28"/>
          <w:highlight w:val="none"/>
        </w:rPr>
        <w:br w:type="page"/>
      </w:r>
    </w:p>
    <w:p w14:paraId="7E71940E">
      <w:pPr>
        <w:pStyle w:val="3"/>
        <w:numPr>
          <w:ilvl w:val="1"/>
          <w:numId w:val="0"/>
        </w:numPr>
        <w:spacing w:before="158" w:after="158"/>
        <w:rPr>
          <w:color w:val="auto"/>
          <w:sz w:val="28"/>
          <w:szCs w:val="28"/>
          <w:highlight w:val="none"/>
        </w:rPr>
      </w:pPr>
      <w:bookmarkStart w:id="311" w:name="_Toc14023"/>
      <w:r>
        <w:rPr>
          <w:rFonts w:hint="eastAsia"/>
          <w:color w:val="auto"/>
          <w:sz w:val="28"/>
          <w:szCs w:val="28"/>
          <w:highlight w:val="none"/>
        </w:rPr>
        <w:t>格式</w:t>
      </w:r>
      <w:bookmarkEnd w:id="309"/>
      <w:bookmarkEnd w:id="310"/>
      <w:r>
        <w:rPr>
          <w:rFonts w:hint="eastAsia"/>
          <w:color w:val="auto"/>
          <w:sz w:val="28"/>
          <w:szCs w:val="28"/>
          <w:highlight w:val="none"/>
        </w:rPr>
        <w:t>七</w:t>
      </w:r>
      <w:bookmarkEnd w:id="311"/>
    </w:p>
    <w:p w14:paraId="111AECF9">
      <w:pPr>
        <w:wordWrap w:val="0"/>
        <w:adjustRightInd w:val="0"/>
        <w:snapToGrid w:val="0"/>
        <w:spacing w:line="440" w:lineRule="exact"/>
        <w:jc w:val="left"/>
        <w:rPr>
          <w:rFonts w:ascii="宋体" w:hAnsi="宋体" w:cs="宋体"/>
          <w:b/>
          <w:bCs/>
          <w:snapToGrid w:val="0"/>
          <w:color w:val="auto"/>
          <w:kern w:val="0"/>
          <w:szCs w:val="24"/>
          <w:highlight w:val="none"/>
        </w:rPr>
      </w:pPr>
    </w:p>
    <w:p w14:paraId="38E5AADC">
      <w:pPr>
        <w:spacing w:line="360" w:lineRule="auto"/>
        <w:ind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本项目拟投入的人员基本情况表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1476"/>
        <w:gridCol w:w="1385"/>
        <w:gridCol w:w="3360"/>
      </w:tblGrid>
      <w:tr w14:paraId="1272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358" w:type="dxa"/>
            <w:vAlign w:val="center"/>
          </w:tcPr>
          <w:p w14:paraId="6F65ECF1">
            <w:pPr>
              <w:adjustRightInd w:val="0"/>
              <w:snapToGrid w:val="0"/>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人员安排</w:t>
            </w:r>
          </w:p>
        </w:tc>
        <w:tc>
          <w:tcPr>
            <w:tcW w:w="1476" w:type="dxa"/>
            <w:vAlign w:val="center"/>
          </w:tcPr>
          <w:p w14:paraId="3B19F90A">
            <w:pPr>
              <w:adjustRightInd w:val="0"/>
              <w:snapToGrid w:val="0"/>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1385" w:type="dxa"/>
            <w:vAlign w:val="center"/>
          </w:tcPr>
          <w:p w14:paraId="1E01D582">
            <w:pPr>
              <w:adjustRightInd w:val="0"/>
              <w:snapToGrid w:val="0"/>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年 龄</w:t>
            </w:r>
          </w:p>
        </w:tc>
        <w:tc>
          <w:tcPr>
            <w:tcW w:w="3360" w:type="dxa"/>
            <w:vAlign w:val="center"/>
          </w:tcPr>
          <w:p w14:paraId="0DFCF796">
            <w:pPr>
              <w:adjustRightInd w:val="0"/>
              <w:snapToGrid w:val="0"/>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职称证或注册执业专业</w:t>
            </w:r>
          </w:p>
        </w:tc>
      </w:tr>
      <w:tr w14:paraId="13AB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jc w:val="center"/>
        </w:trPr>
        <w:tc>
          <w:tcPr>
            <w:tcW w:w="2358" w:type="dxa"/>
            <w:vAlign w:val="center"/>
          </w:tcPr>
          <w:p w14:paraId="36316D1E">
            <w:pPr>
              <w:adjustRightInd w:val="0"/>
              <w:snapToGrid w:val="0"/>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项目负责人</w:t>
            </w:r>
          </w:p>
          <w:p w14:paraId="463FCD26">
            <w:pPr>
              <w:adjustRightInd w:val="0"/>
              <w:snapToGrid w:val="0"/>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（即设计负责人）</w:t>
            </w:r>
          </w:p>
        </w:tc>
        <w:tc>
          <w:tcPr>
            <w:tcW w:w="1476" w:type="dxa"/>
            <w:vAlign w:val="center"/>
          </w:tcPr>
          <w:p w14:paraId="6A31FB63">
            <w:pPr>
              <w:adjustRightInd w:val="0"/>
              <w:snapToGrid w:val="0"/>
              <w:spacing w:line="440" w:lineRule="exact"/>
              <w:rPr>
                <w:rFonts w:ascii="宋体" w:hAnsi="宋体" w:cs="宋体"/>
                <w:color w:val="auto"/>
                <w:sz w:val="24"/>
                <w:szCs w:val="24"/>
                <w:highlight w:val="none"/>
              </w:rPr>
            </w:pPr>
          </w:p>
        </w:tc>
        <w:tc>
          <w:tcPr>
            <w:tcW w:w="1385" w:type="dxa"/>
          </w:tcPr>
          <w:p w14:paraId="3DFC6741">
            <w:pPr>
              <w:adjustRightInd w:val="0"/>
              <w:snapToGrid w:val="0"/>
              <w:spacing w:line="440" w:lineRule="exact"/>
              <w:rPr>
                <w:rFonts w:ascii="宋体" w:hAnsi="宋体" w:cs="宋体"/>
                <w:color w:val="auto"/>
                <w:sz w:val="24"/>
                <w:szCs w:val="24"/>
                <w:highlight w:val="none"/>
              </w:rPr>
            </w:pPr>
          </w:p>
        </w:tc>
        <w:tc>
          <w:tcPr>
            <w:tcW w:w="3360" w:type="dxa"/>
            <w:vAlign w:val="center"/>
          </w:tcPr>
          <w:p w14:paraId="78A08C6C">
            <w:pPr>
              <w:adjustRightInd w:val="0"/>
              <w:snapToGrid w:val="0"/>
              <w:spacing w:line="440" w:lineRule="exact"/>
              <w:rPr>
                <w:rFonts w:ascii="宋体" w:hAnsi="宋体" w:cs="宋体"/>
                <w:color w:val="auto"/>
                <w:sz w:val="24"/>
                <w:szCs w:val="24"/>
                <w:highlight w:val="none"/>
              </w:rPr>
            </w:pPr>
          </w:p>
        </w:tc>
      </w:tr>
      <w:tr w14:paraId="50F8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8" w:type="dxa"/>
            <w:vAlign w:val="center"/>
          </w:tcPr>
          <w:p w14:paraId="3F8136A2">
            <w:pPr>
              <w:adjustRightInd w:val="0"/>
              <w:snapToGrid w:val="0"/>
              <w:spacing w:line="440" w:lineRule="exact"/>
              <w:jc w:val="center"/>
              <w:rPr>
                <w:rFonts w:ascii="宋体" w:hAnsi="宋体" w:cs="宋体"/>
                <w:b/>
                <w:color w:val="auto"/>
                <w:sz w:val="24"/>
                <w:szCs w:val="24"/>
                <w:highlight w:val="none"/>
              </w:rPr>
            </w:pPr>
          </w:p>
        </w:tc>
        <w:tc>
          <w:tcPr>
            <w:tcW w:w="1476" w:type="dxa"/>
            <w:vAlign w:val="center"/>
          </w:tcPr>
          <w:p w14:paraId="6FFA6FD8">
            <w:pPr>
              <w:adjustRightInd w:val="0"/>
              <w:snapToGrid w:val="0"/>
              <w:spacing w:line="440" w:lineRule="exact"/>
              <w:rPr>
                <w:rFonts w:ascii="宋体" w:hAnsi="宋体" w:cs="宋体"/>
                <w:color w:val="auto"/>
                <w:sz w:val="24"/>
                <w:szCs w:val="24"/>
                <w:highlight w:val="none"/>
              </w:rPr>
            </w:pPr>
          </w:p>
        </w:tc>
        <w:tc>
          <w:tcPr>
            <w:tcW w:w="1385" w:type="dxa"/>
          </w:tcPr>
          <w:p w14:paraId="4E52CBBF">
            <w:pPr>
              <w:adjustRightInd w:val="0"/>
              <w:snapToGrid w:val="0"/>
              <w:spacing w:line="440" w:lineRule="exact"/>
              <w:rPr>
                <w:rFonts w:ascii="宋体" w:hAnsi="宋体" w:cs="宋体"/>
                <w:color w:val="auto"/>
                <w:sz w:val="24"/>
                <w:szCs w:val="24"/>
                <w:highlight w:val="none"/>
              </w:rPr>
            </w:pPr>
          </w:p>
        </w:tc>
        <w:tc>
          <w:tcPr>
            <w:tcW w:w="3360" w:type="dxa"/>
            <w:vAlign w:val="center"/>
          </w:tcPr>
          <w:p w14:paraId="3146D2CB">
            <w:pPr>
              <w:adjustRightInd w:val="0"/>
              <w:snapToGrid w:val="0"/>
              <w:spacing w:line="440" w:lineRule="exact"/>
              <w:rPr>
                <w:rFonts w:ascii="宋体" w:hAnsi="宋体" w:cs="宋体"/>
                <w:color w:val="auto"/>
                <w:sz w:val="24"/>
                <w:szCs w:val="24"/>
                <w:highlight w:val="none"/>
              </w:rPr>
            </w:pPr>
          </w:p>
        </w:tc>
      </w:tr>
      <w:tr w14:paraId="4AB8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8" w:type="dxa"/>
            <w:vAlign w:val="center"/>
          </w:tcPr>
          <w:p w14:paraId="67EE86CC">
            <w:pPr>
              <w:adjustRightInd w:val="0"/>
              <w:snapToGrid w:val="0"/>
              <w:spacing w:line="440" w:lineRule="exact"/>
              <w:jc w:val="center"/>
              <w:rPr>
                <w:rFonts w:ascii="宋体" w:hAnsi="宋体" w:cs="宋体"/>
                <w:color w:val="auto"/>
                <w:sz w:val="24"/>
                <w:szCs w:val="24"/>
                <w:highlight w:val="none"/>
              </w:rPr>
            </w:pPr>
          </w:p>
        </w:tc>
        <w:tc>
          <w:tcPr>
            <w:tcW w:w="1476" w:type="dxa"/>
            <w:vAlign w:val="center"/>
          </w:tcPr>
          <w:p w14:paraId="29EE801A">
            <w:pPr>
              <w:adjustRightInd w:val="0"/>
              <w:snapToGrid w:val="0"/>
              <w:spacing w:line="440" w:lineRule="exact"/>
              <w:rPr>
                <w:rFonts w:ascii="宋体" w:hAnsi="宋体" w:cs="宋体"/>
                <w:color w:val="auto"/>
                <w:sz w:val="24"/>
                <w:szCs w:val="24"/>
                <w:highlight w:val="none"/>
              </w:rPr>
            </w:pPr>
          </w:p>
        </w:tc>
        <w:tc>
          <w:tcPr>
            <w:tcW w:w="1385" w:type="dxa"/>
          </w:tcPr>
          <w:p w14:paraId="09595724">
            <w:pPr>
              <w:adjustRightInd w:val="0"/>
              <w:snapToGrid w:val="0"/>
              <w:spacing w:line="440" w:lineRule="exact"/>
              <w:rPr>
                <w:rFonts w:ascii="宋体" w:hAnsi="宋体" w:cs="宋体"/>
                <w:color w:val="auto"/>
                <w:sz w:val="24"/>
                <w:szCs w:val="24"/>
                <w:highlight w:val="none"/>
              </w:rPr>
            </w:pPr>
          </w:p>
        </w:tc>
        <w:tc>
          <w:tcPr>
            <w:tcW w:w="3360" w:type="dxa"/>
            <w:vAlign w:val="center"/>
          </w:tcPr>
          <w:p w14:paraId="1C2C50FD">
            <w:pPr>
              <w:adjustRightInd w:val="0"/>
              <w:snapToGrid w:val="0"/>
              <w:spacing w:line="440" w:lineRule="exact"/>
              <w:rPr>
                <w:rFonts w:ascii="宋体" w:hAnsi="宋体" w:cs="宋体"/>
                <w:color w:val="auto"/>
                <w:sz w:val="24"/>
                <w:szCs w:val="24"/>
                <w:highlight w:val="none"/>
              </w:rPr>
            </w:pPr>
          </w:p>
        </w:tc>
      </w:tr>
      <w:tr w14:paraId="4CDC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8" w:type="dxa"/>
            <w:vAlign w:val="center"/>
          </w:tcPr>
          <w:p w14:paraId="5DFC30F8">
            <w:pPr>
              <w:adjustRightInd w:val="0"/>
              <w:snapToGrid w:val="0"/>
              <w:spacing w:line="440" w:lineRule="exact"/>
              <w:jc w:val="center"/>
              <w:rPr>
                <w:rFonts w:ascii="宋体" w:hAnsi="宋体" w:cs="宋体"/>
                <w:b/>
                <w:color w:val="auto"/>
                <w:sz w:val="24"/>
                <w:szCs w:val="24"/>
                <w:highlight w:val="none"/>
              </w:rPr>
            </w:pPr>
          </w:p>
        </w:tc>
        <w:tc>
          <w:tcPr>
            <w:tcW w:w="1476" w:type="dxa"/>
            <w:vAlign w:val="center"/>
          </w:tcPr>
          <w:p w14:paraId="3D0AC621">
            <w:pPr>
              <w:adjustRightInd w:val="0"/>
              <w:snapToGrid w:val="0"/>
              <w:spacing w:line="440" w:lineRule="exact"/>
              <w:rPr>
                <w:rFonts w:ascii="宋体" w:hAnsi="宋体" w:cs="宋体"/>
                <w:color w:val="auto"/>
                <w:sz w:val="24"/>
                <w:szCs w:val="24"/>
                <w:highlight w:val="none"/>
              </w:rPr>
            </w:pPr>
          </w:p>
        </w:tc>
        <w:tc>
          <w:tcPr>
            <w:tcW w:w="1385" w:type="dxa"/>
          </w:tcPr>
          <w:p w14:paraId="0E9334BF">
            <w:pPr>
              <w:adjustRightInd w:val="0"/>
              <w:snapToGrid w:val="0"/>
              <w:spacing w:line="440" w:lineRule="exact"/>
              <w:rPr>
                <w:rFonts w:ascii="宋体" w:hAnsi="宋体" w:cs="宋体"/>
                <w:color w:val="auto"/>
                <w:sz w:val="24"/>
                <w:szCs w:val="24"/>
                <w:highlight w:val="none"/>
              </w:rPr>
            </w:pPr>
          </w:p>
        </w:tc>
        <w:tc>
          <w:tcPr>
            <w:tcW w:w="3360" w:type="dxa"/>
            <w:vAlign w:val="center"/>
          </w:tcPr>
          <w:p w14:paraId="76F651BC">
            <w:pPr>
              <w:adjustRightInd w:val="0"/>
              <w:snapToGrid w:val="0"/>
              <w:spacing w:line="440" w:lineRule="exact"/>
              <w:rPr>
                <w:rFonts w:ascii="宋体" w:hAnsi="宋体" w:cs="宋体"/>
                <w:color w:val="auto"/>
                <w:sz w:val="24"/>
                <w:szCs w:val="24"/>
                <w:highlight w:val="none"/>
              </w:rPr>
            </w:pPr>
          </w:p>
        </w:tc>
      </w:tr>
      <w:tr w14:paraId="0CBE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8" w:type="dxa"/>
            <w:vAlign w:val="center"/>
          </w:tcPr>
          <w:p w14:paraId="2470F99A">
            <w:pPr>
              <w:adjustRightInd w:val="0"/>
              <w:snapToGrid w:val="0"/>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....各专业负责人</w:t>
            </w:r>
          </w:p>
        </w:tc>
        <w:tc>
          <w:tcPr>
            <w:tcW w:w="1476" w:type="dxa"/>
            <w:vAlign w:val="center"/>
          </w:tcPr>
          <w:p w14:paraId="095BCCEC">
            <w:pPr>
              <w:adjustRightInd w:val="0"/>
              <w:snapToGrid w:val="0"/>
              <w:spacing w:line="440" w:lineRule="exact"/>
              <w:rPr>
                <w:rFonts w:ascii="宋体" w:hAnsi="宋体" w:cs="宋体"/>
                <w:color w:val="auto"/>
                <w:sz w:val="24"/>
                <w:szCs w:val="24"/>
                <w:highlight w:val="none"/>
              </w:rPr>
            </w:pPr>
          </w:p>
        </w:tc>
        <w:tc>
          <w:tcPr>
            <w:tcW w:w="1385" w:type="dxa"/>
          </w:tcPr>
          <w:p w14:paraId="6220D6AB">
            <w:pPr>
              <w:adjustRightInd w:val="0"/>
              <w:snapToGrid w:val="0"/>
              <w:spacing w:line="440" w:lineRule="exact"/>
              <w:rPr>
                <w:rFonts w:ascii="宋体" w:hAnsi="宋体" w:cs="宋体"/>
                <w:color w:val="auto"/>
                <w:sz w:val="24"/>
                <w:szCs w:val="24"/>
                <w:highlight w:val="none"/>
              </w:rPr>
            </w:pPr>
          </w:p>
        </w:tc>
        <w:tc>
          <w:tcPr>
            <w:tcW w:w="3360" w:type="dxa"/>
            <w:vAlign w:val="center"/>
          </w:tcPr>
          <w:p w14:paraId="313B4738">
            <w:pPr>
              <w:adjustRightInd w:val="0"/>
              <w:snapToGrid w:val="0"/>
              <w:spacing w:line="440" w:lineRule="exact"/>
              <w:rPr>
                <w:rFonts w:ascii="宋体" w:hAnsi="宋体" w:cs="宋体"/>
                <w:color w:val="auto"/>
                <w:sz w:val="24"/>
                <w:szCs w:val="24"/>
                <w:highlight w:val="none"/>
              </w:rPr>
            </w:pPr>
          </w:p>
        </w:tc>
      </w:tr>
      <w:tr w14:paraId="3525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2358" w:type="dxa"/>
            <w:vAlign w:val="center"/>
          </w:tcPr>
          <w:p w14:paraId="272C24BE">
            <w:pPr>
              <w:adjustRightInd w:val="0"/>
              <w:snapToGrid w:val="0"/>
              <w:spacing w:line="440" w:lineRule="exact"/>
              <w:rPr>
                <w:rFonts w:ascii="宋体" w:hAnsi="宋体" w:cs="宋体"/>
                <w:b/>
                <w:color w:val="auto"/>
                <w:sz w:val="24"/>
                <w:szCs w:val="24"/>
                <w:highlight w:val="none"/>
              </w:rPr>
            </w:pPr>
          </w:p>
        </w:tc>
        <w:tc>
          <w:tcPr>
            <w:tcW w:w="1476" w:type="dxa"/>
            <w:vAlign w:val="center"/>
          </w:tcPr>
          <w:p w14:paraId="51C5B9EB">
            <w:pPr>
              <w:adjustRightInd w:val="0"/>
              <w:snapToGrid w:val="0"/>
              <w:spacing w:line="440" w:lineRule="exact"/>
              <w:rPr>
                <w:rFonts w:ascii="宋体" w:hAnsi="宋体" w:cs="宋体"/>
                <w:color w:val="auto"/>
                <w:sz w:val="24"/>
                <w:szCs w:val="24"/>
                <w:highlight w:val="none"/>
              </w:rPr>
            </w:pPr>
          </w:p>
        </w:tc>
        <w:tc>
          <w:tcPr>
            <w:tcW w:w="1385" w:type="dxa"/>
          </w:tcPr>
          <w:p w14:paraId="10AA9D33">
            <w:pPr>
              <w:adjustRightInd w:val="0"/>
              <w:snapToGrid w:val="0"/>
              <w:spacing w:line="440" w:lineRule="exact"/>
              <w:rPr>
                <w:rFonts w:ascii="宋体" w:hAnsi="宋体" w:cs="宋体"/>
                <w:color w:val="auto"/>
                <w:sz w:val="24"/>
                <w:szCs w:val="24"/>
                <w:highlight w:val="none"/>
              </w:rPr>
            </w:pPr>
          </w:p>
        </w:tc>
        <w:tc>
          <w:tcPr>
            <w:tcW w:w="3360" w:type="dxa"/>
            <w:vAlign w:val="center"/>
          </w:tcPr>
          <w:p w14:paraId="33DD8519">
            <w:pPr>
              <w:adjustRightInd w:val="0"/>
              <w:snapToGrid w:val="0"/>
              <w:spacing w:line="440" w:lineRule="exact"/>
              <w:rPr>
                <w:rFonts w:ascii="宋体" w:hAnsi="宋体" w:cs="宋体"/>
                <w:color w:val="auto"/>
                <w:sz w:val="24"/>
                <w:szCs w:val="24"/>
                <w:highlight w:val="none"/>
              </w:rPr>
            </w:pPr>
          </w:p>
        </w:tc>
      </w:tr>
      <w:tr w14:paraId="79B1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exact"/>
          <w:jc w:val="center"/>
        </w:trPr>
        <w:tc>
          <w:tcPr>
            <w:tcW w:w="2358" w:type="dxa"/>
            <w:vAlign w:val="center"/>
          </w:tcPr>
          <w:p w14:paraId="60467805">
            <w:pPr>
              <w:adjustRightInd w:val="0"/>
              <w:snapToGrid w:val="0"/>
              <w:spacing w:line="440" w:lineRule="exact"/>
              <w:rPr>
                <w:rFonts w:ascii="宋体" w:hAnsi="宋体" w:cs="宋体"/>
                <w:b/>
                <w:color w:val="auto"/>
                <w:sz w:val="24"/>
                <w:szCs w:val="24"/>
                <w:highlight w:val="none"/>
              </w:rPr>
            </w:pPr>
          </w:p>
        </w:tc>
        <w:tc>
          <w:tcPr>
            <w:tcW w:w="1476" w:type="dxa"/>
            <w:vAlign w:val="center"/>
          </w:tcPr>
          <w:p w14:paraId="71C5DA04">
            <w:pPr>
              <w:adjustRightInd w:val="0"/>
              <w:snapToGrid w:val="0"/>
              <w:spacing w:line="440" w:lineRule="exact"/>
              <w:rPr>
                <w:rFonts w:ascii="宋体" w:hAnsi="宋体" w:cs="宋体"/>
                <w:color w:val="auto"/>
                <w:sz w:val="24"/>
                <w:szCs w:val="24"/>
                <w:highlight w:val="none"/>
              </w:rPr>
            </w:pPr>
          </w:p>
        </w:tc>
        <w:tc>
          <w:tcPr>
            <w:tcW w:w="1385" w:type="dxa"/>
          </w:tcPr>
          <w:p w14:paraId="26F69A5A">
            <w:pPr>
              <w:adjustRightInd w:val="0"/>
              <w:snapToGrid w:val="0"/>
              <w:spacing w:line="440" w:lineRule="exact"/>
              <w:rPr>
                <w:rFonts w:ascii="宋体" w:hAnsi="宋体" w:cs="宋体"/>
                <w:color w:val="auto"/>
                <w:sz w:val="24"/>
                <w:szCs w:val="24"/>
                <w:highlight w:val="none"/>
              </w:rPr>
            </w:pPr>
          </w:p>
        </w:tc>
        <w:tc>
          <w:tcPr>
            <w:tcW w:w="3360" w:type="dxa"/>
            <w:vAlign w:val="center"/>
          </w:tcPr>
          <w:p w14:paraId="0480E866">
            <w:pPr>
              <w:adjustRightInd w:val="0"/>
              <w:snapToGrid w:val="0"/>
              <w:spacing w:line="440" w:lineRule="exact"/>
              <w:rPr>
                <w:rFonts w:ascii="宋体" w:hAnsi="宋体" w:cs="宋体"/>
                <w:color w:val="auto"/>
                <w:sz w:val="24"/>
                <w:szCs w:val="24"/>
                <w:highlight w:val="none"/>
              </w:rPr>
            </w:pPr>
          </w:p>
        </w:tc>
      </w:tr>
      <w:tr w14:paraId="42F0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8" w:type="dxa"/>
            <w:vAlign w:val="center"/>
          </w:tcPr>
          <w:p w14:paraId="24670670">
            <w:pPr>
              <w:adjustRightInd w:val="0"/>
              <w:snapToGrid w:val="0"/>
              <w:spacing w:line="440" w:lineRule="exact"/>
              <w:rPr>
                <w:rFonts w:ascii="宋体" w:hAnsi="宋体" w:cs="宋体"/>
                <w:b/>
                <w:color w:val="auto"/>
                <w:sz w:val="24"/>
                <w:szCs w:val="24"/>
                <w:highlight w:val="none"/>
              </w:rPr>
            </w:pPr>
          </w:p>
        </w:tc>
        <w:tc>
          <w:tcPr>
            <w:tcW w:w="1476" w:type="dxa"/>
            <w:vAlign w:val="center"/>
          </w:tcPr>
          <w:p w14:paraId="7BC749C8">
            <w:pPr>
              <w:adjustRightInd w:val="0"/>
              <w:snapToGrid w:val="0"/>
              <w:spacing w:line="440" w:lineRule="exact"/>
              <w:rPr>
                <w:rFonts w:ascii="宋体" w:hAnsi="宋体" w:cs="宋体"/>
                <w:color w:val="auto"/>
                <w:sz w:val="24"/>
                <w:szCs w:val="24"/>
                <w:highlight w:val="none"/>
              </w:rPr>
            </w:pPr>
          </w:p>
        </w:tc>
        <w:tc>
          <w:tcPr>
            <w:tcW w:w="1385" w:type="dxa"/>
          </w:tcPr>
          <w:p w14:paraId="2CADBEEC">
            <w:pPr>
              <w:adjustRightInd w:val="0"/>
              <w:snapToGrid w:val="0"/>
              <w:spacing w:line="440" w:lineRule="exact"/>
              <w:rPr>
                <w:rFonts w:ascii="宋体" w:hAnsi="宋体" w:cs="宋体"/>
                <w:color w:val="auto"/>
                <w:sz w:val="24"/>
                <w:szCs w:val="24"/>
                <w:highlight w:val="none"/>
              </w:rPr>
            </w:pPr>
          </w:p>
        </w:tc>
        <w:tc>
          <w:tcPr>
            <w:tcW w:w="3360" w:type="dxa"/>
            <w:vAlign w:val="center"/>
          </w:tcPr>
          <w:p w14:paraId="1C56E4B7">
            <w:pPr>
              <w:adjustRightInd w:val="0"/>
              <w:snapToGrid w:val="0"/>
              <w:spacing w:line="440" w:lineRule="exact"/>
              <w:rPr>
                <w:rFonts w:ascii="宋体" w:hAnsi="宋体" w:cs="宋体"/>
                <w:color w:val="auto"/>
                <w:sz w:val="24"/>
                <w:szCs w:val="24"/>
                <w:highlight w:val="none"/>
              </w:rPr>
            </w:pPr>
          </w:p>
        </w:tc>
      </w:tr>
      <w:tr w14:paraId="6B86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8" w:type="dxa"/>
            <w:vAlign w:val="center"/>
          </w:tcPr>
          <w:p w14:paraId="2AC1F3E9">
            <w:pPr>
              <w:adjustRightInd w:val="0"/>
              <w:snapToGrid w:val="0"/>
              <w:spacing w:line="440" w:lineRule="exact"/>
              <w:rPr>
                <w:rFonts w:ascii="宋体" w:hAnsi="宋体" w:cs="宋体"/>
                <w:b/>
                <w:color w:val="auto"/>
                <w:sz w:val="24"/>
                <w:szCs w:val="24"/>
                <w:highlight w:val="none"/>
              </w:rPr>
            </w:pPr>
          </w:p>
        </w:tc>
        <w:tc>
          <w:tcPr>
            <w:tcW w:w="1476" w:type="dxa"/>
            <w:vAlign w:val="center"/>
          </w:tcPr>
          <w:p w14:paraId="34F883D9">
            <w:pPr>
              <w:adjustRightInd w:val="0"/>
              <w:snapToGrid w:val="0"/>
              <w:spacing w:line="440" w:lineRule="exact"/>
              <w:rPr>
                <w:rFonts w:ascii="宋体" w:hAnsi="宋体" w:cs="宋体"/>
                <w:color w:val="auto"/>
                <w:sz w:val="24"/>
                <w:szCs w:val="24"/>
                <w:highlight w:val="none"/>
              </w:rPr>
            </w:pPr>
          </w:p>
        </w:tc>
        <w:tc>
          <w:tcPr>
            <w:tcW w:w="1385" w:type="dxa"/>
          </w:tcPr>
          <w:p w14:paraId="0C9BEA2A">
            <w:pPr>
              <w:adjustRightInd w:val="0"/>
              <w:snapToGrid w:val="0"/>
              <w:spacing w:line="440" w:lineRule="exact"/>
              <w:rPr>
                <w:rFonts w:ascii="宋体" w:hAnsi="宋体" w:cs="宋体"/>
                <w:color w:val="auto"/>
                <w:sz w:val="24"/>
                <w:szCs w:val="24"/>
                <w:highlight w:val="none"/>
              </w:rPr>
            </w:pPr>
          </w:p>
        </w:tc>
        <w:tc>
          <w:tcPr>
            <w:tcW w:w="3360" w:type="dxa"/>
            <w:vAlign w:val="center"/>
          </w:tcPr>
          <w:p w14:paraId="1B669C05">
            <w:pPr>
              <w:adjustRightInd w:val="0"/>
              <w:snapToGrid w:val="0"/>
              <w:spacing w:line="440" w:lineRule="exact"/>
              <w:rPr>
                <w:rFonts w:ascii="宋体" w:hAnsi="宋体" w:cs="宋体"/>
                <w:color w:val="auto"/>
                <w:sz w:val="24"/>
                <w:szCs w:val="24"/>
                <w:highlight w:val="none"/>
              </w:rPr>
            </w:pPr>
          </w:p>
        </w:tc>
      </w:tr>
      <w:tr w14:paraId="5DCE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2358" w:type="dxa"/>
            <w:vAlign w:val="center"/>
          </w:tcPr>
          <w:p w14:paraId="78B7EB8B">
            <w:pPr>
              <w:adjustRightInd w:val="0"/>
              <w:snapToGrid w:val="0"/>
              <w:spacing w:line="440" w:lineRule="exact"/>
              <w:rPr>
                <w:rFonts w:ascii="宋体" w:hAnsi="宋体" w:cs="宋体"/>
                <w:b/>
                <w:color w:val="auto"/>
                <w:sz w:val="24"/>
                <w:szCs w:val="24"/>
                <w:highlight w:val="none"/>
              </w:rPr>
            </w:pPr>
          </w:p>
        </w:tc>
        <w:tc>
          <w:tcPr>
            <w:tcW w:w="1476" w:type="dxa"/>
            <w:vAlign w:val="center"/>
          </w:tcPr>
          <w:p w14:paraId="5A4A25C1">
            <w:pPr>
              <w:adjustRightInd w:val="0"/>
              <w:snapToGrid w:val="0"/>
              <w:spacing w:line="440" w:lineRule="exact"/>
              <w:rPr>
                <w:rFonts w:ascii="宋体" w:hAnsi="宋体" w:cs="宋体"/>
                <w:color w:val="auto"/>
                <w:sz w:val="24"/>
                <w:szCs w:val="24"/>
                <w:highlight w:val="none"/>
              </w:rPr>
            </w:pPr>
          </w:p>
        </w:tc>
        <w:tc>
          <w:tcPr>
            <w:tcW w:w="1385" w:type="dxa"/>
          </w:tcPr>
          <w:p w14:paraId="329205CF">
            <w:pPr>
              <w:adjustRightInd w:val="0"/>
              <w:snapToGrid w:val="0"/>
              <w:spacing w:line="440" w:lineRule="exact"/>
              <w:rPr>
                <w:rFonts w:ascii="宋体" w:hAnsi="宋体" w:cs="宋体"/>
                <w:color w:val="auto"/>
                <w:sz w:val="24"/>
                <w:szCs w:val="24"/>
                <w:highlight w:val="none"/>
              </w:rPr>
            </w:pPr>
          </w:p>
        </w:tc>
        <w:tc>
          <w:tcPr>
            <w:tcW w:w="3360" w:type="dxa"/>
            <w:vAlign w:val="center"/>
          </w:tcPr>
          <w:p w14:paraId="16056BDC">
            <w:pPr>
              <w:adjustRightInd w:val="0"/>
              <w:snapToGrid w:val="0"/>
              <w:spacing w:line="440" w:lineRule="exact"/>
              <w:rPr>
                <w:rFonts w:ascii="宋体" w:hAnsi="宋体" w:cs="宋体"/>
                <w:color w:val="auto"/>
                <w:sz w:val="24"/>
                <w:szCs w:val="24"/>
                <w:highlight w:val="none"/>
              </w:rPr>
            </w:pPr>
          </w:p>
        </w:tc>
      </w:tr>
    </w:tbl>
    <w:p w14:paraId="6C074EF3">
      <w:pPr>
        <w:pStyle w:val="43"/>
        <w:wordWrap w:val="0"/>
        <w:adjustRightInd w:val="0"/>
        <w:snapToGrid w:val="0"/>
        <w:spacing w:line="440" w:lineRule="exact"/>
        <w:jc w:val="right"/>
        <w:rPr>
          <w:rFonts w:ascii="宋体" w:hAnsi="宋体" w:eastAsia="宋体" w:cs="宋体"/>
          <w:snapToGrid w:val="0"/>
          <w:color w:val="auto"/>
          <w:kern w:val="0"/>
          <w:highlight w:val="none"/>
        </w:rPr>
      </w:pPr>
    </w:p>
    <w:p w14:paraId="1673E263">
      <w:pPr>
        <w:pStyle w:val="12"/>
        <w:rPr>
          <w:snapToGrid w:val="0"/>
          <w:color w:val="auto"/>
          <w:highlight w:val="none"/>
        </w:rPr>
      </w:pPr>
      <w:r>
        <w:rPr>
          <w:rFonts w:hint="eastAsia"/>
          <w:snapToGrid w:val="0"/>
          <w:color w:val="auto"/>
          <w:highlight w:val="none"/>
        </w:rPr>
        <w:t xml:space="preserve">   说明：</w:t>
      </w:r>
    </w:p>
    <w:p w14:paraId="453BE725">
      <w:pPr>
        <w:pStyle w:val="12"/>
        <w:ind w:firstLine="420" w:firstLineChars="200"/>
        <w:rPr>
          <w:rFonts w:ascii="宋体" w:hAnsi="宋体" w:cs="宋体"/>
          <w:snapToGrid w:val="0"/>
          <w:color w:val="auto"/>
          <w:highlight w:val="none"/>
        </w:rPr>
      </w:pPr>
      <w:r>
        <w:rPr>
          <w:rFonts w:hint="eastAsia" w:ascii="宋体" w:hAnsi="宋体" w:cs="宋体"/>
          <w:snapToGrid w:val="0"/>
          <w:color w:val="auto"/>
          <w:highlight w:val="none"/>
        </w:rPr>
        <w:t>1.《本项目拟投入的人员基本情况表》后应附拟派其他主要人员（</w:t>
      </w:r>
      <w:r>
        <w:rPr>
          <w:rFonts w:hint="eastAsia" w:ascii="宋体" w:hAnsi="宋体" w:cs="宋体"/>
          <w:snapToGrid w:val="0"/>
          <w:color w:val="auto"/>
          <w:highlight w:val="none"/>
          <w:lang w:eastAsia="zh-CN"/>
        </w:rPr>
        <w:t>项目</w:t>
      </w:r>
      <w:r>
        <w:rPr>
          <w:rFonts w:hint="eastAsia" w:ascii="宋体" w:hAnsi="宋体" w:cs="宋体"/>
          <w:snapToGrid w:val="0"/>
          <w:color w:val="auto"/>
          <w:highlight w:val="none"/>
        </w:rPr>
        <w:t>负责人除外）以下资料：</w:t>
      </w:r>
    </w:p>
    <w:p w14:paraId="1D7E666B">
      <w:pPr>
        <w:pStyle w:val="12"/>
        <w:ind w:firstLine="420" w:firstLineChars="200"/>
        <w:rPr>
          <w:rFonts w:ascii="宋体" w:hAnsi="宋体" w:cs="宋体"/>
          <w:snapToGrid w:val="0"/>
          <w:color w:val="auto"/>
          <w:highlight w:val="none"/>
        </w:rPr>
      </w:pPr>
      <w:r>
        <w:rPr>
          <w:rFonts w:hint="eastAsia" w:ascii="宋体" w:hAnsi="宋体" w:cs="宋体"/>
          <w:snapToGrid w:val="0"/>
          <w:color w:val="auto"/>
          <w:highlight w:val="none"/>
        </w:rPr>
        <w:t>（1）身份证彩色扫描件或电子身份证；</w:t>
      </w:r>
    </w:p>
    <w:p w14:paraId="12B11C72">
      <w:pPr>
        <w:pStyle w:val="12"/>
        <w:ind w:firstLine="420" w:firstLineChars="200"/>
        <w:rPr>
          <w:rFonts w:ascii="宋体" w:hAnsi="宋体" w:cs="宋体"/>
          <w:snapToGrid w:val="0"/>
          <w:color w:val="auto"/>
          <w:highlight w:val="none"/>
        </w:rPr>
      </w:pPr>
      <w:r>
        <w:rPr>
          <w:rFonts w:hint="eastAsia" w:ascii="宋体" w:hAnsi="宋体" w:cs="宋体"/>
          <w:snapToGrid w:val="0"/>
          <w:color w:val="auto"/>
          <w:highlight w:val="none"/>
        </w:rPr>
        <w:t>（2）职称证（如需）、注册证书（如需）的彩色扫描件（须扫描变更注册栏，电子证书除外）；</w:t>
      </w:r>
    </w:p>
    <w:p w14:paraId="138AC43B">
      <w:pPr>
        <w:pStyle w:val="12"/>
        <w:ind w:firstLine="420" w:firstLineChars="200"/>
        <w:rPr>
          <w:rFonts w:ascii="宋体" w:hAnsi="宋体" w:cs="宋体"/>
          <w:snapToGrid w:val="0"/>
          <w:color w:val="auto"/>
          <w:highlight w:val="none"/>
        </w:rPr>
      </w:pPr>
      <w:r>
        <w:rPr>
          <w:rFonts w:hint="eastAsia" w:ascii="宋体" w:hAnsi="宋体" w:cs="宋体"/>
          <w:snapToGrid w:val="0"/>
          <w:color w:val="auto"/>
          <w:highlight w:val="none"/>
        </w:rPr>
        <w:t>（3）</w:t>
      </w:r>
      <w:r>
        <w:rPr>
          <w:rFonts w:hint="eastAsia" w:ascii="宋体" w:hAnsi="宋体" w:cs="宋体"/>
          <w:snapToGrid w:val="0"/>
          <w:color w:val="auto"/>
          <w:kern w:val="0"/>
          <w:szCs w:val="28"/>
          <w:highlight w:val="none"/>
        </w:rPr>
        <w:t>在本单位（或分支机构）缴纳社保的有效证明（至少提供3个月，其中必须有202</w:t>
      </w:r>
      <w:r>
        <w:rPr>
          <w:rFonts w:hint="eastAsia" w:ascii="宋体" w:hAnsi="宋体" w:cs="宋体"/>
          <w:snapToGrid w:val="0"/>
          <w:color w:val="auto"/>
          <w:kern w:val="0"/>
          <w:szCs w:val="28"/>
          <w:highlight w:val="none"/>
          <w:lang w:val="en-US" w:eastAsia="zh-CN"/>
        </w:rPr>
        <w:t>6</w:t>
      </w:r>
      <w:r>
        <w:rPr>
          <w:rFonts w:hint="eastAsia" w:ascii="宋体" w:hAnsi="宋体" w:cs="宋体"/>
          <w:snapToGrid w:val="0"/>
          <w:color w:val="auto"/>
          <w:kern w:val="0"/>
          <w:szCs w:val="28"/>
          <w:highlight w:val="none"/>
        </w:rPr>
        <w:t>年</w:t>
      </w:r>
      <w:r>
        <w:rPr>
          <w:rFonts w:hint="eastAsia" w:ascii="宋体" w:hAnsi="宋体" w:cs="宋体"/>
          <w:snapToGrid w:val="0"/>
          <w:color w:val="auto"/>
          <w:kern w:val="0"/>
          <w:szCs w:val="28"/>
          <w:highlight w:val="none"/>
          <w:lang w:val="en-US" w:eastAsia="zh-CN"/>
        </w:rPr>
        <w:t>5</w:t>
      </w:r>
      <w:r>
        <w:rPr>
          <w:rFonts w:hint="eastAsia" w:ascii="宋体" w:hAnsi="宋体" w:cs="宋体"/>
          <w:snapToGrid w:val="0"/>
          <w:color w:val="auto"/>
          <w:kern w:val="0"/>
          <w:szCs w:val="28"/>
          <w:highlight w:val="none"/>
        </w:rPr>
        <w:t>月）彩色扫描件；</w:t>
      </w:r>
      <w:r>
        <w:rPr>
          <w:rFonts w:hint="eastAsia" w:ascii="宋体" w:hAnsi="宋体" w:cs="宋体"/>
          <w:snapToGrid w:val="0"/>
          <w:color w:val="auto"/>
          <w:highlight w:val="none"/>
        </w:rPr>
        <w:t>拟派人员为退休返聘人员无法提供社保证明的，提供退休证和劳动合同彩色扫描件；</w:t>
      </w:r>
    </w:p>
    <w:p w14:paraId="1D0C121E">
      <w:pPr>
        <w:pStyle w:val="12"/>
        <w:ind w:firstLine="420" w:firstLineChars="200"/>
        <w:rPr>
          <w:rFonts w:ascii="宋体" w:hAnsi="宋体" w:cs="宋体"/>
          <w:snapToGrid w:val="0"/>
          <w:color w:val="auto"/>
          <w:highlight w:val="none"/>
        </w:rPr>
      </w:pPr>
      <w:r>
        <w:rPr>
          <w:rFonts w:hint="eastAsia" w:ascii="宋体" w:hAnsi="宋体" w:cs="宋体"/>
          <w:snapToGrid w:val="0"/>
          <w:color w:val="auto"/>
          <w:highlight w:val="none"/>
        </w:rPr>
        <w:t>2．联合体投标的，《本项目拟投入的人员基本情况表》应包括联合体成员单位参与项目管理机构的人员，并提供以上所需资料。</w:t>
      </w:r>
    </w:p>
    <w:p w14:paraId="325CED0B">
      <w:pPr>
        <w:pStyle w:val="12"/>
        <w:rPr>
          <w:snapToGrid w:val="0"/>
          <w:color w:val="auto"/>
          <w:highlight w:val="none"/>
        </w:rPr>
      </w:pPr>
    </w:p>
    <w:p w14:paraId="1F533FD3">
      <w:pPr>
        <w:pStyle w:val="12"/>
        <w:rPr>
          <w:snapToGrid w:val="0"/>
          <w:color w:val="auto"/>
          <w:highlight w:val="none"/>
        </w:rPr>
      </w:pPr>
    </w:p>
    <w:p w14:paraId="7A44C4D5">
      <w:pPr>
        <w:pStyle w:val="12"/>
        <w:rPr>
          <w:snapToGrid w:val="0"/>
          <w:color w:val="auto"/>
          <w:highlight w:val="none"/>
        </w:rPr>
      </w:pPr>
    </w:p>
    <w:p w14:paraId="398BC360">
      <w:pPr>
        <w:pStyle w:val="12"/>
        <w:rPr>
          <w:snapToGrid w:val="0"/>
          <w:color w:val="auto"/>
          <w:highlight w:val="none"/>
        </w:rPr>
      </w:pPr>
    </w:p>
    <w:p w14:paraId="3285A624">
      <w:pPr>
        <w:pStyle w:val="12"/>
        <w:rPr>
          <w:snapToGrid w:val="0"/>
          <w:color w:val="auto"/>
          <w:highlight w:val="none"/>
        </w:rPr>
      </w:pPr>
    </w:p>
    <w:p w14:paraId="4FD07B4D">
      <w:pPr>
        <w:pStyle w:val="3"/>
        <w:numPr>
          <w:ilvl w:val="1"/>
          <w:numId w:val="0"/>
        </w:numPr>
        <w:spacing w:before="158" w:after="158"/>
        <w:rPr>
          <w:color w:val="auto"/>
          <w:sz w:val="28"/>
          <w:szCs w:val="28"/>
          <w:highlight w:val="none"/>
        </w:rPr>
      </w:pPr>
      <w:bookmarkStart w:id="312" w:name="_Toc10338"/>
      <w:bookmarkStart w:id="313" w:name="_Toc26197"/>
      <w:r>
        <w:rPr>
          <w:rFonts w:hint="eastAsia"/>
          <w:color w:val="auto"/>
          <w:sz w:val="28"/>
          <w:szCs w:val="28"/>
          <w:highlight w:val="none"/>
        </w:rPr>
        <w:br w:type="page"/>
      </w:r>
      <w:bookmarkStart w:id="314" w:name="_Toc19601"/>
      <w:r>
        <w:rPr>
          <w:rFonts w:hint="eastAsia"/>
          <w:color w:val="auto"/>
          <w:sz w:val="28"/>
          <w:szCs w:val="28"/>
          <w:highlight w:val="none"/>
        </w:rPr>
        <w:t>格式</w:t>
      </w:r>
      <w:bookmarkEnd w:id="312"/>
      <w:bookmarkEnd w:id="313"/>
      <w:r>
        <w:rPr>
          <w:rFonts w:hint="eastAsia"/>
          <w:color w:val="auto"/>
          <w:sz w:val="28"/>
          <w:szCs w:val="28"/>
          <w:highlight w:val="none"/>
        </w:rPr>
        <w:t>八</w:t>
      </w:r>
      <w:bookmarkEnd w:id="314"/>
    </w:p>
    <w:p w14:paraId="002C25E8">
      <w:pPr>
        <w:spacing w:line="360" w:lineRule="auto"/>
        <w:ind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法定代表人身份证明书</w:t>
      </w:r>
    </w:p>
    <w:p w14:paraId="5AB44730">
      <w:pPr>
        <w:spacing w:line="360" w:lineRule="auto"/>
        <w:jc w:val="center"/>
        <w:rPr>
          <w:rFonts w:ascii="宋体" w:hAnsi="宋体" w:cs="宋体"/>
          <w:b/>
          <w:color w:val="auto"/>
          <w:sz w:val="32"/>
          <w:szCs w:val="32"/>
          <w:highlight w:val="none"/>
        </w:rPr>
      </w:pPr>
    </w:p>
    <w:p w14:paraId="3E63EAC8">
      <w:pPr>
        <w:snapToGrid w:val="0"/>
        <w:spacing w:line="440" w:lineRule="exact"/>
        <w:ind w:firstLine="480" w:firstLineChars="200"/>
        <w:rPr>
          <w:rFonts w:ascii="宋体" w:hAnsi="宋体" w:cs="宋体"/>
          <w:color w:val="auto"/>
          <w:sz w:val="24"/>
          <w:szCs w:val="24"/>
          <w:highlight w:val="none"/>
          <w:u w:val="single"/>
        </w:rPr>
      </w:pPr>
      <w:bookmarkStart w:id="315" w:name="_Toc118541763"/>
      <w:bookmarkStart w:id="316" w:name="_Toc48547015"/>
      <w:bookmarkStart w:id="317" w:name="_Toc535300004"/>
      <w:r>
        <w:rPr>
          <w:rFonts w:hint="eastAsia" w:ascii="宋体" w:hAnsi="宋体" w:cs="宋体"/>
          <w:color w:val="auto"/>
          <w:sz w:val="24"/>
          <w:szCs w:val="24"/>
          <w:highlight w:val="none"/>
        </w:rPr>
        <w:t>投 标 人：</w:t>
      </w:r>
      <w:r>
        <w:rPr>
          <w:rFonts w:hint="eastAsia" w:ascii="宋体" w:hAnsi="宋体" w:cs="宋体"/>
          <w:color w:val="auto"/>
          <w:sz w:val="24"/>
          <w:szCs w:val="24"/>
          <w:highlight w:val="none"/>
          <w:u w:val="single"/>
        </w:rPr>
        <w:t xml:space="preserve">                                                              </w:t>
      </w:r>
    </w:p>
    <w:p w14:paraId="2CAFD5CA">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单位性质：</w:t>
      </w:r>
      <w:r>
        <w:rPr>
          <w:rFonts w:hint="eastAsia" w:ascii="宋体" w:hAnsi="宋体" w:cs="宋体"/>
          <w:color w:val="auto"/>
          <w:sz w:val="24"/>
          <w:szCs w:val="24"/>
          <w:highlight w:val="none"/>
          <w:u w:val="single"/>
        </w:rPr>
        <w:t xml:space="preserve">                                                              </w:t>
      </w:r>
    </w:p>
    <w:p w14:paraId="2A81D9B6">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 xml:space="preserve">                                                              </w:t>
      </w:r>
    </w:p>
    <w:p w14:paraId="6A196A86">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成立时间：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  联系电话：</w:t>
      </w:r>
      <w:r>
        <w:rPr>
          <w:rFonts w:hint="eastAsia" w:ascii="宋体" w:hAnsi="宋体" w:cs="宋体"/>
          <w:color w:val="auto"/>
          <w:sz w:val="24"/>
          <w:szCs w:val="24"/>
          <w:highlight w:val="none"/>
          <w:u w:val="single"/>
        </w:rPr>
        <w:t xml:space="preserve">                      </w:t>
      </w:r>
    </w:p>
    <w:p w14:paraId="7B66AD75">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营业执照号码：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经营期限：</w:t>
      </w:r>
      <w:r>
        <w:rPr>
          <w:rFonts w:hint="eastAsia" w:ascii="宋体" w:hAnsi="宋体" w:cs="宋体"/>
          <w:color w:val="auto"/>
          <w:sz w:val="24"/>
          <w:szCs w:val="24"/>
          <w:highlight w:val="none"/>
          <w:u w:val="single"/>
        </w:rPr>
        <w:t xml:space="preserve">                      </w:t>
      </w:r>
    </w:p>
    <w:p w14:paraId="6619604B">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主    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兼    营：</w:t>
      </w:r>
      <w:r>
        <w:rPr>
          <w:rFonts w:hint="eastAsia" w:ascii="宋体" w:hAnsi="宋体" w:cs="宋体"/>
          <w:color w:val="auto"/>
          <w:sz w:val="24"/>
          <w:szCs w:val="24"/>
          <w:highlight w:val="none"/>
          <w:u w:val="single"/>
        </w:rPr>
        <w:t xml:space="preserve">                      </w:t>
      </w:r>
    </w:p>
    <w:p w14:paraId="1B17D2E0">
      <w:pPr>
        <w:snapToGrid w:val="0"/>
        <w:spacing w:line="440" w:lineRule="exact"/>
        <w:rPr>
          <w:rFonts w:ascii="宋体" w:hAnsi="宋体" w:cs="宋体"/>
          <w:color w:val="auto"/>
          <w:sz w:val="24"/>
          <w:szCs w:val="24"/>
          <w:highlight w:val="none"/>
        </w:rPr>
      </w:pPr>
    </w:p>
    <w:p w14:paraId="53389B1F">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姓    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性    别：</w:t>
      </w:r>
      <w:r>
        <w:rPr>
          <w:rFonts w:hint="eastAsia" w:ascii="宋体" w:hAnsi="宋体" w:cs="宋体"/>
          <w:color w:val="auto"/>
          <w:sz w:val="24"/>
          <w:szCs w:val="24"/>
          <w:highlight w:val="none"/>
          <w:u w:val="single"/>
        </w:rPr>
        <w:t xml:space="preserve">                      </w:t>
      </w:r>
    </w:p>
    <w:p w14:paraId="7EEDF7B9">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年    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职    务：</w:t>
      </w:r>
      <w:r>
        <w:rPr>
          <w:rFonts w:hint="eastAsia" w:ascii="宋体" w:hAnsi="宋体" w:cs="宋体"/>
          <w:color w:val="auto"/>
          <w:sz w:val="24"/>
          <w:szCs w:val="24"/>
          <w:highlight w:val="none"/>
          <w:u w:val="single"/>
        </w:rPr>
        <w:t xml:space="preserve">                      </w:t>
      </w:r>
    </w:p>
    <w:p w14:paraId="2344C2D5">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手机号码：</w:t>
      </w:r>
      <w:r>
        <w:rPr>
          <w:rFonts w:hint="eastAsia" w:ascii="宋体" w:hAnsi="宋体" w:cs="宋体"/>
          <w:color w:val="auto"/>
          <w:sz w:val="24"/>
          <w:szCs w:val="24"/>
          <w:highlight w:val="none"/>
          <w:u w:val="single"/>
        </w:rPr>
        <w:t xml:space="preserve">                      </w:t>
      </w:r>
    </w:p>
    <w:p w14:paraId="425527C9">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（投标人名称）的法定代表人。</w:t>
      </w:r>
    </w:p>
    <w:p w14:paraId="7236F4CA">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特此证明。</w:t>
      </w:r>
    </w:p>
    <w:p w14:paraId="3A2D2960">
      <w:pPr>
        <w:snapToGrid w:val="0"/>
        <w:spacing w:line="440" w:lineRule="exact"/>
        <w:rPr>
          <w:rFonts w:ascii="宋体" w:hAnsi="宋体" w:cs="宋体"/>
          <w:color w:val="auto"/>
          <w:sz w:val="24"/>
          <w:szCs w:val="24"/>
          <w:highlight w:val="none"/>
        </w:rPr>
      </w:pPr>
    </w:p>
    <w:p w14:paraId="70736023">
      <w:pPr>
        <w:snapToGrid w:val="0"/>
        <w:spacing w:line="440" w:lineRule="exact"/>
        <w:rPr>
          <w:rFonts w:ascii="宋体" w:hAnsi="宋体" w:cs="宋体"/>
          <w:color w:val="auto"/>
          <w:sz w:val="24"/>
          <w:szCs w:val="24"/>
          <w:highlight w:val="none"/>
        </w:rPr>
      </w:pPr>
    </w:p>
    <w:p w14:paraId="76C6D549">
      <w:pPr>
        <w:snapToGrid w:val="0"/>
        <w:spacing w:line="440" w:lineRule="exact"/>
        <w:ind w:firstLine="480" w:firstLineChars="200"/>
        <w:jc w:val="right"/>
        <w:rPr>
          <w:rFonts w:ascii="宋体" w:hAnsi="宋体" w:cs="宋体"/>
          <w:color w:val="auto"/>
          <w:sz w:val="24"/>
          <w:szCs w:val="24"/>
          <w:highlight w:val="none"/>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（单位公章）</w:t>
      </w:r>
    </w:p>
    <w:p w14:paraId="149ACAEB">
      <w:pPr>
        <w:snapToGrid w:val="0"/>
        <w:spacing w:line="440" w:lineRule="exact"/>
        <w:jc w:val="right"/>
        <w:rPr>
          <w:rFonts w:ascii="宋体" w:hAnsi="宋体" w:cs="宋体"/>
          <w:color w:val="auto"/>
          <w:sz w:val="24"/>
          <w:szCs w:val="24"/>
          <w:highlight w:val="none"/>
        </w:rPr>
      </w:pPr>
    </w:p>
    <w:p w14:paraId="3EF2BAFE">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0F55AE60">
      <w:pPr>
        <w:snapToGrid w:val="0"/>
        <w:spacing w:line="440" w:lineRule="exact"/>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10B5E07C">
      <w:pPr>
        <w:snapToGrid w:val="0"/>
        <w:spacing w:line="440" w:lineRule="exact"/>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日       </w:t>
      </w:r>
    </w:p>
    <w:p w14:paraId="5EC70C97">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E09863B">
      <w:pPr>
        <w:snapToGrid w:val="0"/>
        <w:spacing w:line="440" w:lineRule="exact"/>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i/>
          <w:iCs/>
          <w:color w:val="auto"/>
          <w:sz w:val="24"/>
          <w:szCs w:val="24"/>
          <w:highlight w:val="none"/>
        </w:rPr>
        <w:t xml:space="preserve"> </w:t>
      </w:r>
    </w:p>
    <w:p w14:paraId="21D857F6">
      <w:pPr>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2" name="流程图: 可选过程 2"/>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220E3D8">
                            <w:pPr>
                              <w:jc w:val="center"/>
                              <w:rPr>
                                <w:szCs w:val="21"/>
                              </w:rPr>
                            </w:pPr>
                          </w:p>
                          <w:p w14:paraId="3548EDD3">
                            <w:pPr>
                              <w:jc w:val="center"/>
                              <w:rPr>
                                <w:szCs w:val="21"/>
                              </w:rPr>
                            </w:pPr>
                          </w:p>
                          <w:p w14:paraId="28429319">
                            <w:pPr>
                              <w:jc w:val="center"/>
                              <w:rPr>
                                <w:szCs w:val="21"/>
                              </w:rPr>
                            </w:pPr>
                          </w:p>
                          <w:p w14:paraId="25D05D85">
                            <w:pPr>
                              <w:jc w:val="center"/>
                              <w:rPr>
                                <w:szCs w:val="21"/>
                              </w:rPr>
                            </w:pPr>
                            <w:r>
                              <w:rPr>
                                <w:rFonts w:hint="eastAsia"/>
                                <w:szCs w:val="21"/>
                              </w:rPr>
                              <w:t>法定代表人身份证彩色扫描件正、反面</w:t>
                            </w:r>
                          </w:p>
                        </w:txbxContent>
                      </wps:txbx>
                      <wps:bodyPr upright="1"/>
                    </wps:wsp>
                  </a:graphicData>
                </a:graphic>
              </wp:anchor>
            </w:drawing>
          </mc:Choice>
          <mc:Fallback>
            <w:pict>
              <v:shape id="_x0000_s1026" o:spid="_x0000_s1026" o:spt="176" type="#_x0000_t176" style="position:absolute;left:0pt;margin-left:127.5pt;margin-top:1.6pt;height:124.75pt;width:222.45pt;z-index:251659264;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EbyS/ygCAABQBAAADgAAAGRycy9lMm9Eb2MueG1srVRL&#10;rtMwFJ0jsQfLc5omUFSipk/olTJBUOnBAm4dp7Hkn2y3SWcwQogBC2ADzBgxhdU8Prvg2il9Hxh0&#10;QAbJ9ecen3PudWZnvZJkx50XRlc0H40p4ZqZWuhNRV+9XN6bUuID6Bqk0byie+7p2fzunVlnS16Y&#10;1siaO4Ig2pedrWgbgi2zzLOWK/AjY7nGxcY4BQGHbpPVDjpEVzIrxuOHWWdcbZ1h3HucXQyL9IDo&#10;TgE0TSMYXxi2VVyHAdVxCQEl+VZYT+eJbdNwFl40jeeByIqi0pDeeAjG6/jO5jMoNw5sK9iBApxC&#10;4ZYmBULjoUeoBQQgWyf+glKCOeNNE0bMqGwQkhxBFfn4ljcXLVietKDV3h5N9/8Plj3frRwRdUUL&#10;SjQoLPj3L29+fHp/+fFrSS4/fP71+t3Pb29xghTRrM76EnMu7ModRh7DqLxvnIpf1ET6ZPD+aDDv&#10;A2E4WUyLSZ5PKGG4lk+mD+4Xk4iaXaVb58NTbhSJQUUbabrzFlx4LAN3GgJfDa2T3IbdMx+G/D95&#10;kYI3UtRLIWUauM36XDqyA2yBZXoOR97YJjXpKvpogoQIA+zrBvsJQ2XRG6836bwbGf468Dg9/wKO&#10;xBbg24FAQojboFQCFaWo5VA/0TUJe4v+a7x2NJJRvKZEcrylMUo7Awh5yk40VGr0NZZrKFCMQr/u&#10;ESaGa1PvsfBb68SmRZ/zRD2uYKOlghwuRezk6+MEevUjm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hXUptgAAAAJAQAADwAAAAAAAAABACAAAAAiAAAAZHJzL2Rvd25yZXYueG1sUEsBAhQAFAAA&#10;AAgAh07iQBG8kv8oAgAAUAQAAA4AAAAAAAAAAQAgAAAAJwEAAGRycy9lMm9Eb2MueG1sUEsFBgAA&#10;AAAGAAYAWQEAAMEFAAAAAA==&#10;">
                <v:fill on="t" focussize="0,0"/>
                <v:stroke color="#000000" joinstyle="miter"/>
                <v:imagedata o:title=""/>
                <o:lock v:ext="edit" aspectratio="f"/>
                <v:textbox>
                  <w:txbxContent>
                    <w:p w14:paraId="7220E3D8">
                      <w:pPr>
                        <w:jc w:val="center"/>
                        <w:rPr>
                          <w:szCs w:val="21"/>
                        </w:rPr>
                      </w:pPr>
                    </w:p>
                    <w:p w14:paraId="3548EDD3">
                      <w:pPr>
                        <w:jc w:val="center"/>
                        <w:rPr>
                          <w:szCs w:val="21"/>
                        </w:rPr>
                      </w:pPr>
                    </w:p>
                    <w:p w14:paraId="28429319">
                      <w:pPr>
                        <w:jc w:val="center"/>
                        <w:rPr>
                          <w:szCs w:val="21"/>
                        </w:rPr>
                      </w:pPr>
                    </w:p>
                    <w:p w14:paraId="25D05D85">
                      <w:pPr>
                        <w:jc w:val="center"/>
                        <w:rPr>
                          <w:szCs w:val="21"/>
                        </w:rPr>
                      </w:pPr>
                      <w:r>
                        <w:rPr>
                          <w:rFonts w:hint="eastAsia"/>
                          <w:szCs w:val="21"/>
                        </w:rPr>
                        <w:t>法定代表人身份证彩色扫描件正、反面</w:t>
                      </w:r>
                    </w:p>
                  </w:txbxContent>
                </v:textbox>
              </v:shape>
            </w:pict>
          </mc:Fallback>
        </mc:AlternateContent>
      </w:r>
    </w:p>
    <w:p w14:paraId="11BBC3F5">
      <w:pPr>
        <w:tabs>
          <w:tab w:val="left" w:pos="654"/>
          <w:tab w:val="left" w:pos="1734"/>
          <w:tab w:val="left" w:pos="2814"/>
          <w:tab w:val="left" w:pos="3894"/>
          <w:tab w:val="left" w:pos="5334"/>
          <w:tab w:val="left" w:pos="6414"/>
          <w:tab w:val="left" w:pos="7254"/>
          <w:tab w:val="left" w:pos="8574"/>
          <w:tab w:val="left" w:pos="9654"/>
        </w:tabs>
        <w:rPr>
          <w:rFonts w:ascii="宋体" w:hAnsi="宋体" w:cs="宋体"/>
          <w:color w:val="auto"/>
          <w:sz w:val="24"/>
          <w:szCs w:val="24"/>
          <w:highlight w:val="none"/>
        </w:rPr>
      </w:pPr>
    </w:p>
    <w:p w14:paraId="62F226C8">
      <w:pPr>
        <w:spacing w:line="480" w:lineRule="exact"/>
        <w:jc w:val="center"/>
        <w:rPr>
          <w:rFonts w:ascii="宋体" w:hAnsi="宋体" w:cs="宋体"/>
          <w:b/>
          <w:color w:val="auto"/>
          <w:sz w:val="24"/>
          <w:szCs w:val="24"/>
          <w:highlight w:val="none"/>
        </w:rPr>
      </w:pPr>
      <w:bookmarkStart w:id="318" w:name="_Toc210101349"/>
    </w:p>
    <w:p w14:paraId="0878C9EF">
      <w:pPr>
        <w:spacing w:line="480" w:lineRule="exact"/>
        <w:jc w:val="center"/>
        <w:rPr>
          <w:rFonts w:ascii="宋体" w:hAnsi="宋体" w:cs="宋体"/>
          <w:b/>
          <w:color w:val="auto"/>
          <w:sz w:val="24"/>
          <w:szCs w:val="24"/>
          <w:highlight w:val="none"/>
        </w:rPr>
      </w:pPr>
    </w:p>
    <w:p w14:paraId="016DF3AC">
      <w:pPr>
        <w:spacing w:line="480" w:lineRule="exact"/>
        <w:jc w:val="center"/>
        <w:rPr>
          <w:rFonts w:ascii="宋体" w:hAnsi="宋体" w:cs="宋体"/>
          <w:b/>
          <w:color w:val="auto"/>
          <w:sz w:val="24"/>
          <w:szCs w:val="24"/>
          <w:highlight w:val="none"/>
        </w:rPr>
      </w:pPr>
    </w:p>
    <w:p w14:paraId="11289DB0">
      <w:pPr>
        <w:snapToGrid w:val="0"/>
        <w:spacing w:line="440" w:lineRule="exact"/>
        <w:outlineLvl w:val="1"/>
        <w:rPr>
          <w:rStyle w:val="39"/>
          <w:color w:val="auto"/>
          <w:sz w:val="28"/>
          <w:szCs w:val="24"/>
          <w:highlight w:val="none"/>
        </w:rPr>
      </w:pPr>
      <w:r>
        <w:rPr>
          <w:rFonts w:hint="eastAsia" w:ascii="宋体" w:hAnsi="宋体" w:cs="宋体"/>
          <w:b/>
          <w:color w:val="auto"/>
          <w:sz w:val="24"/>
          <w:szCs w:val="24"/>
          <w:highlight w:val="none"/>
        </w:rPr>
        <w:br w:type="page"/>
      </w:r>
      <w:bookmarkStart w:id="319" w:name="_Toc28564"/>
      <w:bookmarkStart w:id="320" w:name="_Toc30423"/>
      <w:bookmarkStart w:id="321" w:name="_Toc226"/>
      <w:r>
        <w:rPr>
          <w:rStyle w:val="39"/>
          <w:rFonts w:hint="eastAsia"/>
          <w:color w:val="auto"/>
          <w:sz w:val="28"/>
          <w:szCs w:val="24"/>
          <w:highlight w:val="none"/>
        </w:rPr>
        <w:t>格式九</w:t>
      </w:r>
    </w:p>
    <w:bookmarkEnd w:id="315"/>
    <w:bookmarkEnd w:id="316"/>
    <w:bookmarkEnd w:id="317"/>
    <w:bookmarkEnd w:id="318"/>
    <w:bookmarkEnd w:id="319"/>
    <w:bookmarkEnd w:id="320"/>
    <w:bookmarkEnd w:id="321"/>
    <w:p w14:paraId="71862E21">
      <w:pPr>
        <w:spacing w:line="360" w:lineRule="auto"/>
        <w:ind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p>
    <w:p w14:paraId="01DDD498">
      <w:pPr>
        <w:adjustRightInd w:val="0"/>
        <w:snapToGrid w:val="0"/>
        <w:spacing w:line="440" w:lineRule="exact"/>
        <w:rPr>
          <w:rFonts w:ascii="宋体" w:hAnsi="宋体" w:cs="宋体"/>
          <w:color w:val="auto"/>
          <w:sz w:val="24"/>
          <w:szCs w:val="24"/>
          <w:highlight w:val="none"/>
        </w:rPr>
      </w:pPr>
    </w:p>
    <w:p w14:paraId="06D342C4">
      <w:pPr>
        <w:snapToGrid w:val="0"/>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本人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（投标人名称）的法定代表人，现委托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（姓名）为我方代理人。代理人根据授权，以我方名义签署、澄清、说明、补正、递交、撤回、修改             </w:t>
      </w:r>
    </w:p>
    <w:p w14:paraId="534562CE">
      <w:pPr>
        <w:snapToGrid w:val="0"/>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（项目名称）投标文件、签订合同和处理有关事宜，其法律后果由我方承担。</w:t>
      </w:r>
    </w:p>
    <w:p w14:paraId="147BDF1E">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委托期限：</w:t>
      </w:r>
      <w:r>
        <w:rPr>
          <w:rFonts w:hint="eastAsia" w:ascii="宋体" w:hAnsi="宋体" w:cs="宋体"/>
          <w:color w:val="auto"/>
          <w:sz w:val="24"/>
          <w:szCs w:val="24"/>
          <w:highlight w:val="none"/>
          <w:u w:val="single"/>
        </w:rPr>
        <w:t>至投标有效期的期满之日止</w:t>
      </w:r>
      <w:r>
        <w:rPr>
          <w:rFonts w:hint="eastAsia" w:ascii="宋体" w:hAnsi="宋体" w:cs="宋体"/>
          <w:color w:val="auto"/>
          <w:sz w:val="24"/>
          <w:szCs w:val="24"/>
          <w:highlight w:val="none"/>
        </w:rPr>
        <w:t>。</w:t>
      </w:r>
    </w:p>
    <w:p w14:paraId="6FA1CC47">
      <w:pPr>
        <w:snapToGrid w:val="0"/>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代理人无转委托权。</w:t>
      </w:r>
    </w:p>
    <w:p w14:paraId="7E92BD7E">
      <w:pPr>
        <w:snapToGrid w:val="0"/>
        <w:spacing w:line="440" w:lineRule="exact"/>
        <w:ind w:firstLine="480" w:firstLineChars="200"/>
        <w:rPr>
          <w:rFonts w:ascii="宋体" w:hAnsi="宋体" w:cs="宋体"/>
          <w:color w:val="auto"/>
          <w:sz w:val="24"/>
          <w:szCs w:val="24"/>
          <w:highlight w:val="none"/>
        </w:rPr>
      </w:pPr>
    </w:p>
    <w:p w14:paraId="783DA841">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投  标  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（单位公章）</w:t>
      </w:r>
    </w:p>
    <w:p w14:paraId="209FA891">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w:t>
      </w:r>
    </w:p>
    <w:p w14:paraId="4769DC87">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1BA4A7F8">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w:t>
      </w:r>
    </w:p>
    <w:p w14:paraId="6E24E9B2">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　　　　　　　　　　　身份证号码：</w:t>
      </w:r>
      <w:r>
        <w:rPr>
          <w:rFonts w:hint="eastAsia" w:ascii="宋体" w:hAnsi="宋体" w:cs="宋体"/>
          <w:color w:val="auto"/>
          <w:sz w:val="24"/>
          <w:szCs w:val="24"/>
          <w:highlight w:val="none"/>
          <w:u w:val="single"/>
        </w:rPr>
        <w:t xml:space="preserve">                                   </w:t>
      </w:r>
    </w:p>
    <w:p w14:paraId="5E48AF8B">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w:t>
      </w:r>
    </w:p>
    <w:p w14:paraId="7430FB15">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4AFF48A9">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w:t>
      </w:r>
    </w:p>
    <w:p w14:paraId="54583470">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　　　　　　　　　　　身份证号码：</w:t>
      </w:r>
      <w:r>
        <w:rPr>
          <w:rFonts w:hint="eastAsia" w:ascii="宋体" w:hAnsi="宋体" w:cs="宋体"/>
          <w:color w:val="auto"/>
          <w:sz w:val="24"/>
          <w:szCs w:val="24"/>
          <w:highlight w:val="none"/>
          <w:u w:val="single"/>
        </w:rPr>
        <w:t xml:space="preserve">                                   </w:t>
      </w:r>
    </w:p>
    <w:p w14:paraId="095C23B2">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w:t>
      </w:r>
    </w:p>
    <w:p w14:paraId="04CAF7E3">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5D380431">
      <w:pPr>
        <w:snapToGrid w:val="0"/>
        <w:spacing w:line="440" w:lineRule="exact"/>
        <w:ind w:firstLine="480" w:firstLineChars="200"/>
        <w:rPr>
          <w:rFonts w:ascii="宋体" w:hAnsi="宋体" w:cs="宋体"/>
          <w:color w:val="auto"/>
          <w:sz w:val="24"/>
          <w:szCs w:val="24"/>
          <w:highlight w:val="none"/>
        </w:rPr>
      </w:pPr>
    </w:p>
    <w:p w14:paraId="268E68BC">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5EC242F">
                            <w:pPr>
                              <w:jc w:val="center"/>
                              <w:rPr>
                                <w:szCs w:val="21"/>
                              </w:rPr>
                            </w:pPr>
                          </w:p>
                          <w:p w14:paraId="3C531BBD">
                            <w:pPr>
                              <w:jc w:val="center"/>
                              <w:rPr>
                                <w:szCs w:val="21"/>
                              </w:rPr>
                            </w:pPr>
                          </w:p>
                          <w:p w14:paraId="01D5514C">
                            <w:pPr>
                              <w:jc w:val="center"/>
                              <w:rPr>
                                <w:szCs w:val="21"/>
                              </w:rPr>
                            </w:pPr>
                          </w:p>
                          <w:p w14:paraId="2699AE96">
                            <w:pPr>
                              <w:jc w:val="center"/>
                              <w:rPr>
                                <w:szCs w:val="21"/>
                              </w:rPr>
                            </w:pPr>
                            <w:r>
                              <w:rPr>
                                <w:rFonts w:hint="eastAsia"/>
                                <w:szCs w:val="21"/>
                              </w:rPr>
                              <w:t>委托代理人身份证彩色扫描件正、反面</w:t>
                            </w:r>
                          </w:p>
                        </w:txbxContent>
                      </wps:txbx>
                      <wps:bodyPr upright="1"/>
                    </wps:wsp>
                  </a:graphicData>
                </a:graphic>
              </wp:anchor>
            </w:drawing>
          </mc:Choice>
          <mc:Fallback>
            <w:pict>
              <v:shape id="_x0000_s1026"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nUgI/yoCAABQBAAADgAAAGRycy9lMm9Eb2MueG1srVTL&#10;jtMwFN0j8Q+W9zRpS6ETNR2hKWWDoNLAB9w6TmPJL9luk+5ghRALPmB+gB0rtvA1w+MvuHZK5wGL&#10;WZBFcv24x+ece53Zaack2XHnhdElHQ5ySrhmphJ6U9LXr5YPppT4ALoCaTQv6Z57ejq/f2/W2oKP&#10;TGNkxR1BEO2L1pa0CcEWWeZZwxX4gbFc42JtnIKAQ7fJKgctoiuZjfL8UdYaV1lnGPceZxf9Ij0g&#10;ursAmroWjC8M2yquQ4/quISAknwjrKfzxLauOQsv69rzQGRJUWlIbzwE43V8Z/MZFBsHthHsQAHu&#10;QuGWJgVC46FHqAUEIFsn/oJSgjnjTR0GzKisF5IcQRXD/JY35w1YnrSg1d4eTff/D5a92K0cEVVJ&#10;x5RoUFjw71/e/vj04fLia0EuP37+9eb9z2/vcIKMo1mt9QXmnNuVO4w8hlF5VzsVv6iJdMng/dFg&#10;3gXCcHI8PMmnjyeUMFwbTqYPx6NJRM2u0q3z4Rk3isSgpLU07VkDLjyRgTsNga/61kluw+65D33+&#10;n7xIwRspqqWQMg3cZn0mHdkBtsAyPYcjb2yTmrQlPZkgIcIA+7rGfsJQWfTG600670aGvw6cp+df&#10;wJHYAnzTE0gIcRsUSqCiFDUcqqe6ImFv0X+N145GMopXlEiOtzRGaWcAIe+yEw2VGn2N5eoLFKPQ&#10;rTuEieHaVHss/NY6sWnQ52GiHlew0VJBDpcidvL1cQK9+hH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rJ9Os2AAAAAkBAAAPAAAAAAAAAAEAIAAAACIAAABkcnMvZG93bnJldi54bWxQSwECFAAU&#10;AAAACACHTuJAnUgI/yoCAABQBAAADgAAAAAAAAABACAAAAAnAQAAZHJzL2Uyb0RvYy54bWxQSwUG&#10;AAAAAAYABgBZAQAAwwUAAAAA&#10;">
                <v:fill on="t" focussize="0,0"/>
                <v:stroke color="#000000" joinstyle="miter"/>
                <v:imagedata o:title=""/>
                <o:lock v:ext="edit" aspectratio="f"/>
                <v:textbox>
                  <w:txbxContent>
                    <w:p w14:paraId="15EC242F">
                      <w:pPr>
                        <w:jc w:val="center"/>
                        <w:rPr>
                          <w:szCs w:val="21"/>
                        </w:rPr>
                      </w:pPr>
                    </w:p>
                    <w:p w14:paraId="3C531BBD">
                      <w:pPr>
                        <w:jc w:val="center"/>
                        <w:rPr>
                          <w:szCs w:val="21"/>
                        </w:rPr>
                      </w:pPr>
                    </w:p>
                    <w:p w14:paraId="01D5514C">
                      <w:pPr>
                        <w:jc w:val="center"/>
                        <w:rPr>
                          <w:szCs w:val="21"/>
                        </w:rPr>
                      </w:pPr>
                    </w:p>
                    <w:p w14:paraId="2699AE96">
                      <w:pPr>
                        <w:jc w:val="center"/>
                        <w:rPr>
                          <w:szCs w:val="21"/>
                        </w:rPr>
                      </w:pPr>
                      <w:r>
                        <w:rPr>
                          <w:rFonts w:hint="eastAsia"/>
                          <w:szCs w:val="21"/>
                        </w:rPr>
                        <w:t>委托代理人身份证彩色扫描件正、反面</w:t>
                      </w:r>
                    </w:p>
                  </w:txbxContent>
                </v:textbox>
              </v:shape>
            </w:pict>
          </mc:Fallback>
        </mc:AlternateContent>
      </w:r>
    </w:p>
    <w:p w14:paraId="17153A74">
      <w:pPr>
        <w:pStyle w:val="13"/>
        <w:rPr>
          <w:rFonts w:ascii="宋体" w:hAnsi="宋体" w:cs="宋体"/>
          <w:color w:val="auto"/>
          <w:sz w:val="24"/>
          <w:szCs w:val="24"/>
          <w:highlight w:val="none"/>
        </w:rPr>
      </w:pPr>
    </w:p>
    <w:p w14:paraId="11C7502C">
      <w:pPr>
        <w:rPr>
          <w:color w:val="auto"/>
          <w:highlight w:val="none"/>
        </w:rPr>
      </w:pPr>
    </w:p>
    <w:p w14:paraId="61F39544">
      <w:pPr>
        <w:rPr>
          <w:rFonts w:ascii="宋体" w:hAnsi="宋体" w:cs="宋体"/>
          <w:b/>
          <w:bCs/>
          <w:color w:val="auto"/>
          <w:sz w:val="24"/>
          <w:szCs w:val="24"/>
          <w:highlight w:val="none"/>
        </w:rPr>
      </w:pPr>
    </w:p>
    <w:p w14:paraId="142260A1">
      <w:pPr>
        <w:rPr>
          <w:rFonts w:ascii="宋体" w:hAnsi="宋体" w:cs="宋体"/>
          <w:b/>
          <w:bCs/>
          <w:color w:val="auto"/>
          <w:sz w:val="24"/>
          <w:szCs w:val="24"/>
          <w:highlight w:val="none"/>
        </w:rPr>
      </w:pPr>
    </w:p>
    <w:p w14:paraId="64952C24">
      <w:pPr>
        <w:rPr>
          <w:color w:val="auto"/>
          <w:highlight w:val="none"/>
        </w:rPr>
      </w:pPr>
      <w:bookmarkStart w:id="322" w:name="_附件一：对招标文件条款自愿接受承诺书"/>
      <w:bookmarkEnd w:id="322"/>
      <w:bookmarkStart w:id="323" w:name="_附件二：工期承诺书"/>
      <w:bookmarkEnd w:id="323"/>
      <w:bookmarkStart w:id="324" w:name="_附件五：综合评审合理低价法"/>
      <w:bookmarkEnd w:id="324"/>
      <w:bookmarkStart w:id="325" w:name="_附件四：工期承诺书"/>
      <w:bookmarkEnd w:id="325"/>
      <w:bookmarkStart w:id="326" w:name="_附件一：投标函"/>
      <w:bookmarkEnd w:id="326"/>
      <w:bookmarkStart w:id="327" w:name="_附件二：近三年度主要施工项目（竣工及在建）一览表"/>
      <w:bookmarkEnd w:id="327"/>
    </w:p>
    <w:p w14:paraId="3B143124">
      <w:pPr>
        <w:rPr>
          <w:color w:val="auto"/>
          <w:highlight w:val="none"/>
        </w:rPr>
      </w:pPr>
    </w:p>
    <w:p w14:paraId="0A6C4C42">
      <w:pPr>
        <w:rPr>
          <w:color w:val="auto"/>
          <w:highlight w:val="none"/>
        </w:rPr>
      </w:pPr>
    </w:p>
    <w:p w14:paraId="5E41F4B9">
      <w:pPr>
        <w:rPr>
          <w:color w:val="auto"/>
          <w:highlight w:val="none"/>
        </w:rPr>
      </w:pPr>
    </w:p>
    <w:p w14:paraId="0A5863D9">
      <w:pPr>
        <w:rPr>
          <w:color w:val="auto"/>
          <w:highlight w:val="none"/>
        </w:rPr>
      </w:pPr>
    </w:p>
    <w:p w14:paraId="18819F07">
      <w:pPr>
        <w:pStyle w:val="3"/>
        <w:numPr>
          <w:ilvl w:val="1"/>
          <w:numId w:val="0"/>
        </w:numPr>
        <w:spacing w:before="158" w:after="158"/>
        <w:rPr>
          <w:color w:val="auto"/>
          <w:sz w:val="28"/>
          <w:szCs w:val="28"/>
          <w:highlight w:val="none"/>
        </w:rPr>
      </w:pPr>
      <w:bookmarkStart w:id="328" w:name="_Toc9980"/>
      <w:bookmarkStart w:id="329" w:name="_Toc11455"/>
      <w:bookmarkStart w:id="330" w:name="_Toc1042"/>
      <w:r>
        <w:rPr>
          <w:rFonts w:hint="eastAsia"/>
          <w:color w:val="auto"/>
          <w:sz w:val="28"/>
          <w:szCs w:val="28"/>
          <w:highlight w:val="none"/>
        </w:rPr>
        <w:t>格式</w:t>
      </w:r>
      <w:bookmarkEnd w:id="328"/>
      <w:bookmarkEnd w:id="329"/>
      <w:r>
        <w:rPr>
          <w:rFonts w:hint="eastAsia"/>
          <w:color w:val="auto"/>
          <w:sz w:val="28"/>
          <w:szCs w:val="28"/>
          <w:highlight w:val="none"/>
        </w:rPr>
        <w:t>十</w:t>
      </w:r>
      <w:bookmarkEnd w:id="330"/>
      <w:r>
        <w:rPr>
          <w:rFonts w:hint="eastAsia"/>
          <w:color w:val="auto"/>
          <w:sz w:val="28"/>
          <w:szCs w:val="28"/>
          <w:highlight w:val="none"/>
        </w:rPr>
        <w:t xml:space="preserve"> </w:t>
      </w:r>
    </w:p>
    <w:p w14:paraId="277ECDA0">
      <w:pPr>
        <w:spacing w:line="360" w:lineRule="auto"/>
        <w:ind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联合体协议书</w:t>
      </w:r>
    </w:p>
    <w:p w14:paraId="000769F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（所有成员单位名称）自愿组成联合体，共同参加</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勘察、初步设计投标。现就联合体投标事宜订立如下协议：</w:t>
      </w:r>
    </w:p>
    <w:p w14:paraId="2296F65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1.__________（某成员单位名称）为_____________________（联合体名称）牵头人。</w:t>
      </w:r>
    </w:p>
    <w:p w14:paraId="3334827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0D39649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3.联合体将严格按照招标文件的各项要求，递交投标文件，履行合同，并对外承担连带责任。</w:t>
      </w:r>
    </w:p>
    <w:p w14:paraId="428FD36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4.联合体各成员单位内部的职责分工如下：</w:t>
      </w:r>
      <w:r>
        <w:rPr>
          <w:rFonts w:hint="eastAsia" w:ascii="宋体" w:hAnsi="宋体" w:cs="宋体"/>
          <w:color w:val="auto"/>
          <w:sz w:val="24"/>
          <w:highlight w:val="none"/>
          <w:u w:val="single"/>
        </w:rPr>
        <w:t>联合体牵头人   （单位名称）    除负责本协议第2条的工作外，还负责承担          工作，联合体成员（单位名称）</w:t>
      </w:r>
      <w:r>
        <w:rPr>
          <w:rFonts w:hint="eastAsia" w:ascii="宋体" w:hAnsi="宋体" w:cs="宋体"/>
          <w:color w:val="auto"/>
          <w:sz w:val="24"/>
          <w:highlight w:val="none"/>
        </w:rPr>
        <w:t>___________</w:t>
      </w:r>
      <w:r>
        <w:rPr>
          <w:rFonts w:hint="eastAsia" w:ascii="宋体" w:hAnsi="宋体" w:cs="宋体"/>
          <w:color w:val="auto"/>
          <w:sz w:val="24"/>
          <w:highlight w:val="none"/>
          <w:u w:val="single"/>
        </w:rPr>
        <w:t>承担      工作。</w:t>
      </w:r>
    </w:p>
    <w:p w14:paraId="00696E8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5.本协议书自签署之日起生效，合同履行完毕后自动失效。</w:t>
      </w:r>
    </w:p>
    <w:p w14:paraId="231A26B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6.本协议书一式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份，联合体各成员和招标人各执一份。</w:t>
      </w:r>
    </w:p>
    <w:p w14:paraId="3E2B38E0">
      <w:pPr>
        <w:pStyle w:val="42"/>
        <w:widowControl w:val="0"/>
        <w:wordWrap w:val="0"/>
        <w:adjustRightInd w:val="0"/>
        <w:snapToGrid w:val="0"/>
        <w:spacing w:line="440" w:lineRule="exact"/>
        <w:rPr>
          <w:rFonts w:ascii="宋体" w:hAnsi="宋体" w:eastAsia="宋体" w:cs="宋体"/>
          <w:snapToGrid w:val="0"/>
          <w:color w:val="auto"/>
          <w:sz w:val="24"/>
          <w:szCs w:val="24"/>
          <w:highlight w:val="none"/>
        </w:rPr>
      </w:pPr>
    </w:p>
    <w:p w14:paraId="76689FA1">
      <w:pPr>
        <w:pStyle w:val="42"/>
        <w:widowControl w:val="0"/>
        <w:wordWrap w:val="0"/>
        <w:adjustRightInd w:val="0"/>
        <w:snapToGrid w:val="0"/>
        <w:spacing w:line="440" w:lineRule="exact"/>
        <w:ind w:firstLine="480" w:firstLineChars="200"/>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牵头人名称：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14:paraId="789F5213">
      <w:pPr>
        <w:pStyle w:val="42"/>
        <w:widowControl w:val="0"/>
        <w:wordWrap w:val="0"/>
        <w:adjustRightInd w:val="0"/>
        <w:snapToGrid w:val="0"/>
        <w:spacing w:line="440" w:lineRule="exact"/>
        <w:ind w:firstLine="480" w:firstLineChars="200"/>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14:paraId="1C4ABC75">
      <w:pPr>
        <w:pStyle w:val="42"/>
        <w:widowControl w:val="0"/>
        <w:wordWrap w:val="0"/>
        <w:adjustRightInd w:val="0"/>
        <w:snapToGrid w:val="0"/>
        <w:spacing w:line="440" w:lineRule="exact"/>
        <w:ind w:firstLine="480" w:firstLineChars="200"/>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成员一名称：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14:paraId="431EEFC8">
      <w:pPr>
        <w:pStyle w:val="42"/>
        <w:widowControl w:val="0"/>
        <w:wordWrap w:val="0"/>
        <w:adjustRightInd w:val="0"/>
        <w:snapToGrid w:val="0"/>
        <w:spacing w:line="440" w:lineRule="exact"/>
        <w:ind w:firstLine="480" w:firstLineChars="200"/>
        <w:jc w:val="right"/>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14:paraId="6E5FF0F6">
      <w:pPr>
        <w:pStyle w:val="42"/>
        <w:widowControl w:val="0"/>
        <w:wordWrap w:val="0"/>
        <w:adjustRightInd w:val="0"/>
        <w:snapToGrid w:val="0"/>
        <w:spacing w:line="440" w:lineRule="exact"/>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w:t>
      </w:r>
    </w:p>
    <w:p w14:paraId="6581C77F">
      <w:pPr>
        <w:pStyle w:val="42"/>
        <w:widowControl w:val="0"/>
        <w:wordWrap w:val="0"/>
        <w:adjustRightInd w:val="0"/>
        <w:snapToGrid w:val="0"/>
        <w:spacing w:line="440" w:lineRule="exact"/>
        <w:rPr>
          <w:rFonts w:ascii="宋体" w:hAnsi="宋体" w:eastAsia="宋体" w:cs="宋体"/>
          <w:snapToGrid w:val="0"/>
          <w:color w:val="auto"/>
          <w:sz w:val="24"/>
          <w:szCs w:val="24"/>
          <w:highlight w:val="none"/>
        </w:rPr>
      </w:pPr>
    </w:p>
    <w:p w14:paraId="16A54AC1">
      <w:pPr>
        <w:pStyle w:val="42"/>
        <w:widowControl w:val="0"/>
        <w:wordWrap w:val="0"/>
        <w:adjustRightInd w:val="0"/>
        <w:snapToGrid w:val="0"/>
        <w:spacing w:line="440" w:lineRule="exact"/>
        <w:ind w:firstLine="480" w:firstLineChars="200"/>
        <w:jc w:val="center"/>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年</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月</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日</w:t>
      </w:r>
    </w:p>
    <w:p w14:paraId="3D4E5BB0">
      <w:pPr>
        <w:pStyle w:val="42"/>
        <w:widowControl w:val="0"/>
        <w:wordWrap w:val="0"/>
        <w:adjustRightInd w:val="0"/>
        <w:snapToGrid w:val="0"/>
        <w:spacing w:line="440" w:lineRule="exact"/>
        <w:jc w:val="center"/>
        <w:rPr>
          <w:rFonts w:ascii="宋体" w:hAnsi="宋体" w:eastAsia="宋体" w:cs="宋体"/>
          <w:snapToGrid w:val="0"/>
          <w:color w:val="auto"/>
          <w:sz w:val="24"/>
          <w:szCs w:val="24"/>
          <w:highlight w:val="none"/>
        </w:rPr>
      </w:pPr>
    </w:p>
    <w:p w14:paraId="732A8711">
      <w:pPr>
        <w:pStyle w:val="42"/>
        <w:widowControl w:val="0"/>
        <w:wordWrap w:val="0"/>
        <w:adjustRightInd w:val="0"/>
        <w:snapToGrid w:val="0"/>
        <w:spacing w:line="440" w:lineRule="exact"/>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说明：《联合体协议书》由委托代理人签字或盖章的，应附法定代表人签字或盖章的授权委托书。</w:t>
      </w:r>
    </w:p>
    <w:p w14:paraId="0C9D6A64">
      <w:pPr>
        <w:pStyle w:val="46"/>
        <w:rPr>
          <w:color w:val="auto"/>
          <w:highlight w:val="none"/>
        </w:rPr>
      </w:pPr>
    </w:p>
    <w:p w14:paraId="070263CE">
      <w:pPr>
        <w:rPr>
          <w:color w:val="auto"/>
          <w:highlight w:val="none"/>
        </w:rPr>
      </w:pPr>
    </w:p>
    <w:p w14:paraId="402D516F">
      <w:pPr>
        <w:rPr>
          <w:color w:val="auto"/>
          <w:highlight w:val="none"/>
        </w:rPr>
      </w:pPr>
      <w:bookmarkStart w:id="331" w:name="_Toc346"/>
    </w:p>
    <w:p w14:paraId="2E6869DA">
      <w:pPr>
        <w:rPr>
          <w:color w:val="auto"/>
          <w:highlight w:val="none"/>
        </w:rPr>
      </w:pPr>
    </w:p>
    <w:p w14:paraId="215EB762">
      <w:pPr>
        <w:pStyle w:val="3"/>
        <w:numPr>
          <w:ilvl w:val="1"/>
          <w:numId w:val="0"/>
        </w:numPr>
        <w:spacing w:before="158" w:after="158"/>
        <w:rPr>
          <w:b w:val="0"/>
          <w:bCs w:val="0"/>
          <w:color w:val="auto"/>
          <w:sz w:val="28"/>
          <w:szCs w:val="28"/>
          <w:highlight w:val="none"/>
        </w:rPr>
      </w:pPr>
      <w:bookmarkStart w:id="332" w:name="_Toc13245"/>
      <w:bookmarkStart w:id="333" w:name="_Toc19628"/>
      <w:bookmarkStart w:id="334" w:name="_Toc22150"/>
      <w:r>
        <w:rPr>
          <w:rFonts w:hint="eastAsia"/>
          <w:color w:val="auto"/>
          <w:sz w:val="28"/>
          <w:szCs w:val="28"/>
          <w:highlight w:val="none"/>
        </w:rPr>
        <w:t>格式十</w:t>
      </w:r>
      <w:bookmarkEnd w:id="332"/>
      <w:bookmarkEnd w:id="333"/>
      <w:r>
        <w:rPr>
          <w:rFonts w:hint="eastAsia"/>
          <w:color w:val="auto"/>
          <w:sz w:val="28"/>
          <w:szCs w:val="28"/>
          <w:highlight w:val="none"/>
        </w:rPr>
        <w:t>一</w:t>
      </w:r>
      <w:bookmarkEnd w:id="334"/>
      <w:r>
        <w:rPr>
          <w:rFonts w:hint="eastAsia"/>
          <w:color w:val="auto"/>
          <w:sz w:val="28"/>
          <w:szCs w:val="28"/>
          <w:highlight w:val="none"/>
        </w:rPr>
        <w:t xml:space="preserve"> </w:t>
      </w:r>
    </w:p>
    <w:p w14:paraId="7A63B3B3">
      <w:pPr>
        <w:ind w:firstLine="562" w:firstLineChars="200"/>
        <w:jc w:val="center"/>
        <w:rPr>
          <w:b/>
          <w:bCs/>
          <w:color w:val="auto"/>
          <w:sz w:val="28"/>
          <w:szCs w:val="28"/>
          <w:highlight w:val="none"/>
        </w:rPr>
      </w:pPr>
      <w:r>
        <w:rPr>
          <w:rFonts w:hint="eastAsia"/>
          <w:b/>
          <w:bCs/>
          <w:color w:val="auto"/>
          <w:sz w:val="28"/>
          <w:szCs w:val="28"/>
          <w:highlight w:val="none"/>
        </w:rPr>
        <w:t>原件一览表</w:t>
      </w:r>
      <w:bookmarkEnd w:id="331"/>
      <w:r>
        <w:rPr>
          <w:rFonts w:hint="eastAsia"/>
          <w:b/>
          <w:bCs/>
          <w:color w:val="auto"/>
          <w:sz w:val="28"/>
          <w:szCs w:val="28"/>
          <w:highlight w:val="none"/>
        </w:rPr>
        <w:t>（如有）</w:t>
      </w:r>
    </w:p>
    <w:tbl>
      <w:tblPr>
        <w:tblStyle w:val="27"/>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701"/>
        <w:gridCol w:w="1506"/>
        <w:gridCol w:w="458"/>
        <w:gridCol w:w="1536"/>
        <w:gridCol w:w="1437"/>
        <w:gridCol w:w="942"/>
        <w:gridCol w:w="958"/>
        <w:gridCol w:w="1570"/>
      </w:tblGrid>
      <w:tr w14:paraId="178B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63" w:hRule="atLeast"/>
        </w:trPr>
        <w:tc>
          <w:tcPr>
            <w:tcW w:w="9108" w:type="dxa"/>
            <w:gridSpan w:val="8"/>
            <w:shd w:val="clear" w:color="auto" w:fill="auto"/>
            <w:tcMar>
              <w:left w:w="108" w:type="dxa"/>
              <w:right w:w="108" w:type="dxa"/>
            </w:tcMar>
            <w:vAlign w:val="center"/>
          </w:tcPr>
          <w:p w14:paraId="282DA6C0">
            <w:pPr>
              <w:jc w:val="center"/>
              <w:rPr>
                <w:rFonts w:hAnsi="宋体" w:cs="宋体"/>
                <w:color w:val="auto"/>
                <w:highlight w:val="none"/>
              </w:rPr>
            </w:pPr>
            <w:r>
              <w:rPr>
                <w:rFonts w:hAnsi="宋体" w:cs="宋体"/>
                <w:b/>
                <w:color w:val="auto"/>
                <w:highlight w:val="none"/>
              </w:rPr>
              <w:t>原件一览表</w:t>
            </w:r>
          </w:p>
        </w:tc>
      </w:tr>
      <w:tr w14:paraId="05C5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665" w:type="dxa"/>
            <w:gridSpan w:val="3"/>
            <w:shd w:val="clear" w:color="auto" w:fill="auto"/>
            <w:tcMar>
              <w:left w:w="108" w:type="dxa"/>
              <w:right w:w="108" w:type="dxa"/>
            </w:tcMar>
            <w:vAlign w:val="center"/>
          </w:tcPr>
          <w:p w14:paraId="3F70F20E">
            <w:pPr>
              <w:jc w:val="center"/>
              <w:rPr>
                <w:rFonts w:hAnsi="宋体" w:cs="宋体"/>
                <w:color w:val="auto"/>
                <w:sz w:val="24"/>
                <w:szCs w:val="24"/>
                <w:highlight w:val="none"/>
              </w:rPr>
            </w:pPr>
            <w:r>
              <w:rPr>
                <w:rFonts w:hAnsi="宋体" w:cs="宋体"/>
                <w:color w:val="auto"/>
                <w:sz w:val="24"/>
                <w:szCs w:val="24"/>
                <w:highlight w:val="none"/>
              </w:rPr>
              <w:t>工程名称</w:t>
            </w:r>
          </w:p>
        </w:tc>
        <w:tc>
          <w:tcPr>
            <w:tcW w:w="6443" w:type="dxa"/>
            <w:gridSpan w:val="5"/>
            <w:shd w:val="clear" w:color="auto" w:fill="auto"/>
            <w:tcMar>
              <w:left w:w="108" w:type="dxa"/>
              <w:right w:w="108" w:type="dxa"/>
            </w:tcMar>
            <w:vAlign w:val="center"/>
          </w:tcPr>
          <w:p w14:paraId="659F4F34">
            <w:pPr>
              <w:jc w:val="center"/>
              <w:rPr>
                <w:rFonts w:hAnsi="宋体" w:cs="宋体"/>
                <w:color w:val="auto"/>
                <w:sz w:val="24"/>
                <w:szCs w:val="24"/>
                <w:highlight w:val="none"/>
              </w:rPr>
            </w:pPr>
            <w:r>
              <w:rPr>
                <w:rFonts w:hAnsi="宋体" w:cs="宋体"/>
                <w:color w:val="auto"/>
                <w:sz w:val="24"/>
                <w:szCs w:val="24"/>
                <w:highlight w:val="none"/>
              </w:rPr>
              <w:t xml:space="preserve"> </w:t>
            </w:r>
          </w:p>
        </w:tc>
      </w:tr>
      <w:tr w14:paraId="533A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665" w:type="dxa"/>
            <w:gridSpan w:val="3"/>
            <w:shd w:val="clear" w:color="auto" w:fill="auto"/>
            <w:tcMar>
              <w:left w:w="108" w:type="dxa"/>
              <w:right w:w="108" w:type="dxa"/>
            </w:tcMar>
            <w:vAlign w:val="center"/>
          </w:tcPr>
          <w:p w14:paraId="119D0973">
            <w:pPr>
              <w:jc w:val="center"/>
              <w:rPr>
                <w:rFonts w:hAnsi="宋体" w:cs="宋体"/>
                <w:color w:val="auto"/>
                <w:sz w:val="24"/>
                <w:szCs w:val="24"/>
                <w:highlight w:val="none"/>
              </w:rPr>
            </w:pPr>
            <w:r>
              <w:rPr>
                <w:rFonts w:hAnsi="宋体" w:cs="宋体"/>
                <w:color w:val="auto"/>
                <w:sz w:val="24"/>
                <w:szCs w:val="24"/>
                <w:highlight w:val="none"/>
              </w:rPr>
              <w:t>投标人名称                (请务必填写单位全称)</w:t>
            </w:r>
          </w:p>
        </w:tc>
        <w:tc>
          <w:tcPr>
            <w:tcW w:w="6443" w:type="dxa"/>
            <w:gridSpan w:val="5"/>
            <w:shd w:val="clear" w:color="auto" w:fill="auto"/>
            <w:tcMar>
              <w:left w:w="108" w:type="dxa"/>
              <w:right w:w="108" w:type="dxa"/>
            </w:tcMar>
            <w:vAlign w:val="center"/>
          </w:tcPr>
          <w:p w14:paraId="76D44F2D">
            <w:pPr>
              <w:jc w:val="center"/>
              <w:rPr>
                <w:rFonts w:hAnsi="宋体" w:cs="宋体"/>
                <w:color w:val="auto"/>
                <w:sz w:val="24"/>
                <w:szCs w:val="24"/>
                <w:highlight w:val="none"/>
              </w:rPr>
            </w:pPr>
            <w:r>
              <w:rPr>
                <w:rFonts w:hAnsi="宋体" w:cs="宋体"/>
                <w:color w:val="auto"/>
                <w:sz w:val="24"/>
                <w:szCs w:val="24"/>
                <w:highlight w:val="none"/>
              </w:rPr>
              <w:t>　</w:t>
            </w:r>
          </w:p>
        </w:tc>
      </w:tr>
      <w:tr w14:paraId="600B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665" w:type="dxa"/>
            <w:gridSpan w:val="3"/>
            <w:shd w:val="clear" w:color="auto" w:fill="auto"/>
            <w:tcMar>
              <w:left w:w="108" w:type="dxa"/>
              <w:right w:w="108" w:type="dxa"/>
            </w:tcMar>
            <w:vAlign w:val="center"/>
          </w:tcPr>
          <w:p w14:paraId="4BC8B17D">
            <w:pPr>
              <w:jc w:val="center"/>
              <w:rPr>
                <w:rFonts w:hAnsi="宋体" w:cs="宋体"/>
                <w:color w:val="auto"/>
                <w:sz w:val="24"/>
                <w:szCs w:val="24"/>
                <w:highlight w:val="none"/>
              </w:rPr>
            </w:pPr>
            <w:r>
              <w:rPr>
                <w:rFonts w:hAnsi="宋体" w:cs="宋体"/>
                <w:color w:val="auto"/>
                <w:sz w:val="24"/>
                <w:szCs w:val="24"/>
                <w:highlight w:val="none"/>
              </w:rPr>
              <w:t>投标人法定代表人或其委托代理人签名</w:t>
            </w:r>
          </w:p>
        </w:tc>
        <w:tc>
          <w:tcPr>
            <w:tcW w:w="2973" w:type="dxa"/>
            <w:gridSpan w:val="2"/>
            <w:shd w:val="clear" w:color="auto" w:fill="auto"/>
            <w:tcMar>
              <w:left w:w="108" w:type="dxa"/>
              <w:right w:w="108" w:type="dxa"/>
            </w:tcMar>
            <w:vAlign w:val="center"/>
          </w:tcPr>
          <w:p w14:paraId="1E08B353">
            <w:pPr>
              <w:jc w:val="center"/>
              <w:rPr>
                <w:rFonts w:hAnsi="宋体" w:cs="宋体"/>
                <w:color w:val="auto"/>
                <w:sz w:val="24"/>
                <w:szCs w:val="24"/>
                <w:highlight w:val="none"/>
              </w:rPr>
            </w:pPr>
            <w:r>
              <w:rPr>
                <w:rFonts w:hAnsi="宋体" w:cs="宋体"/>
                <w:color w:val="auto"/>
                <w:sz w:val="24"/>
                <w:szCs w:val="24"/>
                <w:highlight w:val="none"/>
              </w:rPr>
              <w:t>　</w:t>
            </w:r>
          </w:p>
        </w:tc>
        <w:tc>
          <w:tcPr>
            <w:tcW w:w="942" w:type="dxa"/>
            <w:shd w:val="clear" w:color="auto" w:fill="auto"/>
            <w:tcMar>
              <w:left w:w="108" w:type="dxa"/>
              <w:right w:w="108" w:type="dxa"/>
            </w:tcMar>
            <w:vAlign w:val="center"/>
          </w:tcPr>
          <w:p w14:paraId="1BD1CDFA">
            <w:pPr>
              <w:jc w:val="center"/>
              <w:rPr>
                <w:rFonts w:hAnsi="宋体" w:cs="宋体"/>
                <w:color w:val="auto"/>
                <w:sz w:val="24"/>
                <w:szCs w:val="24"/>
                <w:highlight w:val="none"/>
              </w:rPr>
            </w:pPr>
            <w:r>
              <w:rPr>
                <w:rFonts w:hAnsi="宋体" w:cs="宋体"/>
                <w:color w:val="auto"/>
                <w:sz w:val="24"/>
                <w:szCs w:val="24"/>
                <w:highlight w:val="none"/>
              </w:rPr>
              <w:t>手机号码</w:t>
            </w:r>
          </w:p>
        </w:tc>
        <w:tc>
          <w:tcPr>
            <w:tcW w:w="2528" w:type="dxa"/>
            <w:gridSpan w:val="2"/>
            <w:shd w:val="clear" w:color="auto" w:fill="auto"/>
            <w:tcMar>
              <w:left w:w="108" w:type="dxa"/>
              <w:right w:w="108" w:type="dxa"/>
            </w:tcMar>
            <w:vAlign w:val="center"/>
          </w:tcPr>
          <w:p w14:paraId="4F959227">
            <w:pPr>
              <w:jc w:val="center"/>
              <w:rPr>
                <w:rFonts w:hAnsi="宋体" w:cs="宋体"/>
                <w:color w:val="auto"/>
                <w:sz w:val="24"/>
                <w:szCs w:val="24"/>
                <w:highlight w:val="none"/>
              </w:rPr>
            </w:pPr>
            <w:r>
              <w:rPr>
                <w:rFonts w:hAnsi="宋体" w:cs="宋体"/>
                <w:color w:val="auto"/>
                <w:sz w:val="24"/>
                <w:szCs w:val="24"/>
                <w:highlight w:val="none"/>
              </w:rPr>
              <w:t>　</w:t>
            </w:r>
          </w:p>
        </w:tc>
      </w:tr>
      <w:tr w14:paraId="4178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9108" w:type="dxa"/>
            <w:gridSpan w:val="8"/>
            <w:shd w:val="clear" w:color="auto" w:fill="auto"/>
            <w:tcMar>
              <w:left w:w="108" w:type="dxa"/>
              <w:right w:w="108" w:type="dxa"/>
            </w:tcMar>
            <w:vAlign w:val="center"/>
          </w:tcPr>
          <w:p w14:paraId="3BC48DB3">
            <w:pPr>
              <w:jc w:val="center"/>
              <w:rPr>
                <w:rFonts w:hAnsi="宋体" w:cs="宋体"/>
                <w:color w:val="auto"/>
                <w:sz w:val="24"/>
                <w:szCs w:val="24"/>
                <w:highlight w:val="none"/>
              </w:rPr>
            </w:pPr>
            <w:r>
              <w:rPr>
                <w:rFonts w:hAnsi="宋体" w:cs="宋体"/>
                <w:color w:val="auto"/>
                <w:sz w:val="24"/>
                <w:szCs w:val="24"/>
                <w:highlight w:val="none"/>
              </w:rPr>
              <w:t>递交的证明材料原件如下：</w:t>
            </w:r>
          </w:p>
        </w:tc>
      </w:tr>
      <w:tr w14:paraId="7A3E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tcMar>
              <w:left w:w="108" w:type="dxa"/>
              <w:right w:w="108" w:type="dxa"/>
            </w:tcMar>
            <w:vAlign w:val="center"/>
          </w:tcPr>
          <w:p w14:paraId="319AC955">
            <w:pPr>
              <w:jc w:val="center"/>
              <w:rPr>
                <w:rFonts w:hAnsi="宋体" w:cs="宋体"/>
                <w:color w:val="auto"/>
                <w:sz w:val="24"/>
                <w:szCs w:val="24"/>
                <w:highlight w:val="none"/>
              </w:rPr>
            </w:pPr>
            <w:r>
              <w:rPr>
                <w:rFonts w:hAnsi="宋体" w:cs="宋体"/>
                <w:color w:val="auto"/>
                <w:sz w:val="24"/>
                <w:szCs w:val="24"/>
                <w:highlight w:val="none"/>
              </w:rPr>
              <w:t>序号</w:t>
            </w:r>
          </w:p>
        </w:tc>
        <w:tc>
          <w:tcPr>
            <w:tcW w:w="4937" w:type="dxa"/>
            <w:gridSpan w:val="4"/>
            <w:shd w:val="clear" w:color="auto" w:fill="auto"/>
            <w:tcMar>
              <w:left w:w="108" w:type="dxa"/>
              <w:right w:w="108" w:type="dxa"/>
            </w:tcMar>
            <w:vAlign w:val="center"/>
          </w:tcPr>
          <w:p w14:paraId="186E9814">
            <w:pPr>
              <w:jc w:val="center"/>
              <w:rPr>
                <w:rFonts w:hAnsi="宋体" w:cs="宋体"/>
                <w:color w:val="auto"/>
                <w:sz w:val="24"/>
                <w:szCs w:val="24"/>
                <w:highlight w:val="none"/>
              </w:rPr>
            </w:pPr>
            <w:r>
              <w:rPr>
                <w:rFonts w:hAnsi="宋体" w:cs="宋体"/>
                <w:color w:val="auto"/>
                <w:sz w:val="24"/>
                <w:szCs w:val="24"/>
                <w:highlight w:val="none"/>
              </w:rPr>
              <w:t>证明材料原件名称</w:t>
            </w:r>
          </w:p>
        </w:tc>
        <w:tc>
          <w:tcPr>
            <w:tcW w:w="1900" w:type="dxa"/>
            <w:gridSpan w:val="2"/>
            <w:shd w:val="clear" w:color="auto" w:fill="auto"/>
            <w:tcMar>
              <w:left w:w="108" w:type="dxa"/>
              <w:right w:w="108" w:type="dxa"/>
            </w:tcMar>
            <w:vAlign w:val="center"/>
          </w:tcPr>
          <w:p w14:paraId="5244E47C">
            <w:pPr>
              <w:jc w:val="center"/>
              <w:rPr>
                <w:rFonts w:hAnsi="宋体" w:cs="宋体"/>
                <w:color w:val="auto"/>
                <w:sz w:val="24"/>
                <w:szCs w:val="24"/>
                <w:highlight w:val="none"/>
              </w:rPr>
            </w:pPr>
            <w:r>
              <w:rPr>
                <w:rFonts w:hAnsi="宋体" w:cs="宋体"/>
                <w:color w:val="auto"/>
                <w:sz w:val="24"/>
                <w:szCs w:val="24"/>
                <w:highlight w:val="none"/>
              </w:rPr>
              <w:t>单位</w:t>
            </w:r>
          </w:p>
        </w:tc>
        <w:tc>
          <w:tcPr>
            <w:tcW w:w="1570" w:type="dxa"/>
            <w:shd w:val="clear" w:color="auto" w:fill="auto"/>
            <w:tcMar>
              <w:left w:w="108" w:type="dxa"/>
              <w:right w:w="108" w:type="dxa"/>
            </w:tcMar>
            <w:vAlign w:val="center"/>
          </w:tcPr>
          <w:p w14:paraId="15373008">
            <w:pPr>
              <w:jc w:val="center"/>
              <w:rPr>
                <w:rFonts w:hAnsi="宋体" w:cs="宋体"/>
                <w:color w:val="auto"/>
                <w:sz w:val="24"/>
                <w:szCs w:val="24"/>
                <w:highlight w:val="none"/>
              </w:rPr>
            </w:pPr>
            <w:r>
              <w:rPr>
                <w:rFonts w:hAnsi="宋体" w:cs="宋体"/>
                <w:color w:val="auto"/>
                <w:sz w:val="24"/>
                <w:szCs w:val="24"/>
                <w:highlight w:val="none"/>
              </w:rPr>
              <w:t>数量</w:t>
            </w:r>
          </w:p>
        </w:tc>
      </w:tr>
      <w:tr w14:paraId="2E95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tcMar>
              <w:left w:w="108" w:type="dxa"/>
              <w:right w:w="108" w:type="dxa"/>
            </w:tcMar>
            <w:vAlign w:val="center"/>
          </w:tcPr>
          <w:p w14:paraId="79C6A0E5">
            <w:pPr>
              <w:jc w:val="center"/>
              <w:rPr>
                <w:rFonts w:hAnsi="宋体" w:cs="宋体"/>
                <w:color w:val="auto"/>
                <w:sz w:val="24"/>
                <w:szCs w:val="24"/>
                <w:highlight w:val="none"/>
              </w:rPr>
            </w:pPr>
            <w:r>
              <w:rPr>
                <w:rFonts w:hint="eastAsia" w:hAnsi="宋体" w:cs="宋体"/>
                <w:color w:val="auto"/>
                <w:sz w:val="24"/>
                <w:szCs w:val="24"/>
                <w:highlight w:val="none"/>
              </w:rPr>
              <w:t>1</w:t>
            </w:r>
          </w:p>
        </w:tc>
        <w:tc>
          <w:tcPr>
            <w:tcW w:w="4937" w:type="dxa"/>
            <w:gridSpan w:val="4"/>
            <w:shd w:val="clear" w:color="auto" w:fill="auto"/>
            <w:tcMar>
              <w:left w:w="108" w:type="dxa"/>
              <w:right w:w="108" w:type="dxa"/>
            </w:tcMar>
            <w:vAlign w:val="center"/>
          </w:tcPr>
          <w:p w14:paraId="5494A7D1">
            <w:pPr>
              <w:jc w:val="center"/>
              <w:rPr>
                <w:rFonts w:hAnsi="宋体" w:cs="宋体"/>
                <w:color w:val="auto"/>
                <w:sz w:val="24"/>
                <w:szCs w:val="24"/>
                <w:highlight w:val="none"/>
              </w:rPr>
            </w:pPr>
          </w:p>
        </w:tc>
        <w:tc>
          <w:tcPr>
            <w:tcW w:w="1900" w:type="dxa"/>
            <w:gridSpan w:val="2"/>
            <w:shd w:val="clear" w:color="auto" w:fill="auto"/>
            <w:tcMar>
              <w:left w:w="108" w:type="dxa"/>
              <w:right w:w="108" w:type="dxa"/>
            </w:tcMar>
            <w:vAlign w:val="center"/>
          </w:tcPr>
          <w:p w14:paraId="09B5EB8E">
            <w:pPr>
              <w:jc w:val="center"/>
              <w:rPr>
                <w:rFonts w:hAnsi="宋体" w:cs="宋体"/>
                <w:color w:val="auto"/>
                <w:sz w:val="24"/>
                <w:szCs w:val="24"/>
                <w:highlight w:val="none"/>
              </w:rPr>
            </w:pPr>
          </w:p>
        </w:tc>
        <w:tc>
          <w:tcPr>
            <w:tcW w:w="1570" w:type="dxa"/>
            <w:shd w:val="clear" w:color="auto" w:fill="auto"/>
            <w:tcMar>
              <w:left w:w="108" w:type="dxa"/>
              <w:right w:w="108" w:type="dxa"/>
            </w:tcMar>
            <w:vAlign w:val="center"/>
          </w:tcPr>
          <w:p w14:paraId="48670F02">
            <w:pPr>
              <w:jc w:val="center"/>
              <w:rPr>
                <w:rFonts w:hAnsi="宋体" w:cs="宋体"/>
                <w:color w:val="auto"/>
                <w:sz w:val="24"/>
                <w:szCs w:val="24"/>
                <w:highlight w:val="none"/>
              </w:rPr>
            </w:pPr>
            <w:r>
              <w:rPr>
                <w:rFonts w:hAnsi="宋体" w:cs="宋体"/>
                <w:color w:val="auto"/>
                <w:sz w:val="24"/>
                <w:szCs w:val="24"/>
                <w:highlight w:val="none"/>
              </w:rPr>
              <w:t>　</w:t>
            </w:r>
          </w:p>
        </w:tc>
      </w:tr>
      <w:tr w14:paraId="37D3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tcMar>
              <w:left w:w="108" w:type="dxa"/>
              <w:right w:w="108" w:type="dxa"/>
            </w:tcMar>
            <w:vAlign w:val="center"/>
          </w:tcPr>
          <w:p w14:paraId="5BD0F980">
            <w:pPr>
              <w:jc w:val="center"/>
              <w:rPr>
                <w:rFonts w:hAnsi="宋体" w:cs="宋体"/>
                <w:color w:val="auto"/>
                <w:sz w:val="24"/>
                <w:szCs w:val="24"/>
                <w:highlight w:val="none"/>
              </w:rPr>
            </w:pPr>
            <w:r>
              <w:rPr>
                <w:rFonts w:hint="eastAsia" w:hAnsi="宋体" w:cs="宋体"/>
                <w:color w:val="auto"/>
                <w:sz w:val="24"/>
                <w:szCs w:val="24"/>
                <w:highlight w:val="none"/>
              </w:rPr>
              <w:t>2</w:t>
            </w:r>
          </w:p>
        </w:tc>
        <w:tc>
          <w:tcPr>
            <w:tcW w:w="4937" w:type="dxa"/>
            <w:gridSpan w:val="4"/>
            <w:shd w:val="clear" w:color="auto" w:fill="auto"/>
            <w:tcMar>
              <w:left w:w="108" w:type="dxa"/>
              <w:right w:w="108" w:type="dxa"/>
            </w:tcMar>
            <w:vAlign w:val="center"/>
          </w:tcPr>
          <w:p w14:paraId="2E899184">
            <w:pPr>
              <w:jc w:val="center"/>
              <w:rPr>
                <w:rFonts w:hAnsi="宋体" w:cs="宋体"/>
                <w:color w:val="auto"/>
                <w:sz w:val="24"/>
                <w:szCs w:val="24"/>
                <w:highlight w:val="none"/>
              </w:rPr>
            </w:pPr>
          </w:p>
        </w:tc>
        <w:tc>
          <w:tcPr>
            <w:tcW w:w="1900" w:type="dxa"/>
            <w:gridSpan w:val="2"/>
            <w:shd w:val="clear" w:color="auto" w:fill="auto"/>
            <w:tcMar>
              <w:left w:w="108" w:type="dxa"/>
              <w:right w:w="108" w:type="dxa"/>
            </w:tcMar>
            <w:vAlign w:val="center"/>
          </w:tcPr>
          <w:p w14:paraId="3D1A50EC">
            <w:pPr>
              <w:jc w:val="center"/>
              <w:rPr>
                <w:rFonts w:hAnsi="宋体" w:cs="宋体"/>
                <w:color w:val="auto"/>
                <w:sz w:val="24"/>
                <w:szCs w:val="24"/>
                <w:highlight w:val="none"/>
              </w:rPr>
            </w:pPr>
          </w:p>
        </w:tc>
        <w:tc>
          <w:tcPr>
            <w:tcW w:w="1570" w:type="dxa"/>
            <w:shd w:val="clear" w:color="auto" w:fill="auto"/>
            <w:tcMar>
              <w:left w:w="108" w:type="dxa"/>
              <w:right w:w="108" w:type="dxa"/>
            </w:tcMar>
            <w:vAlign w:val="center"/>
          </w:tcPr>
          <w:p w14:paraId="0A85E6E9">
            <w:pPr>
              <w:jc w:val="center"/>
              <w:rPr>
                <w:rFonts w:hAnsi="宋体" w:cs="宋体"/>
                <w:color w:val="auto"/>
                <w:sz w:val="24"/>
                <w:szCs w:val="24"/>
                <w:highlight w:val="none"/>
              </w:rPr>
            </w:pPr>
          </w:p>
        </w:tc>
      </w:tr>
      <w:tr w14:paraId="0ADA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tcMar>
              <w:left w:w="108" w:type="dxa"/>
              <w:right w:w="108" w:type="dxa"/>
            </w:tcMar>
            <w:vAlign w:val="center"/>
          </w:tcPr>
          <w:p w14:paraId="0275610A">
            <w:pPr>
              <w:jc w:val="center"/>
              <w:rPr>
                <w:rFonts w:hAnsi="宋体" w:cs="宋体"/>
                <w:color w:val="auto"/>
                <w:sz w:val="24"/>
                <w:szCs w:val="24"/>
                <w:highlight w:val="none"/>
              </w:rPr>
            </w:pPr>
            <w:r>
              <w:rPr>
                <w:rFonts w:hint="eastAsia" w:hAnsi="宋体" w:cs="宋体"/>
                <w:color w:val="auto"/>
                <w:sz w:val="24"/>
                <w:szCs w:val="24"/>
                <w:highlight w:val="none"/>
              </w:rPr>
              <w:t>3</w:t>
            </w:r>
          </w:p>
        </w:tc>
        <w:tc>
          <w:tcPr>
            <w:tcW w:w="4937" w:type="dxa"/>
            <w:gridSpan w:val="4"/>
            <w:shd w:val="clear" w:color="auto" w:fill="auto"/>
            <w:tcMar>
              <w:left w:w="108" w:type="dxa"/>
              <w:right w:w="108" w:type="dxa"/>
            </w:tcMar>
            <w:vAlign w:val="center"/>
          </w:tcPr>
          <w:p w14:paraId="64D54071">
            <w:pPr>
              <w:jc w:val="center"/>
              <w:rPr>
                <w:rFonts w:hAnsi="宋体" w:cs="宋体"/>
                <w:color w:val="auto"/>
                <w:sz w:val="24"/>
                <w:szCs w:val="24"/>
                <w:highlight w:val="none"/>
              </w:rPr>
            </w:pPr>
          </w:p>
        </w:tc>
        <w:tc>
          <w:tcPr>
            <w:tcW w:w="1900" w:type="dxa"/>
            <w:gridSpan w:val="2"/>
            <w:shd w:val="clear" w:color="auto" w:fill="auto"/>
            <w:tcMar>
              <w:left w:w="108" w:type="dxa"/>
              <w:right w:w="108" w:type="dxa"/>
            </w:tcMar>
            <w:vAlign w:val="center"/>
          </w:tcPr>
          <w:p w14:paraId="74CB803A">
            <w:pPr>
              <w:jc w:val="center"/>
              <w:rPr>
                <w:rFonts w:hAnsi="宋体" w:cs="宋体"/>
                <w:color w:val="auto"/>
                <w:sz w:val="24"/>
                <w:szCs w:val="24"/>
                <w:highlight w:val="none"/>
              </w:rPr>
            </w:pPr>
          </w:p>
        </w:tc>
        <w:tc>
          <w:tcPr>
            <w:tcW w:w="1570" w:type="dxa"/>
            <w:shd w:val="clear" w:color="auto" w:fill="auto"/>
            <w:tcMar>
              <w:left w:w="108" w:type="dxa"/>
              <w:right w:w="108" w:type="dxa"/>
            </w:tcMar>
            <w:vAlign w:val="center"/>
          </w:tcPr>
          <w:p w14:paraId="5CC84E93">
            <w:pPr>
              <w:jc w:val="center"/>
              <w:rPr>
                <w:rFonts w:hAnsi="宋体" w:cs="宋体"/>
                <w:color w:val="auto"/>
                <w:sz w:val="24"/>
                <w:szCs w:val="24"/>
                <w:highlight w:val="none"/>
              </w:rPr>
            </w:pPr>
          </w:p>
        </w:tc>
      </w:tr>
      <w:tr w14:paraId="3D1C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tcMar>
              <w:left w:w="108" w:type="dxa"/>
              <w:right w:w="108" w:type="dxa"/>
            </w:tcMar>
            <w:vAlign w:val="center"/>
          </w:tcPr>
          <w:p w14:paraId="50CA083F">
            <w:pPr>
              <w:jc w:val="center"/>
              <w:rPr>
                <w:rFonts w:hAnsi="宋体" w:cs="宋体"/>
                <w:color w:val="auto"/>
                <w:sz w:val="24"/>
                <w:szCs w:val="24"/>
                <w:highlight w:val="none"/>
              </w:rPr>
            </w:pPr>
            <w:r>
              <w:rPr>
                <w:rFonts w:hint="eastAsia" w:hAnsi="宋体" w:cs="宋体"/>
                <w:color w:val="auto"/>
                <w:sz w:val="24"/>
                <w:szCs w:val="24"/>
                <w:highlight w:val="none"/>
              </w:rPr>
              <w:t>...</w:t>
            </w:r>
          </w:p>
        </w:tc>
        <w:tc>
          <w:tcPr>
            <w:tcW w:w="4937" w:type="dxa"/>
            <w:gridSpan w:val="4"/>
            <w:shd w:val="clear" w:color="auto" w:fill="auto"/>
            <w:tcMar>
              <w:left w:w="108" w:type="dxa"/>
              <w:right w:w="108" w:type="dxa"/>
            </w:tcMar>
            <w:vAlign w:val="center"/>
          </w:tcPr>
          <w:p w14:paraId="2B25C3E6">
            <w:pPr>
              <w:jc w:val="center"/>
              <w:rPr>
                <w:rFonts w:hAnsi="宋体" w:cs="宋体"/>
                <w:color w:val="auto"/>
                <w:sz w:val="24"/>
                <w:szCs w:val="24"/>
                <w:highlight w:val="none"/>
              </w:rPr>
            </w:pPr>
          </w:p>
        </w:tc>
        <w:tc>
          <w:tcPr>
            <w:tcW w:w="1900" w:type="dxa"/>
            <w:gridSpan w:val="2"/>
            <w:shd w:val="clear" w:color="auto" w:fill="auto"/>
            <w:tcMar>
              <w:left w:w="108" w:type="dxa"/>
              <w:right w:w="108" w:type="dxa"/>
            </w:tcMar>
            <w:vAlign w:val="center"/>
          </w:tcPr>
          <w:p w14:paraId="3B3FA23C">
            <w:pPr>
              <w:jc w:val="center"/>
              <w:rPr>
                <w:rFonts w:hAnsi="宋体" w:cs="宋体"/>
                <w:color w:val="auto"/>
                <w:sz w:val="24"/>
                <w:szCs w:val="24"/>
                <w:highlight w:val="none"/>
              </w:rPr>
            </w:pPr>
          </w:p>
        </w:tc>
        <w:tc>
          <w:tcPr>
            <w:tcW w:w="1570" w:type="dxa"/>
            <w:shd w:val="clear" w:color="auto" w:fill="auto"/>
            <w:tcMar>
              <w:left w:w="108" w:type="dxa"/>
              <w:right w:w="108" w:type="dxa"/>
            </w:tcMar>
            <w:vAlign w:val="center"/>
          </w:tcPr>
          <w:p w14:paraId="3CE38F51">
            <w:pPr>
              <w:jc w:val="center"/>
              <w:rPr>
                <w:rFonts w:hAnsi="宋体" w:cs="宋体"/>
                <w:color w:val="auto"/>
                <w:sz w:val="24"/>
                <w:szCs w:val="24"/>
                <w:highlight w:val="none"/>
              </w:rPr>
            </w:pPr>
            <w:r>
              <w:rPr>
                <w:rFonts w:hAnsi="宋体" w:cs="宋体"/>
                <w:color w:val="auto"/>
                <w:sz w:val="24"/>
                <w:szCs w:val="24"/>
                <w:highlight w:val="none"/>
              </w:rPr>
              <w:t>　</w:t>
            </w:r>
          </w:p>
        </w:tc>
      </w:tr>
      <w:tr w14:paraId="49C4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1778" w:hRule="atLeast"/>
        </w:trPr>
        <w:tc>
          <w:tcPr>
            <w:tcW w:w="701" w:type="dxa"/>
            <w:shd w:val="clear" w:color="auto" w:fill="auto"/>
            <w:tcMar>
              <w:left w:w="108" w:type="dxa"/>
              <w:right w:w="108" w:type="dxa"/>
            </w:tcMar>
            <w:vAlign w:val="center"/>
          </w:tcPr>
          <w:p w14:paraId="3CD93353">
            <w:pPr>
              <w:ind w:left="8" w:hanging="94"/>
              <w:jc w:val="center"/>
              <w:rPr>
                <w:rFonts w:hAnsi="宋体" w:cs="宋体"/>
                <w:color w:val="auto"/>
                <w:sz w:val="24"/>
                <w:szCs w:val="24"/>
                <w:highlight w:val="none"/>
              </w:rPr>
            </w:pPr>
            <w:r>
              <w:rPr>
                <w:rFonts w:hint="eastAsia" w:hAnsi="宋体" w:cs="宋体"/>
                <w:color w:val="auto"/>
                <w:sz w:val="24"/>
                <w:szCs w:val="24"/>
                <w:highlight w:val="none"/>
              </w:rPr>
              <w:t>注意：</w:t>
            </w:r>
          </w:p>
        </w:tc>
        <w:tc>
          <w:tcPr>
            <w:tcW w:w="8407" w:type="dxa"/>
            <w:gridSpan w:val="7"/>
            <w:shd w:val="clear" w:color="auto" w:fill="auto"/>
            <w:tcMar>
              <w:left w:w="108" w:type="dxa"/>
              <w:right w:w="108" w:type="dxa"/>
            </w:tcMar>
            <w:vAlign w:val="center"/>
          </w:tcPr>
          <w:p w14:paraId="48ABAC21">
            <w:pPr>
              <w:ind w:firstLine="480"/>
              <w:rPr>
                <w:rFonts w:hAnsi="宋体" w:cs="宋体"/>
                <w:color w:val="auto"/>
                <w:sz w:val="24"/>
                <w:szCs w:val="24"/>
                <w:highlight w:val="none"/>
              </w:rPr>
            </w:pPr>
            <w:r>
              <w:rPr>
                <w:rFonts w:hint="eastAsia" w:hAnsi="宋体" w:cs="宋体"/>
                <w:color w:val="auto"/>
                <w:sz w:val="24"/>
                <w:szCs w:val="24"/>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4946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653" w:hRule="atLeast"/>
        </w:trPr>
        <w:tc>
          <w:tcPr>
            <w:tcW w:w="2207" w:type="dxa"/>
            <w:gridSpan w:val="2"/>
            <w:shd w:val="clear" w:color="auto" w:fill="auto"/>
            <w:tcMar>
              <w:left w:w="108" w:type="dxa"/>
              <w:right w:w="108" w:type="dxa"/>
            </w:tcMar>
          </w:tcPr>
          <w:p w14:paraId="22FF04C5">
            <w:pPr>
              <w:jc w:val="center"/>
              <w:rPr>
                <w:rFonts w:hAnsi="宋体" w:cs="宋体"/>
                <w:color w:val="auto"/>
                <w:sz w:val="24"/>
                <w:szCs w:val="24"/>
                <w:highlight w:val="none"/>
              </w:rPr>
            </w:pPr>
          </w:p>
          <w:p w14:paraId="2A3D2A87">
            <w:pPr>
              <w:ind w:firstLine="480" w:firstLineChars="200"/>
              <w:jc w:val="center"/>
              <w:rPr>
                <w:rFonts w:hAnsi="宋体" w:cs="宋体"/>
                <w:color w:val="auto"/>
                <w:sz w:val="24"/>
                <w:szCs w:val="24"/>
                <w:highlight w:val="none"/>
              </w:rPr>
            </w:pPr>
            <w:r>
              <w:rPr>
                <w:rFonts w:hint="eastAsia" w:hAnsi="宋体" w:cs="宋体"/>
                <w:color w:val="auto"/>
                <w:sz w:val="24"/>
                <w:szCs w:val="24"/>
                <w:highlight w:val="none"/>
              </w:rPr>
              <w:t>接收原件经办人(招标代理)：</w:t>
            </w:r>
          </w:p>
        </w:tc>
        <w:tc>
          <w:tcPr>
            <w:tcW w:w="1994" w:type="dxa"/>
            <w:gridSpan w:val="2"/>
            <w:shd w:val="clear" w:color="auto" w:fill="auto"/>
            <w:tcMar>
              <w:left w:w="108" w:type="dxa"/>
              <w:right w:w="108" w:type="dxa"/>
            </w:tcMar>
            <w:vAlign w:val="center"/>
          </w:tcPr>
          <w:p w14:paraId="0A670F9D">
            <w:pPr>
              <w:jc w:val="center"/>
              <w:rPr>
                <w:rFonts w:hAnsi="宋体" w:cs="宋体"/>
                <w:color w:val="auto"/>
                <w:sz w:val="24"/>
                <w:szCs w:val="24"/>
                <w:highlight w:val="none"/>
              </w:rPr>
            </w:pPr>
          </w:p>
        </w:tc>
        <w:tc>
          <w:tcPr>
            <w:tcW w:w="1437" w:type="dxa"/>
            <w:shd w:val="clear" w:color="auto" w:fill="auto"/>
            <w:tcMar>
              <w:left w:w="108" w:type="dxa"/>
              <w:right w:w="108" w:type="dxa"/>
            </w:tcMar>
            <w:vAlign w:val="center"/>
          </w:tcPr>
          <w:p w14:paraId="52A8846C">
            <w:pPr>
              <w:jc w:val="center"/>
              <w:rPr>
                <w:rFonts w:hAnsi="宋体" w:cs="宋体"/>
                <w:color w:val="auto"/>
                <w:sz w:val="24"/>
                <w:szCs w:val="24"/>
                <w:highlight w:val="none"/>
              </w:rPr>
            </w:pPr>
            <w:r>
              <w:rPr>
                <w:rFonts w:hint="eastAsia" w:hAnsi="宋体" w:cs="宋体"/>
                <w:color w:val="auto"/>
                <w:sz w:val="24"/>
                <w:szCs w:val="24"/>
                <w:highlight w:val="none"/>
              </w:rPr>
              <w:t>接收时间：</w:t>
            </w:r>
          </w:p>
        </w:tc>
        <w:tc>
          <w:tcPr>
            <w:tcW w:w="3470" w:type="dxa"/>
            <w:gridSpan w:val="3"/>
            <w:shd w:val="clear" w:color="auto" w:fill="auto"/>
            <w:tcMar>
              <w:left w:w="108" w:type="dxa"/>
              <w:right w:w="108" w:type="dxa"/>
            </w:tcMar>
            <w:vAlign w:val="center"/>
          </w:tcPr>
          <w:p w14:paraId="7FB2C5C1">
            <w:pPr>
              <w:ind w:firstLine="480" w:firstLineChars="200"/>
              <w:jc w:val="left"/>
              <w:rPr>
                <w:rFonts w:hAnsi="宋体" w:cs="宋体"/>
                <w:color w:val="auto"/>
                <w:sz w:val="24"/>
                <w:szCs w:val="24"/>
                <w:highlight w:val="none"/>
              </w:rPr>
            </w:pPr>
            <w:r>
              <w:rPr>
                <w:rFonts w:hint="eastAsia" w:hAnsi="宋体" w:cs="宋体"/>
                <w:color w:val="auto"/>
                <w:sz w:val="24"/>
                <w:szCs w:val="24"/>
                <w:highlight w:val="none"/>
              </w:rPr>
              <w:t>年   月   日   时  分</w:t>
            </w:r>
          </w:p>
        </w:tc>
      </w:tr>
      <w:tr w14:paraId="2AC1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65" w:hRule="atLeast"/>
        </w:trPr>
        <w:tc>
          <w:tcPr>
            <w:tcW w:w="2207" w:type="dxa"/>
            <w:gridSpan w:val="2"/>
            <w:shd w:val="clear" w:color="auto" w:fill="auto"/>
            <w:tcMar>
              <w:left w:w="108" w:type="dxa"/>
              <w:right w:w="108" w:type="dxa"/>
            </w:tcMar>
            <w:vAlign w:val="center"/>
          </w:tcPr>
          <w:p w14:paraId="1EE124EB">
            <w:pPr>
              <w:jc w:val="center"/>
              <w:rPr>
                <w:rFonts w:hAnsi="宋体" w:cs="宋体"/>
                <w:color w:val="auto"/>
                <w:sz w:val="24"/>
                <w:szCs w:val="24"/>
                <w:highlight w:val="none"/>
              </w:rPr>
            </w:pPr>
            <w:r>
              <w:rPr>
                <w:rFonts w:hint="eastAsia" w:hAnsi="宋体" w:cs="宋体"/>
                <w:color w:val="auto"/>
                <w:sz w:val="24"/>
                <w:szCs w:val="24"/>
                <w:highlight w:val="none"/>
              </w:rPr>
              <w:t>退还原件接收人(投标人)：</w:t>
            </w:r>
          </w:p>
        </w:tc>
        <w:tc>
          <w:tcPr>
            <w:tcW w:w="1994" w:type="dxa"/>
            <w:gridSpan w:val="2"/>
            <w:shd w:val="clear" w:color="auto" w:fill="auto"/>
            <w:tcMar>
              <w:left w:w="108" w:type="dxa"/>
              <w:right w:w="108" w:type="dxa"/>
            </w:tcMar>
            <w:vAlign w:val="center"/>
          </w:tcPr>
          <w:p w14:paraId="7AD23D8F">
            <w:pPr>
              <w:jc w:val="center"/>
              <w:rPr>
                <w:rFonts w:hAnsi="宋体" w:cs="宋体"/>
                <w:color w:val="auto"/>
                <w:sz w:val="24"/>
                <w:szCs w:val="24"/>
                <w:highlight w:val="none"/>
              </w:rPr>
            </w:pPr>
          </w:p>
        </w:tc>
        <w:tc>
          <w:tcPr>
            <w:tcW w:w="1437" w:type="dxa"/>
            <w:shd w:val="clear" w:color="auto" w:fill="auto"/>
            <w:tcMar>
              <w:left w:w="108" w:type="dxa"/>
              <w:right w:w="108" w:type="dxa"/>
            </w:tcMar>
            <w:vAlign w:val="center"/>
          </w:tcPr>
          <w:p w14:paraId="0F40017A">
            <w:pPr>
              <w:jc w:val="center"/>
              <w:rPr>
                <w:rFonts w:hAnsi="宋体" w:cs="宋体"/>
                <w:color w:val="auto"/>
                <w:sz w:val="24"/>
                <w:szCs w:val="24"/>
                <w:highlight w:val="none"/>
              </w:rPr>
            </w:pPr>
            <w:r>
              <w:rPr>
                <w:rFonts w:hint="eastAsia" w:hAnsi="宋体" w:cs="宋体"/>
                <w:color w:val="auto"/>
                <w:sz w:val="24"/>
                <w:szCs w:val="24"/>
                <w:highlight w:val="none"/>
              </w:rPr>
              <w:t>退还时间：</w:t>
            </w:r>
          </w:p>
        </w:tc>
        <w:tc>
          <w:tcPr>
            <w:tcW w:w="3470" w:type="dxa"/>
            <w:gridSpan w:val="3"/>
            <w:shd w:val="clear" w:color="auto" w:fill="auto"/>
            <w:tcMar>
              <w:left w:w="108" w:type="dxa"/>
              <w:right w:w="108" w:type="dxa"/>
            </w:tcMar>
            <w:vAlign w:val="center"/>
          </w:tcPr>
          <w:p w14:paraId="308F2A49">
            <w:pPr>
              <w:ind w:firstLine="480" w:firstLineChars="200"/>
              <w:jc w:val="left"/>
              <w:rPr>
                <w:rFonts w:hAnsi="宋体" w:cs="宋体"/>
                <w:color w:val="auto"/>
                <w:sz w:val="24"/>
                <w:szCs w:val="24"/>
                <w:highlight w:val="none"/>
              </w:rPr>
            </w:pPr>
            <w:r>
              <w:rPr>
                <w:rFonts w:hint="eastAsia" w:hAnsi="宋体" w:cs="宋体"/>
                <w:color w:val="auto"/>
                <w:sz w:val="24"/>
                <w:szCs w:val="24"/>
                <w:highlight w:val="none"/>
              </w:rPr>
              <w:t>年   月   日   时   分</w:t>
            </w:r>
          </w:p>
        </w:tc>
      </w:tr>
    </w:tbl>
    <w:p w14:paraId="5A801565">
      <w:pPr>
        <w:rPr>
          <w:color w:val="auto"/>
          <w:sz w:val="24"/>
          <w:szCs w:val="24"/>
          <w:highlight w:val="none"/>
        </w:rPr>
      </w:pPr>
    </w:p>
    <w:p w14:paraId="4CC27EFC">
      <w:pPr>
        <w:rPr>
          <w:color w:val="auto"/>
          <w:highlight w:val="none"/>
        </w:rPr>
      </w:pPr>
    </w:p>
    <w:p w14:paraId="3EE20538">
      <w:pPr>
        <w:rPr>
          <w:color w:val="auto"/>
          <w:highlight w:val="none"/>
        </w:rPr>
      </w:pPr>
    </w:p>
    <w:p w14:paraId="54F4200A">
      <w:pPr>
        <w:rPr>
          <w:color w:val="auto"/>
          <w:highlight w:val="none"/>
        </w:rPr>
      </w:pPr>
    </w:p>
    <w:p w14:paraId="064472C7">
      <w:pPr>
        <w:pStyle w:val="2"/>
        <w:numPr>
          <w:ilvl w:val="0"/>
          <w:numId w:val="7"/>
        </w:numPr>
        <w:tabs>
          <w:tab w:val="left" w:pos="885"/>
        </w:tabs>
        <w:spacing w:after="0" w:line="400" w:lineRule="exact"/>
        <w:jc w:val="center"/>
        <w:rPr>
          <w:rFonts w:ascii="宋体" w:hAnsi="宋体" w:cs="宋体"/>
          <w:color w:val="auto"/>
          <w:szCs w:val="28"/>
          <w:highlight w:val="none"/>
        </w:rPr>
      </w:pPr>
      <w:bookmarkStart w:id="335" w:name="_Toc21968"/>
      <w:r>
        <w:rPr>
          <w:rFonts w:hint="eastAsia" w:ascii="宋体" w:hAnsi="宋体" w:cs="宋体"/>
          <w:color w:val="auto"/>
          <w:szCs w:val="28"/>
          <w:highlight w:val="none"/>
        </w:rPr>
        <w:t>初步设计任务书</w:t>
      </w:r>
      <w:bookmarkEnd w:id="335"/>
    </w:p>
    <w:p w14:paraId="573C43B9">
      <w:pPr>
        <w:tabs>
          <w:tab w:val="left" w:pos="885"/>
        </w:tabs>
        <w:spacing w:before="158" w:after="64" w:line="360" w:lineRule="auto"/>
        <w:rPr>
          <w:rFonts w:ascii="宋体" w:hAnsi="宋体" w:cs="宋体"/>
          <w:b/>
          <w:bCs/>
          <w:color w:val="auto"/>
          <w:sz w:val="24"/>
          <w:szCs w:val="24"/>
          <w:highlight w:val="none"/>
        </w:rPr>
      </w:pPr>
      <w:r>
        <w:rPr>
          <w:rFonts w:hint="eastAsia" w:ascii="宋体" w:hAnsi="宋体" w:cs="宋体"/>
          <w:b/>
          <w:bCs/>
          <w:snapToGrid w:val="0"/>
          <w:color w:val="auto"/>
          <w:kern w:val="0"/>
          <w:sz w:val="24"/>
          <w:szCs w:val="24"/>
          <w:highlight w:val="none"/>
        </w:rPr>
        <w:t xml:space="preserve"> </w:t>
      </w:r>
      <w:bookmarkStart w:id="336" w:name="_Toc16068"/>
      <w:bookmarkStart w:id="337" w:name="_Toc19733"/>
      <w:bookmarkStart w:id="338" w:name="_Toc29162"/>
      <w:bookmarkStart w:id="339" w:name="_Toc26784"/>
      <w:bookmarkStart w:id="340" w:name="_Toc4696"/>
      <w:bookmarkStart w:id="341" w:name="_Toc9873"/>
      <w:bookmarkStart w:id="342" w:name="_Toc2632"/>
      <w:bookmarkStart w:id="343" w:name="_Toc7209"/>
      <w:bookmarkStart w:id="344" w:name="_Toc18844"/>
      <w:r>
        <w:rPr>
          <w:rFonts w:hint="eastAsia" w:ascii="宋体" w:hAnsi="宋体" w:cs="宋体"/>
          <w:b/>
          <w:bCs/>
          <w:color w:val="auto"/>
          <w:sz w:val="24"/>
          <w:szCs w:val="24"/>
          <w:highlight w:val="none"/>
        </w:rPr>
        <w:t>1.项目概况</w:t>
      </w:r>
      <w:bookmarkEnd w:id="336"/>
      <w:bookmarkEnd w:id="337"/>
      <w:bookmarkEnd w:id="338"/>
      <w:bookmarkEnd w:id="339"/>
      <w:bookmarkEnd w:id="340"/>
      <w:bookmarkEnd w:id="341"/>
      <w:bookmarkEnd w:id="342"/>
      <w:bookmarkEnd w:id="343"/>
      <w:bookmarkEnd w:id="344"/>
    </w:p>
    <w:p w14:paraId="195913CA">
      <w:pPr>
        <w:pStyle w:val="66"/>
        <w:tabs>
          <w:tab w:val="left" w:pos="1020"/>
        </w:tabs>
        <w:autoSpaceDE w:val="0"/>
        <w:autoSpaceDN w:val="0"/>
        <w:spacing w:before="0" w:line="360" w:lineRule="auto"/>
        <w:ind w:left="0" w:firstLine="231" w:firstLineChars="100"/>
        <w:jc w:val="left"/>
        <w:rPr>
          <w:color w:val="auto"/>
          <w:spacing w:val="-5"/>
          <w:sz w:val="24"/>
          <w:szCs w:val="24"/>
          <w:highlight w:val="none"/>
        </w:rPr>
      </w:pPr>
      <w:r>
        <w:rPr>
          <w:rFonts w:hint="eastAsia"/>
          <w:b/>
          <w:bCs/>
          <w:color w:val="auto"/>
          <w:spacing w:val="-5"/>
          <w:sz w:val="24"/>
          <w:szCs w:val="24"/>
          <w:highlight w:val="none"/>
          <w:lang w:val="en-US"/>
        </w:rPr>
        <w:t xml:space="preserve">1.1 </w:t>
      </w:r>
      <w:r>
        <w:rPr>
          <w:rFonts w:hint="eastAsia"/>
          <w:b/>
          <w:bCs/>
          <w:color w:val="auto"/>
          <w:spacing w:val="-5"/>
          <w:sz w:val="24"/>
          <w:szCs w:val="24"/>
          <w:highlight w:val="none"/>
        </w:rPr>
        <w:t>项目名称：</w:t>
      </w:r>
      <w:r>
        <w:rPr>
          <w:rFonts w:hint="eastAsia"/>
          <w:color w:val="auto"/>
          <w:spacing w:val="-5"/>
          <w:sz w:val="24"/>
          <w:szCs w:val="24"/>
          <w:highlight w:val="none"/>
          <w:lang w:val="en-US" w:eastAsia="zh-CN"/>
        </w:rPr>
        <w:t>韶关市第一人民医院旧院区病房改造及能力提升建设项目方案、初步设计、概算编制项目</w:t>
      </w:r>
    </w:p>
    <w:p w14:paraId="465C7BE7">
      <w:pPr>
        <w:pStyle w:val="66"/>
        <w:tabs>
          <w:tab w:val="left" w:pos="1080"/>
        </w:tabs>
        <w:spacing w:before="0" w:line="360" w:lineRule="auto"/>
        <w:ind w:left="0" w:firstLine="241" w:firstLineChars="100"/>
        <w:jc w:val="left"/>
        <w:rPr>
          <w:color w:val="auto"/>
          <w:sz w:val="24"/>
          <w:szCs w:val="24"/>
          <w:highlight w:val="none"/>
          <w:lang w:val="en-US"/>
        </w:rPr>
      </w:pPr>
      <w:r>
        <w:rPr>
          <w:rFonts w:hint="eastAsia"/>
          <w:b/>
          <w:bCs/>
          <w:color w:val="auto"/>
          <w:sz w:val="24"/>
          <w:szCs w:val="24"/>
          <w:highlight w:val="none"/>
          <w:lang w:val="en-US"/>
        </w:rPr>
        <w:t>1.2 项目位置：</w:t>
      </w:r>
      <w:r>
        <w:rPr>
          <w:rFonts w:hint="eastAsia"/>
          <w:color w:val="auto"/>
          <w:sz w:val="24"/>
          <w:szCs w:val="24"/>
          <w:highlight w:val="none"/>
          <w:lang w:val="en-US" w:eastAsia="zh-CN"/>
        </w:rPr>
        <w:t>广东省韶关市浈江区东堤南路 3 号</w:t>
      </w:r>
      <w:r>
        <w:rPr>
          <w:rFonts w:hint="eastAsia"/>
          <w:color w:val="auto"/>
          <w:sz w:val="24"/>
          <w:szCs w:val="24"/>
          <w:highlight w:val="none"/>
          <w:lang w:val="en-US"/>
        </w:rPr>
        <w:t>。</w:t>
      </w:r>
    </w:p>
    <w:p w14:paraId="5D9AB835">
      <w:pPr>
        <w:pStyle w:val="66"/>
        <w:tabs>
          <w:tab w:val="left" w:pos="1080"/>
        </w:tabs>
        <w:spacing w:before="0" w:line="360" w:lineRule="auto"/>
        <w:ind w:left="0" w:firstLine="241" w:firstLineChars="100"/>
        <w:jc w:val="left"/>
        <w:rPr>
          <w:rFonts w:hint="eastAsia"/>
          <w:color w:val="auto"/>
          <w:sz w:val="24"/>
          <w:szCs w:val="24"/>
          <w:highlight w:val="none"/>
          <w:lang w:val="en-US" w:eastAsia="zh-CN"/>
        </w:rPr>
      </w:pPr>
      <w:r>
        <w:rPr>
          <w:rFonts w:hint="eastAsia"/>
          <w:b/>
          <w:bCs/>
          <w:color w:val="auto"/>
          <w:sz w:val="24"/>
          <w:szCs w:val="24"/>
          <w:highlight w:val="none"/>
          <w:lang w:val="en-US"/>
        </w:rPr>
        <w:t>1.3 建设规模：</w:t>
      </w:r>
      <w:r>
        <w:rPr>
          <w:rFonts w:hint="eastAsia"/>
          <w:color w:val="auto"/>
          <w:sz w:val="24"/>
          <w:szCs w:val="24"/>
          <w:highlight w:val="none"/>
          <w:lang w:val="en-US" w:eastAsia="zh-CN"/>
        </w:rPr>
        <w:t>项目拟对韶关市第一人民医院旧院区进行病房改造及能力提升，项目涉及总建筑面积约4.3万平方米，其中改造面积约4.3万平方米，改造床位约500张，主要改造内容为254个病房楼多人间（3-8人间）病房改造为2人间及卫生间改造、供电供水系统改造，对院内总平面布局进行重新规划，对院内消防通道、交通流线进行梳理，对建筑平面布局、外立面、医疗工艺流程等进行设计。本项目完成后，医院床位数保持不变。</w:t>
      </w:r>
    </w:p>
    <w:p w14:paraId="3707FFA2">
      <w:pPr>
        <w:spacing w:before="88" w:beforeLines="28" w:after="85" w:afterLines="27" w:line="360" w:lineRule="auto"/>
        <w:rPr>
          <w:rFonts w:ascii="宋体" w:hAnsi="宋体" w:cs="宋体"/>
          <w:color w:val="auto"/>
          <w:sz w:val="24"/>
          <w:szCs w:val="24"/>
          <w:highlight w:val="none"/>
        </w:rPr>
      </w:pPr>
      <w:bookmarkStart w:id="345" w:name="_Toc9951"/>
      <w:bookmarkStart w:id="346" w:name="_Toc15761"/>
      <w:bookmarkStart w:id="347" w:name="_Toc19098"/>
      <w:bookmarkStart w:id="348" w:name="_Toc14502"/>
      <w:bookmarkStart w:id="349" w:name="_Toc11124"/>
      <w:bookmarkStart w:id="350" w:name="_Toc4798"/>
      <w:bookmarkStart w:id="351" w:name="_Toc24209"/>
      <w:bookmarkStart w:id="352" w:name="_Toc8629"/>
      <w:bookmarkStart w:id="353" w:name="_Toc10358"/>
      <w:bookmarkStart w:id="354" w:name="_Toc16702"/>
      <w:bookmarkStart w:id="355" w:name="_Toc21962"/>
      <w:bookmarkStart w:id="356" w:name="_Toc28013"/>
      <w:bookmarkStart w:id="357" w:name="_Toc16668"/>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.初步设计工作内容</w:t>
      </w:r>
      <w:bookmarkEnd w:id="345"/>
      <w:bookmarkEnd w:id="346"/>
      <w:bookmarkEnd w:id="347"/>
      <w:bookmarkEnd w:id="348"/>
    </w:p>
    <w:p w14:paraId="18A9BEBB">
      <w:pPr>
        <w:pStyle w:val="66"/>
        <w:tabs>
          <w:tab w:val="left" w:pos="1020"/>
        </w:tabs>
        <w:spacing w:before="0" w:line="360" w:lineRule="auto"/>
        <w:ind w:left="0" w:firstLine="466" w:firstLineChars="200"/>
        <w:rPr>
          <w:color w:val="auto"/>
          <w:spacing w:val="-4"/>
          <w:sz w:val="24"/>
          <w:szCs w:val="24"/>
          <w:highlight w:val="none"/>
        </w:rPr>
      </w:pPr>
      <w:r>
        <w:rPr>
          <w:rFonts w:hint="eastAsia"/>
          <w:b/>
          <w:bCs/>
          <w:color w:val="auto"/>
          <w:spacing w:val="-4"/>
          <w:sz w:val="24"/>
          <w:szCs w:val="24"/>
          <w:highlight w:val="none"/>
          <w:lang w:val="en-US" w:eastAsia="zh-CN"/>
        </w:rPr>
        <w:t>2</w:t>
      </w:r>
      <w:r>
        <w:rPr>
          <w:rFonts w:hint="eastAsia"/>
          <w:b/>
          <w:bCs/>
          <w:color w:val="auto"/>
          <w:spacing w:val="-4"/>
          <w:sz w:val="24"/>
          <w:szCs w:val="24"/>
          <w:highlight w:val="none"/>
          <w:lang w:val="en-US"/>
        </w:rPr>
        <w:t>.1 初步</w:t>
      </w:r>
      <w:r>
        <w:rPr>
          <w:rFonts w:hint="eastAsia"/>
          <w:b/>
          <w:bCs/>
          <w:color w:val="auto"/>
          <w:spacing w:val="-4"/>
          <w:sz w:val="24"/>
          <w:szCs w:val="24"/>
          <w:highlight w:val="none"/>
        </w:rPr>
        <w:t>设计</w:t>
      </w:r>
      <w:r>
        <w:rPr>
          <w:rFonts w:hint="eastAsia"/>
          <w:color w:val="auto"/>
          <w:spacing w:val="-4"/>
          <w:sz w:val="24"/>
          <w:szCs w:val="24"/>
          <w:highlight w:val="none"/>
        </w:rPr>
        <w:t>，包括但不限于完成本项目方案设计、初步设计（含概算编制）、配合相关评审会议的汇报工作。（具体工作内容由招标人在合同中确定）</w:t>
      </w:r>
    </w:p>
    <w:p w14:paraId="3540723B">
      <w:pPr>
        <w:pStyle w:val="66"/>
        <w:tabs>
          <w:tab w:val="left" w:pos="1020"/>
        </w:tabs>
        <w:spacing w:before="0" w:line="360" w:lineRule="auto"/>
        <w:ind w:left="0" w:firstLine="466" w:firstLineChars="200"/>
        <w:rPr>
          <w:b/>
          <w:bCs/>
          <w:color w:val="auto"/>
          <w:spacing w:val="-4"/>
          <w:sz w:val="24"/>
          <w:szCs w:val="24"/>
          <w:highlight w:val="none"/>
          <w:lang w:val="en-US"/>
        </w:rPr>
      </w:pPr>
      <w:r>
        <w:rPr>
          <w:rFonts w:hint="eastAsia"/>
          <w:b/>
          <w:bCs/>
          <w:color w:val="auto"/>
          <w:spacing w:val="-4"/>
          <w:sz w:val="24"/>
          <w:szCs w:val="24"/>
          <w:highlight w:val="none"/>
          <w:lang w:val="en-US" w:eastAsia="zh-CN"/>
        </w:rPr>
        <w:t>2</w:t>
      </w:r>
      <w:r>
        <w:rPr>
          <w:rFonts w:hint="eastAsia"/>
          <w:b/>
          <w:bCs/>
          <w:color w:val="auto"/>
          <w:spacing w:val="-4"/>
          <w:sz w:val="24"/>
          <w:szCs w:val="24"/>
          <w:highlight w:val="none"/>
          <w:lang w:val="en-US"/>
        </w:rPr>
        <w:t>.2设计依据及要求</w:t>
      </w:r>
    </w:p>
    <w:p w14:paraId="6177498F">
      <w:pPr>
        <w:pStyle w:val="66"/>
        <w:tabs>
          <w:tab w:val="left" w:pos="1020"/>
        </w:tabs>
        <w:spacing w:before="0" w:line="360" w:lineRule="auto"/>
        <w:ind w:left="0" w:firstLineChars="200"/>
        <w:jc w:val="left"/>
        <w:rPr>
          <w:color w:val="auto"/>
          <w:sz w:val="24"/>
          <w:szCs w:val="24"/>
          <w:highlight w:val="none"/>
          <w:lang w:val="en-US"/>
        </w:rPr>
      </w:pPr>
      <w:r>
        <w:rPr>
          <w:rFonts w:hint="eastAsia"/>
          <w:color w:val="auto"/>
          <w:sz w:val="24"/>
          <w:szCs w:val="24"/>
          <w:highlight w:val="none"/>
          <w:lang w:val="en-US" w:eastAsia="zh-CN"/>
        </w:rPr>
        <w:t>2</w:t>
      </w:r>
      <w:r>
        <w:rPr>
          <w:rFonts w:hint="eastAsia"/>
          <w:color w:val="auto"/>
          <w:sz w:val="24"/>
          <w:szCs w:val="24"/>
          <w:highlight w:val="none"/>
          <w:lang w:val="en-US"/>
        </w:rPr>
        <w:t>.2.1业主提供的有关本工程资料（包括但不限于）：项目前期资料或现有资料、相关批复文件等。</w:t>
      </w:r>
    </w:p>
    <w:p w14:paraId="32DE88CF">
      <w:pPr>
        <w:pStyle w:val="66"/>
        <w:tabs>
          <w:tab w:val="left" w:pos="1020"/>
        </w:tabs>
        <w:spacing w:before="0" w:line="360" w:lineRule="auto"/>
        <w:ind w:left="0" w:firstLineChars="200"/>
        <w:jc w:val="left"/>
        <w:rPr>
          <w:color w:val="auto"/>
          <w:sz w:val="24"/>
          <w:szCs w:val="24"/>
          <w:highlight w:val="none"/>
          <w:lang w:val="en-US"/>
        </w:rPr>
      </w:pPr>
      <w:r>
        <w:rPr>
          <w:rFonts w:hint="eastAsia"/>
          <w:color w:val="auto"/>
          <w:sz w:val="24"/>
          <w:szCs w:val="24"/>
          <w:highlight w:val="none"/>
          <w:lang w:val="en-US" w:eastAsia="zh-CN"/>
        </w:rPr>
        <w:t>2</w:t>
      </w:r>
      <w:r>
        <w:rPr>
          <w:rFonts w:hint="eastAsia"/>
          <w:color w:val="auto"/>
          <w:sz w:val="24"/>
          <w:szCs w:val="24"/>
          <w:highlight w:val="none"/>
          <w:lang w:val="en-US"/>
        </w:rPr>
        <w:t>.2.2符合国家及地方现行有效的有关设计规范、标准、规定等；必须经有关部门或招标人组织的专家评审通过。</w:t>
      </w:r>
    </w:p>
    <w:p w14:paraId="7C4D3F84">
      <w:pPr>
        <w:pStyle w:val="66"/>
        <w:tabs>
          <w:tab w:val="left" w:pos="1020"/>
        </w:tabs>
        <w:spacing w:before="0" w:line="360" w:lineRule="auto"/>
        <w:ind w:left="0" w:firstLineChars="200"/>
        <w:jc w:val="left"/>
        <w:rPr>
          <w:color w:val="auto"/>
          <w:sz w:val="24"/>
          <w:szCs w:val="24"/>
          <w:highlight w:val="none"/>
          <w:lang w:val="en-US"/>
        </w:rPr>
      </w:pPr>
      <w:r>
        <w:rPr>
          <w:rFonts w:hint="eastAsia"/>
          <w:color w:val="auto"/>
          <w:sz w:val="24"/>
          <w:szCs w:val="24"/>
          <w:highlight w:val="none"/>
          <w:lang w:val="en-US" w:eastAsia="zh-CN"/>
        </w:rPr>
        <w:t>2</w:t>
      </w:r>
      <w:r>
        <w:rPr>
          <w:rFonts w:hint="eastAsia"/>
          <w:color w:val="auto"/>
          <w:sz w:val="24"/>
          <w:szCs w:val="24"/>
          <w:highlight w:val="none"/>
          <w:lang w:val="en-US"/>
        </w:rPr>
        <w:t>.2.3各专业设计应同步进行，设计单位应指定总体设计人统筹布局，做好各项设施的协调和衔接、位置预留，不得留待施工中临时变更。</w:t>
      </w:r>
    </w:p>
    <w:p w14:paraId="0DAAFC61">
      <w:pPr>
        <w:pStyle w:val="66"/>
        <w:tabs>
          <w:tab w:val="left" w:pos="1020"/>
        </w:tabs>
        <w:spacing w:before="0" w:line="360" w:lineRule="auto"/>
        <w:ind w:left="0" w:firstLineChars="200"/>
        <w:jc w:val="left"/>
        <w:rPr>
          <w:color w:val="auto"/>
          <w:sz w:val="24"/>
          <w:szCs w:val="24"/>
          <w:highlight w:val="none"/>
          <w:lang w:val="en-US"/>
        </w:rPr>
      </w:pPr>
      <w:r>
        <w:rPr>
          <w:rFonts w:hint="eastAsia"/>
          <w:color w:val="auto"/>
          <w:sz w:val="24"/>
          <w:szCs w:val="24"/>
          <w:highlight w:val="none"/>
          <w:lang w:val="en-US" w:eastAsia="zh-CN"/>
        </w:rPr>
        <w:t>2</w:t>
      </w:r>
      <w:r>
        <w:rPr>
          <w:rFonts w:hint="eastAsia"/>
          <w:color w:val="auto"/>
          <w:sz w:val="24"/>
          <w:szCs w:val="24"/>
          <w:highlight w:val="none"/>
          <w:lang w:val="en-US"/>
        </w:rPr>
        <w:t>.2.4对技术复杂或造价、规模较大的主要分项工程应作方案比较。</w:t>
      </w:r>
    </w:p>
    <w:p w14:paraId="65417F04">
      <w:pPr>
        <w:pStyle w:val="66"/>
        <w:tabs>
          <w:tab w:val="left" w:pos="1020"/>
        </w:tabs>
        <w:spacing w:before="0" w:line="360" w:lineRule="auto"/>
        <w:ind w:left="0" w:firstLine="466" w:firstLineChars="200"/>
        <w:rPr>
          <w:b/>
          <w:bCs/>
          <w:color w:val="auto"/>
          <w:spacing w:val="-4"/>
          <w:sz w:val="24"/>
          <w:szCs w:val="24"/>
          <w:highlight w:val="none"/>
          <w:lang w:val="en-US"/>
        </w:rPr>
      </w:pPr>
      <w:r>
        <w:rPr>
          <w:rFonts w:hint="eastAsia"/>
          <w:b/>
          <w:bCs/>
          <w:color w:val="auto"/>
          <w:spacing w:val="-4"/>
          <w:sz w:val="24"/>
          <w:szCs w:val="24"/>
          <w:highlight w:val="none"/>
          <w:lang w:val="en-US" w:eastAsia="zh-CN"/>
        </w:rPr>
        <w:t>2</w:t>
      </w:r>
      <w:r>
        <w:rPr>
          <w:rFonts w:hint="eastAsia"/>
          <w:b/>
          <w:bCs/>
          <w:color w:val="auto"/>
          <w:spacing w:val="-4"/>
          <w:sz w:val="24"/>
          <w:szCs w:val="24"/>
          <w:highlight w:val="none"/>
          <w:lang w:val="en-US"/>
        </w:rPr>
        <w:t>.2.5 限额设计要求：</w:t>
      </w:r>
    </w:p>
    <w:p w14:paraId="117EF8EE">
      <w:pPr>
        <w:pStyle w:val="66"/>
        <w:tabs>
          <w:tab w:val="left" w:pos="1020"/>
        </w:tabs>
        <w:spacing w:before="0" w:line="360" w:lineRule="auto"/>
        <w:ind w:left="0" w:firstLineChars="200"/>
        <w:jc w:val="left"/>
        <w:rPr>
          <w:color w:val="auto"/>
          <w:sz w:val="24"/>
          <w:szCs w:val="24"/>
          <w:highlight w:val="none"/>
          <w:lang w:val="en-US"/>
        </w:rPr>
      </w:pPr>
      <w:r>
        <w:rPr>
          <w:rFonts w:hint="eastAsia"/>
          <w:color w:val="auto"/>
          <w:sz w:val="24"/>
          <w:szCs w:val="24"/>
          <w:highlight w:val="none"/>
          <w:lang w:val="en-US"/>
        </w:rPr>
        <w:t>（1）初步设计概算不超过立项批复相应投资估算。</w:t>
      </w:r>
    </w:p>
    <w:p w14:paraId="58E9A99D">
      <w:pPr>
        <w:pStyle w:val="66"/>
        <w:tabs>
          <w:tab w:val="left" w:pos="1020"/>
        </w:tabs>
        <w:spacing w:before="0" w:line="360" w:lineRule="auto"/>
        <w:ind w:left="0" w:firstLineChars="200"/>
        <w:jc w:val="left"/>
        <w:rPr>
          <w:color w:val="auto"/>
          <w:sz w:val="24"/>
          <w:szCs w:val="24"/>
          <w:highlight w:val="none"/>
          <w:lang w:val="en-US"/>
        </w:rPr>
      </w:pPr>
      <w:r>
        <w:rPr>
          <w:rFonts w:hint="eastAsia"/>
          <w:color w:val="auto"/>
          <w:sz w:val="24"/>
          <w:szCs w:val="24"/>
          <w:highlight w:val="none"/>
          <w:lang w:val="en-US"/>
        </w:rPr>
        <w:t>（</w:t>
      </w:r>
      <w:r>
        <w:rPr>
          <w:rFonts w:hint="eastAsia"/>
          <w:color w:val="auto"/>
          <w:sz w:val="24"/>
          <w:szCs w:val="24"/>
          <w:highlight w:val="none"/>
          <w:lang w:val="en-US" w:eastAsia="zh-CN"/>
        </w:rPr>
        <w:t>2</w:t>
      </w:r>
      <w:r>
        <w:rPr>
          <w:rFonts w:hint="eastAsia"/>
          <w:color w:val="auto"/>
          <w:sz w:val="24"/>
          <w:szCs w:val="24"/>
          <w:highlight w:val="none"/>
          <w:lang w:val="en-US"/>
        </w:rPr>
        <w:t>）设计时需要考虑与周边地块的开发相结合。</w:t>
      </w:r>
    </w:p>
    <w:p w14:paraId="58F68490">
      <w:pPr>
        <w:pStyle w:val="66"/>
        <w:tabs>
          <w:tab w:val="left" w:pos="1020"/>
        </w:tabs>
        <w:spacing w:before="85" w:beforeLines="27" w:after="88" w:afterLines="28" w:line="360" w:lineRule="auto"/>
        <w:ind w:left="0" w:firstLine="466" w:firstLineChars="200"/>
        <w:rPr>
          <w:b/>
          <w:bCs/>
          <w:color w:val="auto"/>
          <w:spacing w:val="-4"/>
          <w:sz w:val="24"/>
          <w:szCs w:val="24"/>
          <w:highlight w:val="none"/>
          <w:lang w:val="en-US"/>
        </w:rPr>
      </w:pPr>
      <w:r>
        <w:rPr>
          <w:rFonts w:hint="eastAsia"/>
          <w:b/>
          <w:bCs/>
          <w:color w:val="auto"/>
          <w:spacing w:val="-4"/>
          <w:sz w:val="24"/>
          <w:szCs w:val="24"/>
          <w:highlight w:val="none"/>
          <w:lang w:val="en-US" w:eastAsia="zh-CN"/>
        </w:rPr>
        <w:t>2</w:t>
      </w:r>
      <w:r>
        <w:rPr>
          <w:rFonts w:hint="eastAsia"/>
          <w:b/>
          <w:bCs/>
          <w:color w:val="auto"/>
          <w:spacing w:val="-4"/>
          <w:sz w:val="24"/>
          <w:szCs w:val="24"/>
          <w:highlight w:val="none"/>
          <w:lang w:val="en-US"/>
        </w:rPr>
        <w:t>.3初步设计深度：</w:t>
      </w:r>
    </w:p>
    <w:p w14:paraId="48E0CD90">
      <w:pPr>
        <w:pStyle w:val="66"/>
        <w:tabs>
          <w:tab w:val="left" w:pos="1020"/>
        </w:tabs>
        <w:spacing w:before="0" w:line="360" w:lineRule="auto"/>
        <w:ind w:left="0" w:firstLineChars="200"/>
        <w:jc w:val="left"/>
        <w:rPr>
          <w:color w:val="auto"/>
          <w:sz w:val="24"/>
          <w:szCs w:val="24"/>
          <w:highlight w:val="none"/>
          <w:lang w:val="en-US"/>
        </w:rPr>
      </w:pPr>
      <w:r>
        <w:rPr>
          <w:rFonts w:hint="eastAsia"/>
          <w:color w:val="auto"/>
          <w:sz w:val="24"/>
          <w:szCs w:val="24"/>
          <w:highlight w:val="none"/>
          <w:lang w:val="en-US"/>
        </w:rPr>
        <w:t>符合国家有关质量标准现行勘察设计文件编制深度的相关规定。进一步分析调查和核实已有资料，明确工程规模、建设目的、投资效益、设计原则和标准、选定设计方案、拆迁、征地范围及数量、设计中存在的问题、注意事项及意见等，包括说明书、图纸、主要工程数量、主要材料设备数量及工程概算。</w:t>
      </w:r>
    </w:p>
    <w:p w14:paraId="5EAE1AD7">
      <w:pPr>
        <w:pStyle w:val="66"/>
        <w:tabs>
          <w:tab w:val="left" w:pos="1020"/>
        </w:tabs>
        <w:spacing w:before="0" w:line="360" w:lineRule="auto"/>
        <w:ind w:left="0" w:firstLine="482" w:firstLineChars="200"/>
        <w:jc w:val="left"/>
        <w:rPr>
          <w:color w:val="auto"/>
          <w:sz w:val="24"/>
          <w:szCs w:val="24"/>
          <w:highlight w:val="none"/>
        </w:rPr>
      </w:pPr>
      <w:r>
        <w:rPr>
          <w:rFonts w:hint="eastAsia"/>
          <w:b/>
          <w:bCs/>
          <w:color w:val="auto"/>
          <w:sz w:val="24"/>
          <w:szCs w:val="24"/>
          <w:highlight w:val="none"/>
          <w:lang w:val="en-US" w:eastAsia="zh-CN"/>
        </w:rPr>
        <w:t>2</w:t>
      </w:r>
      <w:r>
        <w:rPr>
          <w:rFonts w:hint="eastAsia"/>
          <w:b/>
          <w:bCs/>
          <w:color w:val="auto"/>
          <w:sz w:val="24"/>
          <w:szCs w:val="24"/>
          <w:highlight w:val="none"/>
          <w:lang w:val="en-US"/>
        </w:rPr>
        <w:t>.4 初步</w:t>
      </w:r>
      <w:r>
        <w:rPr>
          <w:rFonts w:hint="eastAsia"/>
          <w:b/>
          <w:bCs/>
          <w:color w:val="auto"/>
          <w:sz w:val="24"/>
          <w:szCs w:val="24"/>
          <w:highlight w:val="none"/>
        </w:rPr>
        <w:t>设计原则</w:t>
      </w:r>
    </w:p>
    <w:p w14:paraId="6EB9A7B2">
      <w:pPr>
        <w:pStyle w:val="66"/>
        <w:tabs>
          <w:tab w:val="left" w:pos="1020"/>
        </w:tabs>
        <w:spacing w:before="0" w:line="360" w:lineRule="auto"/>
        <w:ind w:left="0" w:firstLineChars="200"/>
        <w:jc w:val="left"/>
        <w:rPr>
          <w:color w:val="auto"/>
          <w:sz w:val="24"/>
          <w:szCs w:val="24"/>
          <w:highlight w:val="none"/>
          <w:lang w:val="en-US"/>
        </w:rPr>
      </w:pPr>
      <w:r>
        <w:rPr>
          <w:rFonts w:hint="eastAsia"/>
          <w:color w:val="auto"/>
          <w:sz w:val="24"/>
          <w:szCs w:val="24"/>
          <w:highlight w:val="none"/>
          <w:lang w:val="en-US"/>
        </w:rPr>
        <w:t>贯彻执行国家关于环境保护的政策，符合国家的有关法规、规范及标准。从实际情况出发，在城市总体规划的指导下，采取全面规划、分期实施的原则，合理确定项目建设规模及建设内容。根据项目实际情况，合理确定项目建设方案。初步设计符合实际情况，便于管理及维护、经济合理。合理确定项目施工方案，节约项目投资，减小项目建设对环境的影响和破坏。</w:t>
      </w:r>
    </w:p>
    <w:p w14:paraId="0A021E84">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.5 设计单位配合施工、监理招标及施工的工作内容</w:t>
      </w:r>
    </w:p>
    <w:p w14:paraId="38BA8C53">
      <w:pPr>
        <w:pStyle w:val="66"/>
        <w:tabs>
          <w:tab w:val="left" w:pos="1020"/>
        </w:tabs>
        <w:spacing w:before="0" w:line="360" w:lineRule="auto"/>
        <w:ind w:left="0" w:firstLine="480" w:firstLineChars="200"/>
        <w:jc w:val="left"/>
        <w:rPr>
          <w:rFonts w:hint="eastAsia"/>
          <w:color w:val="auto"/>
          <w:sz w:val="24"/>
          <w:szCs w:val="24"/>
          <w:highlight w:val="none"/>
          <w:lang w:val="en-US"/>
        </w:rPr>
      </w:pPr>
      <w:r>
        <w:rPr>
          <w:rFonts w:hint="eastAsia"/>
          <w:color w:val="auto"/>
          <w:sz w:val="24"/>
          <w:szCs w:val="24"/>
          <w:highlight w:val="none"/>
          <w:lang w:val="en-US"/>
        </w:rPr>
        <w:t>（1）初步设计（技术）交底；</w:t>
      </w:r>
    </w:p>
    <w:p w14:paraId="1396A1AE">
      <w:pPr>
        <w:pStyle w:val="66"/>
        <w:tabs>
          <w:tab w:val="left" w:pos="1020"/>
        </w:tabs>
        <w:spacing w:before="0" w:line="360" w:lineRule="auto"/>
        <w:ind w:left="0" w:firstLine="480" w:firstLineChars="200"/>
        <w:jc w:val="left"/>
        <w:rPr>
          <w:rFonts w:hint="eastAsia"/>
          <w:color w:val="auto"/>
          <w:sz w:val="24"/>
          <w:szCs w:val="24"/>
          <w:highlight w:val="none"/>
          <w:lang w:val="en-US"/>
        </w:rPr>
      </w:pPr>
      <w:r>
        <w:rPr>
          <w:rFonts w:hint="eastAsia"/>
          <w:color w:val="auto"/>
          <w:sz w:val="24"/>
          <w:szCs w:val="24"/>
          <w:highlight w:val="none"/>
          <w:lang w:val="en-US"/>
        </w:rPr>
        <w:t>（2）参加处理施工中发生的工程质量和安全事故；</w:t>
      </w:r>
    </w:p>
    <w:p w14:paraId="4ACBC898">
      <w:pPr>
        <w:pStyle w:val="66"/>
        <w:tabs>
          <w:tab w:val="left" w:pos="1020"/>
        </w:tabs>
        <w:spacing w:before="0" w:line="360" w:lineRule="auto"/>
        <w:ind w:left="0" w:firstLine="480" w:firstLineChars="200"/>
        <w:jc w:val="left"/>
        <w:rPr>
          <w:rFonts w:hint="eastAsia"/>
          <w:color w:val="auto"/>
          <w:sz w:val="24"/>
          <w:szCs w:val="24"/>
          <w:highlight w:val="none"/>
          <w:lang w:val="en-US"/>
        </w:rPr>
      </w:pPr>
      <w:r>
        <w:rPr>
          <w:rFonts w:hint="eastAsia"/>
          <w:color w:val="auto"/>
          <w:sz w:val="24"/>
          <w:szCs w:val="24"/>
          <w:highlight w:val="none"/>
          <w:lang w:val="en-US"/>
        </w:rPr>
        <w:t>（3）解决与设计有关的施工问题；</w:t>
      </w:r>
    </w:p>
    <w:p w14:paraId="0C9942B2">
      <w:pPr>
        <w:pStyle w:val="66"/>
        <w:tabs>
          <w:tab w:val="left" w:pos="1020"/>
        </w:tabs>
        <w:spacing w:before="0" w:line="360" w:lineRule="auto"/>
        <w:ind w:left="0" w:firstLine="480" w:firstLineChars="200"/>
        <w:jc w:val="left"/>
        <w:rPr>
          <w:rFonts w:hint="eastAsia"/>
          <w:color w:val="auto"/>
          <w:sz w:val="24"/>
          <w:szCs w:val="24"/>
          <w:highlight w:val="none"/>
          <w:lang w:val="en-US"/>
        </w:rPr>
      </w:pPr>
      <w:r>
        <w:rPr>
          <w:rFonts w:hint="eastAsia"/>
          <w:color w:val="auto"/>
          <w:sz w:val="24"/>
          <w:szCs w:val="24"/>
          <w:highlight w:val="none"/>
          <w:lang w:val="en-US"/>
        </w:rPr>
        <w:t>（4）配合质量检测；</w:t>
      </w:r>
    </w:p>
    <w:p w14:paraId="404B47B8">
      <w:pPr>
        <w:pStyle w:val="66"/>
        <w:tabs>
          <w:tab w:val="left" w:pos="1020"/>
        </w:tabs>
        <w:spacing w:before="0" w:line="360" w:lineRule="auto"/>
        <w:ind w:left="0" w:firstLine="480" w:firstLineChars="200"/>
        <w:jc w:val="left"/>
        <w:rPr>
          <w:rFonts w:hint="eastAsia"/>
          <w:color w:val="auto"/>
          <w:sz w:val="24"/>
          <w:szCs w:val="24"/>
          <w:highlight w:val="none"/>
          <w:lang w:val="en-US"/>
        </w:rPr>
      </w:pPr>
      <w:r>
        <w:rPr>
          <w:rFonts w:hint="eastAsia"/>
          <w:color w:val="auto"/>
          <w:sz w:val="24"/>
          <w:szCs w:val="24"/>
          <w:highlight w:val="none"/>
          <w:lang w:val="en-US"/>
        </w:rPr>
        <w:t>（5）参加本项目建设有关会议；</w:t>
      </w:r>
    </w:p>
    <w:p w14:paraId="3C0CC2A6">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3.6评审和确认</w:t>
      </w:r>
    </w:p>
    <w:p w14:paraId="1C7E10DA">
      <w:pPr>
        <w:pStyle w:val="66"/>
        <w:tabs>
          <w:tab w:val="left" w:pos="1020"/>
        </w:tabs>
        <w:spacing w:before="0" w:line="360" w:lineRule="auto"/>
        <w:ind w:left="0" w:firstLine="478" w:firstLineChars="200"/>
        <w:jc w:val="left"/>
        <w:rPr>
          <w:color w:val="auto"/>
          <w:sz w:val="24"/>
          <w:szCs w:val="24"/>
          <w:highlight w:val="none"/>
          <w:lang w:val="en-US"/>
        </w:rPr>
      </w:pPr>
      <w:r>
        <w:rPr>
          <w:rFonts w:hint="eastAsia"/>
          <w:b/>
          <w:bCs/>
          <w:color w:val="auto"/>
          <w:spacing w:val="-1"/>
          <w:sz w:val="24"/>
          <w:szCs w:val="24"/>
          <w:highlight w:val="none"/>
          <w:lang w:val="en-US"/>
        </w:rPr>
        <w:t>3.6.1</w:t>
      </w:r>
      <w:r>
        <w:rPr>
          <w:rFonts w:hint="eastAsia"/>
          <w:b/>
          <w:bCs/>
          <w:color w:val="auto"/>
          <w:spacing w:val="-1"/>
          <w:sz w:val="24"/>
          <w:szCs w:val="24"/>
          <w:highlight w:val="none"/>
        </w:rPr>
        <w:t>评审：</w:t>
      </w:r>
      <w:r>
        <w:rPr>
          <w:rFonts w:hint="eastAsia"/>
          <w:color w:val="auto"/>
          <w:spacing w:val="-1"/>
          <w:sz w:val="24"/>
          <w:szCs w:val="24"/>
          <w:highlight w:val="none"/>
        </w:rPr>
        <w:t>承包人应按国家有关规定呈交符合各阶段内容深度和要求的图</w:t>
      </w:r>
      <w:r>
        <w:rPr>
          <w:rFonts w:hint="eastAsia"/>
          <w:color w:val="auto"/>
          <w:sz w:val="24"/>
          <w:szCs w:val="24"/>
          <w:highlight w:val="none"/>
        </w:rPr>
        <w:t>纸文件供评审</w:t>
      </w:r>
      <w:r>
        <w:rPr>
          <w:rFonts w:hint="eastAsia"/>
          <w:color w:val="auto"/>
          <w:sz w:val="24"/>
          <w:szCs w:val="24"/>
          <w:highlight w:val="none"/>
          <w:lang w:val="en-US"/>
        </w:rPr>
        <w:t>之用，发包人负责评审的安排。承包人交付初步设计文件后参加有关评审，并根据评审结论，负责不超过合同规定范围内的必要修改补充。若审定的设计原则有重大变更时，承包人必须及时进行相应的修改。</w:t>
      </w:r>
    </w:p>
    <w:p w14:paraId="6CCE934F">
      <w:pPr>
        <w:pStyle w:val="66"/>
        <w:tabs>
          <w:tab w:val="left" w:pos="1020"/>
        </w:tabs>
        <w:spacing w:before="0" w:line="360" w:lineRule="auto"/>
        <w:ind w:left="0" w:firstLineChars="200"/>
        <w:jc w:val="left"/>
        <w:rPr>
          <w:color w:val="auto"/>
          <w:sz w:val="24"/>
          <w:szCs w:val="24"/>
          <w:highlight w:val="none"/>
          <w:lang w:val="en-US"/>
        </w:rPr>
      </w:pPr>
      <w:r>
        <w:rPr>
          <w:rFonts w:hint="eastAsia"/>
          <w:color w:val="auto"/>
          <w:sz w:val="24"/>
          <w:szCs w:val="24"/>
          <w:highlight w:val="none"/>
          <w:lang w:val="en-US"/>
        </w:rPr>
        <w:t>3.6.2确认：根据发包人要求，承包人把各阶段的设计报告、设计图纸送发包人进行评审确认；评审单位明确对设计报告和图纸需要修改完善或返工时，承包人应按发包人要求进行修改完善或返工。</w:t>
      </w:r>
    </w:p>
    <w:p w14:paraId="106DCB7B">
      <w:pPr>
        <w:pStyle w:val="66"/>
        <w:tabs>
          <w:tab w:val="left" w:pos="1020"/>
        </w:tabs>
        <w:spacing w:before="0" w:line="360" w:lineRule="auto"/>
        <w:ind w:left="0" w:firstLineChars="200"/>
        <w:jc w:val="left"/>
        <w:rPr>
          <w:color w:val="auto"/>
          <w:sz w:val="24"/>
          <w:szCs w:val="24"/>
          <w:highlight w:val="none"/>
        </w:rPr>
      </w:pPr>
      <w:r>
        <w:rPr>
          <w:rFonts w:hint="eastAsia"/>
          <w:color w:val="auto"/>
          <w:sz w:val="24"/>
          <w:szCs w:val="24"/>
          <w:highlight w:val="none"/>
          <w:lang w:val="en-US"/>
        </w:rPr>
        <w:t>3.6.3承包人在项目报批及评审过程中提供技术支持，确保项目通过有关部门或招标人组织的专家评审。</w:t>
      </w:r>
    </w:p>
    <w:bookmarkEnd w:id="349"/>
    <w:bookmarkEnd w:id="350"/>
    <w:bookmarkEnd w:id="351"/>
    <w:bookmarkEnd w:id="352"/>
    <w:bookmarkEnd w:id="353"/>
    <w:bookmarkEnd w:id="354"/>
    <w:bookmarkEnd w:id="355"/>
    <w:bookmarkEnd w:id="356"/>
    <w:bookmarkEnd w:id="357"/>
    <w:p w14:paraId="0D520E79">
      <w:pPr>
        <w:tabs>
          <w:tab w:val="left" w:pos="301"/>
        </w:tabs>
        <w:spacing w:before="101" w:beforeLines="32" w:after="158"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4.初步设计工期及成果要求</w:t>
      </w:r>
    </w:p>
    <w:p w14:paraId="0F1A2D8D">
      <w:pPr>
        <w:pStyle w:val="36"/>
        <w:adjustRightInd w:val="0"/>
        <w:snapToGrid w:val="0"/>
        <w:ind w:firstLine="413" w:firstLineChars="175"/>
        <w:rPr>
          <w:rFonts w:hint="eastAsia" w:hAnsi="宋体" w:cs="宋体"/>
          <w:color w:val="auto"/>
          <w:spacing w:val="-2"/>
          <w:szCs w:val="24"/>
          <w:highlight w:val="none"/>
        </w:rPr>
      </w:pPr>
      <w:r>
        <w:rPr>
          <w:rFonts w:hint="eastAsia" w:hAnsi="宋体" w:cs="宋体"/>
          <w:color w:val="auto"/>
          <w:spacing w:val="-2"/>
          <w:szCs w:val="24"/>
          <w:highlight w:val="none"/>
        </w:rPr>
        <w:t>4.1</w:t>
      </w:r>
      <w:r>
        <w:rPr>
          <w:rFonts w:hint="eastAsia" w:hAnsi="宋体" w:cs="宋体"/>
          <w:color w:val="auto"/>
          <w:spacing w:val="-2"/>
          <w:szCs w:val="24"/>
          <w:highlight w:val="none"/>
          <w:lang w:val="en-US" w:eastAsia="zh-CN"/>
        </w:rPr>
        <w:t xml:space="preserve"> </w:t>
      </w:r>
      <w:r>
        <w:rPr>
          <w:rFonts w:hint="eastAsia" w:hAnsi="宋体" w:cs="宋体"/>
          <w:color w:val="auto"/>
          <w:spacing w:val="-2"/>
          <w:szCs w:val="24"/>
          <w:highlight w:val="none"/>
        </w:rPr>
        <w:t>设计计划总工期</w:t>
      </w:r>
      <w:r>
        <w:rPr>
          <w:rFonts w:hint="eastAsia" w:hAnsi="宋体" w:cs="宋体"/>
          <w:color w:val="auto"/>
          <w:spacing w:val="-2"/>
          <w:szCs w:val="24"/>
          <w:highlight w:val="none"/>
          <w:lang w:val="en-US" w:eastAsia="zh-CN"/>
        </w:rPr>
        <w:t>30</w:t>
      </w:r>
      <w:r>
        <w:rPr>
          <w:rFonts w:hint="eastAsia" w:hAnsi="宋体" w:cs="宋体"/>
          <w:color w:val="auto"/>
          <w:spacing w:val="-2"/>
          <w:szCs w:val="24"/>
          <w:highlight w:val="none"/>
        </w:rPr>
        <w:t>个日历天（不含评审时间）。中标人应在合同签订后</w:t>
      </w:r>
      <w:r>
        <w:rPr>
          <w:rFonts w:hint="eastAsia" w:hAnsi="宋体" w:cs="宋体"/>
          <w:color w:val="auto"/>
          <w:spacing w:val="-2"/>
          <w:szCs w:val="24"/>
          <w:highlight w:val="none"/>
          <w:lang w:val="en-US" w:eastAsia="zh-CN"/>
        </w:rPr>
        <w:t>30</w:t>
      </w:r>
      <w:r>
        <w:rPr>
          <w:rFonts w:hint="eastAsia" w:hAnsi="宋体" w:cs="宋体"/>
          <w:color w:val="auto"/>
          <w:spacing w:val="-2"/>
          <w:szCs w:val="24"/>
          <w:highlight w:val="none"/>
        </w:rPr>
        <w:t>个日历天内完成规划方案设计、初步设计及概算编制并提供相应成果资料。</w:t>
      </w:r>
    </w:p>
    <w:p w14:paraId="10A0BC79">
      <w:pPr>
        <w:pStyle w:val="36"/>
        <w:adjustRightInd w:val="0"/>
        <w:snapToGrid w:val="0"/>
        <w:ind w:firstLine="413" w:firstLineChars="175"/>
        <w:rPr>
          <w:rFonts w:hint="eastAsia" w:hAnsi="宋体" w:cs="宋体"/>
          <w:color w:val="auto"/>
          <w:spacing w:val="-2"/>
          <w:szCs w:val="24"/>
          <w:highlight w:val="none"/>
        </w:rPr>
      </w:pPr>
      <w:r>
        <w:rPr>
          <w:rFonts w:hint="eastAsia" w:hAnsi="宋体" w:cs="宋体"/>
          <w:color w:val="auto"/>
          <w:spacing w:val="-2"/>
          <w:szCs w:val="24"/>
          <w:highlight w:val="none"/>
        </w:rPr>
        <w:t>设计文件报批、送审时间不计入以上工期。如因招标人或相关审批部门原因导致的设计文件审批、规划报建等时间延误，则以上工期应相应合理顺延。</w:t>
      </w:r>
    </w:p>
    <w:p w14:paraId="6B695670">
      <w:pPr>
        <w:pStyle w:val="36"/>
        <w:adjustRightInd w:val="0"/>
        <w:snapToGrid w:val="0"/>
        <w:ind w:firstLine="413" w:firstLineChars="175"/>
        <w:rPr>
          <w:rFonts w:hint="eastAsia" w:hAnsi="宋体" w:cs="宋体"/>
          <w:color w:val="auto"/>
          <w:spacing w:val="-2"/>
          <w:szCs w:val="24"/>
          <w:highlight w:val="none"/>
        </w:rPr>
      </w:pPr>
      <w:r>
        <w:rPr>
          <w:rFonts w:hint="eastAsia" w:hAnsi="宋体" w:cs="宋体"/>
          <w:color w:val="auto"/>
          <w:spacing w:val="-2"/>
          <w:szCs w:val="24"/>
          <w:highlight w:val="none"/>
          <w:lang w:val="en-US" w:eastAsia="zh-CN"/>
        </w:rPr>
        <w:t>4</w:t>
      </w:r>
      <w:r>
        <w:rPr>
          <w:rFonts w:hint="eastAsia" w:hAnsi="宋体" w:cs="宋体"/>
          <w:color w:val="auto"/>
          <w:spacing w:val="-2"/>
          <w:szCs w:val="24"/>
          <w:highlight w:val="none"/>
        </w:rPr>
        <w:t>.2 成果要求：项目计算书8套及原始数据，提供的所有资料均含电子光盘1张（含可编辑的CAD文件和PDF文件格式）。</w:t>
      </w:r>
    </w:p>
    <w:p w14:paraId="695F408C">
      <w:pPr>
        <w:pStyle w:val="36"/>
        <w:rPr>
          <w:rFonts w:hAnsi="宋体" w:cs="宋体"/>
          <w:b/>
          <w:bCs/>
          <w:color w:val="auto"/>
          <w:szCs w:val="24"/>
          <w:highlight w:val="none"/>
        </w:rPr>
      </w:pPr>
      <w:bookmarkStart w:id="358" w:name="_Toc27689"/>
      <w:bookmarkStart w:id="359" w:name="_Toc16920"/>
      <w:bookmarkStart w:id="360" w:name="_Toc26378"/>
      <w:bookmarkStart w:id="361" w:name="_Toc30666"/>
      <w:bookmarkStart w:id="362" w:name="_Toc32267"/>
      <w:bookmarkStart w:id="363" w:name="_Toc24439"/>
      <w:bookmarkStart w:id="364" w:name="_Toc28668"/>
      <w:bookmarkStart w:id="365" w:name="_Toc31089"/>
      <w:bookmarkStart w:id="366" w:name="_Toc21685"/>
      <w:r>
        <w:rPr>
          <w:rFonts w:hint="eastAsia" w:hAnsi="宋体" w:cs="宋体"/>
          <w:b/>
          <w:bCs/>
          <w:color w:val="auto"/>
          <w:szCs w:val="24"/>
          <w:highlight w:val="none"/>
        </w:rPr>
        <w:t>5.其他服务要求</w:t>
      </w:r>
      <w:bookmarkEnd w:id="358"/>
      <w:bookmarkEnd w:id="359"/>
      <w:bookmarkEnd w:id="360"/>
      <w:bookmarkEnd w:id="361"/>
      <w:bookmarkEnd w:id="362"/>
      <w:bookmarkEnd w:id="363"/>
      <w:bookmarkEnd w:id="364"/>
      <w:bookmarkEnd w:id="365"/>
      <w:bookmarkEnd w:id="366"/>
    </w:p>
    <w:p w14:paraId="7D6BFBD8">
      <w:pPr>
        <w:pStyle w:val="66"/>
        <w:tabs>
          <w:tab w:val="left" w:pos="1020"/>
        </w:tabs>
        <w:spacing w:before="0" w:line="360" w:lineRule="auto"/>
        <w:ind w:left="0" w:firstLine="482" w:firstLineChars="200"/>
        <w:rPr>
          <w:b/>
          <w:color w:val="auto"/>
          <w:sz w:val="24"/>
          <w:szCs w:val="24"/>
          <w:highlight w:val="none"/>
        </w:rPr>
      </w:pPr>
      <w:r>
        <w:rPr>
          <w:rFonts w:hint="eastAsia"/>
          <w:b/>
          <w:color w:val="auto"/>
          <w:sz w:val="24"/>
          <w:szCs w:val="24"/>
          <w:highlight w:val="none"/>
          <w:lang w:val="en-US"/>
        </w:rPr>
        <w:t xml:space="preserve">5.1 </w:t>
      </w:r>
      <w:r>
        <w:rPr>
          <w:rFonts w:hint="eastAsia"/>
          <w:b/>
          <w:color w:val="auto"/>
          <w:sz w:val="24"/>
          <w:szCs w:val="24"/>
          <w:highlight w:val="none"/>
        </w:rPr>
        <w:t>中标人应提供但不限于以下服务内容：</w:t>
      </w:r>
    </w:p>
    <w:p w14:paraId="4A2CFEDE">
      <w:pPr>
        <w:pStyle w:val="66"/>
        <w:tabs>
          <w:tab w:val="left" w:pos="1200"/>
        </w:tabs>
        <w:spacing w:before="0" w:line="360" w:lineRule="auto"/>
        <w:ind w:left="0" w:firstLineChars="200"/>
        <w:rPr>
          <w:color w:val="auto"/>
          <w:sz w:val="24"/>
          <w:szCs w:val="24"/>
          <w:highlight w:val="none"/>
        </w:rPr>
      </w:pPr>
      <w:r>
        <w:rPr>
          <w:rFonts w:hint="eastAsia"/>
          <w:color w:val="auto"/>
          <w:sz w:val="24"/>
          <w:szCs w:val="24"/>
          <w:highlight w:val="none"/>
          <w:lang w:val="en-US"/>
        </w:rPr>
        <w:t>（1）</w:t>
      </w:r>
      <w:r>
        <w:rPr>
          <w:rFonts w:hint="eastAsia"/>
          <w:color w:val="auto"/>
          <w:sz w:val="24"/>
          <w:szCs w:val="24"/>
          <w:highlight w:val="none"/>
        </w:rPr>
        <w:t>中标人所有设计工作任务应由中标人独立完成</w:t>
      </w:r>
      <w:r>
        <w:rPr>
          <w:rFonts w:hint="eastAsia"/>
          <w:color w:val="auto"/>
          <w:spacing w:val="-32"/>
          <w:sz w:val="24"/>
          <w:szCs w:val="24"/>
          <w:highlight w:val="none"/>
        </w:rPr>
        <w:t>，</w:t>
      </w:r>
      <w:r>
        <w:rPr>
          <w:rFonts w:hint="eastAsia"/>
          <w:color w:val="auto"/>
          <w:spacing w:val="-5"/>
          <w:sz w:val="24"/>
          <w:szCs w:val="24"/>
          <w:highlight w:val="none"/>
        </w:rPr>
        <w:t>否则按违约处理，招标人将依法</w:t>
      </w:r>
      <w:r>
        <w:rPr>
          <w:rFonts w:hint="eastAsia"/>
          <w:color w:val="auto"/>
          <w:sz w:val="24"/>
          <w:szCs w:val="24"/>
          <w:highlight w:val="none"/>
        </w:rPr>
        <w:t>追究其违约责任。</w:t>
      </w:r>
    </w:p>
    <w:p w14:paraId="6C8A3C76">
      <w:pPr>
        <w:pStyle w:val="66"/>
        <w:tabs>
          <w:tab w:val="left" w:pos="1200"/>
        </w:tabs>
        <w:spacing w:before="0" w:line="360" w:lineRule="auto"/>
        <w:ind w:left="0" w:firstLineChars="200"/>
        <w:jc w:val="left"/>
        <w:rPr>
          <w:color w:val="auto"/>
          <w:sz w:val="24"/>
          <w:szCs w:val="24"/>
          <w:highlight w:val="none"/>
        </w:rPr>
      </w:pPr>
      <w:r>
        <w:rPr>
          <w:rFonts w:hint="eastAsia"/>
          <w:color w:val="auto"/>
          <w:sz w:val="24"/>
          <w:szCs w:val="24"/>
          <w:highlight w:val="none"/>
          <w:lang w:val="en-US"/>
        </w:rPr>
        <w:t xml:space="preserve">（2） </w:t>
      </w:r>
      <w:r>
        <w:rPr>
          <w:rFonts w:hint="eastAsia"/>
          <w:color w:val="auto"/>
          <w:sz w:val="24"/>
          <w:szCs w:val="24"/>
          <w:highlight w:val="none"/>
        </w:rPr>
        <w:t>中标人应参加各阶段勘察、</w:t>
      </w:r>
      <w:r>
        <w:rPr>
          <w:rFonts w:hint="eastAsia"/>
          <w:color w:val="auto"/>
          <w:sz w:val="24"/>
          <w:szCs w:val="24"/>
          <w:highlight w:val="none"/>
          <w:lang w:val="en-US"/>
        </w:rPr>
        <w:t>初步</w:t>
      </w:r>
      <w:r>
        <w:rPr>
          <w:rFonts w:hint="eastAsia"/>
          <w:color w:val="auto"/>
          <w:sz w:val="24"/>
          <w:szCs w:val="24"/>
          <w:highlight w:val="none"/>
        </w:rPr>
        <w:t>设计成果文件交底和审查，根据业主（或有</w:t>
      </w:r>
      <w:r>
        <w:rPr>
          <w:rFonts w:hint="eastAsia"/>
          <w:color w:val="auto"/>
          <w:spacing w:val="-6"/>
          <w:sz w:val="24"/>
          <w:szCs w:val="24"/>
          <w:highlight w:val="none"/>
        </w:rPr>
        <w:t>关专家、第三方技术咨询单位</w:t>
      </w:r>
      <w:r>
        <w:rPr>
          <w:rFonts w:hint="eastAsia"/>
          <w:color w:val="auto"/>
          <w:spacing w:val="-32"/>
          <w:sz w:val="24"/>
          <w:szCs w:val="24"/>
          <w:highlight w:val="none"/>
        </w:rPr>
        <w:t>）</w:t>
      </w:r>
      <w:r>
        <w:rPr>
          <w:rFonts w:hint="eastAsia"/>
          <w:color w:val="auto"/>
          <w:spacing w:val="-3"/>
          <w:sz w:val="24"/>
          <w:szCs w:val="24"/>
          <w:highlight w:val="none"/>
        </w:rPr>
        <w:t>或上级主管部门的意见修改，对所提交的成果文</w:t>
      </w:r>
      <w:r>
        <w:rPr>
          <w:rFonts w:hint="eastAsia"/>
          <w:color w:val="auto"/>
          <w:spacing w:val="-11"/>
          <w:sz w:val="24"/>
          <w:szCs w:val="24"/>
          <w:highlight w:val="none"/>
        </w:rPr>
        <w:t>件无偿进行修改和优化完善</w:t>
      </w:r>
      <w:r>
        <w:rPr>
          <w:rFonts w:hint="eastAsia"/>
          <w:color w:val="auto"/>
          <w:sz w:val="24"/>
          <w:szCs w:val="24"/>
          <w:highlight w:val="none"/>
        </w:rPr>
        <w:t>（包含发包人对部分项目建议书提出的修改设计等</w:t>
      </w:r>
      <w:r>
        <w:rPr>
          <w:rFonts w:hint="eastAsia"/>
          <w:color w:val="auto"/>
          <w:spacing w:val="-118"/>
          <w:sz w:val="24"/>
          <w:szCs w:val="24"/>
          <w:highlight w:val="none"/>
        </w:rPr>
        <w:t>）</w:t>
      </w:r>
      <w:r>
        <w:rPr>
          <w:rFonts w:hint="eastAsia"/>
          <w:color w:val="auto"/>
          <w:sz w:val="24"/>
          <w:szCs w:val="24"/>
          <w:highlight w:val="none"/>
        </w:rPr>
        <w:t>。</w:t>
      </w:r>
    </w:p>
    <w:p w14:paraId="48A9CCFB">
      <w:pPr>
        <w:pStyle w:val="66"/>
        <w:tabs>
          <w:tab w:val="left" w:pos="1200"/>
        </w:tabs>
        <w:spacing w:before="0" w:line="360" w:lineRule="auto"/>
        <w:ind w:left="0" w:firstLineChars="200"/>
        <w:rPr>
          <w:color w:val="auto"/>
          <w:sz w:val="24"/>
          <w:szCs w:val="24"/>
          <w:highlight w:val="none"/>
        </w:rPr>
      </w:pPr>
      <w:r>
        <w:rPr>
          <w:rFonts w:hint="eastAsia"/>
          <w:color w:val="auto"/>
          <w:sz w:val="24"/>
          <w:szCs w:val="24"/>
          <w:highlight w:val="none"/>
          <w:lang w:val="en-US"/>
        </w:rPr>
        <w:t>（3）</w:t>
      </w:r>
      <w:r>
        <w:rPr>
          <w:rFonts w:hint="eastAsia"/>
          <w:color w:val="auto"/>
          <w:sz w:val="24"/>
          <w:szCs w:val="24"/>
          <w:highlight w:val="none"/>
        </w:rPr>
        <w:t>中标人应按任务书及合同要求向发包人提供完整的各阶段成果文件（含电子版）及资料。</w:t>
      </w:r>
    </w:p>
    <w:p w14:paraId="2870E2F5">
      <w:pPr>
        <w:tabs>
          <w:tab w:val="left" w:pos="540"/>
        </w:tabs>
        <w:spacing w:after="47" w:line="360" w:lineRule="auto"/>
        <w:ind w:firstLine="482" w:firstLineChars="200"/>
        <w:rPr>
          <w:rFonts w:ascii="宋体" w:hAnsi="宋体" w:cs="宋体"/>
          <w:b/>
          <w:bCs/>
          <w:color w:val="auto"/>
          <w:sz w:val="24"/>
          <w:szCs w:val="24"/>
          <w:highlight w:val="none"/>
        </w:rPr>
      </w:pPr>
      <w:bookmarkStart w:id="367" w:name="_Toc23641"/>
      <w:bookmarkStart w:id="368" w:name="_Toc711"/>
      <w:bookmarkStart w:id="369" w:name="_Toc3873"/>
      <w:bookmarkStart w:id="370" w:name="_Toc3760"/>
      <w:bookmarkStart w:id="371" w:name="_Toc5816"/>
      <w:bookmarkStart w:id="372" w:name="_Toc20712"/>
      <w:bookmarkStart w:id="373" w:name="_Toc28711"/>
      <w:bookmarkStart w:id="374" w:name="_Toc28543"/>
      <w:bookmarkStart w:id="375" w:name="_Toc14983"/>
      <w:r>
        <w:rPr>
          <w:rFonts w:hint="eastAsia" w:ascii="宋体" w:hAnsi="宋体" w:cs="宋体"/>
          <w:b/>
          <w:bCs/>
          <w:color w:val="auto"/>
          <w:sz w:val="24"/>
          <w:szCs w:val="24"/>
          <w:highlight w:val="none"/>
        </w:rPr>
        <w:t>5.2 其他要求及说明</w:t>
      </w:r>
      <w:bookmarkEnd w:id="367"/>
      <w:bookmarkEnd w:id="368"/>
      <w:bookmarkEnd w:id="369"/>
      <w:bookmarkEnd w:id="370"/>
      <w:bookmarkEnd w:id="371"/>
      <w:bookmarkEnd w:id="372"/>
      <w:bookmarkEnd w:id="373"/>
      <w:bookmarkEnd w:id="374"/>
      <w:bookmarkEnd w:id="375"/>
    </w:p>
    <w:p w14:paraId="17C97F4E">
      <w:pPr>
        <w:pStyle w:val="66"/>
        <w:tabs>
          <w:tab w:val="left" w:pos="1020"/>
        </w:tabs>
        <w:spacing w:before="0" w:line="360" w:lineRule="auto"/>
        <w:ind w:left="0" w:firstLineChars="200"/>
        <w:jc w:val="left"/>
        <w:rPr>
          <w:color w:val="auto"/>
          <w:sz w:val="24"/>
          <w:szCs w:val="24"/>
          <w:highlight w:val="none"/>
          <w:lang w:val="en-US"/>
        </w:rPr>
      </w:pPr>
      <w:r>
        <w:rPr>
          <w:rFonts w:hint="eastAsia"/>
          <w:color w:val="auto"/>
          <w:sz w:val="24"/>
          <w:szCs w:val="24"/>
          <w:highlight w:val="none"/>
          <w:lang w:val="en-US"/>
        </w:rPr>
        <w:t>（1）中标人应充分考虑本招标项目中标后存在后批复最终批准建设的项目投资额、建设规模及内容减少的风险，中标人不得因上述风险的发生而视为发包人违约，向发包人提出额外费用补偿（或索赔）。中标人签约后，应严格履行投标文件中拟投入工程勘察及初步设计工作服务的人员的承诺，不得任意更换或减少。如有更换须提前报招标人书面审批，任何更换应不低于投标文件中的要求。招标人的审批不免除中标人的责任和义务。</w:t>
      </w:r>
    </w:p>
    <w:p w14:paraId="7463920E">
      <w:pPr>
        <w:pStyle w:val="66"/>
        <w:tabs>
          <w:tab w:val="left" w:pos="1020"/>
        </w:tabs>
        <w:spacing w:before="0" w:line="360" w:lineRule="auto"/>
        <w:ind w:left="0" w:firstLineChars="200"/>
        <w:jc w:val="left"/>
        <w:rPr>
          <w:color w:val="auto"/>
          <w:sz w:val="24"/>
          <w:szCs w:val="24"/>
          <w:highlight w:val="none"/>
        </w:rPr>
      </w:pPr>
      <w:r>
        <w:rPr>
          <w:rFonts w:hint="eastAsia"/>
          <w:color w:val="auto"/>
          <w:sz w:val="24"/>
          <w:szCs w:val="24"/>
          <w:highlight w:val="none"/>
          <w:lang w:val="en-US"/>
        </w:rPr>
        <w:t>（2）中标人必须做好安全防护工作，由于中标人自身的原因发生的任何伤害（包括人身伤害），均由中标人自行承担。</w:t>
      </w:r>
    </w:p>
    <w:p w14:paraId="556604E3">
      <w:pPr>
        <w:pStyle w:val="66"/>
        <w:tabs>
          <w:tab w:val="left" w:pos="1200"/>
        </w:tabs>
        <w:spacing w:before="0" w:line="360" w:lineRule="auto"/>
        <w:ind w:left="0" w:firstLine="476" w:firstLineChars="200"/>
        <w:jc w:val="left"/>
        <w:rPr>
          <w:snapToGrid w:val="0"/>
          <w:color w:val="auto"/>
          <w:sz w:val="24"/>
          <w:szCs w:val="24"/>
          <w:highlight w:val="none"/>
        </w:rPr>
      </w:pPr>
      <w:r>
        <w:rPr>
          <w:rFonts w:hint="eastAsia"/>
          <w:color w:val="auto"/>
          <w:spacing w:val="-1"/>
          <w:sz w:val="24"/>
          <w:szCs w:val="24"/>
          <w:highlight w:val="none"/>
          <w:lang w:val="en-US"/>
        </w:rPr>
        <w:t>（3）</w:t>
      </w:r>
      <w:r>
        <w:rPr>
          <w:rFonts w:hint="eastAsia"/>
          <w:color w:val="auto"/>
          <w:spacing w:val="-1"/>
          <w:sz w:val="24"/>
          <w:szCs w:val="24"/>
          <w:highlight w:val="none"/>
        </w:rPr>
        <w:t>项目成果属于招标人，未经许可，任何人不得应用商业或其他经济目</w:t>
      </w:r>
      <w:r>
        <w:rPr>
          <w:rFonts w:hint="eastAsia"/>
          <w:color w:val="auto"/>
          <w:sz w:val="24"/>
          <w:szCs w:val="24"/>
          <w:highlight w:val="none"/>
        </w:rPr>
        <w:t>的。</w:t>
      </w:r>
    </w:p>
    <w:p w14:paraId="42A60397">
      <w:pPr>
        <w:spacing w:line="360" w:lineRule="auto"/>
        <w:rPr>
          <w:color w:val="auto"/>
          <w:sz w:val="24"/>
          <w:szCs w:val="24"/>
          <w:highlight w:val="none"/>
        </w:rPr>
      </w:pPr>
    </w:p>
    <w:sectPr>
      <w:endnotePr>
        <w:numFmt w:val="decimal"/>
      </w:endnotePr>
      <w:pgSz w:w="11905" w:h="16838"/>
      <w:pgMar w:top="1440" w:right="1080" w:bottom="1440" w:left="1080" w:header="850" w:footer="992" w:gutter="0"/>
      <w:pgBorders>
        <w:top w:val="none" w:sz="0" w:space="0"/>
        <w:left w:val="none" w:sz="0" w:space="0"/>
        <w:bottom w:val="none" w:sz="0" w:space="0"/>
        <w:right w:val="none" w:sz="0" w:space="0"/>
      </w:pgBorders>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68610">
    <w:pPr>
      <w:pStyle w:val="55"/>
      <w:tabs>
        <w:tab w:val="left" w:pos="4803"/>
        <w:tab w:val="clear" w:pos="4153"/>
      </w:tabs>
    </w:pPr>
    <w:r>
      <w:rPr>
        <w:rFonts w:hint="eastAsia"/>
      </w:rPr>
      <w:tab/>
    </w:r>
  </w:p>
  <w:p w14:paraId="0B72F63C">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37BE7">
    <w:pPr>
      <w:pStyle w:val="18"/>
      <w:jc w:val="both"/>
    </w:pPr>
    <w:r>
      <mc:AlternateContent>
        <mc:Choice Requires="wps">
          <w:drawing>
            <wp:anchor distT="0" distB="0" distL="114300" distR="114300" simplePos="0" relativeHeight="251659264" behindDoc="0" locked="0" layoutInCell="1" allowOverlap="1">
              <wp:simplePos x="0" y="0"/>
              <wp:positionH relativeFrom="margin">
                <wp:posOffset>2549525</wp:posOffset>
              </wp:positionH>
              <wp:positionV relativeFrom="paragraph">
                <wp:posOffset>635</wp:posOffset>
              </wp:positionV>
              <wp:extent cx="182880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39700"/>
                      </a:xfrm>
                      <a:prstGeom prst="rect">
                        <a:avLst/>
                      </a:prstGeom>
                      <a:noFill/>
                      <a:ln w="15875">
                        <a:noFill/>
                      </a:ln>
                    </wps:spPr>
                    <wps:txbx>
                      <w:txbxContent>
                        <w:p w14:paraId="76480B76"/>
                      </w:txbxContent>
                    </wps:txbx>
                    <wps:bodyPr wrap="none" lIns="0" tIns="0" rIns="0" bIns="0"/>
                  </wps:wsp>
                </a:graphicData>
              </a:graphic>
            </wp:anchor>
          </w:drawing>
        </mc:Choice>
        <mc:Fallback>
          <w:pict>
            <v:shape id="_x0000_s1026" o:spid="_x0000_s1026" o:spt="202" type="#_x0000_t202" style="position:absolute;left:0pt;margin-left:200.75pt;margin-top:0.05pt;height:11pt;width:144pt;mso-position-horizontal-relative:margin;mso-wrap-style:none;z-index:251659264;mso-width-relative:page;mso-height-relative:page;" filled="f" stroked="f" coordsize="21600,21600" o:gfxdata="UEsDBAoAAAAAAIdO4kAAAAAAAAAAAAAAAAAEAAAAZHJzL1BLAwQUAAAACACHTuJAxvdUPtQAAAAH&#10;AQAADwAAAGRycy9kb3ducmV2LnhtbE2OwU7DMBBE70j8g7VI3KiTqC0lxKkQUsWBSwkV5228JFHj&#10;dYjdNvx9tyc4jt5o5hXryfXqRGPoPBtIZwko4trbjhsDu8/NwwpUiMgWe89k4JcCrMvbmwJz68/8&#10;QacqNkpGOORooI1xyLUOdUsOw8wPxMK+/egwShwbbUc8y7jrdZYkS+2wY3locaDXlupDdXQGEEOm&#10;N9PbnH7eh53ePr4cvqqtMfd3afIMKtIU/8pw1Rd1KMVp749sg+oNzJN0IdUrUIKXqyeJewNZloIu&#10;C/3fv7wAUEsDBBQAAAAIAIdO4kBvzC7WwwEAAHwDAAAOAAAAZHJzL2Uyb0RvYy54bWytU8GO0zAQ&#10;vSPxD5bvNGnRsiFquhKqFiEhQNrlA1zHbizZHsvjbdIfgD/gxIU739XvYJykXbRc9sDFGc+M38x7&#10;M1nfDM6yg4powDd8uSg5U15Ca/y+4V/vb19VnGESvhUWvGr4USG/2bx8se5DrVbQgW1VZATise5D&#10;w7uUQl0UKDvlBC4gKE9BDdGJRNe4L9ooekJ3tliV5Zuih9iGCFIhknc7BfmMGJ8DCFobqbYgH5zy&#10;aUKNyopElLAzAflm7FZrJdNnrVElZhtOTNN4UhGyd/ksNmtR76MInZFzC+I5LTzh5ITxVPQCtRVJ&#10;sIdo/oFyRkZA0GkhwRUTkVERYrEsn2hz14mgRi4kNYaL6Pj/YOWnw5fITEubwJkXjgZ++vH99PP3&#10;6dc3tszy9AFryroLlJeGdzDk1NmP5MysBx1d/hIfRnES93gRVw2JyfyoWlVVSSFJseXrt9dkE0zx&#10;+DpETO8VOJaNhkca3qipOHzENKWeU3IxD7fGWvKL2nrWE+hVdX01vriECN16KpJJTM1mKw27YWaw&#10;g/ZIxHragIZ7WnjO7AdPAudlORvxbOxmIzeTgWgoI4N5gfLU/76PWY8/ze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xvdUPtQAAAAHAQAADwAAAAAAAAABACAAAAAiAAAAZHJzL2Rvd25yZXYueG1s&#10;UEsBAhQAFAAAAAgAh07iQG/MLtbDAQAAfAMAAA4AAAAAAAAAAQAgAAAAIwEAAGRycy9lMm9Eb2Mu&#10;eG1sUEsFBgAAAAAGAAYAWQEAAFgFAAAAAA==&#10;">
              <v:fill on="f" focussize="0,0"/>
              <v:stroke on="f" weight="1.25pt"/>
              <v:imagedata o:title=""/>
              <o:lock v:ext="edit" aspectratio="f"/>
              <v:textbox inset="0mm,0mm,0mm,0mm">
                <w:txbxContent>
                  <w:p w14:paraId="76480B76"/>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1A3D9">
    <w:pPr>
      <w:pStyle w:val="18"/>
      <w:jc w:val="both"/>
    </w:pPr>
    <w:r>
      <mc:AlternateContent>
        <mc:Choice Requires="wps">
          <w:drawing>
            <wp:anchor distT="0" distB="0" distL="114300" distR="114300" simplePos="0" relativeHeight="251660288" behindDoc="0" locked="0" layoutInCell="1" allowOverlap="1">
              <wp:simplePos x="0" y="0"/>
              <wp:positionH relativeFrom="margin">
                <wp:posOffset>2549525</wp:posOffset>
              </wp:positionH>
              <wp:positionV relativeFrom="paragraph">
                <wp:posOffset>635</wp:posOffset>
              </wp:positionV>
              <wp:extent cx="1828800" cy="1397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39700"/>
                      </a:xfrm>
                      <a:prstGeom prst="rect">
                        <a:avLst/>
                      </a:prstGeom>
                      <a:noFill/>
                      <a:ln w="15875">
                        <a:noFill/>
                      </a:ln>
                    </wps:spPr>
                    <wps:txbx>
                      <w:txbxContent>
                        <w:p w14:paraId="12B60C8D"/>
                      </w:txbxContent>
                    </wps:txbx>
                    <wps:bodyPr wrap="none" lIns="0" tIns="0" rIns="0" bIns="0"/>
                  </wps:wsp>
                </a:graphicData>
              </a:graphic>
            </wp:anchor>
          </w:drawing>
        </mc:Choice>
        <mc:Fallback>
          <w:pict>
            <v:shape id="_x0000_s1026" o:spid="_x0000_s1026" o:spt="202" type="#_x0000_t202" style="position:absolute;left:0pt;margin-left:200.75pt;margin-top:0.05pt;height:11pt;width:144pt;mso-position-horizontal-relative:margin;mso-wrap-style:none;z-index:251660288;mso-width-relative:page;mso-height-relative:page;" filled="f" stroked="f" coordsize="21600,21600" o:gfxdata="UEsDBAoAAAAAAIdO4kAAAAAAAAAAAAAAAAAEAAAAZHJzL1BLAwQUAAAACACHTuJAxvdUPtQAAAAH&#10;AQAADwAAAGRycy9kb3ducmV2LnhtbE2OwU7DMBBE70j8g7VI3KiTqC0lxKkQUsWBSwkV5228JFHj&#10;dYjdNvx9tyc4jt5o5hXryfXqRGPoPBtIZwko4trbjhsDu8/NwwpUiMgWe89k4JcCrMvbmwJz68/8&#10;QacqNkpGOORooI1xyLUOdUsOw8wPxMK+/egwShwbbUc8y7jrdZYkS+2wY3locaDXlupDdXQGEEOm&#10;N9PbnH7eh53ePr4cvqqtMfd3afIMKtIU/8pw1Rd1KMVp749sg+oNzJN0IdUrUIKXqyeJewNZloIu&#10;C/3fv7wAUEsDBBQAAAAIAIdO4kA1JJr2xAEAAHwDAAAOAAAAZHJzL2Uyb0RvYy54bWytU0tu2zAQ&#10;3RfIHQjuY8ku4qiC5QCFkSBA0RZIewCaIi0C/IHDWPIF2ht01U33PZfP0SElO0WyySIbasiZeTPv&#10;zWh1MxhN9iKAcrah81lJibDctcruGvr92+1lRQlEZlumnRUNPQigN+uLd6ve12LhOqdbEQiCWKh7&#10;39AuRl8XBfBOGAYz54VFp3TBsIjXsCvawHpEN7pYlOWy6F1ofXBcAODrZnTSCTG8BtBJqbjYOP5o&#10;hI0jahCaRaQEnfJA17lbKQWPX6QEEYluKDKN+cQiaG/TWaxXrN4F5jvFpxbYa1p4xskwZbHoGWrD&#10;IiOPQb2AMooHB07GGXemGIlkRZDFvHymzUPHvMhcUGrwZ9Hh7WD55/3XQFTb0CUllhkc+PHXz+Pv&#10;v8c/P8gyydN7qDHqwWNcHD66AZfm9A74mFgPMpj0RT4E/Sju4SyuGCLhKalaVFWJLo6++fsP12gj&#10;fPGU7QPEO+EMSUZDAw4va8r2nyCOoaeQVMy6W6V1HqC2pEfQq+r6KmecXYiuLRZJJMZmkxWH7TAx&#10;27r2gMR63ICGWlx4SvS9RYHTspyMcDK2k5GaSUA4lMxgWqA09f/vOerpp1n/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b3VD7UAAAABwEAAA8AAAAAAAAAAQAgAAAAIgAAAGRycy9kb3ducmV2Lnht&#10;bFBLAQIUABQAAAAIAIdO4kA1JJr2xAEAAHwDAAAOAAAAAAAAAAEAIAAAACMBAABkcnMvZTJvRG9j&#10;LnhtbFBLBQYAAAAABgAGAFkBAABZBQAAAAA=&#10;">
              <v:fill on="f" focussize="0,0"/>
              <v:stroke on="f" weight="1.25pt"/>
              <v:imagedata o:title=""/>
              <o:lock v:ext="edit" aspectratio="f"/>
              <v:textbox inset="0mm,0mm,0mm,0mm">
                <w:txbxContent>
                  <w:p w14:paraId="12B60C8D"/>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2B52F">
    <w:pPr>
      <w:pStyle w:val="18"/>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46AD7">
                          <w:pPr>
                            <w:pStyle w:val="1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446AD7">
                    <w:pPr>
                      <w:pStyle w:val="1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D4E08">
    <w:pPr>
      <w:ind w:firstLine="180" w:firstLineChars="100"/>
      <w:rPr>
        <w:rFonts w:ascii="黑体" w:hAnsi="黑体" w:eastAsia="黑体"/>
        <w:sz w:val="18"/>
        <w:szCs w:val="1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544A4"/>
    <w:multiLevelType w:val="singleLevel"/>
    <w:tmpl w:val="8D6544A4"/>
    <w:lvl w:ilvl="0" w:tentative="0">
      <w:start w:val="1"/>
      <w:numFmt w:val="decimal"/>
      <w:suff w:val="nothing"/>
      <w:lvlText w:val="%1、"/>
      <w:lvlJc w:val="left"/>
    </w:lvl>
  </w:abstractNum>
  <w:abstractNum w:abstractNumId="1">
    <w:nsid w:val="995DAF02"/>
    <w:multiLevelType w:val="multilevel"/>
    <w:tmpl w:val="995DAF02"/>
    <w:lvl w:ilvl="0" w:tentative="0">
      <w:start w:val="1"/>
      <w:numFmt w:val="decimal"/>
      <w:pStyle w:val="33"/>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A8F591F0"/>
    <w:multiLevelType w:val="multilevel"/>
    <w:tmpl w:val="A8F591F0"/>
    <w:lvl w:ilvl="0" w:tentative="0">
      <w:start w:val="1"/>
      <w:numFmt w:val="chineseCounting"/>
      <w:pStyle w:val="2"/>
      <w:suff w:val="nothing"/>
      <w:lvlText w:val="第%1章 "/>
      <w:lvlJc w:val="left"/>
      <w:pPr>
        <w:ind w:left="425" w:hanging="425"/>
      </w:pPr>
      <w:rPr>
        <w:rFonts w:hint="eastAsia"/>
      </w:rPr>
    </w:lvl>
    <w:lvl w:ilvl="1" w:tentative="0">
      <w:start w:val="1"/>
      <w:numFmt w:val="decimal"/>
      <w:pStyle w:val="3"/>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3">
    <w:nsid w:val="C32015B4"/>
    <w:multiLevelType w:val="multilevel"/>
    <w:tmpl w:val="C32015B4"/>
    <w:lvl w:ilvl="0" w:tentative="0">
      <w:start w:val="1"/>
      <w:numFmt w:val="decimal"/>
      <w:pStyle w:val="3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F3818374"/>
    <w:multiLevelType w:val="singleLevel"/>
    <w:tmpl w:val="F3818374"/>
    <w:lvl w:ilvl="0" w:tentative="0">
      <w:start w:val="6"/>
      <w:numFmt w:val="chineseCounting"/>
      <w:suff w:val="space"/>
      <w:lvlText w:val="第%1章"/>
      <w:lvlJc w:val="left"/>
      <w:rPr>
        <w:rFonts w:hint="eastAsia"/>
      </w:rPr>
    </w:lvl>
  </w:abstractNum>
  <w:abstractNum w:abstractNumId="5">
    <w:nsid w:val="07182D2D"/>
    <w:multiLevelType w:val="singleLevel"/>
    <w:tmpl w:val="07182D2D"/>
    <w:lvl w:ilvl="0" w:tentative="0">
      <w:start w:val="1"/>
      <w:numFmt w:val="decimal"/>
      <w:lvlText w:val="%1."/>
      <w:lvlJc w:val="left"/>
      <w:pPr>
        <w:tabs>
          <w:tab w:val="left" w:pos="312"/>
        </w:tabs>
      </w:pPr>
    </w:lvl>
  </w:abstractNum>
  <w:abstractNum w:abstractNumId="6">
    <w:nsid w:val="125F9AB3"/>
    <w:multiLevelType w:val="multilevel"/>
    <w:tmpl w:val="125F9AB3"/>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num w:numId="1">
    <w:abstractNumId w:val="2"/>
  </w:num>
  <w:num w:numId="2">
    <w:abstractNumId w:val="6"/>
  </w:num>
  <w:num w:numId="3">
    <w:abstractNumId w:val="3"/>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gzYTM3NDVlM2U5NmFjMmU4ODRjNzRjZTM0OWQifQ=="/>
  </w:docVars>
  <w:rsids>
    <w:rsidRoot w:val="065735B7"/>
    <w:rsid w:val="000A40FA"/>
    <w:rsid w:val="00164239"/>
    <w:rsid w:val="00186CEA"/>
    <w:rsid w:val="001A4FB5"/>
    <w:rsid w:val="004E2DA7"/>
    <w:rsid w:val="005E070E"/>
    <w:rsid w:val="006629E9"/>
    <w:rsid w:val="007F4715"/>
    <w:rsid w:val="0087645B"/>
    <w:rsid w:val="008F77DB"/>
    <w:rsid w:val="009437FB"/>
    <w:rsid w:val="00980022"/>
    <w:rsid w:val="009B27FA"/>
    <w:rsid w:val="009B5D4E"/>
    <w:rsid w:val="00A202AB"/>
    <w:rsid w:val="00B56809"/>
    <w:rsid w:val="00B962C9"/>
    <w:rsid w:val="00BD7D47"/>
    <w:rsid w:val="01487061"/>
    <w:rsid w:val="01527EDF"/>
    <w:rsid w:val="0167794B"/>
    <w:rsid w:val="016A3E6C"/>
    <w:rsid w:val="01A97EBB"/>
    <w:rsid w:val="022174EF"/>
    <w:rsid w:val="023615AF"/>
    <w:rsid w:val="024C2B81"/>
    <w:rsid w:val="026D327B"/>
    <w:rsid w:val="02C32E43"/>
    <w:rsid w:val="02E1151B"/>
    <w:rsid w:val="03253AFD"/>
    <w:rsid w:val="0361440A"/>
    <w:rsid w:val="042B5143"/>
    <w:rsid w:val="043A5387"/>
    <w:rsid w:val="046674A7"/>
    <w:rsid w:val="049251C3"/>
    <w:rsid w:val="04E00720"/>
    <w:rsid w:val="051E25B2"/>
    <w:rsid w:val="05452235"/>
    <w:rsid w:val="056B389E"/>
    <w:rsid w:val="056C3CE3"/>
    <w:rsid w:val="05CA098C"/>
    <w:rsid w:val="060317A8"/>
    <w:rsid w:val="0635559F"/>
    <w:rsid w:val="065735B7"/>
    <w:rsid w:val="06734B80"/>
    <w:rsid w:val="06D33418"/>
    <w:rsid w:val="06EC68FE"/>
    <w:rsid w:val="07231444"/>
    <w:rsid w:val="07415D28"/>
    <w:rsid w:val="075225A3"/>
    <w:rsid w:val="07C17B6D"/>
    <w:rsid w:val="07C9128D"/>
    <w:rsid w:val="07CF4E26"/>
    <w:rsid w:val="086A1FB2"/>
    <w:rsid w:val="08A6123D"/>
    <w:rsid w:val="08CF5C71"/>
    <w:rsid w:val="09061CDB"/>
    <w:rsid w:val="09246605"/>
    <w:rsid w:val="09C3197A"/>
    <w:rsid w:val="09FF10AC"/>
    <w:rsid w:val="0A3D284F"/>
    <w:rsid w:val="0A690774"/>
    <w:rsid w:val="0AB92811"/>
    <w:rsid w:val="0B1D50BA"/>
    <w:rsid w:val="0B220922"/>
    <w:rsid w:val="0B362885"/>
    <w:rsid w:val="0B387C38"/>
    <w:rsid w:val="0B6E6550"/>
    <w:rsid w:val="0BB10594"/>
    <w:rsid w:val="0BE35FBA"/>
    <w:rsid w:val="0BFE383B"/>
    <w:rsid w:val="0BFE4EEC"/>
    <w:rsid w:val="0C260EFE"/>
    <w:rsid w:val="0C676F35"/>
    <w:rsid w:val="0C9C3DB4"/>
    <w:rsid w:val="0CA86884"/>
    <w:rsid w:val="0CDF143E"/>
    <w:rsid w:val="0D3D7C96"/>
    <w:rsid w:val="0D5210AF"/>
    <w:rsid w:val="0DF91E0E"/>
    <w:rsid w:val="0DFC7853"/>
    <w:rsid w:val="0E06174D"/>
    <w:rsid w:val="0E0E518E"/>
    <w:rsid w:val="0E323D6D"/>
    <w:rsid w:val="0E546B3B"/>
    <w:rsid w:val="0E611C6E"/>
    <w:rsid w:val="0EB9159E"/>
    <w:rsid w:val="0EBB1027"/>
    <w:rsid w:val="0F0B491E"/>
    <w:rsid w:val="0F0F7410"/>
    <w:rsid w:val="0F274759"/>
    <w:rsid w:val="0F311146"/>
    <w:rsid w:val="0F8B118C"/>
    <w:rsid w:val="0FAE784A"/>
    <w:rsid w:val="0FB30316"/>
    <w:rsid w:val="0FD3043D"/>
    <w:rsid w:val="0FD85A54"/>
    <w:rsid w:val="0FE02DBB"/>
    <w:rsid w:val="0FEA4512"/>
    <w:rsid w:val="1044187D"/>
    <w:rsid w:val="10940030"/>
    <w:rsid w:val="10D51608"/>
    <w:rsid w:val="10F87E8F"/>
    <w:rsid w:val="11C86376"/>
    <w:rsid w:val="11D230A2"/>
    <w:rsid w:val="12011292"/>
    <w:rsid w:val="12096398"/>
    <w:rsid w:val="120E7E53"/>
    <w:rsid w:val="123B4C46"/>
    <w:rsid w:val="128C697D"/>
    <w:rsid w:val="12B91B6C"/>
    <w:rsid w:val="12BE3627"/>
    <w:rsid w:val="12CD1ABC"/>
    <w:rsid w:val="12E26080"/>
    <w:rsid w:val="13276CA0"/>
    <w:rsid w:val="13516249"/>
    <w:rsid w:val="13651FD7"/>
    <w:rsid w:val="136A4C62"/>
    <w:rsid w:val="138228A6"/>
    <w:rsid w:val="13A445CA"/>
    <w:rsid w:val="13CC30E5"/>
    <w:rsid w:val="14015E4F"/>
    <w:rsid w:val="14065285"/>
    <w:rsid w:val="14515490"/>
    <w:rsid w:val="145D29CB"/>
    <w:rsid w:val="14665D24"/>
    <w:rsid w:val="15033573"/>
    <w:rsid w:val="15774DC7"/>
    <w:rsid w:val="157C3401"/>
    <w:rsid w:val="15C076B6"/>
    <w:rsid w:val="16A07BD0"/>
    <w:rsid w:val="16BC0359"/>
    <w:rsid w:val="16BC7E7D"/>
    <w:rsid w:val="16CB7FBE"/>
    <w:rsid w:val="176D18F5"/>
    <w:rsid w:val="17E843B4"/>
    <w:rsid w:val="17E86A50"/>
    <w:rsid w:val="18567E5D"/>
    <w:rsid w:val="18626802"/>
    <w:rsid w:val="18952082"/>
    <w:rsid w:val="18987FE6"/>
    <w:rsid w:val="18C354F3"/>
    <w:rsid w:val="18D30EBE"/>
    <w:rsid w:val="18E831AB"/>
    <w:rsid w:val="18E96F81"/>
    <w:rsid w:val="190A24F1"/>
    <w:rsid w:val="19143034"/>
    <w:rsid w:val="194B7296"/>
    <w:rsid w:val="19720E66"/>
    <w:rsid w:val="1982202E"/>
    <w:rsid w:val="19885571"/>
    <w:rsid w:val="19CA28B1"/>
    <w:rsid w:val="1A1573E9"/>
    <w:rsid w:val="1A175781"/>
    <w:rsid w:val="1A256D30"/>
    <w:rsid w:val="1A3B5F80"/>
    <w:rsid w:val="1A5C2C00"/>
    <w:rsid w:val="1A842784"/>
    <w:rsid w:val="1B0E4695"/>
    <w:rsid w:val="1B375678"/>
    <w:rsid w:val="1C5F3784"/>
    <w:rsid w:val="1C9E6490"/>
    <w:rsid w:val="1CA36708"/>
    <w:rsid w:val="1CA551FC"/>
    <w:rsid w:val="1CDD28FB"/>
    <w:rsid w:val="1D077978"/>
    <w:rsid w:val="1D2258B9"/>
    <w:rsid w:val="1D5C6B7C"/>
    <w:rsid w:val="1D6B7A62"/>
    <w:rsid w:val="1D74500E"/>
    <w:rsid w:val="1DCD2970"/>
    <w:rsid w:val="1DFA3B50"/>
    <w:rsid w:val="1E192DF2"/>
    <w:rsid w:val="1E2D573E"/>
    <w:rsid w:val="1E3E386E"/>
    <w:rsid w:val="1E454CBC"/>
    <w:rsid w:val="1E4A5D6E"/>
    <w:rsid w:val="1E4C1AE7"/>
    <w:rsid w:val="1E4C1E5A"/>
    <w:rsid w:val="1EBF04F9"/>
    <w:rsid w:val="1EC024D4"/>
    <w:rsid w:val="1EEB13D0"/>
    <w:rsid w:val="1F3A4035"/>
    <w:rsid w:val="1F3F33F9"/>
    <w:rsid w:val="1FDD5F55"/>
    <w:rsid w:val="1FF4554E"/>
    <w:rsid w:val="2009641F"/>
    <w:rsid w:val="203E5DA7"/>
    <w:rsid w:val="205253AE"/>
    <w:rsid w:val="20574252"/>
    <w:rsid w:val="205904EB"/>
    <w:rsid w:val="205B427C"/>
    <w:rsid w:val="20D64653"/>
    <w:rsid w:val="20FF5536"/>
    <w:rsid w:val="21950A64"/>
    <w:rsid w:val="21BD024D"/>
    <w:rsid w:val="21EE56B5"/>
    <w:rsid w:val="226118D9"/>
    <w:rsid w:val="22807937"/>
    <w:rsid w:val="22B578FD"/>
    <w:rsid w:val="234A05BF"/>
    <w:rsid w:val="237D267E"/>
    <w:rsid w:val="237F295E"/>
    <w:rsid w:val="238241FC"/>
    <w:rsid w:val="23BA76CC"/>
    <w:rsid w:val="23D20962"/>
    <w:rsid w:val="25013A7F"/>
    <w:rsid w:val="25021F1B"/>
    <w:rsid w:val="250F386E"/>
    <w:rsid w:val="25115838"/>
    <w:rsid w:val="252E2D89"/>
    <w:rsid w:val="256D5EA9"/>
    <w:rsid w:val="25710085"/>
    <w:rsid w:val="259C1BBD"/>
    <w:rsid w:val="2603288B"/>
    <w:rsid w:val="262559EC"/>
    <w:rsid w:val="26392447"/>
    <w:rsid w:val="264A4CD5"/>
    <w:rsid w:val="270C6A50"/>
    <w:rsid w:val="271749CE"/>
    <w:rsid w:val="278960D4"/>
    <w:rsid w:val="27931731"/>
    <w:rsid w:val="28186EDD"/>
    <w:rsid w:val="2830560D"/>
    <w:rsid w:val="28811EA0"/>
    <w:rsid w:val="288D1679"/>
    <w:rsid w:val="28F151B9"/>
    <w:rsid w:val="29003BF9"/>
    <w:rsid w:val="2939535D"/>
    <w:rsid w:val="29622B06"/>
    <w:rsid w:val="29C15A7E"/>
    <w:rsid w:val="29CF3C95"/>
    <w:rsid w:val="29E37C6B"/>
    <w:rsid w:val="2A4E4E38"/>
    <w:rsid w:val="2A6D1762"/>
    <w:rsid w:val="2AA66A22"/>
    <w:rsid w:val="2B2D2CA0"/>
    <w:rsid w:val="2B434271"/>
    <w:rsid w:val="2B6A3EF4"/>
    <w:rsid w:val="2B6C1390"/>
    <w:rsid w:val="2B920D55"/>
    <w:rsid w:val="2C2A1C11"/>
    <w:rsid w:val="2CAC7351"/>
    <w:rsid w:val="2CF241A1"/>
    <w:rsid w:val="2D081307"/>
    <w:rsid w:val="2D1D4C50"/>
    <w:rsid w:val="2D2D2909"/>
    <w:rsid w:val="2D917516"/>
    <w:rsid w:val="2D99286E"/>
    <w:rsid w:val="2DA07759"/>
    <w:rsid w:val="2DBF0BFE"/>
    <w:rsid w:val="2DCD441E"/>
    <w:rsid w:val="2DF002CB"/>
    <w:rsid w:val="2E1819E5"/>
    <w:rsid w:val="2E2560A7"/>
    <w:rsid w:val="2EA151DF"/>
    <w:rsid w:val="2EA2760D"/>
    <w:rsid w:val="2EAD308B"/>
    <w:rsid w:val="2F193C67"/>
    <w:rsid w:val="2F4D56BE"/>
    <w:rsid w:val="2FC966EA"/>
    <w:rsid w:val="2FCA0DB0"/>
    <w:rsid w:val="300C31CF"/>
    <w:rsid w:val="30103113"/>
    <w:rsid w:val="30134B5A"/>
    <w:rsid w:val="301D32E3"/>
    <w:rsid w:val="308C2216"/>
    <w:rsid w:val="30E546D1"/>
    <w:rsid w:val="315C7E3B"/>
    <w:rsid w:val="316A69FC"/>
    <w:rsid w:val="31770C55"/>
    <w:rsid w:val="31A3023F"/>
    <w:rsid w:val="31CC4642"/>
    <w:rsid w:val="31EA40DF"/>
    <w:rsid w:val="31FD7870"/>
    <w:rsid w:val="326139C8"/>
    <w:rsid w:val="32771C40"/>
    <w:rsid w:val="328B08E6"/>
    <w:rsid w:val="329655CE"/>
    <w:rsid w:val="32A23F73"/>
    <w:rsid w:val="32B30D6C"/>
    <w:rsid w:val="32BB17EF"/>
    <w:rsid w:val="32C91500"/>
    <w:rsid w:val="32DC56D7"/>
    <w:rsid w:val="330D2415"/>
    <w:rsid w:val="33383296"/>
    <w:rsid w:val="334141A4"/>
    <w:rsid w:val="33582884"/>
    <w:rsid w:val="33DA69AD"/>
    <w:rsid w:val="33FB6E55"/>
    <w:rsid w:val="34244579"/>
    <w:rsid w:val="34FC3E0F"/>
    <w:rsid w:val="35645510"/>
    <w:rsid w:val="36010FB1"/>
    <w:rsid w:val="360B1689"/>
    <w:rsid w:val="36C112D5"/>
    <w:rsid w:val="37296A11"/>
    <w:rsid w:val="37420524"/>
    <w:rsid w:val="378B3228"/>
    <w:rsid w:val="37A74112"/>
    <w:rsid w:val="37C7198B"/>
    <w:rsid w:val="382C5107"/>
    <w:rsid w:val="38397128"/>
    <w:rsid w:val="38755DCE"/>
    <w:rsid w:val="38B9663C"/>
    <w:rsid w:val="38C74734"/>
    <w:rsid w:val="38F004F4"/>
    <w:rsid w:val="390E4110"/>
    <w:rsid w:val="396B0E42"/>
    <w:rsid w:val="397F500E"/>
    <w:rsid w:val="3A0265E2"/>
    <w:rsid w:val="3A086DB2"/>
    <w:rsid w:val="3A8157E3"/>
    <w:rsid w:val="3A883217"/>
    <w:rsid w:val="3A9E53BA"/>
    <w:rsid w:val="3ABE23E0"/>
    <w:rsid w:val="3B102C79"/>
    <w:rsid w:val="3B262ECF"/>
    <w:rsid w:val="3B3E6803"/>
    <w:rsid w:val="3B530501"/>
    <w:rsid w:val="3B8B1B40"/>
    <w:rsid w:val="3B9D4E56"/>
    <w:rsid w:val="3BB645EB"/>
    <w:rsid w:val="3C30407A"/>
    <w:rsid w:val="3C3207DF"/>
    <w:rsid w:val="3C554379"/>
    <w:rsid w:val="3C926E07"/>
    <w:rsid w:val="3CA81C0B"/>
    <w:rsid w:val="3CF744ED"/>
    <w:rsid w:val="3D0D53FD"/>
    <w:rsid w:val="3DBB4D38"/>
    <w:rsid w:val="3E533680"/>
    <w:rsid w:val="3E8235AB"/>
    <w:rsid w:val="3EFC2A3B"/>
    <w:rsid w:val="3F1D7CCA"/>
    <w:rsid w:val="3F2A5A1C"/>
    <w:rsid w:val="3F3F1D4C"/>
    <w:rsid w:val="3F4D4769"/>
    <w:rsid w:val="3F8864ED"/>
    <w:rsid w:val="3FA4757D"/>
    <w:rsid w:val="3FB6105E"/>
    <w:rsid w:val="3FDA0288"/>
    <w:rsid w:val="3FE02CB9"/>
    <w:rsid w:val="40096668"/>
    <w:rsid w:val="40185875"/>
    <w:rsid w:val="402B619C"/>
    <w:rsid w:val="404C1C12"/>
    <w:rsid w:val="406365E9"/>
    <w:rsid w:val="4073794D"/>
    <w:rsid w:val="408A6CEF"/>
    <w:rsid w:val="40DC2D46"/>
    <w:rsid w:val="40E83044"/>
    <w:rsid w:val="41456B3D"/>
    <w:rsid w:val="415357A5"/>
    <w:rsid w:val="41596145"/>
    <w:rsid w:val="41727207"/>
    <w:rsid w:val="4237568C"/>
    <w:rsid w:val="423C1CEE"/>
    <w:rsid w:val="42A927C0"/>
    <w:rsid w:val="42E70870"/>
    <w:rsid w:val="43046890"/>
    <w:rsid w:val="43100A85"/>
    <w:rsid w:val="432A5FEB"/>
    <w:rsid w:val="43357761"/>
    <w:rsid w:val="438F40F6"/>
    <w:rsid w:val="43AD52C2"/>
    <w:rsid w:val="43C2270D"/>
    <w:rsid w:val="442B277E"/>
    <w:rsid w:val="442B7E29"/>
    <w:rsid w:val="442E7737"/>
    <w:rsid w:val="444417B7"/>
    <w:rsid w:val="444E4FBD"/>
    <w:rsid w:val="447B4624"/>
    <w:rsid w:val="44B244EA"/>
    <w:rsid w:val="44D815D3"/>
    <w:rsid w:val="45303661"/>
    <w:rsid w:val="456B4699"/>
    <w:rsid w:val="45B222C8"/>
    <w:rsid w:val="45EB67CC"/>
    <w:rsid w:val="46162856"/>
    <w:rsid w:val="468B6AC3"/>
    <w:rsid w:val="46BA7686"/>
    <w:rsid w:val="46CE7995"/>
    <w:rsid w:val="46D62E35"/>
    <w:rsid w:val="47174AD8"/>
    <w:rsid w:val="472268C3"/>
    <w:rsid w:val="472B476C"/>
    <w:rsid w:val="47311EDD"/>
    <w:rsid w:val="47372A84"/>
    <w:rsid w:val="479B7487"/>
    <w:rsid w:val="47B41CAC"/>
    <w:rsid w:val="47C70CCE"/>
    <w:rsid w:val="47CA247E"/>
    <w:rsid w:val="47D209FF"/>
    <w:rsid w:val="4850348C"/>
    <w:rsid w:val="488D7A9F"/>
    <w:rsid w:val="48DD3AFF"/>
    <w:rsid w:val="496E3C0D"/>
    <w:rsid w:val="49731D6E"/>
    <w:rsid w:val="4A186905"/>
    <w:rsid w:val="4A312B08"/>
    <w:rsid w:val="4A3B7A3A"/>
    <w:rsid w:val="4A5E0AE6"/>
    <w:rsid w:val="4AA12662"/>
    <w:rsid w:val="4AA9534B"/>
    <w:rsid w:val="4AB2329C"/>
    <w:rsid w:val="4AEA2918"/>
    <w:rsid w:val="4AED508E"/>
    <w:rsid w:val="4B052E99"/>
    <w:rsid w:val="4B142880"/>
    <w:rsid w:val="4B2257F9"/>
    <w:rsid w:val="4B322B2B"/>
    <w:rsid w:val="4B6D09E5"/>
    <w:rsid w:val="4B95246F"/>
    <w:rsid w:val="4BB10F36"/>
    <w:rsid w:val="4BB92E27"/>
    <w:rsid w:val="4BE07B8E"/>
    <w:rsid w:val="4C7622A1"/>
    <w:rsid w:val="4CCC37E0"/>
    <w:rsid w:val="4CF84A64"/>
    <w:rsid w:val="4D4001B9"/>
    <w:rsid w:val="4DAB79CD"/>
    <w:rsid w:val="4DBC2E94"/>
    <w:rsid w:val="4DC96CA8"/>
    <w:rsid w:val="4E1753BE"/>
    <w:rsid w:val="4E4A7541"/>
    <w:rsid w:val="4E720846"/>
    <w:rsid w:val="4E850579"/>
    <w:rsid w:val="4E8C1440"/>
    <w:rsid w:val="4EA50C1B"/>
    <w:rsid w:val="4EE25256"/>
    <w:rsid w:val="4F0A0A7E"/>
    <w:rsid w:val="4F4B64D0"/>
    <w:rsid w:val="4F5B2847"/>
    <w:rsid w:val="4F872135"/>
    <w:rsid w:val="4F9A0054"/>
    <w:rsid w:val="4FA640A1"/>
    <w:rsid w:val="4FAB51A2"/>
    <w:rsid w:val="4FB235F0"/>
    <w:rsid w:val="4FC92034"/>
    <w:rsid w:val="4FF407CF"/>
    <w:rsid w:val="4FFA5068"/>
    <w:rsid w:val="502C47D7"/>
    <w:rsid w:val="503D12DC"/>
    <w:rsid w:val="50573F8B"/>
    <w:rsid w:val="51384450"/>
    <w:rsid w:val="51713037"/>
    <w:rsid w:val="51843734"/>
    <w:rsid w:val="51A21442"/>
    <w:rsid w:val="51C92E73"/>
    <w:rsid w:val="51EB20A3"/>
    <w:rsid w:val="524F198C"/>
    <w:rsid w:val="5257658E"/>
    <w:rsid w:val="52917701"/>
    <w:rsid w:val="5298563D"/>
    <w:rsid w:val="52A1794C"/>
    <w:rsid w:val="52B63BF0"/>
    <w:rsid w:val="52E55A8A"/>
    <w:rsid w:val="53430542"/>
    <w:rsid w:val="53870D4D"/>
    <w:rsid w:val="53AA2BCF"/>
    <w:rsid w:val="53B611D5"/>
    <w:rsid w:val="54205F92"/>
    <w:rsid w:val="5454229F"/>
    <w:rsid w:val="54B95421"/>
    <w:rsid w:val="54DC6E52"/>
    <w:rsid w:val="54E03081"/>
    <w:rsid w:val="54E51D72"/>
    <w:rsid w:val="559B495B"/>
    <w:rsid w:val="55AC3538"/>
    <w:rsid w:val="55E03E74"/>
    <w:rsid w:val="55EC7130"/>
    <w:rsid w:val="55ED7906"/>
    <w:rsid w:val="56412C14"/>
    <w:rsid w:val="566D0904"/>
    <w:rsid w:val="567153D0"/>
    <w:rsid w:val="569A22A0"/>
    <w:rsid w:val="56CF23CF"/>
    <w:rsid w:val="56D57C04"/>
    <w:rsid w:val="56EF512A"/>
    <w:rsid w:val="5707208D"/>
    <w:rsid w:val="57720022"/>
    <w:rsid w:val="57836A46"/>
    <w:rsid w:val="57836AD6"/>
    <w:rsid w:val="57AF2FA5"/>
    <w:rsid w:val="57C22448"/>
    <w:rsid w:val="57C921E1"/>
    <w:rsid w:val="57CE11E3"/>
    <w:rsid w:val="57D8193B"/>
    <w:rsid w:val="57EF766F"/>
    <w:rsid w:val="58167C01"/>
    <w:rsid w:val="5829466B"/>
    <w:rsid w:val="58C7006B"/>
    <w:rsid w:val="5953321D"/>
    <w:rsid w:val="59EB778D"/>
    <w:rsid w:val="5ADF1011"/>
    <w:rsid w:val="5AF01470"/>
    <w:rsid w:val="5B2737DC"/>
    <w:rsid w:val="5BBB382C"/>
    <w:rsid w:val="5BC56459"/>
    <w:rsid w:val="5C41516A"/>
    <w:rsid w:val="5C500264"/>
    <w:rsid w:val="5D3A4C25"/>
    <w:rsid w:val="5D520569"/>
    <w:rsid w:val="5D6A4487"/>
    <w:rsid w:val="5DBA103D"/>
    <w:rsid w:val="5DD71A06"/>
    <w:rsid w:val="5E1831B8"/>
    <w:rsid w:val="5E1A5852"/>
    <w:rsid w:val="5E5341F0"/>
    <w:rsid w:val="5E785A05"/>
    <w:rsid w:val="5EB86749"/>
    <w:rsid w:val="5EE00BB3"/>
    <w:rsid w:val="5EFD5F0A"/>
    <w:rsid w:val="5F427DC1"/>
    <w:rsid w:val="5F843761"/>
    <w:rsid w:val="5F9745B0"/>
    <w:rsid w:val="5FCD3B2E"/>
    <w:rsid w:val="5FDB09F9"/>
    <w:rsid w:val="5FE355A7"/>
    <w:rsid w:val="5FFE1F39"/>
    <w:rsid w:val="600A2FD4"/>
    <w:rsid w:val="60C56B8E"/>
    <w:rsid w:val="615F2EAC"/>
    <w:rsid w:val="61E11B13"/>
    <w:rsid w:val="6226059E"/>
    <w:rsid w:val="6245473B"/>
    <w:rsid w:val="62B1716A"/>
    <w:rsid w:val="62B611F1"/>
    <w:rsid w:val="62BE3C02"/>
    <w:rsid w:val="62E52F16"/>
    <w:rsid w:val="630C7063"/>
    <w:rsid w:val="63130619"/>
    <w:rsid w:val="63264BF9"/>
    <w:rsid w:val="633473CA"/>
    <w:rsid w:val="63406DE5"/>
    <w:rsid w:val="63504A65"/>
    <w:rsid w:val="636724EC"/>
    <w:rsid w:val="63770981"/>
    <w:rsid w:val="637A3FCD"/>
    <w:rsid w:val="638825CB"/>
    <w:rsid w:val="642D6B8B"/>
    <w:rsid w:val="64512725"/>
    <w:rsid w:val="64616C64"/>
    <w:rsid w:val="64D03DBB"/>
    <w:rsid w:val="652C0C88"/>
    <w:rsid w:val="65783E0B"/>
    <w:rsid w:val="658960C3"/>
    <w:rsid w:val="65B302F4"/>
    <w:rsid w:val="66453DB2"/>
    <w:rsid w:val="664A237C"/>
    <w:rsid w:val="664D59C9"/>
    <w:rsid w:val="6686712D"/>
    <w:rsid w:val="669C12D8"/>
    <w:rsid w:val="66AA4BC9"/>
    <w:rsid w:val="66E82263"/>
    <w:rsid w:val="67185FD7"/>
    <w:rsid w:val="671E7365"/>
    <w:rsid w:val="67CC016B"/>
    <w:rsid w:val="68095FB7"/>
    <w:rsid w:val="680E2F36"/>
    <w:rsid w:val="681B3C4D"/>
    <w:rsid w:val="68751207"/>
    <w:rsid w:val="688D7DD8"/>
    <w:rsid w:val="68CF4DBB"/>
    <w:rsid w:val="68D02A60"/>
    <w:rsid w:val="68DC240C"/>
    <w:rsid w:val="69066613"/>
    <w:rsid w:val="69295666"/>
    <w:rsid w:val="693469CC"/>
    <w:rsid w:val="693E5EAC"/>
    <w:rsid w:val="697A2F79"/>
    <w:rsid w:val="69B218F8"/>
    <w:rsid w:val="69DA5BD6"/>
    <w:rsid w:val="69FD6414"/>
    <w:rsid w:val="6A62373E"/>
    <w:rsid w:val="6AA329B7"/>
    <w:rsid w:val="6ADE12E5"/>
    <w:rsid w:val="6AE52674"/>
    <w:rsid w:val="6B0D0D45"/>
    <w:rsid w:val="6B1754CC"/>
    <w:rsid w:val="6B2028CD"/>
    <w:rsid w:val="6B3C600C"/>
    <w:rsid w:val="6B4A697B"/>
    <w:rsid w:val="6B5E2426"/>
    <w:rsid w:val="6B621F16"/>
    <w:rsid w:val="6B7D2142"/>
    <w:rsid w:val="6BF93275"/>
    <w:rsid w:val="6C240F7A"/>
    <w:rsid w:val="6CB81B85"/>
    <w:rsid w:val="6CF7495B"/>
    <w:rsid w:val="6D22461C"/>
    <w:rsid w:val="6D3C7475"/>
    <w:rsid w:val="6D567859"/>
    <w:rsid w:val="6DCA78A5"/>
    <w:rsid w:val="6E97346F"/>
    <w:rsid w:val="6E981BFF"/>
    <w:rsid w:val="6EA40E6C"/>
    <w:rsid w:val="6EAC066F"/>
    <w:rsid w:val="6EBE6750"/>
    <w:rsid w:val="6F2B6098"/>
    <w:rsid w:val="6F4260AF"/>
    <w:rsid w:val="6FDB7C8C"/>
    <w:rsid w:val="70682E5F"/>
    <w:rsid w:val="70730722"/>
    <w:rsid w:val="70E256B6"/>
    <w:rsid w:val="70EB650A"/>
    <w:rsid w:val="7135017E"/>
    <w:rsid w:val="718F50E7"/>
    <w:rsid w:val="71957D67"/>
    <w:rsid w:val="71AD37BF"/>
    <w:rsid w:val="71C11019"/>
    <w:rsid w:val="72630343"/>
    <w:rsid w:val="72730565"/>
    <w:rsid w:val="729A3D44"/>
    <w:rsid w:val="730A7AA7"/>
    <w:rsid w:val="731D4975"/>
    <w:rsid w:val="73686F64"/>
    <w:rsid w:val="73950D2D"/>
    <w:rsid w:val="73BC5F3C"/>
    <w:rsid w:val="73F27BAF"/>
    <w:rsid w:val="74634609"/>
    <w:rsid w:val="7472484C"/>
    <w:rsid w:val="747E4ADD"/>
    <w:rsid w:val="749124FD"/>
    <w:rsid w:val="74DB6895"/>
    <w:rsid w:val="75371D1E"/>
    <w:rsid w:val="75596138"/>
    <w:rsid w:val="75E9473F"/>
    <w:rsid w:val="76A421E3"/>
    <w:rsid w:val="76E11AB7"/>
    <w:rsid w:val="76FF2D0F"/>
    <w:rsid w:val="772049E4"/>
    <w:rsid w:val="77345E33"/>
    <w:rsid w:val="7763329E"/>
    <w:rsid w:val="77715B85"/>
    <w:rsid w:val="77753F29"/>
    <w:rsid w:val="7785418E"/>
    <w:rsid w:val="77DD6CC2"/>
    <w:rsid w:val="781F63BA"/>
    <w:rsid w:val="78637055"/>
    <w:rsid w:val="786372CE"/>
    <w:rsid w:val="788A37E4"/>
    <w:rsid w:val="78C80CB7"/>
    <w:rsid w:val="78ED3CC1"/>
    <w:rsid w:val="79050385"/>
    <w:rsid w:val="794E5E62"/>
    <w:rsid w:val="799A2DB7"/>
    <w:rsid w:val="79D829C1"/>
    <w:rsid w:val="7A081859"/>
    <w:rsid w:val="7A354D79"/>
    <w:rsid w:val="7A356A48"/>
    <w:rsid w:val="7A577293"/>
    <w:rsid w:val="7A650E37"/>
    <w:rsid w:val="7AF122C4"/>
    <w:rsid w:val="7B0A1C83"/>
    <w:rsid w:val="7B1D1961"/>
    <w:rsid w:val="7B6C6C16"/>
    <w:rsid w:val="7BD44AB5"/>
    <w:rsid w:val="7BDF2F3A"/>
    <w:rsid w:val="7C070787"/>
    <w:rsid w:val="7C1A5229"/>
    <w:rsid w:val="7C5E5DE2"/>
    <w:rsid w:val="7C8A09EF"/>
    <w:rsid w:val="7CC77818"/>
    <w:rsid w:val="7CE67860"/>
    <w:rsid w:val="7D052701"/>
    <w:rsid w:val="7D9C12B8"/>
    <w:rsid w:val="7DDE3C10"/>
    <w:rsid w:val="7E002EC9"/>
    <w:rsid w:val="7EAF501B"/>
    <w:rsid w:val="7F3A2E37"/>
    <w:rsid w:val="7F3E639F"/>
    <w:rsid w:val="7F4446CD"/>
    <w:rsid w:val="7FAE459F"/>
    <w:rsid w:val="7FC40652"/>
    <w:rsid w:val="7FCA19E0"/>
    <w:rsid w:val="7FCB7F71"/>
    <w:rsid w:val="7FE9630A"/>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7"/>
    <w:autoRedefine/>
    <w:qFormat/>
    <w:uiPriority w:val="0"/>
    <w:pPr>
      <w:keepNext/>
      <w:keepLines/>
      <w:numPr>
        <w:ilvl w:val="0"/>
        <w:numId w:val="1"/>
      </w:numPr>
      <w:spacing w:before="340" w:after="330" w:line="576" w:lineRule="auto"/>
      <w:ind w:left="0" w:firstLine="0"/>
      <w:outlineLvl w:val="0"/>
    </w:pPr>
    <w:rPr>
      <w:rFonts w:asciiTheme="minorHAnsi" w:hAnsiTheme="minorHAnsi"/>
      <w:b/>
      <w:kern w:val="44"/>
      <w:sz w:val="28"/>
    </w:rPr>
  </w:style>
  <w:style w:type="paragraph" w:styleId="3">
    <w:name w:val="heading 2"/>
    <w:basedOn w:val="1"/>
    <w:next w:val="1"/>
    <w:link w:val="39"/>
    <w:autoRedefine/>
    <w:semiHidden/>
    <w:unhideWhenUsed/>
    <w:qFormat/>
    <w:uiPriority w:val="0"/>
    <w:pPr>
      <w:keepNext/>
      <w:keepLines/>
      <w:numPr>
        <w:ilvl w:val="1"/>
        <w:numId w:val="1"/>
      </w:numPr>
      <w:spacing w:before="50" w:beforeLines="50" w:after="50" w:afterLines="50" w:line="360" w:lineRule="auto"/>
      <w:jc w:val="left"/>
      <w:outlineLvl w:val="1"/>
    </w:pPr>
    <w:rPr>
      <w:rFonts w:ascii="宋体" w:hAnsi="宋体"/>
      <w:b/>
      <w:bCs/>
      <w:sz w:val="24"/>
      <w:szCs w:val="32"/>
    </w:rPr>
  </w:style>
  <w:style w:type="paragraph" w:styleId="4">
    <w:name w:val="heading 3"/>
    <w:basedOn w:val="5"/>
    <w:next w:val="5"/>
    <w:autoRedefine/>
    <w:semiHidden/>
    <w:unhideWhenUsed/>
    <w:qFormat/>
    <w:uiPriority w:val="0"/>
    <w:pPr>
      <w:keepNext/>
      <w:keepLines/>
      <w:numPr>
        <w:ilvl w:val="2"/>
        <w:numId w:val="2"/>
      </w:numPr>
      <w:spacing w:before="260" w:after="260" w:line="413" w:lineRule="auto"/>
      <w:outlineLvl w:val="2"/>
    </w:pPr>
    <w:rPr>
      <w:b/>
      <w:sz w:val="32"/>
    </w:rPr>
  </w:style>
  <w:style w:type="paragraph" w:styleId="6">
    <w:name w:val="heading 4"/>
    <w:basedOn w:val="1"/>
    <w:next w:val="1"/>
    <w:autoRedefine/>
    <w:semiHidden/>
    <w:unhideWhenUsed/>
    <w:qFormat/>
    <w:uiPriority w:val="0"/>
    <w:pPr>
      <w:keepNext/>
      <w:keepLines/>
      <w:numPr>
        <w:ilvl w:val="3"/>
        <w:numId w:val="2"/>
      </w:numPr>
      <w:spacing w:before="280" w:after="290" w:line="372" w:lineRule="auto"/>
      <w:jc w:val="left"/>
      <w:outlineLvl w:val="3"/>
    </w:pPr>
    <w:rPr>
      <w:rFonts w:ascii="宋体" w:hAnsi="宋体"/>
      <w:sz w:val="24"/>
    </w:rPr>
  </w:style>
  <w:style w:type="paragraph" w:styleId="7">
    <w:name w:val="heading 5"/>
    <w:basedOn w:val="1"/>
    <w:next w:val="1"/>
    <w:autoRedefine/>
    <w:semiHidden/>
    <w:unhideWhenUsed/>
    <w:qFormat/>
    <w:uiPriority w:val="0"/>
    <w:pPr>
      <w:keepNext/>
      <w:keepLines/>
      <w:numPr>
        <w:ilvl w:val="4"/>
        <w:numId w:val="2"/>
      </w:numPr>
      <w:spacing w:before="160" w:after="170" w:line="432" w:lineRule="auto"/>
      <w:outlineLvl w:val="4"/>
    </w:pPr>
    <w:rPr>
      <w:rFonts w:asciiTheme="minorHAnsi" w:hAnsiTheme="minorHAnsi"/>
      <w:sz w:val="24"/>
    </w:rPr>
  </w:style>
  <w:style w:type="paragraph" w:styleId="8">
    <w:name w:val="heading 6"/>
    <w:basedOn w:val="1"/>
    <w:next w:val="1"/>
    <w:autoRedefine/>
    <w:semiHidden/>
    <w:unhideWhenUsed/>
    <w:qFormat/>
    <w:uiPriority w:val="0"/>
    <w:pPr>
      <w:keepNext/>
      <w:keepLines/>
      <w:numPr>
        <w:ilvl w:val="5"/>
        <w:numId w:val="2"/>
      </w:numPr>
      <w:spacing w:before="240" w:after="64" w:line="317" w:lineRule="auto"/>
      <w:outlineLvl w:val="5"/>
    </w:pPr>
    <w:rPr>
      <w:rFonts w:ascii="Arial" w:hAnsi="Arial" w:eastAsia="黑体"/>
      <w:b/>
      <w:sz w:val="24"/>
    </w:rPr>
  </w:style>
  <w:style w:type="paragraph" w:styleId="9">
    <w:name w:val="heading 7"/>
    <w:basedOn w:val="1"/>
    <w:next w:val="1"/>
    <w:autoRedefine/>
    <w:semiHidden/>
    <w:unhideWhenUsed/>
    <w:qFormat/>
    <w:uiPriority w:val="0"/>
    <w:pPr>
      <w:keepNext/>
      <w:keepLines/>
      <w:numPr>
        <w:ilvl w:val="6"/>
        <w:numId w:val="2"/>
      </w:numPr>
      <w:spacing w:before="240" w:after="64" w:line="317" w:lineRule="auto"/>
      <w:outlineLvl w:val="6"/>
    </w:pPr>
    <w:rPr>
      <w:b/>
      <w:sz w:val="24"/>
    </w:rPr>
  </w:style>
  <w:style w:type="paragraph" w:styleId="10">
    <w:name w:val="heading 8"/>
    <w:basedOn w:val="1"/>
    <w:next w:val="1"/>
    <w:autoRedefine/>
    <w:semiHidden/>
    <w:unhideWhenUsed/>
    <w:qFormat/>
    <w:uiPriority w:val="0"/>
    <w:pPr>
      <w:keepNext/>
      <w:keepLines/>
      <w:numPr>
        <w:ilvl w:val="7"/>
        <w:numId w:val="2"/>
      </w:numPr>
      <w:spacing w:before="240" w:after="64" w:line="317" w:lineRule="auto"/>
      <w:outlineLvl w:val="7"/>
    </w:pPr>
    <w:rPr>
      <w:rFonts w:ascii="Arial" w:hAnsi="Arial" w:eastAsia="黑体"/>
      <w:sz w:val="24"/>
    </w:rPr>
  </w:style>
  <w:style w:type="paragraph" w:styleId="11">
    <w:name w:val="heading 9"/>
    <w:basedOn w:val="1"/>
    <w:next w:val="1"/>
    <w:autoRedefine/>
    <w:semiHidden/>
    <w:unhideWhenUsed/>
    <w:qFormat/>
    <w:uiPriority w:val="0"/>
    <w:pPr>
      <w:keepNext/>
      <w:keepLines/>
      <w:numPr>
        <w:ilvl w:val="8"/>
        <w:numId w:val="2"/>
      </w:numPr>
      <w:spacing w:before="240" w:after="64" w:line="317"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ind w:firstLine="420"/>
      <w:jc w:val="left"/>
    </w:pPr>
    <w:rPr>
      <w:kern w:val="0"/>
      <w:sz w:val="20"/>
    </w:rPr>
  </w:style>
  <w:style w:type="paragraph" w:styleId="12">
    <w:name w:val="annotation text"/>
    <w:basedOn w:val="1"/>
    <w:link w:val="64"/>
    <w:autoRedefine/>
    <w:qFormat/>
    <w:uiPriority w:val="0"/>
    <w:pPr>
      <w:jc w:val="left"/>
    </w:pPr>
    <w:rPr>
      <w:color w:val="FF0000"/>
    </w:rPr>
  </w:style>
  <w:style w:type="paragraph" w:styleId="13">
    <w:name w:val="Body Text"/>
    <w:basedOn w:val="1"/>
    <w:autoRedefine/>
    <w:qFormat/>
    <w:uiPriority w:val="0"/>
    <w:pPr>
      <w:spacing w:after="120"/>
    </w:pPr>
  </w:style>
  <w:style w:type="paragraph" w:styleId="14">
    <w:name w:val="Body Text Indent"/>
    <w:basedOn w:val="1"/>
    <w:autoRedefine/>
    <w:qFormat/>
    <w:uiPriority w:val="0"/>
    <w:pPr>
      <w:ind w:firstLine="560" w:firstLineChars="200"/>
    </w:pPr>
  </w:style>
  <w:style w:type="paragraph" w:styleId="15">
    <w:name w:val="toc 3"/>
    <w:basedOn w:val="1"/>
    <w:next w:val="1"/>
    <w:autoRedefine/>
    <w:qFormat/>
    <w:uiPriority w:val="39"/>
    <w:pPr>
      <w:ind w:left="840" w:leftChars="400"/>
    </w:pPr>
  </w:style>
  <w:style w:type="paragraph" w:styleId="16">
    <w:name w:val="Plain Text"/>
    <w:basedOn w:val="1"/>
    <w:autoRedefine/>
    <w:qFormat/>
    <w:uiPriority w:val="0"/>
    <w:rPr>
      <w:rFonts w:ascii="宋体" w:hAnsi="Courier New"/>
    </w:rPr>
  </w:style>
  <w:style w:type="paragraph" w:styleId="17">
    <w:name w:val="Balloon Text"/>
    <w:basedOn w:val="1"/>
    <w:autoRedefine/>
    <w:qFormat/>
    <w:uiPriority w:val="0"/>
    <w:rPr>
      <w:sz w:val="18"/>
      <w:szCs w:val="18"/>
    </w:rPr>
  </w:style>
  <w:style w:type="paragraph" w:styleId="18">
    <w:name w:val="footer"/>
    <w:basedOn w:val="1"/>
    <w:autoRedefine/>
    <w:qFormat/>
    <w:uiPriority w:val="0"/>
    <w:pPr>
      <w:tabs>
        <w:tab w:val="center" w:pos="4153"/>
        <w:tab w:val="right" w:pos="8306"/>
      </w:tabs>
      <w:snapToGrid w:val="0"/>
      <w:jc w:val="left"/>
    </w:pPr>
    <w:rPr>
      <w:sz w:val="18"/>
    </w:rPr>
  </w:style>
  <w:style w:type="paragraph" w:styleId="19">
    <w:name w:val="header"/>
    <w:basedOn w:val="1"/>
    <w:link w:val="63"/>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style>
  <w:style w:type="paragraph" w:styleId="21">
    <w:name w:val="toc 4"/>
    <w:basedOn w:val="1"/>
    <w:next w:val="1"/>
    <w:autoRedefine/>
    <w:qFormat/>
    <w:uiPriority w:val="0"/>
    <w:pPr>
      <w:ind w:left="1260" w:leftChars="600"/>
    </w:pPr>
  </w:style>
  <w:style w:type="paragraph" w:styleId="22">
    <w:name w:val="toc 2"/>
    <w:basedOn w:val="1"/>
    <w:next w:val="1"/>
    <w:autoRedefine/>
    <w:qFormat/>
    <w:uiPriority w:val="39"/>
    <w:pPr>
      <w:ind w:left="420" w:leftChars="200"/>
    </w:pPr>
  </w:style>
  <w:style w:type="paragraph" w:styleId="23">
    <w:name w:val="Body Text 2"/>
    <w:basedOn w:val="1"/>
    <w:autoRedefine/>
    <w:qFormat/>
    <w:uiPriority w:val="0"/>
    <w:pPr>
      <w:spacing w:line="500" w:lineRule="exact"/>
    </w:pPr>
    <w:rPr>
      <w:rFonts w:ascii="宋体"/>
      <w:sz w:val="24"/>
    </w:rPr>
  </w:style>
  <w:style w:type="paragraph" w:styleId="24">
    <w:name w:val="Normal (Web)"/>
    <w:basedOn w:val="1"/>
    <w:autoRedefine/>
    <w:qFormat/>
    <w:uiPriority w:val="0"/>
    <w:pPr>
      <w:widowControl/>
      <w:spacing w:before="100" w:beforeAutospacing="1" w:after="100" w:afterAutospacing="1"/>
      <w:jc w:val="left"/>
    </w:pPr>
    <w:rPr>
      <w:rFonts w:hAnsi="宋体" w:cs="宋体"/>
      <w:color w:val="000000"/>
      <w:kern w:val="0"/>
      <w:szCs w:val="24"/>
    </w:rPr>
  </w:style>
  <w:style w:type="paragraph" w:styleId="25">
    <w:name w:val="annotation subject"/>
    <w:basedOn w:val="12"/>
    <w:next w:val="12"/>
    <w:link w:val="65"/>
    <w:autoRedefine/>
    <w:qFormat/>
    <w:uiPriority w:val="0"/>
    <w:rPr>
      <w:b/>
      <w:bCs/>
    </w:rPr>
  </w:style>
  <w:style w:type="paragraph" w:styleId="26">
    <w:name w:val="Body Text First Indent"/>
    <w:basedOn w:val="13"/>
    <w:autoRedefine/>
    <w:qFormat/>
    <w:uiPriority w:val="0"/>
    <w:pPr>
      <w:ind w:firstLine="420" w:firstLineChars="100"/>
    </w:pPr>
  </w:style>
  <w:style w:type="table" w:styleId="28">
    <w:name w:val="Table Grid"/>
    <w:basedOn w:val="2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rPr>
  </w:style>
  <w:style w:type="character" w:styleId="31">
    <w:name w:val="annotation reference"/>
    <w:basedOn w:val="29"/>
    <w:autoRedefine/>
    <w:qFormat/>
    <w:uiPriority w:val="0"/>
    <w:rPr>
      <w:sz w:val="21"/>
      <w:szCs w:val="21"/>
    </w:rPr>
  </w:style>
  <w:style w:type="paragraph" w:customStyle="1" w:styleId="32">
    <w:name w:val="方案标题1"/>
    <w:basedOn w:val="1"/>
    <w:autoRedefine/>
    <w:qFormat/>
    <w:uiPriority w:val="0"/>
    <w:pPr>
      <w:numPr>
        <w:ilvl w:val="0"/>
        <w:numId w:val="3"/>
      </w:numPr>
      <w:spacing w:line="432" w:lineRule="auto"/>
      <w:ind w:left="425" w:hanging="425"/>
      <w:outlineLvl w:val="0"/>
    </w:pPr>
    <w:rPr>
      <w:rFonts w:hint="eastAsia" w:ascii="宋体" w:hAnsi="宋体" w:eastAsia="新宋体" w:cs="宋体"/>
      <w:b/>
      <w:sz w:val="30"/>
    </w:rPr>
  </w:style>
  <w:style w:type="paragraph" w:customStyle="1" w:styleId="33">
    <w:name w:val="方案标题2"/>
    <w:basedOn w:val="1"/>
    <w:autoRedefine/>
    <w:qFormat/>
    <w:uiPriority w:val="0"/>
    <w:pPr>
      <w:numPr>
        <w:ilvl w:val="0"/>
        <w:numId w:val="4"/>
      </w:numPr>
      <w:spacing w:line="432" w:lineRule="auto"/>
      <w:ind w:left="431" w:hanging="431"/>
      <w:outlineLvl w:val="2"/>
    </w:pPr>
    <w:rPr>
      <w:rFonts w:hint="eastAsia" w:ascii="宋体" w:hAnsi="宋体" w:eastAsia="新宋体" w:cs="宋体"/>
      <w:b/>
      <w:bCs/>
      <w:sz w:val="28"/>
    </w:rPr>
  </w:style>
  <w:style w:type="paragraph" w:customStyle="1" w:styleId="34">
    <w:name w:val="方案正文"/>
    <w:basedOn w:val="1"/>
    <w:autoRedefine/>
    <w:qFormat/>
    <w:uiPriority w:val="0"/>
    <w:pPr>
      <w:spacing w:line="432" w:lineRule="auto"/>
    </w:pPr>
    <w:rPr>
      <w:rFonts w:hint="eastAsia" w:ascii="宋体" w:hAnsi="宋体" w:cs="宋体"/>
      <w:sz w:val="24"/>
      <w:szCs w:val="32"/>
    </w:rPr>
  </w:style>
  <w:style w:type="paragraph" w:customStyle="1" w:styleId="35">
    <w:name w:val="目录 3 New"/>
    <w:basedOn w:val="36"/>
    <w:next w:val="36"/>
    <w:autoRedefine/>
    <w:qFormat/>
    <w:uiPriority w:val="0"/>
    <w:pPr>
      <w:ind w:left="561"/>
      <w:jc w:val="left"/>
    </w:pPr>
  </w:style>
  <w:style w:type="paragraph" w:customStyle="1" w:styleId="36">
    <w:name w:val="正文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7">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标题 2 New New"/>
    <w:basedOn w:val="36"/>
    <w:next w:val="36"/>
    <w:autoRedefine/>
    <w:qFormat/>
    <w:uiPriority w:val="0"/>
    <w:pPr>
      <w:autoSpaceDE w:val="0"/>
      <w:autoSpaceDN w:val="0"/>
      <w:adjustRightInd w:val="0"/>
      <w:jc w:val="left"/>
      <w:outlineLvl w:val="1"/>
    </w:pPr>
    <w:rPr>
      <w:rFonts w:ascii="Times New Roman"/>
      <w:kern w:val="0"/>
    </w:rPr>
  </w:style>
  <w:style w:type="character" w:customStyle="1" w:styleId="39">
    <w:name w:val="标题 2 字符"/>
    <w:link w:val="3"/>
    <w:autoRedefine/>
    <w:qFormat/>
    <w:uiPriority w:val="0"/>
    <w:rPr>
      <w:rFonts w:ascii="宋体" w:hAnsi="宋体" w:eastAsia="宋体"/>
      <w:b/>
      <w:bCs/>
      <w:sz w:val="24"/>
      <w:szCs w:val="32"/>
    </w:rPr>
  </w:style>
  <w:style w:type="paragraph" w:customStyle="1" w:styleId="40">
    <w:name w:val="标题 1 New"/>
    <w:basedOn w:val="36"/>
    <w:next w:val="36"/>
    <w:autoRedefine/>
    <w:qFormat/>
    <w:uiPriority w:val="0"/>
    <w:pPr>
      <w:autoSpaceDE w:val="0"/>
      <w:autoSpaceDN w:val="0"/>
      <w:adjustRightInd w:val="0"/>
      <w:jc w:val="left"/>
      <w:outlineLvl w:val="0"/>
    </w:pPr>
    <w:rPr>
      <w:kern w:val="0"/>
      <w:sz w:val="30"/>
    </w:rPr>
  </w:style>
  <w:style w:type="paragraph" w:customStyle="1" w:styleId="41">
    <w:name w:val="标题三"/>
    <w:basedOn w:val="3"/>
    <w:autoRedefine/>
    <w:qFormat/>
    <w:uiPriority w:val="0"/>
    <w:pPr>
      <w:keepNext w:val="0"/>
      <w:keepLines w:val="0"/>
      <w:spacing w:before="240" w:beforeLines="0" w:after="240" w:afterLines="0" w:line="480" w:lineRule="exact"/>
    </w:pPr>
    <w:rPr>
      <w:rFonts w:ascii="Times New Roman" w:hAnsi="Times New Roman" w:cs="宋体"/>
      <w:sz w:val="28"/>
      <w:szCs w:val="20"/>
    </w:rPr>
  </w:style>
  <w:style w:type="paragraph" w:customStyle="1" w:styleId="42">
    <w:name w:val="正文缩进 New"/>
    <w:basedOn w:val="43"/>
    <w:autoRedefine/>
    <w:qFormat/>
    <w:uiPriority w:val="0"/>
    <w:pPr>
      <w:widowControl/>
      <w:ind w:firstLine="420"/>
      <w:jc w:val="left"/>
    </w:pPr>
    <w:rPr>
      <w:kern w:val="0"/>
      <w:sz w:val="20"/>
    </w:rPr>
  </w:style>
  <w:style w:type="paragraph" w:customStyle="1" w:styleId="43">
    <w:name w:val="正文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4">
    <w:name w:val="正文文本缩进 New New"/>
    <w:basedOn w:val="36"/>
    <w:autoRedefine/>
    <w:qFormat/>
    <w:uiPriority w:val="0"/>
    <w:pPr>
      <w:ind w:firstLine="560" w:firstLineChars="200"/>
    </w:pPr>
  </w:style>
  <w:style w:type="paragraph" w:customStyle="1" w:styleId="45">
    <w:name w:val="正文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6">
    <w:name w:val="样式 宋体 行距: 1.5 倍行距"/>
    <w:basedOn w:val="47"/>
    <w:autoRedefine/>
    <w:qFormat/>
    <w:uiPriority w:val="0"/>
    <w:pPr>
      <w:jc w:val="center"/>
    </w:pPr>
    <w:rPr>
      <w:rFonts w:ascii="Times New Roman" w:hAnsi="Times New Roman"/>
      <w:b/>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6"/>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48">
    <w:name w:val="正文 New New New New New New New New New New New New New New New New New New New New New New New New New New New New New New New New New New New New New New New New New New New New New New New New New New New New New New New New New New New New New New Ne1"/>
    <w:next w:val="46"/>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49">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50">
    <w:name w:val="正文缩进1"/>
    <w:basedOn w:val="1"/>
    <w:autoRedefine/>
    <w:qFormat/>
    <w:uiPriority w:val="0"/>
    <w:pPr>
      <w:widowControl/>
      <w:ind w:firstLine="420"/>
      <w:jc w:val="left"/>
    </w:pPr>
    <w:rPr>
      <w:kern w:val="0"/>
    </w:rPr>
  </w:style>
  <w:style w:type="paragraph" w:customStyle="1" w:styleId="51">
    <w:name w:val="正文文本缩进 New"/>
    <w:basedOn w:val="43"/>
    <w:autoRedefine/>
    <w:qFormat/>
    <w:uiPriority w:val="0"/>
    <w:pPr>
      <w:ind w:firstLine="560" w:firstLineChars="200"/>
    </w:pPr>
    <w:rPr>
      <w:rFonts w:ascii="宋体"/>
      <w:sz w:val="24"/>
    </w:rPr>
  </w:style>
  <w:style w:type="paragraph" w:customStyle="1" w:styleId="52">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Bodoni MT" w:hAnsi="Bodoni MT" w:eastAsia="宋体" w:cs="Bodoni MT"/>
      <w:kern w:val="2"/>
      <w:sz w:val="21"/>
      <w:szCs w:val="24"/>
      <w:lang w:val="en-US" w:eastAsia="zh-CN" w:bidi="ar-SA"/>
    </w:rPr>
  </w:style>
  <w:style w:type="paragraph" w:customStyle="1" w:styleId="53">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4">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5">
    <w:name w:val="页脚 New"/>
    <w:basedOn w:val="36"/>
    <w:autoRedefine/>
    <w:qFormat/>
    <w:uiPriority w:val="0"/>
    <w:pPr>
      <w:widowControl/>
      <w:tabs>
        <w:tab w:val="center" w:pos="4153"/>
        <w:tab w:val="right" w:pos="8306"/>
      </w:tabs>
      <w:snapToGrid w:val="0"/>
      <w:jc w:val="left"/>
    </w:pPr>
    <w:rPr>
      <w:kern w:val="0"/>
      <w:sz w:val="18"/>
    </w:rPr>
  </w:style>
  <w:style w:type="paragraph" w:customStyle="1" w:styleId="56">
    <w:name w:val="Table Paragraph"/>
    <w:basedOn w:val="1"/>
    <w:autoRedefine/>
    <w:qFormat/>
    <w:uiPriority w:val="1"/>
    <w:pPr>
      <w:ind w:left="108"/>
    </w:pPr>
    <w:rPr>
      <w:rFonts w:hAnsi="宋体" w:cs="宋体"/>
      <w:lang w:val="zh-CN" w:bidi="zh-CN"/>
    </w:rPr>
  </w:style>
  <w:style w:type="character" w:customStyle="1" w:styleId="57">
    <w:name w:val="标题 1 字符"/>
    <w:basedOn w:val="29"/>
    <w:link w:val="2"/>
    <w:autoRedefine/>
    <w:qFormat/>
    <w:uiPriority w:val="0"/>
    <w:rPr>
      <w:rFonts w:asciiTheme="minorHAnsi" w:hAnsiTheme="minorHAnsi"/>
      <w:b/>
      <w:kern w:val="44"/>
      <w:sz w:val="28"/>
    </w:rPr>
  </w:style>
  <w:style w:type="paragraph" w:customStyle="1" w:styleId="58">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character" w:customStyle="1" w:styleId="59">
    <w:name w:val="fontstyle01"/>
    <w:autoRedefine/>
    <w:qFormat/>
    <w:uiPriority w:val="99"/>
    <w:rPr>
      <w:rFonts w:ascii="宋体" w:hAnsi="宋体" w:eastAsia="宋体" w:cs="Times New Roman"/>
      <w:color w:val="000000"/>
      <w:sz w:val="22"/>
      <w:szCs w:val="22"/>
    </w:rPr>
  </w:style>
  <w:style w:type="paragraph" w:customStyle="1" w:styleId="60">
    <w:name w:val="正文文本 New"/>
    <w:basedOn w:val="36"/>
    <w:autoRedefine/>
    <w:qFormat/>
    <w:uiPriority w:val="0"/>
    <w:pPr>
      <w:spacing w:after="120"/>
    </w:pPr>
  </w:style>
  <w:style w:type="character" w:customStyle="1" w:styleId="61">
    <w:name w:val="NormalCharacter"/>
    <w:autoRedefine/>
    <w:qFormat/>
    <w:uiPriority w:val="99"/>
  </w:style>
  <w:style w:type="paragraph" w:customStyle="1" w:styleId="62">
    <w:name w:val="正文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63">
    <w:name w:val="页眉 字符"/>
    <w:basedOn w:val="29"/>
    <w:link w:val="19"/>
    <w:autoRedefine/>
    <w:qFormat/>
    <w:uiPriority w:val="0"/>
    <w:rPr>
      <w:kern w:val="2"/>
      <w:sz w:val="18"/>
      <w:szCs w:val="18"/>
    </w:rPr>
  </w:style>
  <w:style w:type="character" w:customStyle="1" w:styleId="64">
    <w:name w:val="批注文字 字符"/>
    <w:basedOn w:val="29"/>
    <w:link w:val="12"/>
    <w:autoRedefine/>
    <w:qFormat/>
    <w:uiPriority w:val="0"/>
    <w:rPr>
      <w:color w:val="FF0000"/>
      <w:kern w:val="2"/>
      <w:sz w:val="21"/>
    </w:rPr>
  </w:style>
  <w:style w:type="character" w:customStyle="1" w:styleId="65">
    <w:name w:val="批注主题 字符"/>
    <w:basedOn w:val="64"/>
    <w:link w:val="25"/>
    <w:autoRedefine/>
    <w:qFormat/>
    <w:uiPriority w:val="0"/>
    <w:rPr>
      <w:b/>
      <w:bCs/>
      <w:color w:val="FF0000"/>
      <w:kern w:val="2"/>
      <w:sz w:val="21"/>
    </w:rPr>
  </w:style>
  <w:style w:type="paragraph" w:styleId="66">
    <w:name w:val="List Paragraph"/>
    <w:basedOn w:val="1"/>
    <w:autoRedefine/>
    <w:qFormat/>
    <w:uiPriority w:val="1"/>
    <w:pPr>
      <w:spacing w:before="161"/>
      <w:ind w:left="120" w:firstLine="480"/>
    </w:pPr>
    <w:rPr>
      <w:rFonts w:ascii="宋体" w:hAnsi="宋体" w:cs="宋体"/>
      <w:lang w:val="zh-CN" w:bidi="zh-CN"/>
    </w:rPr>
  </w:style>
  <w:style w:type="paragraph" w:customStyle="1" w:styleId="67">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8">
    <w:name w:val="font31"/>
    <w:basedOn w:val="29"/>
    <w:qFormat/>
    <w:uiPriority w:val="0"/>
    <w:rPr>
      <w:rFonts w:ascii="宋体" w:hAnsi="宋体" w:eastAsia="宋体" w:cs="宋体"/>
      <w:b/>
      <w:bCs/>
      <w:color w:val="000000"/>
      <w:sz w:val="30"/>
      <w:szCs w:val="30"/>
      <w:u w:val="none"/>
    </w:rPr>
  </w:style>
  <w:style w:type="character" w:customStyle="1" w:styleId="69">
    <w:name w:val="font41"/>
    <w:basedOn w:val="29"/>
    <w:autoRedefine/>
    <w:qFormat/>
    <w:uiPriority w:val="0"/>
    <w:rPr>
      <w:rFonts w:ascii="宋体" w:hAnsi="宋体" w:eastAsia="宋体" w:cs="宋体"/>
      <w:color w:val="000000"/>
      <w:sz w:val="30"/>
      <w:szCs w:val="30"/>
      <w:u w:val="none"/>
    </w:rPr>
  </w:style>
  <w:style w:type="character" w:customStyle="1" w:styleId="70">
    <w:name w:val="font51"/>
    <w:basedOn w:val="29"/>
    <w:autoRedefine/>
    <w:qFormat/>
    <w:uiPriority w:val="0"/>
    <w:rPr>
      <w:rFonts w:hint="default" w:ascii="Arial" w:hAnsi="Arial" w:cs="Arial"/>
      <w:color w:val="000000"/>
      <w:sz w:val="19"/>
      <w:szCs w:val="19"/>
      <w:u w:val="none"/>
    </w:rPr>
  </w:style>
  <w:style w:type="character" w:customStyle="1" w:styleId="71">
    <w:name w:val="font61"/>
    <w:basedOn w:val="29"/>
    <w:autoRedefine/>
    <w:qFormat/>
    <w:uiPriority w:val="0"/>
    <w:rPr>
      <w:rFonts w:hint="default" w:ascii="Arial" w:hAnsi="Arial" w:cs="Arial"/>
      <w:color w:val="000000"/>
      <w:sz w:val="18"/>
      <w:szCs w:val="18"/>
      <w:u w:val="none"/>
    </w:rPr>
  </w:style>
  <w:style w:type="character" w:customStyle="1" w:styleId="72">
    <w:name w:val="font71"/>
    <w:basedOn w:val="29"/>
    <w:autoRedefine/>
    <w:qFormat/>
    <w:uiPriority w:val="0"/>
    <w:rPr>
      <w:rFonts w:hint="default" w:ascii="Arial" w:hAnsi="Arial" w:cs="Arial"/>
      <w:color w:val="000000"/>
      <w:sz w:val="15"/>
      <w:szCs w:val="15"/>
      <w:u w:val="none"/>
    </w:rPr>
  </w:style>
  <w:style w:type="table" w:customStyle="1" w:styleId="73">
    <w:name w:val="Table Normal"/>
    <w:semiHidden/>
    <w:unhideWhenUsed/>
    <w:qFormat/>
    <w:uiPriority w:val="0"/>
    <w:tblPr>
      <w:tblCellMar>
        <w:top w:w="0" w:type="dxa"/>
        <w:left w:w="0" w:type="dxa"/>
        <w:bottom w:w="0" w:type="dxa"/>
        <w:right w:w="0" w:type="dxa"/>
      </w:tblCellMar>
    </w:tblPr>
  </w:style>
  <w:style w:type="paragraph" w:customStyle="1" w:styleId="74">
    <w:name w:val="Table Text"/>
    <w:basedOn w:val="1"/>
    <w:semiHidden/>
    <w:qFormat/>
    <w:uiPriority w:val="0"/>
  </w:style>
  <w:style w:type="paragraph" w:customStyle="1" w:styleId="75">
    <w:name w:val="paragraph"/>
    <w:basedOn w:val="1"/>
    <w:semiHidden/>
    <w:qFormat/>
    <w:uiPriority w:val="0"/>
    <w:pPr>
      <w:widowControl/>
      <w:spacing w:before="100" w:beforeAutospacing="1" w:after="100" w:afterAutospacing="1"/>
      <w:jc w:val="left"/>
    </w:pPr>
    <w:rPr>
      <w:rFonts w:ascii="等线" w:hAnsi="宋体" w:eastAsia="等线"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7998</Words>
  <Characters>8952</Characters>
  <Lines>347</Lines>
  <Paragraphs>97</Paragraphs>
  <TotalTime>100</TotalTime>
  <ScaleCrop>false</ScaleCrop>
  <LinksUpToDate>false</LinksUpToDate>
  <CharactersWithSpaces>9118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2023-12-25T09:10:00Z</dcterms:created>
  <dc:creator>Chloe</dc:creator>
  <cp:lastModifiedBy>代理机构邓工</cp:lastModifiedBy>
  <cp:lastPrinted>2025-10-17T06:50:00Z</cp:lastPrinted>
  <dcterms:modified xsi:type="dcterms:W3CDTF">2026-06-26T02:37:33Z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1AC458F7422C459E817A4A3E8E238287_13</vt:lpwstr>
  </property>
  <property fmtid="{D5CDD505-2E9C-101B-9397-08002B2CF9AE}" pid="4" name="KSOTemplateDocerSaveRecord">
    <vt:lpwstr>eyJoZGlkIjoiYWRkYjNhZjAxNjFhOWQwYjQwMGY4MmMxZWZhMTAzOTciLCJ1c2VySWQiOiIxMDgwODUxNTcxIn0=</vt:lpwstr>
  </property>
</Properties>
</file>