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A298D">
      <w:pPr>
        <w:spacing w:line="360" w:lineRule="auto"/>
        <w:jc w:val="center"/>
        <w:rPr>
          <w:rFonts w:hint="eastAsia" w:cs="宋体" w:asciiTheme="majorEastAsia" w:hAnsiTheme="majorEastAsia" w:eastAsiaTheme="majorEastAsia"/>
          <w:b/>
          <w:color w:val="auto"/>
          <w:sz w:val="72"/>
          <w:szCs w:val="72"/>
          <w:highlight w:val="none"/>
          <w:lang w:eastAsia="zh-CN"/>
        </w:rPr>
      </w:pPr>
      <w:r>
        <w:rPr>
          <w:rFonts w:hint="eastAsia" w:cs="宋体" w:asciiTheme="majorEastAsia" w:hAnsiTheme="majorEastAsia" w:eastAsiaTheme="majorEastAsia"/>
          <w:b/>
          <w:color w:val="auto"/>
          <w:sz w:val="72"/>
          <w:szCs w:val="72"/>
          <w:highlight w:val="none"/>
          <w:lang w:eastAsia="zh-CN"/>
        </w:rPr>
        <w:t>欧公洞水水系（回龙工业园段）整治工程施工</w:t>
      </w:r>
    </w:p>
    <w:p w14:paraId="428A3D4D">
      <w:pPr>
        <w:pStyle w:val="38"/>
        <w:rPr>
          <w:color w:val="auto"/>
          <w:highlight w:val="none"/>
        </w:rPr>
      </w:pPr>
    </w:p>
    <w:p w14:paraId="130D7897">
      <w:pPr>
        <w:ind w:firstLine="422"/>
        <w:jc w:val="center"/>
        <w:rPr>
          <w:rFonts w:cs="宋体" w:asciiTheme="majorEastAsia" w:hAnsiTheme="majorEastAsia" w:eastAsiaTheme="majorEastAsia"/>
          <w:b/>
          <w:color w:val="auto"/>
          <w:sz w:val="52"/>
          <w:szCs w:val="52"/>
          <w:highlight w:val="none"/>
        </w:rPr>
      </w:pPr>
    </w:p>
    <w:p w14:paraId="54D67EC6">
      <w:pPr>
        <w:pStyle w:val="6"/>
        <w:rPr>
          <w:color w:val="auto"/>
          <w:highlight w:val="none"/>
        </w:rPr>
      </w:pPr>
    </w:p>
    <w:p w14:paraId="4A20BD8D">
      <w:pPr>
        <w:pStyle w:val="6"/>
        <w:rPr>
          <w:color w:val="auto"/>
          <w:highlight w:val="none"/>
        </w:rPr>
      </w:pPr>
    </w:p>
    <w:p w14:paraId="43E91460">
      <w:pPr>
        <w:pStyle w:val="6"/>
        <w:rPr>
          <w:color w:val="auto"/>
          <w:highlight w:val="none"/>
        </w:rPr>
      </w:pPr>
    </w:p>
    <w:p w14:paraId="28984E1A">
      <w:pPr>
        <w:pStyle w:val="6"/>
        <w:rPr>
          <w:color w:val="auto"/>
          <w:highlight w:val="none"/>
        </w:rPr>
      </w:pPr>
    </w:p>
    <w:p w14:paraId="139B636A">
      <w:pPr>
        <w:pStyle w:val="6"/>
        <w:rPr>
          <w:color w:val="auto"/>
          <w:highlight w:val="none"/>
        </w:rPr>
      </w:pPr>
    </w:p>
    <w:p w14:paraId="5DDEC1B9">
      <w:pPr>
        <w:ind w:firstLine="422"/>
        <w:jc w:val="center"/>
        <w:rPr>
          <w:rFonts w:asciiTheme="majorEastAsia" w:hAnsiTheme="majorEastAsia" w:eastAsiaTheme="majorEastAsia"/>
          <w:b/>
          <w:color w:val="auto"/>
          <w:highlight w:val="none"/>
        </w:rPr>
      </w:pPr>
      <w:r>
        <w:rPr>
          <w:rFonts w:hint="eastAsia" w:cs="宋体" w:asciiTheme="majorEastAsia" w:hAnsiTheme="majorEastAsia" w:eastAsiaTheme="majorEastAsia"/>
          <w:b/>
          <w:color w:val="auto"/>
          <w:sz w:val="96"/>
          <w:szCs w:val="96"/>
          <w:highlight w:val="none"/>
        </w:rPr>
        <w:t>招标文件</w:t>
      </w:r>
    </w:p>
    <w:p w14:paraId="52295224">
      <w:pPr>
        <w:pStyle w:val="6"/>
        <w:rPr>
          <w:rFonts w:asciiTheme="majorEastAsia" w:hAnsiTheme="majorEastAsia" w:eastAsiaTheme="majorEastAsia"/>
          <w:b/>
          <w:color w:val="auto"/>
          <w:highlight w:val="none"/>
        </w:rPr>
      </w:pPr>
    </w:p>
    <w:p w14:paraId="25C9FCEB">
      <w:pPr>
        <w:pStyle w:val="6"/>
        <w:jc w:val="center"/>
        <w:rPr>
          <w:rFonts w:asciiTheme="majorEastAsia" w:hAnsiTheme="majorEastAsia" w:eastAsiaTheme="majorEastAsia"/>
          <w:b/>
          <w:color w:val="auto"/>
          <w:sz w:val="28"/>
          <w:szCs w:val="28"/>
          <w:highlight w:val="none"/>
        </w:rPr>
      </w:pPr>
    </w:p>
    <w:p w14:paraId="50EE3EB5">
      <w:pPr>
        <w:ind w:firstLine="422"/>
        <w:rPr>
          <w:rFonts w:asciiTheme="majorEastAsia" w:hAnsiTheme="majorEastAsia" w:eastAsiaTheme="majorEastAsia"/>
          <w:b/>
          <w:color w:val="auto"/>
          <w:highlight w:val="none"/>
        </w:rPr>
      </w:pPr>
    </w:p>
    <w:p w14:paraId="696122F9">
      <w:pPr>
        <w:pStyle w:val="6"/>
        <w:rPr>
          <w:color w:val="auto"/>
          <w:highlight w:val="none"/>
        </w:rPr>
      </w:pPr>
    </w:p>
    <w:p w14:paraId="3C5F6324">
      <w:pPr>
        <w:rPr>
          <w:rFonts w:asciiTheme="majorEastAsia" w:hAnsiTheme="majorEastAsia" w:eastAsiaTheme="majorEastAsia"/>
          <w:b/>
          <w:color w:val="auto"/>
          <w:highlight w:val="none"/>
        </w:rPr>
      </w:pPr>
    </w:p>
    <w:p w14:paraId="35DC60C3">
      <w:pPr>
        <w:rPr>
          <w:color w:val="auto"/>
          <w:highlight w:val="none"/>
        </w:rPr>
      </w:pPr>
    </w:p>
    <w:p w14:paraId="5219002D">
      <w:pPr>
        <w:pStyle w:val="37"/>
        <w:ind w:firstLine="560"/>
        <w:rPr>
          <w:color w:val="auto"/>
          <w:highlight w:val="none"/>
        </w:rPr>
      </w:pPr>
    </w:p>
    <w:p w14:paraId="437DA261">
      <w:pPr>
        <w:pStyle w:val="37"/>
        <w:ind w:firstLine="560"/>
        <w:rPr>
          <w:color w:val="auto"/>
          <w:highlight w:val="none"/>
        </w:rPr>
      </w:pPr>
    </w:p>
    <w:p w14:paraId="3AE11687">
      <w:pPr>
        <w:pStyle w:val="39"/>
        <w:rPr>
          <w:rFonts w:asciiTheme="majorEastAsia" w:hAnsiTheme="majorEastAsia" w:eastAsiaTheme="majorEastAsia"/>
          <w:b/>
          <w:color w:val="auto"/>
          <w:highlight w:val="none"/>
        </w:rPr>
      </w:pPr>
    </w:p>
    <w:p w14:paraId="6947BB40">
      <w:pPr>
        <w:pStyle w:val="11"/>
        <w:overflowPunct w:val="0"/>
        <w:autoSpaceDE w:val="0"/>
        <w:autoSpaceDN w:val="0"/>
        <w:adjustRightInd w:val="0"/>
        <w:snapToGrid w:val="0"/>
        <w:spacing w:before="120" w:line="360" w:lineRule="auto"/>
        <w:ind w:firstLine="643" w:firstLineChars="200"/>
        <w:rPr>
          <w:rFonts w:hAnsi="宋体" w:cs="宋体"/>
          <w:b/>
          <w:color w:val="auto"/>
          <w:sz w:val="32"/>
          <w:szCs w:val="32"/>
          <w:highlight w:val="none"/>
        </w:rPr>
      </w:pPr>
      <w:r>
        <w:rPr>
          <w:rFonts w:hint="eastAsia" w:hAnsi="宋体" w:cs="宋体"/>
          <w:b/>
          <w:color w:val="auto"/>
          <w:sz w:val="32"/>
          <w:szCs w:val="32"/>
          <w:highlight w:val="none"/>
        </w:rPr>
        <w:t>招 标</w:t>
      </w:r>
      <w:r>
        <w:rPr>
          <w:rFonts w:hint="eastAsia" w:hAnsi="宋体" w:cs="宋体"/>
          <w:b/>
          <w:color w:val="auto"/>
          <w:sz w:val="32"/>
          <w:szCs w:val="32"/>
          <w:highlight w:val="none"/>
          <w:lang w:val="en-US" w:eastAsia="zh-CN"/>
        </w:rPr>
        <w:t xml:space="preserve"> </w:t>
      </w:r>
      <w:r>
        <w:rPr>
          <w:rFonts w:hint="eastAsia" w:hAnsi="宋体" w:cs="宋体"/>
          <w:b/>
          <w:color w:val="auto"/>
          <w:sz w:val="32"/>
          <w:szCs w:val="32"/>
          <w:highlight w:val="none"/>
        </w:rPr>
        <w:t>人：</w:t>
      </w:r>
      <w:r>
        <w:rPr>
          <w:rFonts w:hint="eastAsia" w:hAnsi="宋体" w:cs="宋体"/>
          <w:b/>
          <w:color w:val="auto"/>
          <w:sz w:val="32"/>
          <w:szCs w:val="32"/>
          <w:highlight w:val="none"/>
          <w:u w:val="single"/>
          <w:lang w:eastAsia="zh-CN"/>
        </w:rPr>
        <w:t>新丰县产业转移工业园管理委员会</w:t>
      </w:r>
      <w:r>
        <w:rPr>
          <w:rFonts w:hint="eastAsia" w:hAnsi="宋体" w:cs="宋体"/>
          <w:b/>
          <w:color w:val="auto"/>
          <w:sz w:val="32"/>
          <w:szCs w:val="32"/>
          <w:highlight w:val="none"/>
        </w:rPr>
        <w:t>（盖章）</w:t>
      </w:r>
    </w:p>
    <w:p w14:paraId="7E38349E">
      <w:pPr>
        <w:pStyle w:val="11"/>
        <w:overflowPunct w:val="0"/>
        <w:autoSpaceDE w:val="0"/>
        <w:autoSpaceDN w:val="0"/>
        <w:adjustRightInd w:val="0"/>
        <w:snapToGrid w:val="0"/>
        <w:spacing w:before="120" w:line="360" w:lineRule="auto"/>
        <w:ind w:firstLine="643" w:firstLineChars="200"/>
        <w:rPr>
          <w:rFonts w:hAnsi="宋体" w:cs="宋体"/>
          <w:b/>
          <w:color w:val="auto"/>
          <w:sz w:val="32"/>
          <w:szCs w:val="32"/>
          <w:highlight w:val="none"/>
        </w:rPr>
      </w:pPr>
      <w:r>
        <w:rPr>
          <w:rFonts w:hint="eastAsia" w:hAnsi="宋体" w:cs="宋体"/>
          <w:b/>
          <w:color w:val="auto"/>
          <w:sz w:val="32"/>
          <w:szCs w:val="32"/>
          <w:highlight w:val="none"/>
        </w:rPr>
        <w:t>招标代理机构：</w:t>
      </w:r>
      <w:r>
        <w:rPr>
          <w:rFonts w:hint="eastAsia" w:hAnsi="宋体" w:cs="宋体"/>
          <w:b/>
          <w:color w:val="auto"/>
          <w:sz w:val="32"/>
          <w:szCs w:val="32"/>
          <w:highlight w:val="none"/>
          <w:u w:val="single"/>
          <w:lang w:eastAsia="zh-CN"/>
        </w:rPr>
        <w:t>广东省广大工程顾问有限公司</w:t>
      </w:r>
      <w:r>
        <w:rPr>
          <w:rFonts w:hint="eastAsia" w:hAnsi="宋体" w:cs="宋体"/>
          <w:b/>
          <w:color w:val="auto"/>
          <w:sz w:val="32"/>
          <w:szCs w:val="32"/>
          <w:highlight w:val="none"/>
        </w:rPr>
        <w:t>（盖章）</w:t>
      </w:r>
    </w:p>
    <w:p w14:paraId="3CB1F963">
      <w:pPr>
        <w:spacing w:line="360" w:lineRule="auto"/>
        <w:ind w:firstLine="643" w:firstLineChars="200"/>
        <w:jc w:val="left"/>
        <w:rPr>
          <w:rFonts w:hAnsi="宋体" w:cs="宋体"/>
          <w:b/>
          <w:color w:val="auto"/>
          <w:sz w:val="32"/>
          <w:szCs w:val="32"/>
          <w:highlight w:val="none"/>
        </w:rPr>
      </w:pPr>
      <w:r>
        <w:rPr>
          <w:rFonts w:hint="eastAsia" w:hAnsi="宋体" w:cs="宋体"/>
          <w:b/>
          <w:color w:val="auto"/>
          <w:sz w:val="32"/>
          <w:szCs w:val="32"/>
          <w:highlight w:val="none"/>
        </w:rPr>
        <w:t>备 案 单 位：</w:t>
      </w:r>
      <w:r>
        <w:rPr>
          <w:rFonts w:hint="eastAsia" w:hAnsi="宋体" w:cs="宋体"/>
          <w:b/>
          <w:color w:val="auto"/>
          <w:sz w:val="32"/>
          <w:szCs w:val="32"/>
          <w:highlight w:val="none"/>
          <w:u w:val="single"/>
        </w:rPr>
        <w:t>新丰县水务局</w:t>
      </w:r>
      <w:r>
        <w:rPr>
          <w:rFonts w:hint="eastAsia" w:ascii="宋体" w:hAnsi="宋体" w:cs="宋体"/>
          <w:b/>
          <w:color w:val="auto"/>
          <w:sz w:val="32"/>
          <w:szCs w:val="32"/>
          <w:highlight w:val="none"/>
        </w:rPr>
        <w:t>（盖章）</w:t>
      </w:r>
    </w:p>
    <w:p w14:paraId="7A4184AD">
      <w:pPr>
        <w:pStyle w:val="39"/>
        <w:rPr>
          <w:color w:val="auto"/>
          <w:highlight w:val="none"/>
        </w:rPr>
      </w:pPr>
    </w:p>
    <w:p w14:paraId="2910E065">
      <w:pPr>
        <w:spacing w:before="120"/>
        <w:jc w:val="center"/>
        <w:rPr>
          <w:color w:val="auto"/>
          <w:highlight w:val="none"/>
        </w:rPr>
        <w:sectPr>
          <w:pgSz w:w="11906" w:h="16838"/>
          <w:pgMar w:top="1440" w:right="1066" w:bottom="1440" w:left="1180" w:header="851" w:footer="992" w:gutter="0"/>
          <w:pgNumType w:start="1"/>
          <w:cols w:space="425" w:num="1"/>
          <w:docGrid w:type="lines" w:linePitch="312" w:charSpace="0"/>
        </w:sectPr>
      </w:pPr>
      <w:r>
        <w:rPr>
          <w:rFonts w:hint="eastAsia" w:cs="宋体" w:asciiTheme="majorEastAsia" w:hAnsiTheme="majorEastAsia" w:eastAsiaTheme="majorEastAsia"/>
          <w:b/>
          <w:color w:val="auto"/>
          <w:sz w:val="32"/>
          <w:highlight w:val="none"/>
        </w:rPr>
        <w:t>202</w:t>
      </w:r>
      <w:r>
        <w:rPr>
          <w:rFonts w:hint="eastAsia" w:cs="宋体" w:asciiTheme="majorEastAsia" w:hAnsiTheme="majorEastAsia" w:eastAsiaTheme="majorEastAsia"/>
          <w:b/>
          <w:color w:val="auto"/>
          <w:sz w:val="32"/>
          <w:highlight w:val="none"/>
          <w:lang w:val="en-US" w:eastAsia="zh-CN"/>
        </w:rPr>
        <w:t>5</w:t>
      </w:r>
      <w:r>
        <w:rPr>
          <w:rFonts w:hint="eastAsia" w:cs="宋体" w:asciiTheme="majorEastAsia" w:hAnsiTheme="majorEastAsia" w:eastAsiaTheme="majorEastAsia"/>
          <w:b/>
          <w:color w:val="auto"/>
          <w:sz w:val="32"/>
          <w:highlight w:val="none"/>
        </w:rPr>
        <w:t>年</w:t>
      </w:r>
      <w:r>
        <w:rPr>
          <w:rFonts w:hint="eastAsia" w:cs="宋体" w:asciiTheme="majorEastAsia" w:hAnsiTheme="majorEastAsia" w:eastAsiaTheme="majorEastAsia"/>
          <w:b/>
          <w:color w:val="auto"/>
          <w:sz w:val="32"/>
          <w:highlight w:val="none"/>
          <w:lang w:val="en-US" w:eastAsia="zh-CN"/>
        </w:rPr>
        <w:t>11</w:t>
      </w:r>
      <w:r>
        <w:rPr>
          <w:rFonts w:hint="eastAsia" w:cs="宋体" w:asciiTheme="majorEastAsia" w:hAnsiTheme="majorEastAsia" w:eastAsiaTheme="majorEastAsia"/>
          <w:b/>
          <w:color w:val="auto"/>
          <w:sz w:val="32"/>
          <w:highlight w:val="none"/>
        </w:rPr>
        <w:t>月</w:t>
      </w:r>
    </w:p>
    <w:p w14:paraId="4A334673">
      <w:pPr>
        <w:rPr>
          <w:rFonts w:hint="eastAsia" w:cs="宋体" w:asciiTheme="majorEastAsia" w:hAnsiTheme="majorEastAsia" w:eastAsiaTheme="majorEastAsia"/>
          <w:b/>
          <w:color w:val="auto"/>
          <w:sz w:val="28"/>
          <w:highlight w:val="none"/>
        </w:rPr>
      </w:pPr>
      <w:r>
        <w:rPr>
          <w:rFonts w:hint="eastAsia" w:cs="宋体" w:asciiTheme="majorEastAsia" w:hAnsiTheme="majorEastAsia" w:eastAsiaTheme="majorEastAsia"/>
          <w:b/>
          <w:color w:val="auto"/>
          <w:sz w:val="28"/>
          <w:highlight w:val="none"/>
        </w:rPr>
        <w:br w:type="page"/>
      </w:r>
    </w:p>
    <w:p w14:paraId="48850D40">
      <w:pPr>
        <w:jc w:val="center"/>
        <w:rPr>
          <w:rFonts w:cs="宋体" w:asciiTheme="majorEastAsia" w:hAnsiTheme="majorEastAsia" w:eastAsiaTheme="majorEastAsia"/>
          <w:b/>
          <w:color w:val="auto"/>
          <w:sz w:val="28"/>
          <w:highlight w:val="none"/>
        </w:rPr>
      </w:pPr>
      <w:r>
        <w:rPr>
          <w:rFonts w:hint="eastAsia" w:cs="宋体" w:asciiTheme="majorEastAsia" w:hAnsiTheme="majorEastAsia" w:eastAsiaTheme="majorEastAsia"/>
          <w:b/>
          <w:color w:val="auto"/>
          <w:sz w:val="28"/>
          <w:highlight w:val="none"/>
        </w:rPr>
        <w:t>目录</w:t>
      </w:r>
    </w:p>
    <w:p w14:paraId="2191E09C">
      <w:pPr>
        <w:pStyle w:val="15"/>
        <w:tabs>
          <w:tab w:val="right" w:leader="dot" w:pos="9660"/>
        </w:tabs>
        <w:spacing w:line="360" w:lineRule="auto"/>
        <w:rPr>
          <w:rFonts w:hint="eastAsia" w:ascii="宋体" w:hAnsi="宋体" w:eastAsia="宋体" w:cs="宋体"/>
          <w:color w:val="auto"/>
          <w:sz w:val="24"/>
          <w:szCs w:val="24"/>
          <w:highlight w:val="none"/>
        </w:rPr>
      </w:pPr>
      <w:r>
        <w:rPr>
          <w:rFonts w:hint="eastAsia" w:ascii="宋体" w:hAnsi="宋体" w:eastAsia="宋体" w:cs="宋体"/>
          <w:b/>
          <w:caps/>
          <w:color w:val="auto"/>
          <w:sz w:val="24"/>
          <w:szCs w:val="24"/>
          <w:highlight w:val="none"/>
        </w:rPr>
        <w:fldChar w:fldCharType="begin"/>
      </w:r>
      <w:r>
        <w:rPr>
          <w:rFonts w:hint="eastAsia" w:ascii="宋体" w:hAnsi="宋体" w:eastAsia="宋体" w:cs="宋体"/>
          <w:b/>
          <w:caps/>
          <w:color w:val="auto"/>
          <w:sz w:val="24"/>
          <w:szCs w:val="24"/>
          <w:highlight w:val="none"/>
        </w:rPr>
        <w:instrText xml:space="preserve">TOC \o "1-3" \h \z \u</w:instrText>
      </w:r>
      <w:r>
        <w:rPr>
          <w:rFonts w:hint="eastAsia" w:ascii="宋体" w:hAnsi="宋体" w:eastAsia="宋体" w:cs="宋体"/>
          <w:b/>
          <w:caps/>
          <w:color w:val="auto"/>
          <w:sz w:val="24"/>
          <w:szCs w:val="24"/>
          <w:highlight w:val="none"/>
        </w:rPr>
        <w:fldChar w:fldCharType="separate"/>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"_Toc26948"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第一卷</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_Toc26948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42E97D03">
      <w:pPr>
        <w:pStyle w:val="15"/>
        <w:keepNext w:val="0"/>
        <w:keepLines w:val="0"/>
        <w:pageBreakBefore w:val="0"/>
        <w:widowControl/>
        <w:tabs>
          <w:tab w:val="right" w:leader="dot" w:pos="966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"_Toc15668"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第一章招标公告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_Toc15668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9F2A485">
      <w:pPr>
        <w:pStyle w:val="15"/>
        <w:keepNext w:val="0"/>
        <w:keepLines w:val="0"/>
        <w:pageBreakBefore w:val="0"/>
        <w:widowControl/>
        <w:tabs>
          <w:tab w:val="right" w:leader="dot" w:pos="966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"_Toc23739"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_Toc23739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22EC5BB">
      <w:pPr>
        <w:pStyle w:val="15"/>
        <w:keepNext w:val="0"/>
        <w:keepLines w:val="0"/>
        <w:pageBreakBefore w:val="0"/>
        <w:widowControl/>
        <w:tabs>
          <w:tab w:val="right" w:leader="dot" w:pos="966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"_Toc21781"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第三章评标办法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_Toc21781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4A0D77E">
      <w:pPr>
        <w:pStyle w:val="15"/>
        <w:keepNext w:val="0"/>
        <w:keepLines w:val="0"/>
        <w:pageBreakBefore w:val="0"/>
        <w:widowControl/>
        <w:tabs>
          <w:tab w:val="right" w:leader="dot" w:pos="966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"_Toc11367"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第四章合同条款及格式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_Toc11367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B93D956">
      <w:pPr>
        <w:pStyle w:val="15"/>
        <w:keepNext w:val="0"/>
        <w:keepLines w:val="0"/>
        <w:pageBreakBefore w:val="0"/>
        <w:widowControl/>
        <w:tabs>
          <w:tab w:val="right" w:leader="dot" w:pos="966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"_Toc21950"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第五章工程量清单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_Toc21950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CE19BB1">
      <w:pPr>
        <w:pStyle w:val="15"/>
        <w:tabs>
          <w:tab w:val="right" w:leader="dot" w:pos="9660"/>
        </w:tabs>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"_Toc14981"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第二卷</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_Toc14981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91</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4892D803">
      <w:pPr>
        <w:pStyle w:val="15"/>
        <w:keepNext w:val="0"/>
        <w:keepLines w:val="0"/>
        <w:pageBreakBefore w:val="0"/>
        <w:widowControl/>
        <w:tabs>
          <w:tab w:val="right" w:leader="dot" w:pos="966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"_Toc23994"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第六章图纸（招标图纸）</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_Toc23994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77BC5C9">
      <w:pPr>
        <w:pStyle w:val="15"/>
        <w:tabs>
          <w:tab w:val="right" w:leader="dot" w:pos="9660"/>
        </w:tabs>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"_Toc25514"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第三卷</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_Toc25514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93</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52D04C02">
      <w:pPr>
        <w:pStyle w:val="15"/>
        <w:keepNext w:val="0"/>
        <w:keepLines w:val="0"/>
        <w:pageBreakBefore w:val="0"/>
        <w:widowControl/>
        <w:tabs>
          <w:tab w:val="right" w:leader="dot" w:pos="966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"_Toc5793"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第七章技术标准和要求（合同技术条款）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_Toc5793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9D37B3A">
      <w:pPr>
        <w:pStyle w:val="15"/>
        <w:tabs>
          <w:tab w:val="right" w:leader="dot" w:pos="9660"/>
        </w:tabs>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"_Toc13593"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第四卷</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_Toc13593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95</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74213F44">
      <w:pPr>
        <w:pStyle w:val="15"/>
        <w:keepNext w:val="0"/>
        <w:keepLines w:val="0"/>
        <w:pageBreakBefore w:val="0"/>
        <w:widowControl/>
        <w:tabs>
          <w:tab w:val="right" w:leader="dot" w:pos="966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"_Toc25222"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第八章投标文件格式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_Toc25222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3B0537E">
      <w:pPr>
        <w:tabs>
          <w:tab w:val="right" w:leader="dot" w:pos="9638"/>
        </w:tabs>
        <w:spacing w:before="120" w:after="120" w:line="360" w:lineRule="auto"/>
        <w:jc w:val="left"/>
        <w:rPr>
          <w:rFonts w:cs="宋体" w:asciiTheme="majorEastAsia" w:hAnsiTheme="majorEastAsia" w:eastAsiaTheme="majorEastAsia"/>
          <w:b/>
          <w:caps/>
          <w:color w:val="auto"/>
          <w:sz w:val="20"/>
          <w:highlight w:val="none"/>
        </w:rPr>
      </w:pPr>
      <w:r>
        <w:rPr>
          <w:rFonts w:hint="eastAsia" w:ascii="宋体" w:hAnsi="宋体" w:eastAsia="宋体" w:cs="宋体"/>
          <w:caps/>
          <w:color w:val="auto"/>
          <w:sz w:val="24"/>
          <w:szCs w:val="24"/>
          <w:highlight w:val="none"/>
        </w:rPr>
        <w:fldChar w:fldCharType="end"/>
      </w:r>
    </w:p>
    <w:p w14:paraId="4B42C189">
      <w:pPr>
        <w:tabs>
          <w:tab w:val="right" w:leader="dot" w:pos="9638"/>
        </w:tabs>
        <w:spacing w:before="120" w:after="120"/>
        <w:jc w:val="left"/>
        <w:rPr>
          <w:rFonts w:asciiTheme="majorEastAsia" w:hAnsiTheme="majorEastAsia" w:eastAsiaTheme="majorEastAsia"/>
          <w:b/>
          <w:caps/>
          <w:color w:val="auto"/>
          <w:sz w:val="20"/>
          <w:highlight w:val="none"/>
        </w:rPr>
      </w:pPr>
    </w:p>
    <w:p w14:paraId="777ECFB0">
      <w:pPr>
        <w:ind w:firstLine="2824"/>
        <w:rPr>
          <w:rFonts w:cs="宋体" w:asciiTheme="majorEastAsia" w:hAnsiTheme="majorEastAsia" w:eastAsiaTheme="majorEastAsia"/>
          <w:color w:val="auto"/>
          <w:sz w:val="84"/>
          <w:highlight w:val="none"/>
        </w:rPr>
      </w:pPr>
    </w:p>
    <w:p w14:paraId="0CAEC775">
      <w:pPr>
        <w:spacing w:line="360" w:lineRule="auto"/>
        <w:jc w:val="center"/>
        <w:outlineLvl w:val="0"/>
        <w:rPr>
          <w:rFonts w:cs="宋体" w:asciiTheme="majorEastAsia" w:hAnsiTheme="majorEastAsia" w:eastAsiaTheme="majorEastAsia"/>
          <w:color w:val="auto"/>
          <w:sz w:val="84"/>
          <w:highlight w:val="none"/>
        </w:rPr>
        <w:sectPr>
          <w:footerReference r:id="rId3" w:type="default"/>
          <w:pgSz w:w="11906" w:h="16838"/>
          <w:pgMar w:top="1020" w:right="1066" w:bottom="918" w:left="1180" w:header="851" w:footer="992" w:gutter="0"/>
          <w:pgNumType w:start="1"/>
          <w:cols w:space="425" w:num="1"/>
          <w:docGrid w:type="lines" w:linePitch="312" w:charSpace="0"/>
        </w:sectPr>
      </w:pPr>
    </w:p>
    <w:p w14:paraId="54030532">
      <w:pPr>
        <w:pStyle w:val="39"/>
        <w:rPr>
          <w:rFonts w:cs="宋体" w:asciiTheme="majorEastAsia" w:hAnsiTheme="majorEastAsia" w:eastAsiaTheme="majorEastAsia"/>
          <w:b/>
          <w:color w:val="auto"/>
          <w:sz w:val="84"/>
          <w:highlight w:val="none"/>
        </w:rPr>
      </w:pPr>
    </w:p>
    <w:p w14:paraId="27FE30AF">
      <w:pPr>
        <w:pStyle w:val="39"/>
        <w:rPr>
          <w:rFonts w:cs="宋体" w:asciiTheme="majorEastAsia" w:hAnsiTheme="majorEastAsia" w:eastAsiaTheme="majorEastAsia"/>
          <w:b/>
          <w:color w:val="auto"/>
          <w:sz w:val="84"/>
          <w:highlight w:val="none"/>
        </w:rPr>
      </w:pPr>
    </w:p>
    <w:p w14:paraId="58703EAF">
      <w:pPr>
        <w:pStyle w:val="39"/>
        <w:rPr>
          <w:rFonts w:cs="宋体" w:asciiTheme="majorEastAsia" w:hAnsiTheme="majorEastAsia" w:eastAsiaTheme="majorEastAsia"/>
          <w:b/>
          <w:color w:val="auto"/>
          <w:sz w:val="84"/>
          <w:highlight w:val="none"/>
        </w:rPr>
      </w:pPr>
    </w:p>
    <w:p w14:paraId="1B9F7089">
      <w:pPr>
        <w:pStyle w:val="39"/>
        <w:rPr>
          <w:rFonts w:cs="宋体" w:asciiTheme="majorEastAsia" w:hAnsiTheme="majorEastAsia" w:eastAsiaTheme="majorEastAsia"/>
          <w:b/>
          <w:color w:val="auto"/>
          <w:sz w:val="84"/>
          <w:highlight w:val="none"/>
        </w:rPr>
      </w:pPr>
    </w:p>
    <w:p w14:paraId="0E678015">
      <w:pPr>
        <w:pStyle w:val="39"/>
        <w:rPr>
          <w:rFonts w:cs="宋体" w:asciiTheme="majorEastAsia" w:hAnsiTheme="majorEastAsia" w:eastAsiaTheme="majorEastAsia"/>
          <w:b/>
          <w:color w:val="auto"/>
          <w:sz w:val="84"/>
          <w:highlight w:val="none"/>
        </w:rPr>
      </w:pPr>
    </w:p>
    <w:p w14:paraId="4044D309">
      <w:pPr>
        <w:spacing w:line="360" w:lineRule="auto"/>
        <w:jc w:val="center"/>
        <w:outlineLvl w:val="0"/>
        <w:rPr>
          <w:rFonts w:cs="宋体" w:asciiTheme="majorEastAsia" w:hAnsiTheme="majorEastAsia" w:eastAsiaTheme="majorEastAsia"/>
          <w:color w:val="auto"/>
          <w:sz w:val="84"/>
          <w:szCs w:val="84"/>
          <w:highlight w:val="none"/>
        </w:rPr>
      </w:pPr>
      <w:bookmarkStart w:id="0" w:name="_Toc26948"/>
      <w:r>
        <w:rPr>
          <w:rFonts w:hint="eastAsia" w:cs="宋体" w:asciiTheme="majorEastAsia" w:hAnsiTheme="majorEastAsia" w:eastAsiaTheme="majorEastAsia"/>
          <w:color w:val="auto"/>
          <w:sz w:val="84"/>
          <w:szCs w:val="84"/>
          <w:highlight w:val="none"/>
        </w:rPr>
        <w:t>第一卷</w:t>
      </w:r>
      <w:bookmarkEnd w:id="0"/>
    </w:p>
    <w:p w14:paraId="4BA508FA">
      <w:pPr>
        <w:pStyle w:val="18"/>
        <w:jc w:val="both"/>
        <w:outlineLvl w:val="9"/>
        <w:rPr>
          <w:rFonts w:cs="宋体" w:asciiTheme="majorEastAsia" w:hAnsiTheme="majorEastAsia" w:eastAsiaTheme="majorEastAsia"/>
          <w:color w:val="auto"/>
          <w:highlight w:val="none"/>
        </w:rPr>
      </w:pPr>
    </w:p>
    <w:p w14:paraId="4A55EA00">
      <w:pPr>
        <w:pStyle w:val="18"/>
        <w:jc w:val="both"/>
        <w:outlineLvl w:val="9"/>
        <w:rPr>
          <w:rFonts w:cs="宋体" w:asciiTheme="majorEastAsia" w:hAnsiTheme="majorEastAsia" w:eastAsiaTheme="majorEastAsia"/>
          <w:color w:val="auto"/>
          <w:highlight w:val="none"/>
        </w:rPr>
      </w:pPr>
    </w:p>
    <w:p w14:paraId="2A06F0A2">
      <w:pPr>
        <w:pStyle w:val="18"/>
        <w:jc w:val="both"/>
        <w:outlineLvl w:val="9"/>
        <w:rPr>
          <w:rFonts w:cs="宋体" w:asciiTheme="majorEastAsia" w:hAnsiTheme="majorEastAsia" w:eastAsiaTheme="majorEastAsia"/>
          <w:color w:val="auto"/>
          <w:highlight w:val="none"/>
        </w:rPr>
      </w:pPr>
    </w:p>
    <w:p w14:paraId="153F8BE8">
      <w:pPr>
        <w:pStyle w:val="18"/>
        <w:jc w:val="both"/>
        <w:outlineLvl w:val="9"/>
        <w:rPr>
          <w:rFonts w:cs="宋体" w:asciiTheme="majorEastAsia" w:hAnsiTheme="majorEastAsia" w:eastAsiaTheme="majorEastAsia"/>
          <w:color w:val="auto"/>
          <w:highlight w:val="none"/>
        </w:rPr>
      </w:pPr>
    </w:p>
    <w:p w14:paraId="041E1FDA">
      <w:pPr>
        <w:pStyle w:val="18"/>
        <w:jc w:val="both"/>
        <w:outlineLvl w:val="9"/>
        <w:rPr>
          <w:rFonts w:cs="宋体" w:asciiTheme="majorEastAsia" w:hAnsiTheme="majorEastAsia" w:eastAsiaTheme="majorEastAsia"/>
          <w:color w:val="auto"/>
          <w:highlight w:val="none"/>
        </w:rPr>
      </w:pPr>
    </w:p>
    <w:p w14:paraId="2A0F5138">
      <w:pPr>
        <w:pStyle w:val="18"/>
        <w:jc w:val="both"/>
        <w:outlineLvl w:val="9"/>
        <w:rPr>
          <w:rFonts w:cs="宋体" w:asciiTheme="majorEastAsia" w:hAnsiTheme="majorEastAsia" w:eastAsiaTheme="majorEastAsia"/>
          <w:color w:val="auto"/>
          <w:highlight w:val="none"/>
        </w:rPr>
      </w:pPr>
    </w:p>
    <w:p w14:paraId="2B020607">
      <w:pPr>
        <w:pStyle w:val="18"/>
        <w:jc w:val="both"/>
        <w:outlineLvl w:val="9"/>
        <w:rPr>
          <w:rFonts w:cs="宋体" w:asciiTheme="majorEastAsia" w:hAnsiTheme="majorEastAsia" w:eastAsiaTheme="majorEastAsia"/>
          <w:color w:val="auto"/>
          <w:highlight w:val="none"/>
        </w:rPr>
      </w:pPr>
    </w:p>
    <w:p w14:paraId="42CF00B4">
      <w:pPr>
        <w:pStyle w:val="18"/>
        <w:rPr>
          <w:rFonts w:hint="eastAsia" w:cs="宋体" w:asciiTheme="majorEastAsia" w:hAnsiTheme="majorEastAsia" w:eastAsiaTheme="majorEastAsia"/>
          <w:color w:val="auto"/>
          <w:highlight w:val="none"/>
        </w:rPr>
        <w:sectPr>
          <w:footerReference r:id="rId4" w:type="default"/>
          <w:pgSz w:w="11906" w:h="16838"/>
          <w:pgMar w:top="1134" w:right="1134" w:bottom="1134" w:left="1134" w:header="851" w:footer="992" w:gutter="0"/>
          <w:pgNumType w:start="1"/>
          <w:cols w:space="425" w:num="1"/>
          <w:docGrid w:type="lines" w:linePitch="312" w:charSpace="0"/>
        </w:sectPr>
      </w:pPr>
      <w:bookmarkStart w:id="1" w:name="_Toc15668"/>
    </w:p>
    <w:p w14:paraId="36FD802E">
      <w:pPr>
        <w:pStyle w:val="18"/>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highlight w:val="none"/>
        </w:rPr>
        <w:t>第一章招标公告</w:t>
      </w:r>
      <w:bookmarkEnd w:id="1"/>
    </w:p>
    <w:p w14:paraId="09B48D1F">
      <w:pPr>
        <w:spacing w:line="360"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一、招标条件</w:t>
      </w:r>
    </w:p>
    <w:p w14:paraId="76CED1AF">
      <w:pPr>
        <w:wordWrap w:val="0"/>
        <w:spacing w:line="360" w:lineRule="auto"/>
        <w:ind w:firstLine="440" w:firstLineChars="200"/>
        <w:jc w:val="left"/>
        <w:rPr>
          <w:rFonts w:hint="eastAsia" w:ascii="宋体" w:hAnsi="宋体" w:eastAsia="宋体" w:cs="宋体"/>
          <w:b/>
          <w:color w:val="auto"/>
          <w:sz w:val="22"/>
          <w:szCs w:val="22"/>
          <w:highlight w:val="none"/>
          <w:shd w:val="clear" w:color="auto" w:fill="FFFFFF"/>
        </w:rPr>
      </w:pPr>
      <w:r>
        <w:rPr>
          <w:rFonts w:hint="eastAsia" w:ascii="宋体" w:hAnsi="宋体" w:eastAsia="宋体" w:cs="宋体"/>
          <w:color w:val="auto"/>
          <w:sz w:val="22"/>
          <w:szCs w:val="22"/>
          <w:highlight w:val="none"/>
        </w:rPr>
        <w:t>本招标项目名称</w:t>
      </w:r>
      <w:r>
        <w:rPr>
          <w:rFonts w:hint="eastAsia" w:ascii="宋体" w:hAnsi="宋体" w:eastAsia="宋体" w:cs="宋体"/>
          <w:color w:val="auto"/>
          <w:sz w:val="22"/>
          <w:szCs w:val="22"/>
          <w:highlight w:val="none"/>
          <w:u w:val="single"/>
          <w:lang w:eastAsia="zh-CN"/>
        </w:rPr>
        <w:t>欧公洞水水系（回龙工业园段）整治工程施工</w:t>
      </w:r>
      <w:r>
        <w:rPr>
          <w:rFonts w:hint="eastAsia" w:ascii="宋体" w:hAnsi="宋体" w:eastAsia="宋体" w:cs="宋体"/>
          <w:color w:val="auto"/>
          <w:sz w:val="22"/>
          <w:szCs w:val="22"/>
          <w:highlight w:val="none"/>
        </w:rPr>
        <w:t>，经</w:t>
      </w:r>
      <w:r>
        <w:rPr>
          <w:rFonts w:hint="eastAsia" w:ascii="宋体" w:hAnsi="宋体" w:eastAsia="宋体" w:cs="宋体"/>
          <w:color w:val="auto"/>
          <w:sz w:val="22"/>
          <w:szCs w:val="22"/>
          <w:highlight w:val="none"/>
          <w:u w:val="single"/>
          <w:lang w:val="en-US" w:eastAsia="zh-CN"/>
        </w:rPr>
        <w:t>新丰县发展和改革局关于欧公洞水水系（回龙工业园段）整治工程项目立项的批复（新丰发改投审〔2025〕152号）</w:t>
      </w:r>
      <w:r>
        <w:rPr>
          <w:rFonts w:hint="eastAsia" w:ascii="宋体" w:hAnsi="宋体" w:eastAsia="宋体" w:cs="宋体"/>
          <w:color w:val="auto"/>
          <w:sz w:val="22"/>
          <w:szCs w:val="22"/>
          <w:highlight w:val="none"/>
        </w:rPr>
        <w:t>文核准招标，项目代码为</w:t>
      </w:r>
      <w:r>
        <w:rPr>
          <w:rFonts w:hint="eastAsia" w:ascii="宋体" w:hAnsi="宋体" w:eastAsia="宋体" w:cs="宋体"/>
          <w:color w:val="auto"/>
          <w:sz w:val="22"/>
          <w:szCs w:val="22"/>
          <w:highlight w:val="none"/>
          <w:u w:val="single"/>
          <w:lang w:eastAsia="zh-CN"/>
        </w:rPr>
        <w:t>2503-440233-04-01-805899</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建设资金来源</w:t>
      </w:r>
      <w:r>
        <w:rPr>
          <w:rFonts w:hint="eastAsia" w:ascii="宋体" w:hAnsi="宋体" w:eastAsia="宋体" w:cs="宋体"/>
          <w:snapToGrid w:val="0"/>
          <w:color w:val="auto"/>
          <w:kern w:val="0"/>
          <w:sz w:val="22"/>
          <w:szCs w:val="22"/>
          <w:highlight w:val="none"/>
          <w:u w:val="single"/>
          <w:lang w:eastAsia="zh-CN"/>
        </w:rPr>
        <w:t>由上级资金和县财政统筹安排解决。</w:t>
      </w:r>
      <w:r>
        <w:rPr>
          <w:rFonts w:hint="eastAsia" w:ascii="宋体" w:hAnsi="宋体" w:eastAsia="宋体" w:cs="宋体"/>
          <w:color w:val="auto"/>
          <w:sz w:val="22"/>
          <w:szCs w:val="22"/>
          <w:highlight w:val="none"/>
        </w:rPr>
        <w:t>项目业主为</w:t>
      </w:r>
      <w:r>
        <w:rPr>
          <w:rFonts w:hint="eastAsia" w:ascii="宋体" w:hAnsi="宋体" w:eastAsia="宋体" w:cs="宋体"/>
          <w:color w:val="auto"/>
          <w:sz w:val="22"/>
          <w:szCs w:val="22"/>
          <w:highlight w:val="none"/>
          <w:u w:val="single"/>
          <w:lang w:eastAsia="zh-CN"/>
        </w:rPr>
        <w:t>新丰县产业转移工业园管理委员会</w:t>
      </w:r>
      <w:r>
        <w:rPr>
          <w:rFonts w:hint="eastAsia" w:ascii="宋体" w:hAnsi="宋体" w:eastAsia="宋体" w:cs="宋体"/>
          <w:color w:val="auto"/>
          <w:sz w:val="22"/>
          <w:szCs w:val="22"/>
          <w:highlight w:val="none"/>
        </w:rPr>
        <w:t>。招标代理机构为</w:t>
      </w:r>
      <w:r>
        <w:rPr>
          <w:rFonts w:hint="eastAsia" w:ascii="宋体" w:hAnsi="宋体" w:eastAsia="宋体" w:cs="宋体"/>
          <w:color w:val="auto"/>
          <w:sz w:val="22"/>
          <w:szCs w:val="22"/>
          <w:highlight w:val="none"/>
          <w:u w:val="single"/>
          <w:lang w:eastAsia="zh-CN"/>
        </w:rPr>
        <w:t>广东省广大工程顾问有限公司</w:t>
      </w:r>
      <w:r>
        <w:rPr>
          <w:rFonts w:hint="eastAsia" w:ascii="宋体" w:hAnsi="宋体" w:eastAsia="宋体" w:cs="宋体"/>
          <w:color w:val="auto"/>
          <w:sz w:val="22"/>
          <w:szCs w:val="22"/>
          <w:highlight w:val="none"/>
        </w:rPr>
        <w:t>，项目已具备招标条件，现对该项目进行公开招标。</w:t>
      </w:r>
    </w:p>
    <w:p w14:paraId="444A1AAA">
      <w:pPr>
        <w:spacing w:line="360" w:lineRule="auto"/>
        <w:rPr>
          <w:rFonts w:hint="eastAsia" w:ascii="宋体" w:hAnsi="宋体" w:eastAsia="宋体" w:cs="宋体"/>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二、项目概况及招标范围：</w:t>
      </w:r>
    </w:p>
    <w:p w14:paraId="538FC2BF">
      <w:pPr>
        <w:pStyle w:val="6"/>
        <w:spacing w:line="360" w:lineRule="auto"/>
        <w:ind w:firstLine="440" w:firstLineChars="200"/>
        <w:rPr>
          <w:rFonts w:hint="eastAsia" w:ascii="宋体" w:hAnsi="宋体" w:eastAsia="宋体" w:cs="宋体"/>
          <w:color w:val="auto"/>
          <w:sz w:val="22"/>
          <w:szCs w:val="22"/>
          <w:highlight w:val="none"/>
          <w:u w:val="single"/>
          <w:lang w:eastAsia="zh-CN"/>
        </w:rPr>
      </w:pPr>
      <w:r>
        <w:rPr>
          <w:rFonts w:hint="eastAsia" w:ascii="宋体" w:hAnsi="宋体" w:eastAsia="宋体" w:cs="宋体"/>
          <w:color w:val="auto"/>
          <w:sz w:val="22"/>
          <w:szCs w:val="22"/>
          <w:highlight w:val="none"/>
        </w:rPr>
        <w:t>2.1建设内容及规模：</w:t>
      </w:r>
      <w:r>
        <w:rPr>
          <w:rFonts w:hint="eastAsia" w:ascii="宋体" w:hAnsi="宋体" w:eastAsia="宋体" w:cs="宋体"/>
          <w:color w:val="auto"/>
          <w:sz w:val="22"/>
          <w:szCs w:val="22"/>
          <w:highlight w:val="none"/>
          <w:u w:val="single"/>
          <w:lang w:val="en-US" w:eastAsia="zh-CN"/>
        </w:rPr>
        <w:t>调整段河道护岸总长1031m，其中左岸新建护岸518m，右岸新建护岸513m；上下游原河道衔接段护岸：总长150m，其中左岸新建护岸78m，右岸新建护岸72m；右岸灌溉渠改建：调整后河道截断了原河道右岸灌溉渠，拟对原有灌溉渠进行改建处理，硬化改建后灌溉渠398m。</w:t>
      </w:r>
    </w:p>
    <w:p w14:paraId="7BC9A830">
      <w:pPr>
        <w:pStyle w:val="6"/>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2.2本工程建设地点位于：</w:t>
      </w:r>
      <w:r>
        <w:rPr>
          <w:rFonts w:hint="eastAsia" w:ascii="宋体" w:hAnsi="宋体" w:eastAsia="宋体" w:cs="宋体"/>
          <w:color w:val="auto"/>
          <w:sz w:val="22"/>
          <w:szCs w:val="22"/>
          <w:highlight w:val="none"/>
          <w:u w:val="single"/>
          <w:lang w:val="en-US" w:eastAsia="zh-CN"/>
        </w:rPr>
        <w:t>韶关市新丰县回龙镇来石村。</w:t>
      </w:r>
    </w:p>
    <w:p w14:paraId="23C44055">
      <w:pPr>
        <w:pStyle w:val="6"/>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2.3标段划分：</w:t>
      </w:r>
      <w:r>
        <w:rPr>
          <w:rFonts w:hint="eastAsia" w:ascii="宋体" w:hAnsi="宋体" w:eastAsia="宋体" w:cs="宋体"/>
          <w:color w:val="auto"/>
          <w:sz w:val="22"/>
          <w:szCs w:val="22"/>
          <w:highlight w:val="none"/>
          <w:u w:val="single"/>
        </w:rPr>
        <w:t>本次施工招标设1个标段。</w:t>
      </w:r>
    </w:p>
    <w:p w14:paraId="63CB5158">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2.4招标范围：</w:t>
      </w:r>
      <w:r>
        <w:rPr>
          <w:rFonts w:hint="eastAsia" w:ascii="宋体" w:hAnsi="宋体" w:eastAsia="宋体" w:cs="宋体"/>
          <w:color w:val="auto"/>
          <w:sz w:val="22"/>
          <w:szCs w:val="22"/>
          <w:highlight w:val="none"/>
          <w:u w:val="single"/>
          <w:lang w:eastAsia="zh-CN"/>
        </w:rPr>
        <w:t>工程量清单及施工图设计文件范围内的工程施工</w:t>
      </w:r>
      <w:r>
        <w:rPr>
          <w:rFonts w:hint="eastAsia" w:ascii="宋体" w:hAnsi="宋体" w:eastAsia="宋体" w:cs="宋体"/>
          <w:color w:val="auto"/>
          <w:sz w:val="22"/>
          <w:szCs w:val="22"/>
          <w:highlight w:val="none"/>
          <w:u w:val="single"/>
        </w:rPr>
        <w:t>。</w:t>
      </w:r>
    </w:p>
    <w:p w14:paraId="09BD9516">
      <w:pPr>
        <w:spacing w:line="360" w:lineRule="auto"/>
        <w:ind w:firstLine="440" w:firstLineChars="20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sz w:val="22"/>
          <w:szCs w:val="22"/>
          <w:highlight w:val="none"/>
        </w:rPr>
        <w:t>2.5计划工期：</w:t>
      </w:r>
      <w:r>
        <w:rPr>
          <w:rFonts w:hint="eastAsia" w:ascii="宋体" w:hAnsi="宋体" w:eastAsia="宋体" w:cs="宋体"/>
          <w:color w:val="auto"/>
          <w:kern w:val="0"/>
          <w:sz w:val="22"/>
          <w:szCs w:val="22"/>
          <w:highlight w:val="none"/>
          <w:u w:val="single"/>
          <w:lang w:eastAsia="zh-CN"/>
        </w:rPr>
        <w:t>150日历天</w:t>
      </w:r>
      <w:r>
        <w:rPr>
          <w:rFonts w:hint="eastAsia" w:ascii="宋体" w:hAnsi="宋体" w:eastAsia="宋体" w:cs="宋体"/>
          <w:color w:val="auto"/>
          <w:kern w:val="0"/>
          <w:sz w:val="22"/>
          <w:szCs w:val="22"/>
          <w:highlight w:val="none"/>
          <w:u w:val="single"/>
        </w:rPr>
        <w:t>。</w:t>
      </w:r>
    </w:p>
    <w:p w14:paraId="5F0DADCF">
      <w:pPr>
        <w:spacing w:line="360" w:lineRule="auto"/>
        <w:ind w:firstLine="440" w:firstLineChars="200"/>
        <w:rPr>
          <w:rFonts w:hint="eastAsia" w:ascii="宋体" w:hAnsi="宋体" w:eastAsia="宋体" w:cs="宋体"/>
          <w:color w:val="auto"/>
          <w:kern w:val="0"/>
          <w:sz w:val="22"/>
          <w:szCs w:val="22"/>
          <w:highlight w:val="none"/>
          <w:u w:val="single"/>
          <w:lang w:eastAsia="zh-CN"/>
        </w:rPr>
      </w:pPr>
      <w:r>
        <w:rPr>
          <w:rFonts w:hint="eastAsia" w:ascii="宋体" w:hAnsi="宋体" w:eastAsia="宋体" w:cs="宋体"/>
          <w:color w:val="auto"/>
          <w:kern w:val="0"/>
          <w:sz w:val="22"/>
          <w:szCs w:val="22"/>
          <w:highlight w:val="none"/>
        </w:rPr>
        <w:t>2.6项目总投资</w:t>
      </w:r>
      <w:r>
        <w:rPr>
          <w:rFonts w:hint="eastAsia" w:ascii="宋体" w:hAnsi="宋体" w:eastAsia="宋体" w:cs="宋体"/>
          <w:color w:val="auto"/>
          <w:kern w:val="0"/>
          <w:sz w:val="22"/>
          <w:szCs w:val="22"/>
          <w:highlight w:val="none"/>
          <w:u w:val="none"/>
        </w:rPr>
        <w:t>：</w:t>
      </w:r>
      <w:r>
        <w:rPr>
          <w:rFonts w:hint="eastAsia" w:ascii="宋体" w:hAnsi="宋体" w:eastAsia="宋体" w:cs="宋体"/>
          <w:color w:val="auto"/>
          <w:kern w:val="0"/>
          <w:sz w:val="22"/>
          <w:szCs w:val="22"/>
          <w:highlight w:val="none"/>
          <w:u w:val="single"/>
          <w:lang w:eastAsia="zh-CN"/>
        </w:rPr>
        <w:t>项目估算总投资716.35万元。</w:t>
      </w:r>
    </w:p>
    <w:p w14:paraId="10B8145B">
      <w:pPr>
        <w:spacing w:line="360" w:lineRule="auto"/>
        <w:jc w:val="lef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三、投标人资格要求</w:t>
      </w:r>
    </w:p>
    <w:p w14:paraId="4F993F13">
      <w:pPr>
        <w:spacing w:line="360" w:lineRule="auto"/>
        <w:ind w:firstLine="330" w:firstLineChars="15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3.1投标人资格要求</w:t>
      </w:r>
    </w:p>
    <w:p w14:paraId="1F13ECB2">
      <w:pPr>
        <w:spacing w:line="360" w:lineRule="auto"/>
        <w:ind w:firstLine="330" w:firstLine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（1）投标人必须具备</w:t>
      </w:r>
      <w:r>
        <w:rPr>
          <w:rFonts w:hint="eastAsia" w:ascii="宋体" w:hAnsi="宋体" w:eastAsia="宋体" w:cs="宋体"/>
          <w:b/>
          <w:bCs/>
          <w:color w:val="auto"/>
          <w:sz w:val="22"/>
          <w:szCs w:val="22"/>
          <w:highlight w:val="none"/>
        </w:rPr>
        <w:t>水利水电工程施工总承包三级以上(含三级)资质</w:t>
      </w:r>
      <w:r>
        <w:rPr>
          <w:rFonts w:hint="eastAsia" w:ascii="宋体" w:hAnsi="宋体" w:eastAsia="宋体" w:cs="宋体"/>
          <w:color w:val="auto"/>
          <w:sz w:val="22"/>
          <w:szCs w:val="22"/>
          <w:highlight w:val="none"/>
        </w:rPr>
        <w:t>；</w:t>
      </w:r>
    </w:p>
    <w:p w14:paraId="6A1199DC">
      <w:pPr>
        <w:spacing w:line="360" w:lineRule="auto"/>
        <w:ind w:firstLine="330" w:firstLine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具有有效的营业执照、具有有效的安全生产许可证、具有有效的资质证书（投标人的企业相关证书到期的，必须将相关文件附在该证书后面中，证明在开标日继续有效。因推行电子证照，可提供营业执照、资质证书、安全生产许可证实时网页查询页）； </w:t>
      </w:r>
    </w:p>
    <w:p w14:paraId="6E1D9C28">
      <w:pPr>
        <w:keepNext w:val="0"/>
        <w:keepLines w:val="0"/>
        <w:pageBreakBefore w:val="0"/>
        <w:widowControl w:val="0"/>
        <w:kinsoku/>
        <w:wordWrap/>
        <w:overflowPunct/>
        <w:topLinePunct w:val="0"/>
        <w:autoSpaceDE/>
        <w:autoSpaceDN/>
        <w:bidi w:val="0"/>
        <w:adjustRightInd/>
        <w:snapToGrid/>
        <w:spacing w:line="360" w:lineRule="auto"/>
        <w:ind w:firstLine="330" w:firstLineChars="150"/>
        <w:textAlignment w:val="auto"/>
        <w:rPr>
          <w:rFonts w:hint="eastAsia" w:ascii="宋体" w:hAnsi="宋体" w:eastAsia="宋体" w:cs="宋体"/>
          <w:i/>
          <w:iCs/>
          <w:color w:val="auto"/>
          <w:sz w:val="22"/>
          <w:szCs w:val="22"/>
          <w:highlight w:val="none"/>
          <w:lang w:eastAsia="zh-CN"/>
        </w:rPr>
      </w:pPr>
      <w:r>
        <w:rPr>
          <w:rFonts w:hint="eastAsia" w:ascii="宋体" w:hAnsi="宋体" w:eastAsia="宋体" w:cs="宋体"/>
          <w:color w:val="auto"/>
          <w:sz w:val="22"/>
          <w:szCs w:val="22"/>
          <w:highlight w:val="none"/>
        </w:rPr>
        <w:t>（3）投标人拟派项目经理为在本单位注册的</w:t>
      </w:r>
      <w:r>
        <w:rPr>
          <w:rFonts w:hint="eastAsia" w:ascii="宋体" w:hAnsi="宋体" w:eastAsia="宋体" w:cs="宋体"/>
          <w:b/>
          <w:bCs/>
          <w:color w:val="auto"/>
          <w:sz w:val="22"/>
          <w:szCs w:val="22"/>
          <w:highlight w:val="none"/>
        </w:rPr>
        <w:t>“水利水电工程”</w:t>
      </w:r>
      <w:r>
        <w:rPr>
          <w:rFonts w:hint="eastAsia" w:ascii="宋体" w:hAnsi="宋体" w:eastAsia="宋体" w:cs="宋体"/>
          <w:color w:val="auto"/>
          <w:sz w:val="22"/>
          <w:szCs w:val="22"/>
          <w:highlight w:val="none"/>
        </w:rPr>
        <w:t>专业二级</w:t>
      </w:r>
      <w:r>
        <w:rPr>
          <w:rFonts w:hint="eastAsia" w:ascii="宋体" w:hAnsi="宋体" w:eastAsia="宋体" w:cs="宋体"/>
          <w:color w:val="auto"/>
          <w:sz w:val="22"/>
          <w:szCs w:val="22"/>
          <w:highlight w:val="none"/>
          <w:lang w:val="en-US" w:eastAsia="zh-CN"/>
        </w:rPr>
        <w:t>以上（含二级）</w:t>
      </w:r>
      <w:r>
        <w:rPr>
          <w:rFonts w:hint="eastAsia" w:ascii="宋体" w:hAnsi="宋体" w:eastAsia="宋体" w:cs="宋体"/>
          <w:color w:val="auto"/>
          <w:sz w:val="22"/>
          <w:szCs w:val="22"/>
          <w:highlight w:val="none"/>
        </w:rPr>
        <w:t>注册建造师，应持有住建部门印发的在使用有效期内的有效电子注册证书（根据广东省住房和城乡建设厅（粤建市函〔2023〕469号）文件精神，二级注册建造师可随注册企业在全国范围内执业），同时须具备</w:t>
      </w:r>
      <w:r>
        <w:rPr>
          <w:rFonts w:hint="eastAsia" w:ascii="宋体" w:hAnsi="宋体" w:eastAsia="宋体" w:cs="宋体"/>
          <w:b w:val="0"/>
          <w:bCs w:val="0"/>
          <w:color w:val="auto"/>
          <w:sz w:val="22"/>
          <w:szCs w:val="22"/>
          <w:highlight w:val="none"/>
        </w:rPr>
        <w:t>水利</w:t>
      </w:r>
      <w:r>
        <w:rPr>
          <w:rFonts w:hint="eastAsia" w:ascii="宋体" w:hAnsi="宋体" w:eastAsia="宋体" w:cs="宋体"/>
          <w:color w:val="auto"/>
          <w:sz w:val="22"/>
          <w:szCs w:val="22"/>
          <w:highlight w:val="none"/>
        </w:rPr>
        <w:t>行政主管部门颁发的安全生产考核合格证书(B证)</w:t>
      </w:r>
      <w:r>
        <w:rPr>
          <w:rFonts w:hint="eastAsia" w:ascii="宋体" w:hAnsi="宋体" w:eastAsia="宋体" w:cs="宋体"/>
          <w:color w:val="auto"/>
          <w:kern w:val="0"/>
          <w:sz w:val="22"/>
          <w:szCs w:val="22"/>
          <w:highlight w:val="none"/>
        </w:rPr>
        <w:t>，</w:t>
      </w:r>
      <w:r>
        <w:rPr>
          <w:rFonts w:hint="eastAsia" w:ascii="宋体" w:hAnsi="宋体" w:eastAsia="宋体" w:cs="宋体"/>
          <w:i w:val="0"/>
          <w:iCs w:val="0"/>
          <w:color w:val="auto"/>
          <w:kern w:val="0"/>
          <w:sz w:val="22"/>
          <w:szCs w:val="22"/>
          <w:highlight w:val="none"/>
        </w:rPr>
        <w:t>提供</w:t>
      </w:r>
      <w:r>
        <w:rPr>
          <w:rFonts w:hint="eastAsia" w:ascii="宋体" w:hAnsi="宋体" w:eastAsia="宋体" w:cs="宋体"/>
          <w:i w:val="0"/>
          <w:iCs w:val="0"/>
          <w:color w:val="auto"/>
          <w:kern w:val="0"/>
          <w:sz w:val="22"/>
          <w:szCs w:val="22"/>
          <w:highlight w:val="none"/>
          <w:lang w:val="en-US" w:eastAsia="zh-CN"/>
        </w:rPr>
        <w:t>近</w:t>
      </w:r>
      <w:r>
        <w:rPr>
          <w:rFonts w:hint="eastAsia" w:ascii="宋体" w:hAnsi="宋体" w:eastAsia="宋体" w:cs="宋体"/>
          <w:i w:val="0"/>
          <w:iCs w:val="0"/>
          <w:color w:val="auto"/>
          <w:kern w:val="0"/>
          <w:sz w:val="22"/>
          <w:szCs w:val="22"/>
          <w:highlight w:val="none"/>
          <w:lang w:eastAsia="zh-CN"/>
        </w:rPr>
        <w:t>3个月（其中必须有202</w:t>
      </w:r>
      <w:r>
        <w:rPr>
          <w:rFonts w:hint="eastAsia" w:ascii="宋体" w:hAnsi="宋体" w:eastAsia="宋体" w:cs="宋体"/>
          <w:i w:val="0"/>
          <w:iCs w:val="0"/>
          <w:color w:val="auto"/>
          <w:kern w:val="0"/>
          <w:sz w:val="22"/>
          <w:szCs w:val="22"/>
          <w:highlight w:val="none"/>
          <w:lang w:val="en-US" w:eastAsia="zh-CN"/>
        </w:rPr>
        <w:t>5</w:t>
      </w:r>
      <w:r>
        <w:rPr>
          <w:rFonts w:hint="eastAsia" w:ascii="宋体" w:hAnsi="宋体" w:eastAsia="宋体" w:cs="宋体"/>
          <w:i w:val="0"/>
          <w:iCs w:val="0"/>
          <w:color w:val="auto"/>
          <w:kern w:val="0"/>
          <w:sz w:val="22"/>
          <w:szCs w:val="22"/>
          <w:highlight w:val="none"/>
          <w:lang w:eastAsia="zh-CN"/>
        </w:rPr>
        <w:t>年</w:t>
      </w:r>
      <w:r>
        <w:rPr>
          <w:rFonts w:hint="eastAsia" w:ascii="宋体" w:hAnsi="宋体" w:cs="宋体"/>
          <w:i w:val="0"/>
          <w:iCs w:val="0"/>
          <w:color w:val="auto"/>
          <w:kern w:val="0"/>
          <w:sz w:val="22"/>
          <w:szCs w:val="22"/>
          <w:highlight w:val="none"/>
          <w:lang w:val="en-US" w:eastAsia="zh-CN"/>
        </w:rPr>
        <w:t>10</w:t>
      </w:r>
      <w:r>
        <w:rPr>
          <w:rFonts w:hint="eastAsia" w:ascii="宋体" w:hAnsi="宋体" w:eastAsia="宋体" w:cs="宋体"/>
          <w:i w:val="0"/>
          <w:iCs w:val="0"/>
          <w:color w:val="auto"/>
          <w:kern w:val="0"/>
          <w:sz w:val="22"/>
          <w:szCs w:val="22"/>
          <w:highlight w:val="none"/>
          <w:lang w:eastAsia="zh-CN"/>
        </w:rPr>
        <w:t>月）</w:t>
      </w:r>
      <w:r>
        <w:rPr>
          <w:rFonts w:hint="eastAsia" w:ascii="宋体" w:hAnsi="宋体" w:eastAsia="宋体" w:cs="宋体"/>
          <w:i w:val="0"/>
          <w:iCs w:val="0"/>
          <w:color w:val="auto"/>
          <w:kern w:val="0"/>
          <w:sz w:val="22"/>
          <w:szCs w:val="22"/>
          <w:highlight w:val="none"/>
        </w:rPr>
        <w:t>社保证明</w:t>
      </w:r>
      <w:r>
        <w:rPr>
          <w:rFonts w:hint="eastAsia" w:ascii="宋体" w:hAnsi="宋体" w:eastAsia="宋体" w:cs="宋体"/>
          <w:i w:val="0"/>
          <w:iCs w:val="0"/>
          <w:color w:val="auto"/>
          <w:kern w:val="0"/>
          <w:sz w:val="22"/>
          <w:szCs w:val="22"/>
          <w:highlight w:val="none"/>
          <w:lang w:eastAsia="zh-CN"/>
        </w:rPr>
        <w:t>（如为退休人员无社会保险关系证明的，则需提供其退休证及返聘证明）</w:t>
      </w:r>
      <w:r>
        <w:rPr>
          <w:rFonts w:hint="eastAsia" w:ascii="宋体" w:hAnsi="宋体" w:eastAsia="宋体" w:cs="宋体"/>
          <w:i w:val="0"/>
          <w:iCs w:val="0"/>
          <w:color w:val="auto"/>
          <w:kern w:val="0"/>
          <w:sz w:val="22"/>
          <w:szCs w:val="22"/>
          <w:highlight w:val="none"/>
        </w:rPr>
        <w:t>及有效的居民身份证</w:t>
      </w:r>
      <w:r>
        <w:rPr>
          <w:rFonts w:hint="eastAsia" w:ascii="宋体" w:hAnsi="宋体" w:cs="宋体"/>
          <w:i w:val="0"/>
          <w:iCs w:val="0"/>
          <w:color w:val="auto"/>
          <w:kern w:val="0"/>
          <w:sz w:val="22"/>
          <w:szCs w:val="22"/>
          <w:highlight w:val="none"/>
          <w:lang w:eastAsia="zh-CN"/>
        </w:rPr>
        <w:t>，</w:t>
      </w:r>
      <w:r>
        <w:rPr>
          <w:rFonts w:hint="eastAsia" w:ascii="宋体" w:hAnsi="宋体" w:eastAsia="宋体" w:cs="宋体"/>
          <w:color w:val="auto"/>
          <w:kern w:val="0"/>
          <w:sz w:val="22"/>
          <w:szCs w:val="22"/>
          <w:highlight w:val="none"/>
        </w:rPr>
        <w:t>且未担任其他在建（包括已列为其他项目第一中标候选人、已中标未开工或已建成未竣工）建设工程项目</w:t>
      </w:r>
      <w:r>
        <w:rPr>
          <w:rFonts w:hint="eastAsia" w:ascii="宋体" w:hAnsi="宋体" w:eastAsia="宋体" w:cs="宋体"/>
          <w:b/>
          <w:bCs/>
          <w:color w:val="auto"/>
          <w:kern w:val="0"/>
          <w:sz w:val="22"/>
          <w:szCs w:val="22"/>
          <w:highlight w:val="none"/>
        </w:rPr>
        <w:t>（提供承诺函，格式自拟）</w:t>
      </w:r>
      <w:r>
        <w:rPr>
          <w:rFonts w:hint="eastAsia" w:ascii="宋体" w:hAnsi="宋体" w:cs="宋体"/>
          <w:color w:val="auto"/>
          <w:kern w:val="0"/>
          <w:sz w:val="22"/>
          <w:szCs w:val="22"/>
          <w:highlight w:val="none"/>
          <w:lang w:eastAsia="zh-CN"/>
        </w:rPr>
        <w:t>；</w:t>
      </w:r>
    </w:p>
    <w:p w14:paraId="6056279E">
      <w:pPr>
        <w:keepNext w:val="0"/>
        <w:keepLines w:val="0"/>
        <w:pageBreakBefore w:val="0"/>
        <w:widowControl w:val="0"/>
        <w:kinsoku/>
        <w:wordWrap/>
        <w:overflowPunct/>
        <w:topLinePunct w:val="0"/>
        <w:autoSpaceDE/>
        <w:autoSpaceDN/>
        <w:bidi w:val="0"/>
        <w:adjustRightInd/>
        <w:snapToGrid/>
        <w:spacing w:line="360" w:lineRule="auto"/>
        <w:ind w:firstLine="385" w:firstLineChars="175"/>
        <w:textAlignment w:val="auto"/>
        <w:rPr>
          <w:rFonts w:hint="eastAsia" w:ascii="宋体" w:hAnsi="宋体" w:eastAsia="宋体" w:cs="宋体"/>
          <w:color w:val="auto"/>
          <w:sz w:val="22"/>
          <w:szCs w:val="22"/>
          <w:highlight w:val="none"/>
        </w:rPr>
      </w:pPr>
      <w:bookmarkStart w:id="2" w:name="_Toc48665586"/>
      <w:r>
        <w:rPr>
          <w:rFonts w:hint="eastAsia" w:ascii="宋体" w:hAnsi="宋体" w:eastAsia="宋体" w:cs="宋体"/>
          <w:color w:val="auto"/>
          <w:sz w:val="22"/>
          <w:szCs w:val="22"/>
          <w:highlight w:val="none"/>
        </w:rPr>
        <w:t>（4）</w:t>
      </w:r>
      <w:bookmarkEnd w:id="2"/>
      <w:r>
        <w:rPr>
          <w:rFonts w:hint="eastAsia" w:ascii="宋体" w:hAnsi="宋体" w:eastAsia="宋体" w:cs="宋体"/>
          <w:color w:val="auto"/>
          <w:sz w:val="22"/>
          <w:szCs w:val="22"/>
          <w:highlight w:val="none"/>
        </w:rPr>
        <w:t>拟投入本项目的技术负责人必须具备</w:t>
      </w:r>
      <w:r>
        <w:rPr>
          <w:rFonts w:hint="eastAsia" w:ascii="宋体" w:hAnsi="宋体" w:eastAsia="宋体" w:cs="宋体"/>
          <w:b/>
          <w:bCs/>
          <w:color w:val="auto"/>
          <w:sz w:val="22"/>
          <w:szCs w:val="22"/>
          <w:highlight w:val="none"/>
          <w:u w:val="single"/>
          <w:lang w:eastAsia="zh-CN"/>
        </w:rPr>
        <w:t>水利水电</w:t>
      </w:r>
      <w:r>
        <w:rPr>
          <w:rFonts w:hint="eastAsia" w:ascii="宋体" w:hAnsi="宋体" w:eastAsia="宋体" w:cs="宋体"/>
          <w:b/>
          <w:bCs/>
          <w:color w:val="auto"/>
          <w:sz w:val="22"/>
          <w:szCs w:val="22"/>
          <w:highlight w:val="none"/>
          <w:u w:val="single"/>
          <w:lang w:val="en-US" w:eastAsia="zh-CN"/>
        </w:rPr>
        <w:t>类</w:t>
      </w:r>
      <w:r>
        <w:rPr>
          <w:rFonts w:hint="eastAsia" w:ascii="宋体" w:hAnsi="宋体" w:eastAsia="宋体" w:cs="宋体"/>
          <w:b w:val="0"/>
          <w:bCs w:val="0"/>
          <w:color w:val="auto"/>
          <w:sz w:val="22"/>
          <w:szCs w:val="22"/>
          <w:highlight w:val="none"/>
          <w:u w:val="none"/>
          <w:lang w:val="en-US" w:eastAsia="zh-CN"/>
        </w:rPr>
        <w:t>相关</w:t>
      </w:r>
      <w:r>
        <w:rPr>
          <w:rFonts w:hint="eastAsia" w:ascii="宋体" w:hAnsi="宋体" w:eastAsia="宋体" w:cs="宋体"/>
          <w:b w:val="0"/>
          <w:bCs w:val="0"/>
          <w:color w:val="auto"/>
          <w:sz w:val="22"/>
          <w:szCs w:val="22"/>
          <w:highlight w:val="none"/>
          <w:lang w:eastAsia="zh-CN"/>
        </w:rPr>
        <w:t>专业</w:t>
      </w:r>
      <w:r>
        <w:rPr>
          <w:rFonts w:hint="eastAsia" w:ascii="宋体" w:hAnsi="宋体" w:eastAsia="宋体" w:cs="宋体"/>
          <w:color w:val="auto"/>
          <w:sz w:val="22"/>
          <w:szCs w:val="22"/>
          <w:highlight w:val="none"/>
        </w:rPr>
        <w:t>中级以上（含中级）技术职</w:t>
      </w:r>
      <w:r>
        <w:rPr>
          <w:rFonts w:hint="eastAsia" w:ascii="宋体" w:hAnsi="宋体" w:eastAsia="宋体" w:cs="宋体"/>
          <w:color w:val="auto"/>
          <w:kern w:val="0"/>
          <w:sz w:val="22"/>
          <w:szCs w:val="22"/>
          <w:highlight w:val="none"/>
        </w:rPr>
        <w:t>称，</w:t>
      </w:r>
      <w:r>
        <w:rPr>
          <w:rFonts w:hint="eastAsia" w:ascii="宋体" w:hAnsi="宋体" w:eastAsia="宋体" w:cs="宋体"/>
          <w:i w:val="0"/>
          <w:iCs w:val="0"/>
          <w:color w:val="auto"/>
          <w:kern w:val="0"/>
          <w:sz w:val="22"/>
          <w:szCs w:val="22"/>
          <w:highlight w:val="none"/>
        </w:rPr>
        <w:t>提供</w:t>
      </w:r>
      <w:r>
        <w:rPr>
          <w:rFonts w:hint="eastAsia" w:ascii="宋体" w:hAnsi="宋体" w:eastAsia="宋体" w:cs="宋体"/>
          <w:i w:val="0"/>
          <w:iCs w:val="0"/>
          <w:color w:val="auto"/>
          <w:kern w:val="0"/>
          <w:sz w:val="22"/>
          <w:szCs w:val="22"/>
          <w:highlight w:val="none"/>
          <w:lang w:val="en-US" w:eastAsia="zh-CN"/>
        </w:rPr>
        <w:t>近</w:t>
      </w:r>
      <w:r>
        <w:rPr>
          <w:rFonts w:hint="eastAsia" w:ascii="宋体" w:hAnsi="宋体" w:eastAsia="宋体" w:cs="宋体"/>
          <w:i w:val="0"/>
          <w:iCs w:val="0"/>
          <w:color w:val="auto"/>
          <w:kern w:val="0"/>
          <w:sz w:val="22"/>
          <w:szCs w:val="22"/>
          <w:highlight w:val="none"/>
          <w:lang w:eastAsia="zh-CN"/>
        </w:rPr>
        <w:t>3个月（其中必须有202</w:t>
      </w:r>
      <w:r>
        <w:rPr>
          <w:rFonts w:hint="eastAsia" w:ascii="宋体" w:hAnsi="宋体" w:eastAsia="宋体" w:cs="宋体"/>
          <w:i w:val="0"/>
          <w:iCs w:val="0"/>
          <w:color w:val="auto"/>
          <w:kern w:val="0"/>
          <w:sz w:val="22"/>
          <w:szCs w:val="22"/>
          <w:highlight w:val="none"/>
          <w:lang w:val="en-US" w:eastAsia="zh-CN"/>
        </w:rPr>
        <w:t>5</w:t>
      </w:r>
      <w:r>
        <w:rPr>
          <w:rFonts w:hint="eastAsia" w:ascii="宋体" w:hAnsi="宋体" w:eastAsia="宋体" w:cs="宋体"/>
          <w:i w:val="0"/>
          <w:iCs w:val="0"/>
          <w:color w:val="auto"/>
          <w:kern w:val="0"/>
          <w:sz w:val="22"/>
          <w:szCs w:val="22"/>
          <w:highlight w:val="none"/>
          <w:lang w:eastAsia="zh-CN"/>
        </w:rPr>
        <w:t>年</w:t>
      </w:r>
      <w:r>
        <w:rPr>
          <w:rFonts w:hint="eastAsia" w:ascii="宋体" w:hAnsi="宋体" w:cs="宋体"/>
          <w:i w:val="0"/>
          <w:iCs w:val="0"/>
          <w:color w:val="auto"/>
          <w:kern w:val="0"/>
          <w:sz w:val="22"/>
          <w:szCs w:val="22"/>
          <w:highlight w:val="none"/>
          <w:lang w:val="en-US" w:eastAsia="zh-CN"/>
        </w:rPr>
        <w:t>10</w:t>
      </w:r>
      <w:r>
        <w:rPr>
          <w:rFonts w:hint="eastAsia" w:ascii="宋体" w:hAnsi="宋体" w:eastAsia="宋体" w:cs="宋体"/>
          <w:i w:val="0"/>
          <w:iCs w:val="0"/>
          <w:color w:val="auto"/>
          <w:kern w:val="0"/>
          <w:sz w:val="22"/>
          <w:szCs w:val="22"/>
          <w:highlight w:val="none"/>
          <w:lang w:eastAsia="zh-CN"/>
        </w:rPr>
        <w:t>月）</w:t>
      </w:r>
      <w:r>
        <w:rPr>
          <w:rFonts w:hint="eastAsia" w:ascii="宋体" w:hAnsi="宋体" w:eastAsia="宋体" w:cs="宋体"/>
          <w:i w:val="0"/>
          <w:iCs w:val="0"/>
          <w:color w:val="auto"/>
          <w:kern w:val="0"/>
          <w:sz w:val="22"/>
          <w:szCs w:val="22"/>
          <w:highlight w:val="none"/>
        </w:rPr>
        <w:t>社保证明</w:t>
      </w:r>
      <w:r>
        <w:rPr>
          <w:rFonts w:hint="eastAsia" w:ascii="宋体" w:hAnsi="宋体" w:eastAsia="宋体" w:cs="宋体"/>
          <w:i w:val="0"/>
          <w:iCs w:val="0"/>
          <w:color w:val="auto"/>
          <w:kern w:val="0"/>
          <w:sz w:val="22"/>
          <w:szCs w:val="22"/>
          <w:highlight w:val="none"/>
          <w:lang w:eastAsia="zh-CN"/>
        </w:rPr>
        <w:t>（如为退休人员无社会保险关系证明的，则需提供其退休证及返聘证明）</w:t>
      </w:r>
      <w:r>
        <w:rPr>
          <w:rFonts w:hint="eastAsia" w:ascii="宋体" w:hAnsi="宋体" w:eastAsia="宋体" w:cs="宋体"/>
          <w:color w:val="auto"/>
          <w:kern w:val="0"/>
          <w:sz w:val="22"/>
          <w:szCs w:val="22"/>
          <w:highlight w:val="none"/>
        </w:rPr>
        <w:t>及有效的居民身份证；</w:t>
      </w:r>
    </w:p>
    <w:p w14:paraId="58B9FCA2">
      <w:pPr>
        <w:keepNext w:val="0"/>
        <w:keepLines w:val="0"/>
        <w:pageBreakBefore w:val="0"/>
        <w:widowControl w:val="0"/>
        <w:kinsoku/>
        <w:wordWrap/>
        <w:overflowPunct/>
        <w:topLinePunct w:val="0"/>
        <w:autoSpaceDE/>
        <w:autoSpaceDN/>
        <w:bidi w:val="0"/>
        <w:adjustRightInd/>
        <w:snapToGrid/>
        <w:spacing w:line="360" w:lineRule="auto"/>
        <w:ind w:firstLine="330" w:firstLineChars="150"/>
        <w:textAlignment w:val="auto"/>
        <w:rPr>
          <w:rFonts w:hint="eastAsia" w:ascii="宋体" w:hAnsi="宋体" w:eastAsia="宋体" w:cs="宋体"/>
          <w:color w:val="auto"/>
          <w:sz w:val="22"/>
          <w:szCs w:val="22"/>
          <w:highlight w:val="none"/>
        </w:rPr>
      </w:pPr>
      <w:bookmarkStart w:id="3" w:name="_Toc48665587"/>
      <w:r>
        <w:rPr>
          <w:rFonts w:hint="eastAsia" w:ascii="宋体" w:hAnsi="宋体" w:eastAsia="宋体" w:cs="宋体"/>
          <w:color w:val="auto"/>
          <w:sz w:val="22"/>
          <w:szCs w:val="22"/>
          <w:highlight w:val="none"/>
        </w:rPr>
        <w:t>（5）</w:t>
      </w:r>
      <w:bookmarkEnd w:id="3"/>
      <w:r>
        <w:rPr>
          <w:rFonts w:hint="eastAsia" w:ascii="宋体" w:hAnsi="宋体" w:eastAsia="宋体" w:cs="宋体"/>
          <w:color w:val="auto"/>
          <w:sz w:val="22"/>
          <w:szCs w:val="22"/>
          <w:highlight w:val="none"/>
        </w:rPr>
        <w:t>投标人拟委派担任本项目的专职安全生产管理人员，须具有</w:t>
      </w:r>
      <w:r>
        <w:rPr>
          <w:rFonts w:hint="eastAsia" w:ascii="宋体" w:hAnsi="宋体" w:eastAsia="宋体" w:cs="宋体"/>
          <w:b w:val="0"/>
          <w:bCs w:val="0"/>
          <w:color w:val="auto"/>
          <w:sz w:val="22"/>
          <w:szCs w:val="22"/>
          <w:highlight w:val="none"/>
        </w:rPr>
        <w:t>水利</w:t>
      </w:r>
      <w:r>
        <w:rPr>
          <w:rFonts w:hint="eastAsia" w:ascii="宋体" w:hAnsi="宋体" w:eastAsia="宋体" w:cs="宋体"/>
          <w:color w:val="auto"/>
          <w:sz w:val="22"/>
          <w:szCs w:val="22"/>
          <w:highlight w:val="none"/>
        </w:rPr>
        <w:t>行政主管部门颁发的有效的安全生产考核合格证书(C证)且</w:t>
      </w:r>
      <w:r>
        <w:rPr>
          <w:rFonts w:hint="eastAsia" w:ascii="宋体" w:hAnsi="宋体" w:eastAsia="宋体" w:cs="宋体"/>
          <w:color w:val="auto"/>
          <w:sz w:val="22"/>
          <w:szCs w:val="22"/>
          <w:highlight w:val="none"/>
          <w:lang w:eastAsia="zh-CN"/>
        </w:rPr>
        <w:t>不少于</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人</w:t>
      </w:r>
      <w:r>
        <w:rPr>
          <w:rFonts w:hint="eastAsia" w:ascii="宋体" w:hAnsi="宋体" w:eastAsia="宋体" w:cs="宋体"/>
          <w:color w:val="auto"/>
          <w:sz w:val="22"/>
          <w:szCs w:val="22"/>
          <w:highlight w:val="none"/>
        </w:rPr>
        <w:t>，提供</w:t>
      </w:r>
      <w:r>
        <w:rPr>
          <w:rFonts w:hint="eastAsia" w:ascii="宋体" w:hAnsi="宋体" w:eastAsia="宋体" w:cs="宋体"/>
          <w:color w:val="auto"/>
          <w:sz w:val="22"/>
          <w:szCs w:val="22"/>
          <w:highlight w:val="none"/>
          <w:lang w:val="en-US" w:eastAsia="zh-CN"/>
        </w:rPr>
        <w:t>近</w:t>
      </w:r>
      <w:r>
        <w:rPr>
          <w:rFonts w:hint="eastAsia" w:ascii="宋体" w:hAnsi="宋体" w:eastAsia="宋体" w:cs="宋体"/>
          <w:color w:val="auto"/>
          <w:sz w:val="22"/>
          <w:szCs w:val="22"/>
          <w:highlight w:val="none"/>
          <w:lang w:eastAsia="zh-CN"/>
        </w:rPr>
        <w:t>3个月（其中必须有202</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eastAsia="zh-CN"/>
        </w:rPr>
        <w:t>年</w:t>
      </w: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lang w:eastAsia="zh-CN"/>
        </w:rPr>
        <w:t>月）</w:t>
      </w:r>
      <w:r>
        <w:rPr>
          <w:rFonts w:hint="eastAsia" w:ascii="宋体" w:hAnsi="宋体" w:eastAsia="宋体" w:cs="宋体"/>
          <w:color w:val="auto"/>
          <w:sz w:val="22"/>
          <w:szCs w:val="22"/>
          <w:highlight w:val="none"/>
        </w:rPr>
        <w:t>社保证明</w:t>
      </w:r>
      <w:r>
        <w:rPr>
          <w:rFonts w:hint="eastAsia" w:ascii="宋体" w:hAnsi="宋体" w:eastAsia="宋体" w:cs="宋体"/>
          <w:color w:val="auto"/>
          <w:sz w:val="22"/>
          <w:szCs w:val="22"/>
          <w:highlight w:val="none"/>
          <w:lang w:eastAsia="zh-CN"/>
        </w:rPr>
        <w:t>（如为退休人员无社会保险关系证明的，则需提供其退休证及返聘证明）</w:t>
      </w:r>
      <w:r>
        <w:rPr>
          <w:rFonts w:hint="eastAsia" w:ascii="宋体" w:hAnsi="宋体" w:eastAsia="宋体" w:cs="宋体"/>
          <w:color w:val="auto"/>
          <w:sz w:val="22"/>
          <w:szCs w:val="22"/>
          <w:highlight w:val="none"/>
        </w:rPr>
        <w:t>及有效的居民身份证。</w:t>
      </w:r>
    </w:p>
    <w:p w14:paraId="5C2A70B3">
      <w:pPr>
        <w:spacing w:line="360" w:lineRule="auto"/>
        <w:ind w:firstLine="330" w:firstLine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 本次招标</w:t>
      </w:r>
      <w:r>
        <w:rPr>
          <w:rFonts w:hint="eastAsia" w:ascii="宋体" w:hAnsi="宋体" w:eastAsia="宋体" w:cs="宋体"/>
          <w:b/>
          <w:bCs/>
          <w:color w:val="auto"/>
          <w:sz w:val="22"/>
          <w:szCs w:val="22"/>
          <w:highlight w:val="none"/>
        </w:rPr>
        <w:t>不接受</w:t>
      </w:r>
      <w:r>
        <w:rPr>
          <w:rFonts w:hint="eastAsia" w:ascii="宋体" w:hAnsi="宋体" w:eastAsia="宋体" w:cs="宋体"/>
          <w:color w:val="auto"/>
          <w:sz w:val="22"/>
          <w:szCs w:val="22"/>
          <w:highlight w:val="none"/>
        </w:rPr>
        <w:t>联合体投标。</w:t>
      </w:r>
    </w:p>
    <w:p w14:paraId="42843022">
      <w:pPr>
        <w:spacing w:line="360" w:lineRule="auto"/>
        <w:ind w:firstLine="330" w:firstLine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3.3本次招标实行资格后审，资格审查的具体要求见招标文件，资格后审不合格的投标人的投标文件将按废标处理。</w:t>
      </w:r>
    </w:p>
    <w:p w14:paraId="3116EB18">
      <w:pPr>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四</w:t>
      </w:r>
      <w:r>
        <w:rPr>
          <w:rFonts w:hint="eastAsia" w:ascii="宋体" w:hAnsi="宋体" w:cs="宋体"/>
          <w:b/>
          <w:bCs/>
          <w:color w:val="auto"/>
          <w:sz w:val="22"/>
          <w:szCs w:val="22"/>
          <w:highlight w:val="none"/>
          <w:lang w:eastAsia="zh-CN"/>
        </w:rPr>
        <w:t>、</w:t>
      </w:r>
      <w:r>
        <w:rPr>
          <w:rFonts w:hint="eastAsia" w:ascii="宋体" w:hAnsi="宋体" w:eastAsia="宋体" w:cs="宋体"/>
          <w:b/>
          <w:bCs/>
          <w:color w:val="auto"/>
          <w:sz w:val="22"/>
          <w:szCs w:val="22"/>
          <w:highlight w:val="none"/>
        </w:rPr>
        <w:t>报名及招标文件的获取</w:t>
      </w:r>
    </w:p>
    <w:p w14:paraId="1E53D61F">
      <w:pPr>
        <w:wordWrap w:val="0"/>
        <w:autoSpaceDN w:val="0"/>
        <w:spacing w:line="360" w:lineRule="auto"/>
        <w:ind w:firstLine="442"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4.1</w:t>
      </w:r>
      <w:r>
        <w:rPr>
          <w:rFonts w:hint="eastAsia" w:ascii="宋体" w:hAnsi="宋体" w:eastAsia="宋体" w:cs="宋体"/>
          <w:snapToGrid w:val="0"/>
          <w:color w:val="auto"/>
          <w:kern w:val="0"/>
          <w:sz w:val="22"/>
          <w:szCs w:val="22"/>
          <w:highlight w:val="none"/>
        </w:rPr>
        <w:t xml:space="preserve"> 本次招标实行网上获取招标文件和电子投标。本项目招标文件随招标公告一并在全国公共资源交易平台（广东省·韶关市）（https://ygp.gdzwfw.gov.cn/ggzy-portal/#/440200/index）网站发布。招标文件一经在全国公共资源交易平台（广东省·韶关市）发布，视为发售投标人，招标文件及相关附件由投标人自行在全国公共资源交易平台（广东省·韶关市）网站下载。请于招标文件获取期间，招标文件获取期间与招标公告发布时间一致，投标人须登录全国公共资源交易平台（广东省·韶关市）（https://ygp.gdzwfw.gov.cn/ggzy-portal/#/440200/index），使用新建设工程交易系统进行下载招标文件及相关附件，并于电子投标截止时间前完成电子投标。投标人可登录全国公共资源交易平台（广东省·韶关市）（https://ygp.gdzwfw.gov.cn/ggzy-portal/#/440200/index），在【服务指南】栏目中下载《韶关市公共资源建设工程交易系统-投标人操作指南》，了解网上获取招标文件操作流程。技术咨询电话：0751-8379671，伍先生，业务咨询电话：0751-8633211、8633071。</w:t>
      </w:r>
    </w:p>
    <w:p w14:paraId="11F59C83">
      <w:pPr>
        <w:autoSpaceDN w:val="0"/>
        <w:spacing w:line="360" w:lineRule="auto"/>
        <w:ind w:firstLine="442"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4.2</w:t>
      </w:r>
      <w:r>
        <w:rPr>
          <w:rFonts w:hint="eastAsia" w:ascii="宋体" w:hAnsi="宋体" w:eastAsia="宋体" w:cs="宋体"/>
          <w:snapToGrid w:val="0"/>
          <w:color w:val="auto"/>
          <w:kern w:val="0"/>
          <w:sz w:val="22"/>
          <w:szCs w:val="22"/>
          <w:highlight w:val="none"/>
        </w:rPr>
        <w:t xml:space="preserve"> 只有申领了数字证书（CA）、“粤企签”或GDCA/SZCA/NETCA等符合法律法规规定的电子印章，并在交易系统中完成企业信息数据入库的投标人，方可使用交易系统获取招标文件和电子投标。首次在韶关市参与建设工程招标投标活动的投标人，必须在平台系统上传企业相关资料办理企业入库事宜。投标人可登录广东省公共资源交易平台（韶关市）（https://ygp.gdzwfw.gov.cn/ggzy-portal/#/440200/index）或韶关市公共资源交易一体化平台（http://portal.ythpt.sg.gov.cn）了解办理企业入库、数字证书及电子印章事宜，具体请在平台查阅相应的交易指引。已入库企业有关信息（如单位名称、基本账号、资质、人员等）发生变化的，须及时在交易系统进行相应变更。投标人未及时变更信息而造成的损失和后果，由投标人自行承担。</w:t>
      </w:r>
    </w:p>
    <w:p w14:paraId="5BA5819B">
      <w:pPr>
        <w:autoSpaceDN w:val="0"/>
        <w:spacing w:line="360" w:lineRule="auto"/>
        <w:ind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0D921B04">
      <w:pPr>
        <w:autoSpaceDN w:val="0"/>
        <w:spacing w:line="360" w:lineRule="auto"/>
        <w:ind w:firstLine="442" w:firstLineChars="200"/>
        <w:rPr>
          <w:rFonts w:hint="eastAsia" w:ascii="宋体" w:hAnsi="宋体" w:eastAsia="宋体" w:cs="宋体"/>
          <w:color w:val="auto"/>
          <w:kern w:val="0"/>
          <w:sz w:val="22"/>
          <w:szCs w:val="22"/>
          <w:highlight w:val="none"/>
        </w:rPr>
      </w:pPr>
      <w:r>
        <w:rPr>
          <w:rFonts w:hint="eastAsia" w:ascii="宋体" w:hAnsi="宋体" w:eastAsia="宋体" w:cs="宋体"/>
          <w:b/>
          <w:bCs/>
          <w:snapToGrid w:val="0"/>
          <w:color w:val="auto"/>
          <w:kern w:val="0"/>
          <w:sz w:val="22"/>
          <w:szCs w:val="22"/>
          <w:highlight w:val="none"/>
        </w:rPr>
        <w:t>4.3</w:t>
      </w:r>
      <w:r>
        <w:rPr>
          <w:rFonts w:hint="eastAsia" w:ascii="宋体" w:hAnsi="宋体" w:eastAsia="宋体" w:cs="宋体"/>
          <w:color w:val="auto"/>
          <w:kern w:val="0"/>
          <w:sz w:val="22"/>
          <w:szCs w:val="22"/>
          <w:highlight w:val="none"/>
        </w:rPr>
        <w:t xml:space="preserve"> 投标保证</w:t>
      </w:r>
    </w:p>
    <w:p w14:paraId="7A57ED2B">
      <w:pPr>
        <w:autoSpaceDN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4.3.1 </w:t>
      </w:r>
      <w:r>
        <w:rPr>
          <w:rFonts w:hint="eastAsia" w:ascii="宋体" w:hAnsi="宋体" w:eastAsia="宋体" w:cs="宋体"/>
          <w:b/>
          <w:bCs/>
          <w:color w:val="auto"/>
          <w:kern w:val="0"/>
          <w:sz w:val="22"/>
          <w:szCs w:val="22"/>
          <w:highlight w:val="none"/>
        </w:rPr>
        <w:t>投标保证金额为人民币：</w:t>
      </w:r>
      <w:r>
        <w:rPr>
          <w:rFonts w:hint="eastAsia" w:ascii="宋体" w:hAnsi="宋体" w:eastAsia="宋体" w:cs="宋体"/>
          <w:b/>
          <w:bCs/>
          <w:color w:val="auto"/>
          <w:kern w:val="0"/>
          <w:sz w:val="22"/>
          <w:szCs w:val="22"/>
          <w:highlight w:val="none"/>
          <w:u w:val="single"/>
          <w:lang w:val="en-US" w:eastAsia="zh-CN"/>
        </w:rPr>
        <w:t>30000.00</w:t>
      </w:r>
      <w:r>
        <w:rPr>
          <w:rFonts w:hint="eastAsia" w:ascii="宋体" w:hAnsi="宋体" w:eastAsia="宋体" w:cs="宋体"/>
          <w:b/>
          <w:bCs/>
          <w:color w:val="auto"/>
          <w:kern w:val="0"/>
          <w:sz w:val="22"/>
          <w:szCs w:val="22"/>
          <w:highlight w:val="none"/>
          <w:u w:val="single"/>
        </w:rPr>
        <w:t>元。</w:t>
      </w:r>
    </w:p>
    <w:p w14:paraId="50F08958">
      <w:pPr>
        <w:pStyle w:val="43"/>
        <w:widowControl/>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 xml:space="preserve">4.3.2 </w:t>
      </w:r>
      <w:r>
        <w:rPr>
          <w:rFonts w:hint="eastAsia" w:ascii="宋体" w:hAnsi="宋体" w:eastAsia="宋体" w:cs="宋体"/>
          <w:color w:val="auto"/>
          <w:sz w:val="22"/>
          <w:szCs w:val="22"/>
          <w:highlight w:val="none"/>
        </w:rPr>
        <w:t>投标保证的形式包括投投标保证金、投标保证担保、投标保证保险三种，由投标人自主选择。</w:t>
      </w:r>
    </w:p>
    <w:p w14:paraId="7FE381C8">
      <w:pPr>
        <w:pStyle w:val="43"/>
        <w:widowControl/>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采用投标保证金的，投标人在建设工程交易获取招标文件完毕后，即可在系统申请缴纳投标保证金，获取本次招标投标保证金缴纳账号。投标人必须于投标保证金到账截止时间（见“重要事项时间地点一览表”）前，从其基本账户将投标保证金转账到指定的缴纳账号。逾期到账的、从非投标人基本账户转出的，其投标无效。</w:t>
      </w:r>
    </w:p>
    <w:p w14:paraId="74064997">
      <w:pPr>
        <w:pStyle w:val="43"/>
        <w:widowControl/>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采用投标保证担保的，投标人应提交有效的银行保函，银行保函的有效期不得短于投标有效期。投标人必须在投标保证担保截止时间（</w:t>
      </w:r>
      <w:r>
        <w:rPr>
          <w:rFonts w:hint="eastAsia" w:ascii="宋体" w:hAnsi="宋体" w:eastAsia="宋体" w:cs="宋体"/>
          <w:color w:val="auto"/>
          <w:spacing w:val="2"/>
          <w:sz w:val="22"/>
          <w:szCs w:val="22"/>
          <w:highlight w:val="none"/>
        </w:rPr>
        <w:t>详</w:t>
      </w:r>
      <w:r>
        <w:rPr>
          <w:rFonts w:hint="eastAsia" w:ascii="宋体" w:hAnsi="宋体" w:eastAsia="宋体" w:cs="宋体"/>
          <w:color w:val="auto"/>
          <w:sz w:val="22"/>
          <w:szCs w:val="22"/>
          <w:highlight w:val="none"/>
        </w:rPr>
        <w:t>见“重要事项时间地点一览表”）前，使用工程建设交易系统完成网上办理电子保函。</w:t>
      </w:r>
    </w:p>
    <w:p w14:paraId="28BE195A">
      <w:pPr>
        <w:wordWrap w:val="0"/>
        <w:autoSpaceDN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）采用投标保证保险的，投标人须在投标保证保险投保截止时间（</w:t>
      </w:r>
      <w:r>
        <w:rPr>
          <w:rFonts w:hint="eastAsia" w:ascii="宋体" w:hAnsi="宋体" w:eastAsia="宋体" w:cs="宋体"/>
          <w:color w:val="auto"/>
          <w:spacing w:val="2"/>
          <w:sz w:val="22"/>
          <w:szCs w:val="22"/>
          <w:highlight w:val="none"/>
        </w:rPr>
        <w:t>详</w:t>
      </w:r>
      <w:r>
        <w:rPr>
          <w:rFonts w:hint="eastAsia" w:ascii="宋体" w:hAnsi="宋体" w:eastAsia="宋体" w:cs="宋体"/>
          <w:color w:val="auto"/>
          <w:sz w:val="22"/>
          <w:szCs w:val="22"/>
          <w:highlight w:val="none"/>
        </w:rPr>
        <w:t>见“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交易指引】栏目中下载《建设工程网上交易系统保险保证金缴纳操作指南》，了解网上投保具体操作流程。逾期投保的，其投标无效。</w:t>
      </w:r>
    </w:p>
    <w:p w14:paraId="7336C039">
      <w:pPr>
        <w:autoSpaceDN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4A2976A6">
      <w:pPr>
        <w:autoSpaceDN w:val="0"/>
        <w:spacing w:line="360" w:lineRule="auto"/>
        <w:ind w:firstLine="442" w:firstLineChars="200"/>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4.4</w:t>
      </w:r>
      <w:r>
        <w:rPr>
          <w:rFonts w:hint="eastAsia" w:ascii="宋体" w:hAnsi="宋体" w:eastAsia="宋体" w:cs="宋体"/>
          <w:color w:val="auto"/>
          <w:sz w:val="22"/>
          <w:szCs w:val="22"/>
          <w:highlight w:val="none"/>
        </w:rPr>
        <w:t xml:space="preserve"> 若投标人因自身原因未能正确完成招标文件获取、电子投标、缴纳投标保证的，其投标无效。</w:t>
      </w:r>
    </w:p>
    <w:p w14:paraId="2015D747">
      <w:pPr>
        <w:autoSpaceDN w:val="0"/>
        <w:spacing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4.5</w:t>
      </w:r>
      <w:r>
        <w:rPr>
          <w:rFonts w:hint="eastAsia" w:ascii="宋体" w:hAnsi="宋体" w:eastAsia="宋体" w:cs="宋体"/>
          <w:color w:val="auto"/>
          <w:kern w:val="0"/>
          <w:sz w:val="22"/>
          <w:szCs w:val="22"/>
          <w:highlight w:val="none"/>
        </w:rPr>
        <w:t xml:space="preserve"> 本项目不接受有在建（包括已列为其他项目第一中标候选人、已中标未开工或已建成未竣工）的建造师作为项目经理，经查实有以上情形的，招标人有权没收其投标保证，并按相关法律法规处理。</w:t>
      </w:r>
    </w:p>
    <w:p w14:paraId="24C84976">
      <w:pPr>
        <w:autoSpaceDN w:val="0"/>
        <w:spacing w:line="360" w:lineRule="auto"/>
        <w:ind w:firstLine="442" w:firstLineChars="200"/>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4.6</w:t>
      </w:r>
      <w:r>
        <w:rPr>
          <w:rFonts w:hint="eastAsia" w:ascii="宋体" w:hAnsi="宋体" w:eastAsia="宋体" w:cs="宋体"/>
          <w:color w:val="auto"/>
          <w:sz w:val="22"/>
          <w:szCs w:val="22"/>
          <w:highlight w:val="none"/>
        </w:rPr>
        <w:t xml:space="preserve"> 获取招标文件的方式：可直接在平台中获取招标文件等资料。</w:t>
      </w:r>
    </w:p>
    <w:p w14:paraId="73E0048B">
      <w:pPr>
        <w:autoSpaceDN w:val="0"/>
        <w:spacing w:line="360" w:lineRule="auto"/>
        <w:ind w:firstLine="442" w:firstLineChars="200"/>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4.7</w:t>
      </w:r>
      <w:r>
        <w:rPr>
          <w:rFonts w:hint="eastAsia" w:ascii="宋体" w:hAnsi="宋体" w:eastAsia="宋体" w:cs="宋体"/>
          <w:color w:val="auto"/>
          <w:sz w:val="22"/>
          <w:szCs w:val="22"/>
          <w:highlight w:val="none"/>
        </w:rPr>
        <w:t xml:space="preserve"> 投标保证金缴纳截止时间到期后，若建设工程交易系统显示成功缴纳投标保证金的投标人数量少于3家时，招标人将取消于次日召开的项目开标会，重新组织招标。投标人可在投标保证金缴纳截止时间起至电子投标截止时间前自行登录全国公共资源交易平台（广东省·韶关市）（https://ygp.gdzwfw.gov.cn/ggzy-portal/#/440200/index）查询是否发布了取消项目开标会的相关信息。</w:t>
      </w:r>
    </w:p>
    <w:p w14:paraId="0B580D78">
      <w:pPr>
        <w:autoSpaceDN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五、招标文件的获取、提问和答疑</w:t>
      </w:r>
    </w:p>
    <w:p w14:paraId="0F5ED4D4">
      <w:pPr>
        <w:wordWrap w:val="0"/>
        <w:autoSpaceDN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5.1招标文件随本公告一并公开发布，投标人可登录广东省招标投标监管网（http://zbtb.gd.gov.cn）或</w:t>
      </w:r>
      <w:r>
        <w:rPr>
          <w:rFonts w:hint="eastAsia" w:ascii="宋体" w:hAnsi="宋体" w:eastAsia="宋体" w:cs="宋体"/>
          <w:snapToGrid w:val="0"/>
          <w:color w:val="auto"/>
          <w:kern w:val="0"/>
          <w:sz w:val="22"/>
          <w:szCs w:val="22"/>
          <w:highlight w:val="none"/>
        </w:rPr>
        <w:t>全国公共资源交易平台（广东省·韶关市）（https://ygp.gdzwfw.gov.cn/ggzy-portal/#/440200/index）</w:t>
      </w:r>
      <w:r>
        <w:rPr>
          <w:rFonts w:hint="eastAsia" w:ascii="宋体" w:hAnsi="宋体" w:eastAsia="宋体" w:cs="宋体"/>
          <w:color w:val="auto"/>
          <w:sz w:val="22"/>
          <w:szCs w:val="22"/>
          <w:highlight w:val="none"/>
        </w:rPr>
        <w:t>免费下载。投标人在建设工程交易系统获取招标文件完毕后，即可在系统内免费下载本工程</w:t>
      </w:r>
      <w:r>
        <w:rPr>
          <w:rFonts w:hint="eastAsia" w:ascii="宋体" w:hAnsi="宋体" w:eastAsia="宋体" w:cs="宋体"/>
          <w:color w:val="auto"/>
          <w:sz w:val="22"/>
          <w:szCs w:val="22"/>
          <w:highlight w:val="none"/>
          <w:u w:val="single"/>
        </w:rPr>
        <w:t>施工图、招标</w:t>
      </w:r>
      <w:r>
        <w:rPr>
          <w:rFonts w:hint="eastAsia" w:ascii="宋体" w:hAnsi="宋体" w:eastAsia="宋体" w:cs="宋体"/>
          <w:color w:val="auto"/>
          <w:sz w:val="22"/>
          <w:szCs w:val="22"/>
          <w:highlight w:val="none"/>
          <w:u w:val="single"/>
          <w:lang w:val="en-US" w:eastAsia="zh-CN"/>
        </w:rPr>
        <w:t>控制价</w:t>
      </w:r>
      <w:r>
        <w:rPr>
          <w:rFonts w:hint="eastAsia" w:ascii="宋体" w:hAnsi="宋体" w:eastAsia="宋体" w:cs="宋体"/>
          <w:color w:val="auto"/>
          <w:sz w:val="22"/>
          <w:szCs w:val="22"/>
          <w:highlight w:val="none"/>
          <w:u w:val="single"/>
        </w:rPr>
        <w:t>等资料</w:t>
      </w:r>
      <w:r>
        <w:rPr>
          <w:rFonts w:hint="eastAsia" w:ascii="宋体" w:hAnsi="宋体" w:eastAsia="宋体" w:cs="宋体"/>
          <w:color w:val="auto"/>
          <w:sz w:val="22"/>
          <w:szCs w:val="22"/>
          <w:highlight w:val="none"/>
        </w:rPr>
        <w:t>。</w:t>
      </w:r>
    </w:p>
    <w:p w14:paraId="1C26A2B6">
      <w:pPr>
        <w:autoSpaceDN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 投标人若对招标文件（含施工图、招标控制价）有疑问，应在提问截止时间（详见招标公告</w:t>
      </w:r>
      <w:r>
        <w:rPr>
          <w:rFonts w:hint="eastAsia" w:ascii="宋体" w:hAnsi="宋体" w:eastAsia="宋体" w:cs="宋体"/>
          <w:color w:val="auto"/>
          <w:kern w:val="0"/>
          <w:sz w:val="22"/>
          <w:szCs w:val="22"/>
          <w:highlight w:val="none"/>
        </w:rPr>
        <w:t>“重要事项时间地点一览表”</w:t>
      </w:r>
      <w:r>
        <w:rPr>
          <w:rFonts w:hint="eastAsia" w:ascii="宋体" w:hAnsi="宋体" w:eastAsia="宋体" w:cs="宋体"/>
          <w:color w:val="auto"/>
          <w:sz w:val="22"/>
          <w:szCs w:val="22"/>
          <w:highlight w:val="none"/>
        </w:rPr>
        <w:t>）前使用建设工程交易系统提出问题。未在指定时间前、未采用指定方式提出的，招标人不予受理。</w:t>
      </w:r>
    </w:p>
    <w:p w14:paraId="0C27389F">
      <w:pPr>
        <w:autoSpaceDN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5.3 招标人在提问截止时间（详见招标公告</w:t>
      </w:r>
      <w:r>
        <w:rPr>
          <w:rFonts w:hint="eastAsia" w:ascii="宋体" w:hAnsi="宋体" w:eastAsia="宋体" w:cs="宋体"/>
          <w:color w:val="auto"/>
          <w:kern w:val="0"/>
          <w:sz w:val="22"/>
          <w:szCs w:val="22"/>
          <w:highlight w:val="none"/>
        </w:rPr>
        <w:t>“重要事项时间地点一览表”</w:t>
      </w:r>
      <w:r>
        <w:rPr>
          <w:rFonts w:hint="eastAsia" w:ascii="宋体" w:hAnsi="宋体" w:eastAsia="宋体" w:cs="宋体"/>
          <w:color w:val="auto"/>
          <w:sz w:val="22"/>
          <w:szCs w:val="22"/>
          <w:highlight w:val="none"/>
        </w:rPr>
        <w:t>）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4ADEE2F4">
      <w:pPr>
        <w:autoSpaceDN w:val="0"/>
        <w:spacing w:line="360" w:lineRule="auto"/>
        <w:ind w:firstLine="440" w:firstLineChars="200"/>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5.4招标人对招标文件所作的答疑（或修改）公告，构成招标文件的组成部分。</w:t>
      </w:r>
    </w:p>
    <w:p w14:paraId="602D9EE4">
      <w:pPr>
        <w:autoSpaceDN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六、</w:t>
      </w:r>
      <w:r>
        <w:rPr>
          <w:rFonts w:hint="eastAsia" w:ascii="宋体" w:hAnsi="宋体" w:eastAsia="宋体" w:cs="宋体"/>
          <w:b/>
          <w:bCs/>
          <w:color w:val="auto"/>
          <w:kern w:val="0"/>
          <w:sz w:val="22"/>
          <w:szCs w:val="22"/>
          <w:highlight w:val="none"/>
        </w:rPr>
        <w:t>投标文件的递交</w:t>
      </w:r>
    </w:p>
    <w:p w14:paraId="2D65778E">
      <w:pPr>
        <w:pStyle w:val="6"/>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6.1投标人必须在规定的截止时间前使用交易系统完成网上获取招标文件、缴纳投标保证和全流程电子投标。只有满足以上所有条件，方为有效投标。</w:t>
      </w:r>
    </w:p>
    <w:p w14:paraId="10293101">
      <w:pPr>
        <w:pStyle w:val="6"/>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6.2投标人可通过交易平台在线办理电子保函、保证保险和投标、下载中标通知书等业务。全流程电子化招标投标项目不再接收纸质投标文件，也不接收纸质保函等单证资料。</w:t>
      </w:r>
    </w:p>
    <w:p w14:paraId="16A29C65">
      <w:pPr>
        <w:autoSpaceDN w:val="0"/>
        <w:spacing w:line="360" w:lineRule="auto"/>
        <w:ind w:firstLine="440" w:firstLineChars="200"/>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6.3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29908B2E">
      <w:pPr>
        <w:pStyle w:val="6"/>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七</w:t>
      </w:r>
      <w:r>
        <w:rPr>
          <w:rFonts w:hint="eastAsia" w:hAnsi="宋体" w:cs="宋体"/>
          <w:b/>
          <w:bCs/>
          <w:color w:val="auto"/>
          <w:sz w:val="22"/>
          <w:szCs w:val="22"/>
          <w:highlight w:val="none"/>
          <w:lang w:eastAsia="zh-CN"/>
        </w:rPr>
        <w:t>、</w:t>
      </w:r>
      <w:r>
        <w:rPr>
          <w:rFonts w:hint="eastAsia" w:ascii="宋体" w:hAnsi="宋体" w:eastAsia="宋体" w:cs="宋体"/>
          <w:b/>
          <w:bCs/>
          <w:color w:val="auto"/>
          <w:sz w:val="22"/>
          <w:szCs w:val="22"/>
          <w:highlight w:val="none"/>
        </w:rPr>
        <w:t>开标</w:t>
      </w:r>
    </w:p>
    <w:p w14:paraId="7E564233">
      <w:pPr>
        <w:pStyle w:val="6"/>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7.1开标时间和地点：详见招标公告“重要事项时间地点一览表”。</w:t>
      </w:r>
    </w:p>
    <w:p w14:paraId="393163DE">
      <w:pPr>
        <w:pStyle w:val="6"/>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7.2本项目为实行全流程电子化招标投标的项目，投标人无须进行现场签到，可登录交易平台及时观看开标实况、提出异议或进行澄清、确认等操作，对开标事项的异议未在开标期间提出的，招标人不予受理。具体详见招标文件和系统操作手册为准。</w:t>
      </w:r>
    </w:p>
    <w:p w14:paraId="432E96A3">
      <w:pPr>
        <w:autoSpaceDN w:val="0"/>
        <w:spacing w:line="360" w:lineRule="auto"/>
        <w:ind w:firstLine="385" w:firstLineChars="175"/>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7.3开标前24小时，若建设工程交易系统显示缴纳投标保证（包括投标保证金、投标保证担保、投标保证保险）的投标人数量不足3个时，招标人将取消原定于次日召开的开标活动。投标人可在投标保证缴纳截止时间（详见招标公告“重要事项时间地点一览表”）至电子投标截止时间（详见招标公告“重要事项时间地点一览表”）期间登录全国公共资源交易平台（广东省·韶关市）（https://ygp.gdzwfw.gov.cn/ggzy-portal/#/440200/index）查询是否发布了取消开标活动的相关信息。</w:t>
      </w:r>
    </w:p>
    <w:p w14:paraId="2EE6DB8D">
      <w:pPr>
        <w:autoSpaceDN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八</w:t>
      </w:r>
      <w:r>
        <w:rPr>
          <w:rFonts w:hint="eastAsia" w:ascii="宋体" w:hAnsi="宋体" w:cs="宋体"/>
          <w:b/>
          <w:bCs/>
          <w:color w:val="auto"/>
          <w:sz w:val="22"/>
          <w:szCs w:val="22"/>
          <w:highlight w:val="none"/>
          <w:lang w:eastAsia="zh-CN"/>
        </w:rPr>
        <w:t>、</w:t>
      </w:r>
      <w:r>
        <w:rPr>
          <w:rFonts w:hint="eastAsia" w:ascii="宋体" w:hAnsi="宋体" w:eastAsia="宋体" w:cs="宋体"/>
          <w:b/>
          <w:bCs/>
          <w:color w:val="auto"/>
          <w:sz w:val="22"/>
          <w:szCs w:val="22"/>
          <w:highlight w:val="none"/>
        </w:rPr>
        <w:t>踏勘现场和投标预备会</w:t>
      </w:r>
    </w:p>
    <w:p w14:paraId="1A15E545">
      <w:pPr>
        <w:autoSpaceDN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招标人不组织投标人踏勘现场及召开投标预备会。具体事项见招标文件。</w:t>
      </w:r>
    </w:p>
    <w:p w14:paraId="71FD8C7A">
      <w:pPr>
        <w:autoSpaceDN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九</w:t>
      </w:r>
      <w:r>
        <w:rPr>
          <w:rFonts w:hint="eastAsia" w:ascii="宋体" w:hAnsi="宋体" w:cs="宋体"/>
          <w:b/>
          <w:bCs/>
          <w:color w:val="auto"/>
          <w:sz w:val="22"/>
          <w:szCs w:val="22"/>
          <w:highlight w:val="none"/>
          <w:lang w:eastAsia="zh-CN"/>
        </w:rPr>
        <w:t>、</w:t>
      </w:r>
      <w:r>
        <w:rPr>
          <w:rFonts w:hint="eastAsia" w:ascii="宋体" w:hAnsi="宋体" w:eastAsia="宋体" w:cs="宋体"/>
          <w:b/>
          <w:bCs/>
          <w:color w:val="auto"/>
          <w:sz w:val="22"/>
          <w:szCs w:val="22"/>
          <w:highlight w:val="none"/>
        </w:rPr>
        <w:t>发布公告的媒介</w:t>
      </w:r>
    </w:p>
    <w:p w14:paraId="7FF25068">
      <w:pPr>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9.1广东省招标投标监管网</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"http://zbtb.gd.gov.cn" </w:instrText>
      </w:r>
      <w:r>
        <w:rPr>
          <w:rFonts w:hint="eastAsia" w:ascii="宋体" w:hAnsi="宋体" w:eastAsia="宋体" w:cs="宋体"/>
          <w:color w:val="auto"/>
          <w:sz w:val="22"/>
          <w:szCs w:val="22"/>
          <w:highlight w:val="none"/>
        </w:rPr>
        <w:fldChar w:fldCharType="separate"/>
      </w:r>
      <w:r>
        <w:rPr>
          <w:rStyle w:val="22"/>
          <w:rFonts w:hint="eastAsia" w:ascii="宋体" w:hAnsi="宋体" w:eastAsia="宋体" w:cs="宋体"/>
          <w:color w:val="auto"/>
          <w:sz w:val="22"/>
          <w:szCs w:val="22"/>
          <w:highlight w:val="none"/>
        </w:rPr>
        <w:t>http://zbtb.gd.gov.cn</w:t>
      </w:r>
      <w:r>
        <w:rPr>
          <w:rStyle w:val="22"/>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w:t>
      </w:r>
    </w:p>
    <w:p w14:paraId="502A977C">
      <w:pPr>
        <w:wordWrap w:val="0"/>
        <w:autoSpaceDN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9.2 全国公共资源交易平台（广东省·韶关市）（https://ygp.gdzwfw.gov.cn/ggzy-portal/#/440200/index）。</w:t>
      </w:r>
    </w:p>
    <w:p w14:paraId="02BAEA62">
      <w:pPr>
        <w:spacing w:line="360" w:lineRule="auto"/>
        <w:rPr>
          <w:rFonts w:hint="eastAsia" w:ascii="宋体" w:hAnsi="宋体" w:eastAsia="宋体" w:cs="宋体"/>
          <w:color w:val="auto"/>
          <w:sz w:val="22"/>
          <w:szCs w:val="22"/>
          <w:highlight w:val="none"/>
          <w:shd w:val="clear" w:color="auto" w:fill="FFFFFF"/>
        </w:rPr>
      </w:pPr>
      <w:r>
        <w:rPr>
          <w:rFonts w:hint="eastAsia" w:ascii="宋体" w:hAnsi="宋体" w:eastAsia="宋体" w:cs="宋体"/>
          <w:b/>
          <w:bCs/>
          <w:color w:val="auto"/>
          <w:sz w:val="22"/>
          <w:szCs w:val="22"/>
          <w:highlight w:val="none"/>
        </w:rPr>
        <w:t>十</w:t>
      </w:r>
      <w:r>
        <w:rPr>
          <w:rFonts w:hint="eastAsia" w:ascii="宋体" w:hAnsi="宋体" w:cs="宋体"/>
          <w:b/>
          <w:bCs/>
          <w:color w:val="auto"/>
          <w:sz w:val="22"/>
          <w:szCs w:val="22"/>
          <w:highlight w:val="none"/>
          <w:lang w:eastAsia="zh-CN"/>
        </w:rPr>
        <w:t>、</w:t>
      </w:r>
      <w:r>
        <w:rPr>
          <w:rFonts w:hint="eastAsia" w:ascii="宋体" w:hAnsi="宋体" w:eastAsia="宋体" w:cs="宋体"/>
          <w:b/>
          <w:bCs/>
          <w:color w:val="auto"/>
          <w:sz w:val="22"/>
          <w:szCs w:val="22"/>
          <w:highlight w:val="none"/>
        </w:rPr>
        <w:t>联系方式</w:t>
      </w:r>
    </w:p>
    <w:p w14:paraId="5F191724">
      <w:pPr>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10.1招标人联系方式</w:t>
      </w:r>
    </w:p>
    <w:p w14:paraId="2AC184F5">
      <w:pPr>
        <w:spacing w:line="360" w:lineRule="auto"/>
        <w:ind w:firstLine="385" w:firstLineChars="175"/>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招标人：</w:t>
      </w:r>
      <w:r>
        <w:rPr>
          <w:rFonts w:hint="eastAsia" w:ascii="宋体" w:hAnsi="宋体" w:eastAsia="宋体" w:cs="宋体"/>
          <w:color w:val="auto"/>
          <w:sz w:val="22"/>
          <w:szCs w:val="22"/>
          <w:highlight w:val="none"/>
          <w:lang w:eastAsia="zh-CN"/>
        </w:rPr>
        <w:t>新丰县产业转移工业园管理委员会</w:t>
      </w:r>
    </w:p>
    <w:p w14:paraId="7B9DFF7C">
      <w:pPr>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  址：韶关市新丰县丰城街道低空经济总部大楼</w:t>
      </w:r>
    </w:p>
    <w:p w14:paraId="195292D0">
      <w:pPr>
        <w:spacing w:line="360" w:lineRule="auto"/>
        <w:ind w:firstLine="385" w:firstLineChars="175"/>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联系人：</w:t>
      </w:r>
      <w:r>
        <w:rPr>
          <w:rFonts w:hint="eastAsia" w:ascii="宋体" w:hAnsi="宋体" w:eastAsia="宋体" w:cs="宋体"/>
          <w:color w:val="auto"/>
          <w:sz w:val="22"/>
          <w:szCs w:val="22"/>
          <w:highlight w:val="none"/>
          <w:lang w:val="en-US" w:eastAsia="zh-CN"/>
        </w:rPr>
        <w:t>张工</w:t>
      </w:r>
    </w:p>
    <w:p w14:paraId="31888DDE">
      <w:pPr>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  话：</w:t>
      </w:r>
      <w:r>
        <w:rPr>
          <w:rFonts w:hint="eastAsia" w:ascii="宋体" w:hAnsi="宋体" w:eastAsia="宋体" w:cs="宋体"/>
          <w:color w:val="auto"/>
          <w:sz w:val="22"/>
          <w:szCs w:val="22"/>
          <w:highlight w:val="none"/>
          <w:lang w:val="en-US" w:eastAsia="zh-CN"/>
        </w:rPr>
        <w:t>0751-6921778</w:t>
      </w:r>
      <w:r>
        <w:rPr>
          <w:rFonts w:hint="eastAsia" w:ascii="宋体" w:hAnsi="宋体" w:eastAsia="宋体" w:cs="宋体"/>
          <w:color w:val="0000FF"/>
          <w:sz w:val="22"/>
          <w:szCs w:val="22"/>
          <w:highlight w:val="none"/>
        </w:rPr>
        <w:t xml:space="preserve">  </w:t>
      </w:r>
      <w:r>
        <w:rPr>
          <w:rFonts w:hint="eastAsia" w:ascii="宋体" w:hAnsi="宋体" w:eastAsia="宋体" w:cs="宋体"/>
          <w:color w:val="auto"/>
          <w:sz w:val="22"/>
          <w:szCs w:val="22"/>
          <w:highlight w:val="none"/>
        </w:rPr>
        <w:t xml:space="preserve">      </w:t>
      </w:r>
    </w:p>
    <w:p w14:paraId="6C84D4F6">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10.2招标代理机构联系方式</w:t>
      </w:r>
    </w:p>
    <w:p w14:paraId="4CA07B4D">
      <w:pPr>
        <w:spacing w:line="360" w:lineRule="auto"/>
        <w:ind w:firstLine="385" w:firstLineChars="175"/>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招标代理机构：</w:t>
      </w:r>
      <w:r>
        <w:rPr>
          <w:rFonts w:hint="eastAsia" w:ascii="宋体" w:hAnsi="宋体" w:eastAsia="宋体" w:cs="宋体"/>
          <w:color w:val="auto"/>
          <w:sz w:val="22"/>
          <w:szCs w:val="22"/>
          <w:highlight w:val="none"/>
          <w:lang w:eastAsia="zh-CN"/>
        </w:rPr>
        <w:t>广东省广大工程顾问有限公司</w:t>
      </w:r>
    </w:p>
    <w:p w14:paraId="4B5E5294">
      <w:pPr>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  址：</w:t>
      </w:r>
      <w:r>
        <w:rPr>
          <w:rFonts w:hint="eastAsia" w:ascii="宋体" w:hAnsi="宋体" w:eastAsia="宋体" w:cs="宋体"/>
          <w:color w:val="auto"/>
          <w:sz w:val="22"/>
          <w:szCs w:val="22"/>
          <w:highlight w:val="none"/>
          <w:lang w:val="en-US" w:eastAsia="zh-CN"/>
        </w:rPr>
        <w:t>韶关市武江区建设路29号武江科创园青创中心二楼创业沙龙D203室</w:t>
      </w:r>
    </w:p>
    <w:p w14:paraId="75FA67BE">
      <w:pPr>
        <w:spacing w:line="360" w:lineRule="auto"/>
        <w:ind w:firstLine="385" w:firstLineChars="175"/>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联系人：</w:t>
      </w:r>
      <w:r>
        <w:rPr>
          <w:rFonts w:hint="eastAsia" w:ascii="宋体" w:hAnsi="宋体" w:cs="宋体"/>
          <w:color w:val="auto"/>
          <w:sz w:val="22"/>
          <w:szCs w:val="22"/>
          <w:highlight w:val="none"/>
          <w:lang w:val="en-US" w:eastAsia="zh-CN"/>
        </w:rPr>
        <w:t>许</w:t>
      </w:r>
      <w:r>
        <w:rPr>
          <w:rFonts w:hint="eastAsia" w:ascii="宋体" w:hAnsi="宋体" w:eastAsia="宋体" w:cs="宋体"/>
          <w:color w:val="auto"/>
          <w:sz w:val="22"/>
          <w:szCs w:val="22"/>
          <w:highlight w:val="none"/>
          <w:lang w:val="en-US" w:eastAsia="zh-CN"/>
        </w:rPr>
        <w:t>工</w:t>
      </w:r>
    </w:p>
    <w:p w14:paraId="31130425">
      <w:pPr>
        <w:spacing w:line="360" w:lineRule="auto"/>
        <w:ind w:firstLine="385" w:firstLineChars="175"/>
        <w:rPr>
          <w:rFonts w:ascii="宋体" w:hAnsi="宋体" w:cs="宋体"/>
          <w:b/>
          <w:bCs/>
          <w:color w:val="auto"/>
          <w:sz w:val="24"/>
          <w:szCs w:val="24"/>
          <w:highlight w:val="none"/>
        </w:rPr>
      </w:pPr>
      <w:r>
        <w:rPr>
          <w:rFonts w:hint="eastAsia" w:ascii="宋体" w:hAnsi="宋体" w:eastAsia="宋体" w:cs="宋体"/>
          <w:color w:val="auto"/>
          <w:sz w:val="22"/>
          <w:szCs w:val="22"/>
          <w:highlight w:val="none"/>
        </w:rPr>
        <w:t>电  话：</w:t>
      </w:r>
      <w:r>
        <w:rPr>
          <w:rFonts w:hint="eastAsia" w:ascii="宋体" w:hAnsi="宋体" w:eastAsia="宋体" w:cs="宋体"/>
          <w:color w:val="auto"/>
          <w:sz w:val="22"/>
          <w:szCs w:val="22"/>
          <w:highlight w:val="none"/>
          <w:lang w:val="en-US" w:eastAsia="zh-CN"/>
        </w:rPr>
        <w:t>0751-8272338</w:t>
      </w:r>
      <w:r>
        <w:rPr>
          <w:rFonts w:hint="eastAsia" w:ascii="宋体" w:hAnsi="宋体" w:cs="宋体"/>
          <w:b/>
          <w:bCs/>
          <w:color w:val="auto"/>
          <w:sz w:val="24"/>
          <w:szCs w:val="24"/>
          <w:highlight w:val="none"/>
        </w:rPr>
        <w:br w:type="page"/>
      </w:r>
    </w:p>
    <w:p w14:paraId="2571C7AC">
      <w:pPr>
        <w:spacing w:line="360" w:lineRule="auto"/>
        <w:rPr>
          <w:rFonts w:ascii="宋体" w:hAnsi="宋体" w:cs="宋体"/>
          <w:b/>
          <w:bCs/>
          <w:color w:val="auto"/>
          <w:sz w:val="22"/>
          <w:szCs w:val="22"/>
          <w:highlight w:val="none"/>
        </w:rPr>
      </w:pPr>
      <w:r>
        <w:rPr>
          <w:rFonts w:hint="eastAsia" w:ascii="宋体" w:hAnsi="宋体" w:cs="宋体"/>
          <w:b/>
          <w:bCs/>
          <w:color w:val="auto"/>
          <w:sz w:val="22"/>
          <w:szCs w:val="22"/>
          <w:highlight w:val="none"/>
        </w:rPr>
        <w:t>十一</w:t>
      </w:r>
      <w:r>
        <w:rPr>
          <w:rFonts w:hint="eastAsia" w:ascii="宋体" w:hAnsi="宋体" w:cs="宋体"/>
          <w:b/>
          <w:bCs/>
          <w:color w:val="auto"/>
          <w:sz w:val="22"/>
          <w:szCs w:val="22"/>
          <w:highlight w:val="none"/>
          <w:lang w:eastAsia="zh-CN"/>
        </w:rPr>
        <w:t>、</w:t>
      </w:r>
      <w:r>
        <w:rPr>
          <w:rFonts w:hint="eastAsia" w:ascii="宋体" w:hAnsi="宋体" w:cs="宋体"/>
          <w:b/>
          <w:bCs/>
          <w:color w:val="auto"/>
          <w:sz w:val="22"/>
          <w:szCs w:val="22"/>
          <w:highlight w:val="none"/>
        </w:rPr>
        <w:t>重要事项时间地点一览表</w:t>
      </w:r>
    </w:p>
    <w:tbl>
      <w:tblPr>
        <w:tblStyle w:val="20"/>
        <w:tblW w:w="0" w:type="auto"/>
        <w:tblInd w:w="-25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69"/>
        <w:gridCol w:w="1693"/>
        <w:gridCol w:w="7448"/>
      </w:tblGrid>
      <w:tr w14:paraId="5666E5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1093" w:hRule="exact"/>
        </w:trPr>
        <w:tc>
          <w:tcPr>
            <w:tcW w:w="669" w:type="dxa"/>
            <w:tcBorders>
              <w:top w:val="single" w:color="080000" w:sz="4" w:space="0"/>
              <w:left w:val="single" w:color="080000" w:sz="4" w:space="0"/>
              <w:bottom w:val="single" w:color="080000" w:sz="4" w:space="0"/>
              <w:right w:val="single" w:color="080000" w:sz="4" w:space="0"/>
            </w:tcBorders>
            <w:noWrap/>
            <w:vAlign w:val="center"/>
          </w:tcPr>
          <w:p w14:paraId="76FEA273">
            <w:pPr>
              <w:pStyle w:val="43"/>
              <w:wordWrap w:val="0"/>
              <w:adjustRightInd w:val="0"/>
              <w:snapToGrid w:val="0"/>
              <w:spacing w:line="360" w:lineRule="exact"/>
              <w:jc w:val="center"/>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1</w:t>
            </w:r>
          </w:p>
        </w:tc>
        <w:tc>
          <w:tcPr>
            <w:tcW w:w="1693" w:type="dxa"/>
            <w:tcBorders>
              <w:top w:val="single" w:color="080000" w:sz="4" w:space="0"/>
              <w:left w:val="single" w:color="080000" w:sz="4" w:space="0"/>
              <w:bottom w:val="single" w:color="080000" w:sz="4" w:space="0"/>
              <w:right w:val="single" w:color="080000" w:sz="4" w:space="0"/>
            </w:tcBorders>
            <w:noWrap/>
            <w:vAlign w:val="center"/>
          </w:tcPr>
          <w:p w14:paraId="1E06C3C9">
            <w:pPr>
              <w:pStyle w:val="43"/>
              <w:wordWrap w:val="0"/>
              <w:adjustRightInd w:val="0"/>
              <w:snapToGrid w:val="0"/>
              <w:spacing w:line="360" w:lineRule="exact"/>
              <w:jc w:val="center"/>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招标公告</w:t>
            </w:r>
          </w:p>
          <w:p w14:paraId="7320F620">
            <w:pPr>
              <w:pStyle w:val="43"/>
              <w:wordWrap w:val="0"/>
              <w:adjustRightInd w:val="0"/>
              <w:snapToGrid w:val="0"/>
              <w:spacing w:line="360" w:lineRule="exact"/>
              <w:jc w:val="center"/>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 xml:space="preserve">发布时间 </w:t>
            </w:r>
          </w:p>
        </w:tc>
        <w:tc>
          <w:tcPr>
            <w:tcW w:w="7448" w:type="dxa"/>
            <w:tcBorders>
              <w:top w:val="single" w:color="080000" w:sz="4" w:space="0"/>
              <w:left w:val="single" w:color="080000" w:sz="4" w:space="0"/>
              <w:bottom w:val="single" w:color="080000" w:sz="4" w:space="0"/>
              <w:right w:val="single" w:color="080000" w:sz="4" w:space="0"/>
            </w:tcBorders>
            <w:noWrap/>
            <w:vAlign w:val="center"/>
          </w:tcPr>
          <w:p w14:paraId="1759A58D">
            <w:pPr>
              <w:pStyle w:val="43"/>
              <w:wordWrap w:val="0"/>
              <w:adjustRightInd w:val="0"/>
              <w:snapToGrid w:val="0"/>
              <w:spacing w:line="400" w:lineRule="exact"/>
              <w:ind w:left="0" w:leftChars="0" w:firstLine="200" w:firstLineChars="91"/>
              <w:jc w:val="left"/>
              <w:rPr>
                <w:rFonts w:hint="eastAsia" w:ascii="宋体" w:hAnsi="宋体" w:eastAsia="宋体" w:cs="宋体"/>
                <w:snapToGrid w:val="0"/>
                <w:color w:val="auto"/>
                <w:kern w:val="0"/>
                <w:sz w:val="22"/>
                <w:szCs w:val="22"/>
                <w:u w:val="none"/>
              </w:rPr>
            </w:pPr>
            <w:r>
              <w:rPr>
                <w:rFonts w:hint="eastAsia" w:ascii="宋体" w:hAnsi="宋体" w:eastAsia="宋体" w:cs="宋体"/>
                <w:snapToGrid w:val="0"/>
                <w:color w:val="auto"/>
                <w:kern w:val="0"/>
                <w:sz w:val="22"/>
                <w:szCs w:val="22"/>
                <w:u w:val="none"/>
              </w:rPr>
              <w:t>202</w:t>
            </w:r>
            <w:r>
              <w:rPr>
                <w:rFonts w:hint="eastAsia" w:ascii="宋体" w:hAnsi="宋体" w:eastAsia="宋体" w:cs="宋体"/>
                <w:snapToGrid w:val="0"/>
                <w:color w:val="auto"/>
                <w:kern w:val="0"/>
                <w:sz w:val="22"/>
                <w:szCs w:val="22"/>
                <w:u w:val="none"/>
                <w:lang w:val="en-US" w:eastAsia="zh-CN"/>
              </w:rPr>
              <w:t>5</w:t>
            </w:r>
            <w:r>
              <w:rPr>
                <w:rFonts w:hint="eastAsia" w:ascii="宋体" w:hAnsi="宋体" w:eastAsia="宋体" w:cs="宋体"/>
                <w:snapToGrid w:val="0"/>
                <w:color w:val="auto"/>
                <w:kern w:val="0"/>
                <w:sz w:val="22"/>
                <w:szCs w:val="22"/>
                <w:u w:val="none"/>
              </w:rPr>
              <w:t>年</w:t>
            </w:r>
            <w:r>
              <w:rPr>
                <w:rFonts w:hint="eastAsia" w:ascii="宋体" w:hAnsi="宋体" w:cs="宋体"/>
                <w:snapToGrid w:val="0"/>
                <w:color w:val="auto"/>
                <w:kern w:val="0"/>
                <w:sz w:val="22"/>
                <w:szCs w:val="22"/>
                <w:u w:val="none"/>
                <w:lang w:val="en-US" w:eastAsia="zh-CN"/>
              </w:rPr>
              <w:t>11</w:t>
            </w:r>
            <w:r>
              <w:rPr>
                <w:rFonts w:hint="eastAsia" w:ascii="宋体" w:hAnsi="宋体" w:eastAsia="宋体" w:cs="宋体"/>
                <w:snapToGrid w:val="0"/>
                <w:color w:val="auto"/>
                <w:kern w:val="0"/>
                <w:sz w:val="22"/>
                <w:szCs w:val="22"/>
                <w:u w:val="none"/>
              </w:rPr>
              <w:t>月</w:t>
            </w:r>
            <w:r>
              <w:rPr>
                <w:rFonts w:hint="eastAsia" w:ascii="宋体" w:hAnsi="宋体" w:cs="宋体"/>
                <w:snapToGrid w:val="0"/>
                <w:color w:val="auto"/>
                <w:kern w:val="0"/>
                <w:sz w:val="22"/>
                <w:szCs w:val="22"/>
                <w:u w:val="none"/>
                <w:lang w:val="en-US" w:eastAsia="zh-CN"/>
              </w:rPr>
              <w:t>19</w:t>
            </w:r>
            <w:r>
              <w:rPr>
                <w:rFonts w:hint="eastAsia" w:ascii="宋体" w:hAnsi="宋体" w:eastAsia="宋体" w:cs="宋体"/>
                <w:snapToGrid w:val="0"/>
                <w:color w:val="auto"/>
                <w:kern w:val="0"/>
                <w:sz w:val="22"/>
                <w:szCs w:val="22"/>
                <w:u w:val="none"/>
              </w:rPr>
              <w:t>日</w:t>
            </w:r>
            <w:r>
              <w:rPr>
                <w:rFonts w:hint="eastAsia" w:ascii="宋体" w:hAnsi="宋体" w:cs="宋体"/>
                <w:snapToGrid w:val="0"/>
                <w:color w:val="auto"/>
                <w:kern w:val="0"/>
                <w:sz w:val="22"/>
                <w:szCs w:val="22"/>
                <w:u w:val="none"/>
                <w:lang w:val="en-US" w:eastAsia="zh-CN"/>
              </w:rPr>
              <w:t>18</w:t>
            </w:r>
            <w:r>
              <w:rPr>
                <w:rFonts w:hint="eastAsia" w:ascii="宋体" w:hAnsi="宋体" w:eastAsia="宋体" w:cs="宋体"/>
                <w:snapToGrid w:val="0"/>
                <w:color w:val="auto"/>
                <w:kern w:val="0"/>
                <w:sz w:val="22"/>
                <w:szCs w:val="22"/>
                <w:u w:val="none"/>
              </w:rPr>
              <w:t>时</w:t>
            </w:r>
            <w:r>
              <w:rPr>
                <w:rFonts w:hint="eastAsia" w:ascii="宋体" w:hAnsi="宋体" w:cs="宋体"/>
                <w:snapToGrid w:val="0"/>
                <w:color w:val="auto"/>
                <w:kern w:val="0"/>
                <w:sz w:val="22"/>
                <w:szCs w:val="22"/>
                <w:u w:val="none"/>
                <w:lang w:val="en-US" w:eastAsia="zh-CN"/>
              </w:rPr>
              <w:t>00</w:t>
            </w:r>
            <w:r>
              <w:rPr>
                <w:rFonts w:hint="eastAsia" w:ascii="宋体" w:hAnsi="宋体" w:eastAsia="宋体" w:cs="宋体"/>
                <w:snapToGrid w:val="0"/>
                <w:color w:val="auto"/>
                <w:kern w:val="0"/>
                <w:sz w:val="22"/>
                <w:szCs w:val="22"/>
                <w:u w:val="none"/>
              </w:rPr>
              <w:t>分</w:t>
            </w:r>
          </w:p>
        </w:tc>
      </w:tr>
      <w:tr w14:paraId="0EAABC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77" w:hRule="exact"/>
        </w:trPr>
        <w:tc>
          <w:tcPr>
            <w:tcW w:w="669" w:type="dxa"/>
            <w:tcBorders>
              <w:top w:val="single" w:color="080000" w:sz="4" w:space="0"/>
              <w:left w:val="single" w:color="080000" w:sz="4" w:space="0"/>
              <w:bottom w:val="single" w:color="080000" w:sz="4" w:space="0"/>
              <w:right w:val="single" w:color="080000" w:sz="4" w:space="0"/>
            </w:tcBorders>
            <w:noWrap/>
            <w:vAlign w:val="center"/>
          </w:tcPr>
          <w:p w14:paraId="5B42BAC3">
            <w:pPr>
              <w:pStyle w:val="43"/>
              <w:wordWrap w:val="0"/>
              <w:adjustRightInd w:val="0"/>
              <w:snapToGrid w:val="0"/>
              <w:spacing w:line="360" w:lineRule="exact"/>
              <w:jc w:val="center"/>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2</w:t>
            </w:r>
          </w:p>
        </w:tc>
        <w:tc>
          <w:tcPr>
            <w:tcW w:w="1693" w:type="dxa"/>
            <w:tcBorders>
              <w:top w:val="single" w:color="080000" w:sz="4" w:space="0"/>
              <w:left w:val="single" w:color="080000" w:sz="4" w:space="0"/>
              <w:bottom w:val="single" w:color="080000" w:sz="4" w:space="0"/>
              <w:right w:val="single" w:color="080000" w:sz="4" w:space="0"/>
            </w:tcBorders>
            <w:noWrap/>
            <w:vAlign w:val="center"/>
          </w:tcPr>
          <w:p w14:paraId="735B3496">
            <w:pPr>
              <w:pStyle w:val="43"/>
              <w:wordWrap w:val="0"/>
              <w:adjustRightInd w:val="0"/>
              <w:snapToGrid w:val="0"/>
              <w:spacing w:line="360" w:lineRule="exact"/>
              <w:jc w:val="center"/>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获取招标文件截止时间</w:t>
            </w:r>
          </w:p>
        </w:tc>
        <w:tc>
          <w:tcPr>
            <w:tcW w:w="7448" w:type="dxa"/>
            <w:tcBorders>
              <w:top w:val="single" w:color="080000" w:sz="4" w:space="0"/>
              <w:left w:val="single" w:color="080000" w:sz="4" w:space="0"/>
              <w:bottom w:val="single" w:color="080000" w:sz="4" w:space="0"/>
              <w:right w:val="single" w:color="080000" w:sz="4" w:space="0"/>
            </w:tcBorders>
            <w:noWrap/>
            <w:vAlign w:val="center"/>
          </w:tcPr>
          <w:p w14:paraId="7DA89AD9">
            <w:pPr>
              <w:pStyle w:val="43"/>
              <w:wordWrap w:val="0"/>
              <w:adjustRightInd w:val="0"/>
              <w:snapToGrid w:val="0"/>
              <w:spacing w:line="400" w:lineRule="exact"/>
              <w:ind w:left="0" w:leftChars="0" w:firstLine="200" w:firstLineChars="91"/>
              <w:jc w:val="left"/>
              <w:rPr>
                <w:rFonts w:hint="eastAsia" w:ascii="宋体" w:hAnsi="宋体" w:eastAsia="宋体" w:cs="宋体"/>
                <w:snapToGrid w:val="0"/>
                <w:color w:val="auto"/>
                <w:kern w:val="0"/>
                <w:sz w:val="22"/>
                <w:szCs w:val="22"/>
                <w:u w:val="none"/>
              </w:rPr>
            </w:pPr>
            <w:r>
              <w:rPr>
                <w:rFonts w:hint="eastAsia" w:ascii="宋体" w:hAnsi="宋体" w:eastAsia="宋体" w:cs="宋体"/>
                <w:snapToGrid w:val="0"/>
                <w:color w:val="auto"/>
                <w:kern w:val="0"/>
                <w:sz w:val="22"/>
                <w:szCs w:val="22"/>
                <w:u w:val="none"/>
              </w:rPr>
              <w:t>202</w:t>
            </w:r>
            <w:r>
              <w:rPr>
                <w:rFonts w:hint="eastAsia" w:ascii="宋体" w:hAnsi="宋体" w:eastAsia="宋体" w:cs="宋体"/>
                <w:snapToGrid w:val="0"/>
                <w:color w:val="auto"/>
                <w:kern w:val="0"/>
                <w:sz w:val="22"/>
                <w:szCs w:val="22"/>
                <w:u w:val="none"/>
                <w:lang w:val="en-US" w:eastAsia="zh-CN"/>
              </w:rPr>
              <w:t>5</w:t>
            </w:r>
            <w:r>
              <w:rPr>
                <w:rFonts w:hint="eastAsia" w:ascii="宋体" w:hAnsi="宋体" w:eastAsia="宋体" w:cs="宋体"/>
                <w:snapToGrid w:val="0"/>
                <w:color w:val="auto"/>
                <w:kern w:val="0"/>
                <w:sz w:val="22"/>
                <w:szCs w:val="22"/>
                <w:u w:val="none"/>
              </w:rPr>
              <w:t>年</w:t>
            </w:r>
            <w:r>
              <w:rPr>
                <w:rFonts w:hint="eastAsia" w:ascii="宋体" w:hAnsi="宋体" w:cs="宋体"/>
                <w:snapToGrid w:val="0"/>
                <w:color w:val="auto"/>
                <w:kern w:val="0"/>
                <w:sz w:val="22"/>
                <w:szCs w:val="22"/>
                <w:u w:val="none"/>
                <w:lang w:val="en-US" w:eastAsia="zh-CN"/>
              </w:rPr>
              <w:t>12</w:t>
            </w:r>
            <w:r>
              <w:rPr>
                <w:rFonts w:hint="eastAsia" w:ascii="宋体" w:hAnsi="宋体" w:eastAsia="宋体" w:cs="宋体"/>
                <w:snapToGrid w:val="0"/>
                <w:color w:val="auto"/>
                <w:kern w:val="0"/>
                <w:sz w:val="22"/>
                <w:szCs w:val="22"/>
                <w:u w:val="none"/>
              </w:rPr>
              <w:t>月</w:t>
            </w:r>
            <w:r>
              <w:rPr>
                <w:rFonts w:hint="eastAsia" w:ascii="宋体" w:hAnsi="宋体" w:cs="宋体"/>
                <w:snapToGrid w:val="0"/>
                <w:color w:val="auto"/>
                <w:kern w:val="0"/>
                <w:sz w:val="22"/>
                <w:szCs w:val="22"/>
                <w:u w:val="none"/>
                <w:lang w:val="en-US" w:eastAsia="zh-CN"/>
              </w:rPr>
              <w:t>10</w:t>
            </w:r>
            <w:r>
              <w:rPr>
                <w:rFonts w:hint="eastAsia" w:ascii="宋体" w:hAnsi="宋体" w:eastAsia="宋体" w:cs="宋体"/>
                <w:snapToGrid w:val="0"/>
                <w:color w:val="auto"/>
                <w:kern w:val="0"/>
                <w:sz w:val="22"/>
                <w:szCs w:val="22"/>
                <w:u w:val="none"/>
              </w:rPr>
              <w:t>日</w:t>
            </w:r>
            <w:r>
              <w:rPr>
                <w:rFonts w:hint="eastAsia" w:ascii="宋体" w:hAnsi="宋体" w:cs="宋体"/>
                <w:snapToGrid w:val="0"/>
                <w:color w:val="auto"/>
                <w:kern w:val="0"/>
                <w:sz w:val="22"/>
                <w:szCs w:val="22"/>
                <w:u w:val="none"/>
                <w:lang w:val="en-US" w:eastAsia="zh-CN"/>
              </w:rPr>
              <w:t>10</w:t>
            </w:r>
            <w:r>
              <w:rPr>
                <w:rFonts w:hint="eastAsia" w:ascii="宋体" w:hAnsi="宋体" w:eastAsia="宋体" w:cs="宋体"/>
                <w:snapToGrid w:val="0"/>
                <w:color w:val="auto"/>
                <w:kern w:val="0"/>
                <w:sz w:val="22"/>
                <w:szCs w:val="22"/>
                <w:u w:val="none"/>
              </w:rPr>
              <w:t>时</w:t>
            </w:r>
            <w:r>
              <w:rPr>
                <w:rFonts w:hint="eastAsia" w:ascii="宋体" w:hAnsi="宋体" w:cs="宋体"/>
                <w:snapToGrid w:val="0"/>
                <w:color w:val="auto"/>
                <w:kern w:val="0"/>
                <w:sz w:val="22"/>
                <w:szCs w:val="22"/>
                <w:u w:val="none"/>
                <w:lang w:val="en-US" w:eastAsia="zh-CN"/>
              </w:rPr>
              <w:t>00</w:t>
            </w:r>
            <w:r>
              <w:rPr>
                <w:rFonts w:hint="eastAsia" w:ascii="宋体" w:hAnsi="宋体" w:eastAsia="宋体" w:cs="宋体"/>
                <w:snapToGrid w:val="0"/>
                <w:color w:val="auto"/>
                <w:kern w:val="0"/>
                <w:sz w:val="22"/>
                <w:szCs w:val="22"/>
                <w:u w:val="none"/>
              </w:rPr>
              <w:t>分</w:t>
            </w:r>
          </w:p>
        </w:tc>
      </w:tr>
      <w:tr w14:paraId="6CBE21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44" w:hRule="exact"/>
        </w:trPr>
        <w:tc>
          <w:tcPr>
            <w:tcW w:w="669" w:type="dxa"/>
            <w:tcBorders>
              <w:top w:val="single" w:color="080000" w:sz="4" w:space="0"/>
              <w:left w:val="single" w:color="080000" w:sz="4" w:space="0"/>
              <w:bottom w:val="single" w:color="080000" w:sz="4" w:space="0"/>
              <w:right w:val="single" w:color="080000" w:sz="4" w:space="0"/>
            </w:tcBorders>
            <w:noWrap/>
            <w:vAlign w:val="center"/>
          </w:tcPr>
          <w:p w14:paraId="1E01B24A">
            <w:pPr>
              <w:pStyle w:val="43"/>
              <w:wordWrap w:val="0"/>
              <w:adjustRightInd w:val="0"/>
              <w:snapToGrid w:val="0"/>
              <w:spacing w:line="360" w:lineRule="exact"/>
              <w:jc w:val="center"/>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3</w:t>
            </w:r>
          </w:p>
        </w:tc>
        <w:tc>
          <w:tcPr>
            <w:tcW w:w="1693" w:type="dxa"/>
            <w:tcBorders>
              <w:top w:val="single" w:color="080000" w:sz="4" w:space="0"/>
              <w:left w:val="single" w:color="080000" w:sz="4" w:space="0"/>
              <w:bottom w:val="single" w:color="080000" w:sz="4" w:space="0"/>
              <w:right w:val="single" w:color="080000" w:sz="4" w:space="0"/>
            </w:tcBorders>
            <w:noWrap/>
            <w:vAlign w:val="center"/>
          </w:tcPr>
          <w:p w14:paraId="4B2B10BB">
            <w:pPr>
              <w:pStyle w:val="43"/>
              <w:wordWrap w:val="0"/>
              <w:adjustRightInd w:val="0"/>
              <w:snapToGrid w:val="0"/>
              <w:spacing w:line="360" w:lineRule="exact"/>
              <w:jc w:val="center"/>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网上提问</w:t>
            </w:r>
          </w:p>
          <w:p w14:paraId="2C7B9A72">
            <w:pPr>
              <w:pStyle w:val="43"/>
              <w:wordWrap w:val="0"/>
              <w:adjustRightInd w:val="0"/>
              <w:snapToGrid w:val="0"/>
              <w:spacing w:line="360" w:lineRule="exact"/>
              <w:jc w:val="center"/>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 xml:space="preserve">截止时间 </w:t>
            </w:r>
          </w:p>
        </w:tc>
        <w:tc>
          <w:tcPr>
            <w:tcW w:w="7448" w:type="dxa"/>
            <w:tcBorders>
              <w:top w:val="single" w:color="080000" w:sz="4" w:space="0"/>
              <w:left w:val="single" w:color="080000" w:sz="4" w:space="0"/>
              <w:bottom w:val="single" w:color="080000" w:sz="4" w:space="0"/>
              <w:right w:val="single" w:color="080000" w:sz="4" w:space="0"/>
            </w:tcBorders>
            <w:noWrap/>
            <w:vAlign w:val="center"/>
          </w:tcPr>
          <w:p w14:paraId="5C017AF2">
            <w:pPr>
              <w:pStyle w:val="43"/>
              <w:wordWrap w:val="0"/>
              <w:adjustRightInd w:val="0"/>
              <w:snapToGrid w:val="0"/>
              <w:spacing w:line="400" w:lineRule="exact"/>
              <w:ind w:left="0" w:leftChars="0" w:firstLine="200" w:firstLineChars="91"/>
              <w:jc w:val="left"/>
              <w:rPr>
                <w:rFonts w:hint="eastAsia" w:ascii="宋体" w:hAnsi="宋体" w:eastAsia="宋体" w:cs="宋体"/>
                <w:snapToGrid w:val="0"/>
                <w:color w:val="auto"/>
                <w:kern w:val="0"/>
                <w:sz w:val="22"/>
                <w:szCs w:val="22"/>
                <w:u w:val="none"/>
              </w:rPr>
            </w:pPr>
            <w:r>
              <w:rPr>
                <w:rFonts w:hint="eastAsia" w:ascii="宋体" w:hAnsi="宋体" w:eastAsia="宋体" w:cs="宋体"/>
                <w:snapToGrid w:val="0"/>
                <w:color w:val="auto"/>
                <w:kern w:val="0"/>
                <w:sz w:val="22"/>
                <w:szCs w:val="22"/>
                <w:u w:val="none"/>
              </w:rPr>
              <w:t>202</w:t>
            </w:r>
            <w:r>
              <w:rPr>
                <w:rFonts w:hint="eastAsia" w:ascii="宋体" w:hAnsi="宋体" w:eastAsia="宋体" w:cs="宋体"/>
                <w:snapToGrid w:val="0"/>
                <w:color w:val="auto"/>
                <w:kern w:val="0"/>
                <w:sz w:val="22"/>
                <w:szCs w:val="22"/>
                <w:u w:val="none"/>
                <w:lang w:val="en-US" w:eastAsia="zh-CN"/>
              </w:rPr>
              <w:t>5</w:t>
            </w:r>
            <w:r>
              <w:rPr>
                <w:rFonts w:hint="eastAsia" w:ascii="宋体" w:hAnsi="宋体" w:eastAsia="宋体" w:cs="宋体"/>
                <w:snapToGrid w:val="0"/>
                <w:color w:val="auto"/>
                <w:kern w:val="0"/>
                <w:sz w:val="22"/>
                <w:szCs w:val="22"/>
                <w:u w:val="none"/>
              </w:rPr>
              <w:t>年</w:t>
            </w:r>
            <w:r>
              <w:rPr>
                <w:rFonts w:hint="eastAsia" w:ascii="宋体" w:hAnsi="宋体" w:eastAsia="宋体" w:cs="宋体"/>
                <w:snapToGrid w:val="0"/>
                <w:color w:val="auto"/>
                <w:kern w:val="0"/>
                <w:sz w:val="22"/>
                <w:szCs w:val="22"/>
                <w:u w:val="none"/>
                <w:lang w:val="en-US" w:eastAsia="zh-CN"/>
              </w:rPr>
              <w:t xml:space="preserve"> </w:t>
            </w:r>
            <w:r>
              <w:rPr>
                <w:rFonts w:hint="eastAsia" w:ascii="宋体" w:hAnsi="宋体" w:cs="宋体"/>
                <w:snapToGrid w:val="0"/>
                <w:color w:val="auto"/>
                <w:kern w:val="0"/>
                <w:sz w:val="22"/>
                <w:szCs w:val="22"/>
                <w:u w:val="none"/>
                <w:lang w:val="en-US" w:eastAsia="zh-CN"/>
              </w:rPr>
              <w:t>11</w:t>
            </w:r>
            <w:r>
              <w:rPr>
                <w:rFonts w:hint="eastAsia" w:ascii="宋体" w:hAnsi="宋体" w:eastAsia="宋体" w:cs="宋体"/>
                <w:snapToGrid w:val="0"/>
                <w:color w:val="auto"/>
                <w:kern w:val="0"/>
                <w:sz w:val="22"/>
                <w:szCs w:val="22"/>
                <w:u w:val="none"/>
              </w:rPr>
              <w:t>月</w:t>
            </w:r>
            <w:r>
              <w:rPr>
                <w:rFonts w:hint="eastAsia" w:ascii="宋体" w:hAnsi="宋体" w:cs="宋体"/>
                <w:snapToGrid w:val="0"/>
                <w:color w:val="auto"/>
                <w:kern w:val="0"/>
                <w:sz w:val="22"/>
                <w:szCs w:val="22"/>
                <w:u w:val="none"/>
                <w:lang w:val="en-US" w:eastAsia="zh-CN"/>
              </w:rPr>
              <w:t>30</w:t>
            </w:r>
            <w:r>
              <w:rPr>
                <w:rFonts w:hint="eastAsia" w:ascii="宋体" w:hAnsi="宋体" w:eastAsia="宋体" w:cs="宋体"/>
                <w:snapToGrid w:val="0"/>
                <w:color w:val="auto"/>
                <w:kern w:val="0"/>
                <w:sz w:val="22"/>
                <w:szCs w:val="22"/>
                <w:u w:val="none"/>
              </w:rPr>
              <w:t>日</w:t>
            </w:r>
            <w:r>
              <w:rPr>
                <w:rFonts w:hint="eastAsia" w:ascii="宋体" w:hAnsi="宋体" w:cs="宋体"/>
                <w:snapToGrid w:val="0"/>
                <w:color w:val="auto"/>
                <w:kern w:val="0"/>
                <w:sz w:val="22"/>
                <w:szCs w:val="22"/>
                <w:u w:val="none"/>
                <w:lang w:val="en-US" w:eastAsia="zh-CN"/>
              </w:rPr>
              <w:t>16</w:t>
            </w:r>
            <w:r>
              <w:rPr>
                <w:rFonts w:hint="eastAsia" w:ascii="宋体" w:hAnsi="宋体" w:eastAsia="宋体" w:cs="宋体"/>
                <w:snapToGrid w:val="0"/>
                <w:color w:val="auto"/>
                <w:kern w:val="0"/>
                <w:sz w:val="22"/>
                <w:szCs w:val="22"/>
                <w:u w:val="none"/>
              </w:rPr>
              <w:t>时</w:t>
            </w:r>
            <w:r>
              <w:rPr>
                <w:rFonts w:hint="eastAsia" w:ascii="宋体" w:hAnsi="宋体" w:cs="宋体"/>
                <w:snapToGrid w:val="0"/>
                <w:color w:val="auto"/>
                <w:kern w:val="0"/>
                <w:sz w:val="22"/>
                <w:szCs w:val="22"/>
                <w:u w:val="none"/>
                <w:lang w:val="en-US" w:eastAsia="zh-CN"/>
              </w:rPr>
              <w:t>00</w:t>
            </w:r>
            <w:r>
              <w:rPr>
                <w:rFonts w:hint="eastAsia" w:ascii="宋体" w:hAnsi="宋体" w:eastAsia="宋体" w:cs="宋体"/>
                <w:snapToGrid w:val="0"/>
                <w:color w:val="auto"/>
                <w:kern w:val="0"/>
                <w:sz w:val="22"/>
                <w:szCs w:val="22"/>
                <w:u w:val="none"/>
              </w:rPr>
              <w:t>分</w:t>
            </w:r>
          </w:p>
        </w:tc>
      </w:tr>
      <w:tr w14:paraId="464A77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8" w:hRule="exact"/>
        </w:trPr>
        <w:tc>
          <w:tcPr>
            <w:tcW w:w="669" w:type="dxa"/>
            <w:tcBorders>
              <w:top w:val="single" w:color="080000" w:sz="4" w:space="0"/>
              <w:left w:val="single" w:color="080000" w:sz="4" w:space="0"/>
              <w:bottom w:val="single" w:color="080000" w:sz="4" w:space="0"/>
              <w:right w:val="single" w:color="080000" w:sz="4" w:space="0"/>
            </w:tcBorders>
            <w:noWrap/>
            <w:vAlign w:val="center"/>
          </w:tcPr>
          <w:p w14:paraId="11E005C6">
            <w:pPr>
              <w:pStyle w:val="43"/>
              <w:wordWrap w:val="0"/>
              <w:adjustRightInd w:val="0"/>
              <w:snapToGrid w:val="0"/>
              <w:spacing w:line="360" w:lineRule="exact"/>
              <w:jc w:val="center"/>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4</w:t>
            </w:r>
          </w:p>
        </w:tc>
        <w:tc>
          <w:tcPr>
            <w:tcW w:w="1693" w:type="dxa"/>
            <w:tcBorders>
              <w:top w:val="single" w:color="080000" w:sz="4" w:space="0"/>
              <w:left w:val="single" w:color="080000" w:sz="4" w:space="0"/>
              <w:bottom w:val="single" w:color="080000" w:sz="4" w:space="0"/>
              <w:right w:val="single" w:color="080000" w:sz="4" w:space="0"/>
            </w:tcBorders>
            <w:noWrap/>
            <w:vAlign w:val="center"/>
          </w:tcPr>
          <w:p w14:paraId="5EC62EB8">
            <w:pPr>
              <w:pStyle w:val="43"/>
              <w:wordWrap w:val="0"/>
              <w:adjustRightInd w:val="0"/>
              <w:snapToGrid w:val="0"/>
              <w:spacing w:line="360" w:lineRule="exact"/>
              <w:jc w:val="center"/>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网上答疑</w:t>
            </w:r>
          </w:p>
          <w:p w14:paraId="3940E748">
            <w:pPr>
              <w:pStyle w:val="43"/>
              <w:wordWrap w:val="0"/>
              <w:adjustRightInd w:val="0"/>
              <w:snapToGrid w:val="0"/>
              <w:spacing w:line="360" w:lineRule="exact"/>
              <w:jc w:val="center"/>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时间</w:t>
            </w:r>
          </w:p>
        </w:tc>
        <w:tc>
          <w:tcPr>
            <w:tcW w:w="7448" w:type="dxa"/>
            <w:tcBorders>
              <w:top w:val="single" w:color="080000" w:sz="4" w:space="0"/>
              <w:left w:val="single" w:color="080000" w:sz="4" w:space="0"/>
              <w:bottom w:val="single" w:color="080000" w:sz="4" w:space="0"/>
              <w:right w:val="single" w:color="080000" w:sz="4" w:space="0"/>
            </w:tcBorders>
            <w:noWrap/>
            <w:vAlign w:val="center"/>
          </w:tcPr>
          <w:p w14:paraId="37CAA754">
            <w:pPr>
              <w:pStyle w:val="43"/>
              <w:wordWrap w:val="0"/>
              <w:adjustRightInd w:val="0"/>
              <w:snapToGrid w:val="0"/>
              <w:spacing w:line="400" w:lineRule="exact"/>
              <w:ind w:left="0" w:leftChars="0" w:firstLine="200" w:firstLineChars="91"/>
              <w:jc w:val="left"/>
              <w:rPr>
                <w:rFonts w:hint="eastAsia" w:ascii="宋体" w:hAnsi="宋体" w:eastAsia="宋体" w:cs="宋体"/>
                <w:snapToGrid w:val="0"/>
                <w:color w:val="auto"/>
                <w:kern w:val="0"/>
                <w:sz w:val="22"/>
                <w:szCs w:val="22"/>
                <w:u w:val="none"/>
              </w:rPr>
            </w:pPr>
            <w:r>
              <w:rPr>
                <w:rFonts w:hint="eastAsia" w:ascii="宋体" w:hAnsi="宋体" w:eastAsia="宋体" w:cs="宋体"/>
                <w:snapToGrid w:val="0"/>
                <w:color w:val="auto"/>
                <w:kern w:val="0"/>
                <w:sz w:val="22"/>
                <w:szCs w:val="22"/>
                <w:u w:val="none"/>
              </w:rPr>
              <w:t>202</w:t>
            </w:r>
            <w:r>
              <w:rPr>
                <w:rFonts w:hint="eastAsia" w:ascii="宋体" w:hAnsi="宋体" w:eastAsia="宋体" w:cs="宋体"/>
                <w:snapToGrid w:val="0"/>
                <w:color w:val="auto"/>
                <w:kern w:val="0"/>
                <w:sz w:val="22"/>
                <w:szCs w:val="22"/>
                <w:u w:val="none"/>
                <w:lang w:val="en-US" w:eastAsia="zh-CN"/>
              </w:rPr>
              <w:t>5</w:t>
            </w:r>
            <w:r>
              <w:rPr>
                <w:rFonts w:hint="eastAsia" w:ascii="宋体" w:hAnsi="宋体" w:eastAsia="宋体" w:cs="宋体"/>
                <w:snapToGrid w:val="0"/>
                <w:color w:val="auto"/>
                <w:kern w:val="0"/>
                <w:sz w:val="22"/>
                <w:szCs w:val="22"/>
                <w:u w:val="none"/>
              </w:rPr>
              <w:t>年</w:t>
            </w:r>
            <w:r>
              <w:rPr>
                <w:rFonts w:hint="eastAsia" w:ascii="宋体" w:hAnsi="宋体" w:cs="宋体"/>
                <w:snapToGrid w:val="0"/>
                <w:color w:val="auto"/>
                <w:kern w:val="0"/>
                <w:sz w:val="22"/>
                <w:szCs w:val="22"/>
                <w:u w:val="none"/>
                <w:lang w:val="en-US" w:eastAsia="zh-CN"/>
              </w:rPr>
              <w:t>11</w:t>
            </w:r>
            <w:r>
              <w:rPr>
                <w:rFonts w:hint="eastAsia" w:ascii="宋体" w:hAnsi="宋体" w:eastAsia="宋体" w:cs="宋体"/>
                <w:snapToGrid w:val="0"/>
                <w:color w:val="auto"/>
                <w:kern w:val="0"/>
                <w:sz w:val="22"/>
                <w:szCs w:val="22"/>
                <w:u w:val="none"/>
              </w:rPr>
              <w:t>月</w:t>
            </w:r>
            <w:r>
              <w:rPr>
                <w:rFonts w:hint="eastAsia" w:ascii="宋体" w:hAnsi="宋体" w:cs="宋体"/>
                <w:snapToGrid w:val="0"/>
                <w:color w:val="auto"/>
                <w:kern w:val="0"/>
                <w:sz w:val="22"/>
                <w:szCs w:val="22"/>
                <w:u w:val="none"/>
                <w:lang w:val="en-US" w:eastAsia="zh-CN"/>
              </w:rPr>
              <w:t>30</w:t>
            </w:r>
            <w:r>
              <w:rPr>
                <w:rFonts w:hint="eastAsia" w:ascii="宋体" w:hAnsi="宋体" w:eastAsia="宋体" w:cs="宋体"/>
                <w:snapToGrid w:val="0"/>
                <w:color w:val="auto"/>
                <w:kern w:val="0"/>
                <w:sz w:val="22"/>
                <w:szCs w:val="22"/>
                <w:u w:val="none"/>
              </w:rPr>
              <w:t>日</w:t>
            </w:r>
            <w:r>
              <w:rPr>
                <w:rFonts w:hint="eastAsia" w:ascii="宋体" w:hAnsi="宋体" w:cs="宋体"/>
                <w:snapToGrid w:val="0"/>
                <w:color w:val="auto"/>
                <w:kern w:val="0"/>
                <w:sz w:val="22"/>
                <w:szCs w:val="22"/>
                <w:u w:val="none"/>
                <w:lang w:val="en-US" w:eastAsia="zh-CN"/>
              </w:rPr>
              <w:t>16</w:t>
            </w:r>
            <w:r>
              <w:rPr>
                <w:rFonts w:hint="eastAsia" w:ascii="宋体" w:hAnsi="宋体" w:eastAsia="宋体" w:cs="宋体"/>
                <w:snapToGrid w:val="0"/>
                <w:color w:val="auto"/>
                <w:kern w:val="0"/>
                <w:sz w:val="22"/>
                <w:szCs w:val="22"/>
                <w:u w:val="none"/>
              </w:rPr>
              <w:t>时</w:t>
            </w:r>
            <w:r>
              <w:rPr>
                <w:rFonts w:hint="eastAsia" w:ascii="宋体" w:hAnsi="宋体" w:cs="宋体"/>
                <w:snapToGrid w:val="0"/>
                <w:color w:val="auto"/>
                <w:kern w:val="0"/>
                <w:sz w:val="22"/>
                <w:szCs w:val="22"/>
                <w:u w:val="none"/>
                <w:lang w:val="en-US" w:eastAsia="zh-CN"/>
              </w:rPr>
              <w:t>30</w:t>
            </w:r>
            <w:r>
              <w:rPr>
                <w:rFonts w:hint="eastAsia" w:ascii="宋体" w:hAnsi="宋体" w:eastAsia="宋体" w:cs="宋体"/>
                <w:snapToGrid w:val="0"/>
                <w:color w:val="auto"/>
                <w:kern w:val="0"/>
                <w:sz w:val="22"/>
                <w:szCs w:val="22"/>
                <w:u w:val="none"/>
              </w:rPr>
              <w:t>分至202</w:t>
            </w:r>
            <w:r>
              <w:rPr>
                <w:rFonts w:hint="eastAsia" w:ascii="宋体" w:hAnsi="宋体" w:eastAsia="宋体" w:cs="宋体"/>
                <w:snapToGrid w:val="0"/>
                <w:color w:val="auto"/>
                <w:kern w:val="0"/>
                <w:sz w:val="22"/>
                <w:szCs w:val="22"/>
                <w:u w:val="none"/>
                <w:lang w:val="en-US" w:eastAsia="zh-CN"/>
              </w:rPr>
              <w:t>5</w:t>
            </w:r>
            <w:r>
              <w:rPr>
                <w:rFonts w:hint="eastAsia" w:ascii="宋体" w:hAnsi="宋体" w:eastAsia="宋体" w:cs="宋体"/>
                <w:snapToGrid w:val="0"/>
                <w:color w:val="auto"/>
                <w:kern w:val="0"/>
                <w:sz w:val="22"/>
                <w:szCs w:val="22"/>
                <w:u w:val="none"/>
              </w:rPr>
              <w:t>年</w:t>
            </w:r>
            <w:r>
              <w:rPr>
                <w:rFonts w:hint="eastAsia" w:ascii="宋体" w:hAnsi="宋体" w:cs="宋体"/>
                <w:snapToGrid w:val="0"/>
                <w:color w:val="auto"/>
                <w:kern w:val="0"/>
                <w:sz w:val="22"/>
                <w:szCs w:val="22"/>
                <w:u w:val="none"/>
                <w:lang w:val="en-US" w:eastAsia="zh-CN"/>
              </w:rPr>
              <w:t>12</w:t>
            </w:r>
            <w:r>
              <w:rPr>
                <w:rFonts w:hint="eastAsia" w:ascii="宋体" w:hAnsi="宋体" w:eastAsia="宋体" w:cs="宋体"/>
                <w:snapToGrid w:val="0"/>
                <w:color w:val="auto"/>
                <w:kern w:val="0"/>
                <w:sz w:val="22"/>
                <w:szCs w:val="22"/>
                <w:u w:val="none"/>
              </w:rPr>
              <w:t>月</w:t>
            </w:r>
            <w:r>
              <w:rPr>
                <w:rFonts w:hint="eastAsia" w:ascii="宋体" w:hAnsi="宋体" w:cs="宋体"/>
                <w:snapToGrid w:val="0"/>
                <w:color w:val="auto"/>
                <w:kern w:val="0"/>
                <w:sz w:val="22"/>
                <w:szCs w:val="22"/>
                <w:u w:val="none"/>
                <w:lang w:val="en-US" w:eastAsia="zh-CN"/>
              </w:rPr>
              <w:t>03</w:t>
            </w:r>
            <w:r>
              <w:rPr>
                <w:rFonts w:hint="eastAsia" w:ascii="宋体" w:hAnsi="宋体" w:eastAsia="宋体" w:cs="宋体"/>
                <w:snapToGrid w:val="0"/>
                <w:color w:val="auto"/>
                <w:kern w:val="0"/>
                <w:sz w:val="22"/>
                <w:szCs w:val="22"/>
                <w:u w:val="none"/>
              </w:rPr>
              <w:t>日</w:t>
            </w:r>
            <w:r>
              <w:rPr>
                <w:rFonts w:hint="eastAsia" w:ascii="宋体" w:hAnsi="宋体" w:cs="宋体"/>
                <w:snapToGrid w:val="0"/>
                <w:color w:val="auto"/>
                <w:kern w:val="0"/>
                <w:sz w:val="22"/>
                <w:szCs w:val="22"/>
                <w:u w:val="none"/>
                <w:lang w:val="en-US" w:eastAsia="zh-CN"/>
              </w:rPr>
              <w:t>16</w:t>
            </w:r>
            <w:r>
              <w:rPr>
                <w:rFonts w:hint="eastAsia" w:ascii="宋体" w:hAnsi="宋体" w:eastAsia="宋体" w:cs="宋体"/>
                <w:snapToGrid w:val="0"/>
                <w:color w:val="auto"/>
                <w:kern w:val="0"/>
                <w:sz w:val="22"/>
                <w:szCs w:val="22"/>
                <w:u w:val="none"/>
              </w:rPr>
              <w:t>时</w:t>
            </w:r>
            <w:r>
              <w:rPr>
                <w:rFonts w:hint="eastAsia" w:ascii="宋体" w:hAnsi="宋体" w:cs="宋体"/>
                <w:snapToGrid w:val="0"/>
                <w:color w:val="auto"/>
                <w:kern w:val="0"/>
                <w:sz w:val="22"/>
                <w:szCs w:val="22"/>
                <w:u w:val="none"/>
                <w:lang w:val="en-US" w:eastAsia="zh-CN"/>
              </w:rPr>
              <w:t>00</w:t>
            </w:r>
            <w:r>
              <w:rPr>
                <w:rFonts w:hint="eastAsia" w:ascii="宋体" w:hAnsi="宋体" w:eastAsia="宋体" w:cs="宋体"/>
                <w:snapToGrid w:val="0"/>
                <w:color w:val="auto"/>
                <w:kern w:val="0"/>
                <w:sz w:val="22"/>
                <w:szCs w:val="22"/>
                <w:u w:val="none"/>
              </w:rPr>
              <w:t>分</w:t>
            </w:r>
          </w:p>
        </w:tc>
      </w:tr>
      <w:tr w14:paraId="75D7A9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88" w:hRule="exact"/>
        </w:trPr>
        <w:tc>
          <w:tcPr>
            <w:tcW w:w="669" w:type="dxa"/>
            <w:tcBorders>
              <w:top w:val="single" w:color="080000" w:sz="4" w:space="0"/>
              <w:left w:val="single" w:color="080000" w:sz="4" w:space="0"/>
              <w:bottom w:val="single" w:color="080000" w:sz="4" w:space="0"/>
              <w:right w:val="single" w:color="080000" w:sz="4" w:space="0"/>
            </w:tcBorders>
            <w:noWrap/>
            <w:vAlign w:val="center"/>
          </w:tcPr>
          <w:p w14:paraId="665F4396">
            <w:pPr>
              <w:pStyle w:val="43"/>
              <w:wordWrap w:val="0"/>
              <w:adjustRightInd w:val="0"/>
              <w:snapToGrid w:val="0"/>
              <w:spacing w:line="360" w:lineRule="exact"/>
              <w:jc w:val="center"/>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5</w:t>
            </w:r>
          </w:p>
        </w:tc>
        <w:tc>
          <w:tcPr>
            <w:tcW w:w="1693" w:type="dxa"/>
            <w:tcBorders>
              <w:top w:val="single" w:color="080000" w:sz="4" w:space="0"/>
              <w:left w:val="single" w:color="080000" w:sz="4" w:space="0"/>
              <w:bottom w:val="single" w:color="080000" w:sz="4" w:space="0"/>
              <w:right w:val="single" w:color="080000" w:sz="4" w:space="0"/>
            </w:tcBorders>
            <w:noWrap/>
            <w:vAlign w:val="center"/>
          </w:tcPr>
          <w:p w14:paraId="4A336279">
            <w:pPr>
              <w:pStyle w:val="43"/>
              <w:wordWrap w:val="0"/>
              <w:adjustRightInd w:val="0"/>
              <w:snapToGrid w:val="0"/>
              <w:spacing w:line="360" w:lineRule="exact"/>
              <w:jc w:val="center"/>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投标保证缴</w:t>
            </w:r>
          </w:p>
          <w:p w14:paraId="5227066F">
            <w:pPr>
              <w:pStyle w:val="43"/>
              <w:wordWrap w:val="0"/>
              <w:adjustRightInd w:val="0"/>
              <w:snapToGrid w:val="0"/>
              <w:spacing w:line="360" w:lineRule="exact"/>
              <w:jc w:val="center"/>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纳截止时间</w:t>
            </w:r>
          </w:p>
        </w:tc>
        <w:tc>
          <w:tcPr>
            <w:tcW w:w="7448" w:type="dxa"/>
            <w:tcBorders>
              <w:top w:val="single" w:color="080000" w:sz="4" w:space="0"/>
              <w:left w:val="single" w:color="080000" w:sz="4" w:space="0"/>
              <w:bottom w:val="single" w:color="080000" w:sz="4" w:space="0"/>
              <w:right w:val="single" w:color="080000" w:sz="4" w:space="0"/>
            </w:tcBorders>
            <w:noWrap/>
            <w:vAlign w:val="center"/>
          </w:tcPr>
          <w:p w14:paraId="701D67CB">
            <w:pPr>
              <w:pStyle w:val="43"/>
              <w:wordWrap w:val="0"/>
              <w:adjustRightInd w:val="0"/>
              <w:snapToGrid w:val="0"/>
              <w:spacing w:line="400" w:lineRule="exact"/>
              <w:ind w:firstLine="220" w:firstLineChars="100"/>
              <w:rPr>
                <w:rFonts w:hint="eastAsia" w:ascii="宋体" w:hAnsi="宋体" w:eastAsia="宋体" w:cs="宋体"/>
                <w:snapToGrid w:val="0"/>
                <w:color w:val="auto"/>
                <w:kern w:val="0"/>
                <w:sz w:val="22"/>
                <w:szCs w:val="22"/>
                <w:u w:val="none"/>
              </w:rPr>
            </w:pPr>
            <w:r>
              <w:rPr>
                <w:rFonts w:hint="eastAsia" w:ascii="宋体" w:hAnsi="宋体" w:eastAsia="宋体" w:cs="宋体"/>
                <w:snapToGrid w:val="0"/>
                <w:color w:val="auto"/>
                <w:kern w:val="0"/>
                <w:sz w:val="22"/>
                <w:szCs w:val="22"/>
                <w:u w:val="none"/>
              </w:rPr>
              <w:t>投标保证金到账截止时间： 202</w:t>
            </w:r>
            <w:r>
              <w:rPr>
                <w:rFonts w:hint="eastAsia" w:ascii="宋体" w:hAnsi="宋体" w:eastAsia="宋体" w:cs="宋体"/>
                <w:snapToGrid w:val="0"/>
                <w:color w:val="auto"/>
                <w:kern w:val="0"/>
                <w:sz w:val="22"/>
                <w:szCs w:val="22"/>
                <w:u w:val="none"/>
                <w:lang w:val="en-US" w:eastAsia="zh-CN"/>
              </w:rPr>
              <w:t>5</w:t>
            </w:r>
            <w:r>
              <w:rPr>
                <w:rFonts w:hint="eastAsia" w:ascii="宋体" w:hAnsi="宋体" w:eastAsia="宋体" w:cs="宋体"/>
                <w:snapToGrid w:val="0"/>
                <w:color w:val="auto"/>
                <w:kern w:val="0"/>
                <w:sz w:val="22"/>
                <w:szCs w:val="22"/>
                <w:u w:val="none"/>
              </w:rPr>
              <w:t>年</w:t>
            </w:r>
            <w:r>
              <w:rPr>
                <w:rFonts w:hint="eastAsia" w:ascii="宋体" w:hAnsi="宋体" w:cs="宋体"/>
                <w:snapToGrid w:val="0"/>
                <w:color w:val="auto"/>
                <w:kern w:val="0"/>
                <w:sz w:val="22"/>
                <w:szCs w:val="22"/>
                <w:u w:val="none"/>
                <w:lang w:val="en-US" w:eastAsia="zh-CN"/>
              </w:rPr>
              <w:t>12</w:t>
            </w:r>
            <w:r>
              <w:rPr>
                <w:rFonts w:hint="eastAsia" w:ascii="宋体" w:hAnsi="宋体" w:eastAsia="宋体" w:cs="宋体"/>
                <w:snapToGrid w:val="0"/>
                <w:color w:val="auto"/>
                <w:kern w:val="0"/>
                <w:sz w:val="22"/>
                <w:szCs w:val="22"/>
                <w:u w:val="none"/>
              </w:rPr>
              <w:t>月</w:t>
            </w:r>
            <w:r>
              <w:rPr>
                <w:rFonts w:hint="eastAsia" w:ascii="宋体" w:hAnsi="宋体" w:cs="宋体"/>
                <w:snapToGrid w:val="0"/>
                <w:color w:val="auto"/>
                <w:kern w:val="0"/>
                <w:sz w:val="22"/>
                <w:szCs w:val="22"/>
                <w:u w:val="none"/>
                <w:lang w:val="en-US" w:eastAsia="zh-CN"/>
              </w:rPr>
              <w:t>09</w:t>
            </w:r>
            <w:r>
              <w:rPr>
                <w:rFonts w:hint="eastAsia" w:ascii="宋体" w:hAnsi="宋体" w:eastAsia="宋体" w:cs="宋体"/>
                <w:snapToGrid w:val="0"/>
                <w:color w:val="auto"/>
                <w:kern w:val="0"/>
                <w:sz w:val="22"/>
                <w:szCs w:val="22"/>
                <w:u w:val="none"/>
              </w:rPr>
              <w:t>日</w:t>
            </w:r>
            <w:r>
              <w:rPr>
                <w:rFonts w:hint="eastAsia" w:ascii="宋体" w:hAnsi="宋体" w:cs="宋体"/>
                <w:snapToGrid w:val="0"/>
                <w:color w:val="auto"/>
                <w:kern w:val="0"/>
                <w:sz w:val="22"/>
                <w:szCs w:val="22"/>
                <w:u w:val="none"/>
                <w:lang w:val="en-US" w:eastAsia="zh-CN"/>
              </w:rPr>
              <w:t>10</w:t>
            </w:r>
            <w:r>
              <w:rPr>
                <w:rFonts w:hint="eastAsia" w:ascii="宋体" w:hAnsi="宋体" w:eastAsia="宋体" w:cs="宋体"/>
                <w:snapToGrid w:val="0"/>
                <w:color w:val="auto"/>
                <w:kern w:val="0"/>
                <w:sz w:val="22"/>
                <w:szCs w:val="22"/>
                <w:u w:val="none"/>
              </w:rPr>
              <w:t>时</w:t>
            </w:r>
            <w:r>
              <w:rPr>
                <w:rFonts w:hint="eastAsia" w:ascii="宋体" w:hAnsi="宋体" w:cs="宋体"/>
                <w:snapToGrid w:val="0"/>
                <w:color w:val="auto"/>
                <w:kern w:val="0"/>
                <w:sz w:val="22"/>
                <w:szCs w:val="22"/>
                <w:u w:val="none"/>
                <w:lang w:val="en-US" w:eastAsia="zh-CN"/>
              </w:rPr>
              <w:t>00</w:t>
            </w:r>
            <w:r>
              <w:rPr>
                <w:rFonts w:hint="eastAsia" w:ascii="宋体" w:hAnsi="宋体" w:eastAsia="宋体" w:cs="宋体"/>
                <w:snapToGrid w:val="0"/>
                <w:color w:val="auto"/>
                <w:kern w:val="0"/>
                <w:sz w:val="22"/>
                <w:szCs w:val="22"/>
                <w:u w:val="none"/>
              </w:rPr>
              <w:t>分；</w:t>
            </w:r>
          </w:p>
          <w:p w14:paraId="32D4CA28">
            <w:pPr>
              <w:pStyle w:val="43"/>
              <w:wordWrap w:val="0"/>
              <w:adjustRightInd w:val="0"/>
              <w:snapToGrid w:val="0"/>
              <w:spacing w:line="400" w:lineRule="exact"/>
              <w:ind w:firstLine="220" w:firstLineChars="100"/>
              <w:rPr>
                <w:rFonts w:hint="eastAsia" w:ascii="宋体" w:hAnsi="宋体" w:eastAsia="宋体" w:cs="宋体"/>
                <w:snapToGrid w:val="0"/>
                <w:color w:val="auto"/>
                <w:kern w:val="0"/>
                <w:sz w:val="22"/>
                <w:szCs w:val="22"/>
                <w:u w:val="none"/>
              </w:rPr>
            </w:pPr>
            <w:r>
              <w:rPr>
                <w:rFonts w:hint="eastAsia" w:ascii="宋体" w:hAnsi="宋体" w:eastAsia="宋体" w:cs="宋体"/>
                <w:snapToGrid w:val="0"/>
                <w:color w:val="auto"/>
                <w:kern w:val="0"/>
                <w:sz w:val="22"/>
                <w:szCs w:val="22"/>
                <w:u w:val="none"/>
              </w:rPr>
              <w:t>投标保证担保上传截止时间：202</w:t>
            </w:r>
            <w:r>
              <w:rPr>
                <w:rFonts w:hint="eastAsia" w:ascii="宋体" w:hAnsi="宋体" w:eastAsia="宋体" w:cs="宋体"/>
                <w:snapToGrid w:val="0"/>
                <w:color w:val="auto"/>
                <w:kern w:val="0"/>
                <w:sz w:val="22"/>
                <w:szCs w:val="22"/>
                <w:u w:val="none"/>
                <w:lang w:val="en-US" w:eastAsia="zh-CN"/>
              </w:rPr>
              <w:t>5</w:t>
            </w:r>
            <w:r>
              <w:rPr>
                <w:rFonts w:hint="eastAsia" w:ascii="宋体" w:hAnsi="宋体" w:eastAsia="宋体" w:cs="宋体"/>
                <w:snapToGrid w:val="0"/>
                <w:color w:val="auto"/>
                <w:kern w:val="0"/>
                <w:sz w:val="22"/>
                <w:szCs w:val="22"/>
                <w:u w:val="none"/>
              </w:rPr>
              <w:t>年</w:t>
            </w:r>
            <w:r>
              <w:rPr>
                <w:rFonts w:hint="eastAsia" w:ascii="宋体" w:hAnsi="宋体" w:cs="宋体"/>
                <w:snapToGrid w:val="0"/>
                <w:color w:val="auto"/>
                <w:kern w:val="0"/>
                <w:sz w:val="22"/>
                <w:szCs w:val="22"/>
                <w:u w:val="none"/>
                <w:lang w:val="en-US" w:eastAsia="zh-CN"/>
              </w:rPr>
              <w:t>12</w:t>
            </w:r>
            <w:r>
              <w:rPr>
                <w:rFonts w:hint="eastAsia" w:ascii="宋体" w:hAnsi="宋体" w:eastAsia="宋体" w:cs="宋体"/>
                <w:snapToGrid w:val="0"/>
                <w:color w:val="auto"/>
                <w:kern w:val="0"/>
                <w:sz w:val="22"/>
                <w:szCs w:val="22"/>
                <w:u w:val="none"/>
              </w:rPr>
              <w:t>月</w:t>
            </w:r>
            <w:r>
              <w:rPr>
                <w:rFonts w:hint="eastAsia" w:ascii="宋体" w:hAnsi="宋体" w:cs="宋体"/>
                <w:snapToGrid w:val="0"/>
                <w:color w:val="auto"/>
                <w:kern w:val="0"/>
                <w:sz w:val="22"/>
                <w:szCs w:val="22"/>
                <w:u w:val="none"/>
                <w:lang w:val="en-US" w:eastAsia="zh-CN"/>
              </w:rPr>
              <w:t>09</w:t>
            </w:r>
            <w:r>
              <w:rPr>
                <w:rFonts w:hint="eastAsia" w:ascii="宋体" w:hAnsi="宋体" w:eastAsia="宋体" w:cs="宋体"/>
                <w:snapToGrid w:val="0"/>
                <w:color w:val="auto"/>
                <w:kern w:val="0"/>
                <w:sz w:val="22"/>
                <w:szCs w:val="22"/>
                <w:u w:val="none"/>
              </w:rPr>
              <w:t>日</w:t>
            </w:r>
            <w:r>
              <w:rPr>
                <w:rFonts w:hint="eastAsia" w:ascii="宋体" w:hAnsi="宋体" w:cs="宋体"/>
                <w:snapToGrid w:val="0"/>
                <w:color w:val="auto"/>
                <w:kern w:val="0"/>
                <w:sz w:val="22"/>
                <w:szCs w:val="22"/>
                <w:u w:val="none"/>
                <w:lang w:val="en-US" w:eastAsia="zh-CN"/>
              </w:rPr>
              <w:t>10</w:t>
            </w:r>
            <w:r>
              <w:rPr>
                <w:rFonts w:hint="eastAsia" w:ascii="宋体" w:hAnsi="宋体" w:eastAsia="宋体" w:cs="宋体"/>
                <w:snapToGrid w:val="0"/>
                <w:color w:val="auto"/>
                <w:kern w:val="0"/>
                <w:sz w:val="22"/>
                <w:szCs w:val="22"/>
                <w:u w:val="none"/>
              </w:rPr>
              <w:t>时</w:t>
            </w:r>
            <w:r>
              <w:rPr>
                <w:rFonts w:hint="eastAsia" w:ascii="宋体" w:hAnsi="宋体" w:cs="宋体"/>
                <w:snapToGrid w:val="0"/>
                <w:color w:val="auto"/>
                <w:kern w:val="0"/>
                <w:sz w:val="22"/>
                <w:szCs w:val="22"/>
                <w:u w:val="none"/>
                <w:lang w:val="en-US" w:eastAsia="zh-CN"/>
              </w:rPr>
              <w:t>00</w:t>
            </w:r>
            <w:r>
              <w:rPr>
                <w:rFonts w:hint="eastAsia" w:ascii="宋体" w:hAnsi="宋体" w:eastAsia="宋体" w:cs="宋体"/>
                <w:snapToGrid w:val="0"/>
                <w:color w:val="auto"/>
                <w:kern w:val="0"/>
                <w:sz w:val="22"/>
                <w:szCs w:val="22"/>
                <w:u w:val="none"/>
              </w:rPr>
              <w:t>分；</w:t>
            </w:r>
          </w:p>
          <w:p w14:paraId="2A710A9E">
            <w:pPr>
              <w:pStyle w:val="8"/>
              <w:wordWrap w:val="0"/>
              <w:adjustRightInd w:val="0"/>
              <w:snapToGrid w:val="0"/>
              <w:spacing w:line="400" w:lineRule="exact"/>
              <w:ind w:firstLine="220" w:firstLineChars="100"/>
              <w:rPr>
                <w:rFonts w:hint="eastAsia" w:ascii="宋体" w:hAnsi="宋体" w:eastAsia="宋体" w:cs="宋体"/>
                <w:snapToGrid w:val="0"/>
                <w:color w:val="auto"/>
                <w:kern w:val="0"/>
                <w:sz w:val="22"/>
                <w:szCs w:val="22"/>
                <w:u w:val="none"/>
              </w:rPr>
            </w:pPr>
            <w:r>
              <w:rPr>
                <w:rFonts w:hint="eastAsia" w:ascii="宋体" w:hAnsi="宋体" w:eastAsia="宋体" w:cs="宋体"/>
                <w:snapToGrid w:val="0"/>
                <w:color w:val="auto"/>
                <w:kern w:val="0"/>
                <w:sz w:val="22"/>
                <w:szCs w:val="22"/>
                <w:u w:val="none"/>
              </w:rPr>
              <w:t>投标保证保险投保截止时间：202</w:t>
            </w:r>
            <w:r>
              <w:rPr>
                <w:rFonts w:hint="eastAsia" w:ascii="宋体" w:hAnsi="宋体" w:eastAsia="宋体" w:cs="宋体"/>
                <w:snapToGrid w:val="0"/>
                <w:color w:val="auto"/>
                <w:kern w:val="0"/>
                <w:sz w:val="22"/>
                <w:szCs w:val="22"/>
                <w:u w:val="none"/>
                <w:lang w:val="en-US" w:eastAsia="zh-CN"/>
              </w:rPr>
              <w:t>5</w:t>
            </w:r>
            <w:r>
              <w:rPr>
                <w:rFonts w:hint="eastAsia" w:ascii="宋体" w:hAnsi="宋体" w:eastAsia="宋体" w:cs="宋体"/>
                <w:snapToGrid w:val="0"/>
                <w:color w:val="auto"/>
                <w:kern w:val="0"/>
                <w:sz w:val="22"/>
                <w:szCs w:val="22"/>
                <w:u w:val="none"/>
              </w:rPr>
              <w:t>年</w:t>
            </w:r>
            <w:r>
              <w:rPr>
                <w:rFonts w:hint="eastAsia" w:ascii="宋体" w:hAnsi="宋体" w:cs="宋体"/>
                <w:snapToGrid w:val="0"/>
                <w:color w:val="auto"/>
                <w:kern w:val="0"/>
                <w:sz w:val="22"/>
                <w:szCs w:val="22"/>
                <w:u w:val="none"/>
                <w:lang w:val="en-US" w:eastAsia="zh-CN"/>
              </w:rPr>
              <w:t>12</w:t>
            </w:r>
            <w:r>
              <w:rPr>
                <w:rFonts w:hint="eastAsia" w:ascii="宋体" w:hAnsi="宋体" w:eastAsia="宋体" w:cs="宋体"/>
                <w:snapToGrid w:val="0"/>
                <w:color w:val="auto"/>
                <w:kern w:val="0"/>
                <w:sz w:val="22"/>
                <w:szCs w:val="22"/>
                <w:u w:val="none"/>
              </w:rPr>
              <w:t>月</w:t>
            </w:r>
            <w:r>
              <w:rPr>
                <w:rFonts w:hint="eastAsia" w:ascii="宋体" w:hAnsi="宋体" w:cs="宋体"/>
                <w:snapToGrid w:val="0"/>
                <w:color w:val="auto"/>
                <w:kern w:val="0"/>
                <w:sz w:val="22"/>
                <w:szCs w:val="22"/>
                <w:u w:val="none"/>
                <w:lang w:val="en-US" w:eastAsia="zh-CN"/>
              </w:rPr>
              <w:t>09</w:t>
            </w:r>
            <w:r>
              <w:rPr>
                <w:rFonts w:hint="eastAsia" w:ascii="宋体" w:hAnsi="宋体" w:eastAsia="宋体" w:cs="宋体"/>
                <w:snapToGrid w:val="0"/>
                <w:color w:val="auto"/>
                <w:kern w:val="0"/>
                <w:sz w:val="22"/>
                <w:szCs w:val="22"/>
                <w:u w:val="none"/>
              </w:rPr>
              <w:t>日</w:t>
            </w:r>
            <w:r>
              <w:rPr>
                <w:rFonts w:hint="eastAsia" w:ascii="宋体" w:hAnsi="宋体" w:cs="宋体"/>
                <w:snapToGrid w:val="0"/>
                <w:color w:val="auto"/>
                <w:kern w:val="0"/>
                <w:sz w:val="22"/>
                <w:szCs w:val="22"/>
                <w:u w:val="none"/>
                <w:lang w:val="en-US" w:eastAsia="zh-CN"/>
              </w:rPr>
              <w:t>10</w:t>
            </w:r>
            <w:r>
              <w:rPr>
                <w:rFonts w:hint="eastAsia" w:ascii="宋体" w:hAnsi="宋体" w:eastAsia="宋体" w:cs="宋体"/>
                <w:snapToGrid w:val="0"/>
                <w:color w:val="auto"/>
                <w:kern w:val="0"/>
                <w:sz w:val="22"/>
                <w:szCs w:val="22"/>
                <w:u w:val="none"/>
              </w:rPr>
              <w:t>时</w:t>
            </w:r>
            <w:r>
              <w:rPr>
                <w:rFonts w:hint="eastAsia" w:ascii="宋体" w:hAnsi="宋体" w:cs="宋体"/>
                <w:snapToGrid w:val="0"/>
                <w:color w:val="auto"/>
                <w:kern w:val="0"/>
                <w:sz w:val="22"/>
                <w:szCs w:val="22"/>
                <w:u w:val="none"/>
                <w:lang w:val="en-US" w:eastAsia="zh-CN"/>
              </w:rPr>
              <w:t>00</w:t>
            </w:r>
            <w:r>
              <w:rPr>
                <w:rFonts w:hint="eastAsia" w:ascii="宋体" w:hAnsi="宋体" w:eastAsia="宋体" w:cs="宋体"/>
                <w:snapToGrid w:val="0"/>
                <w:color w:val="auto"/>
                <w:kern w:val="0"/>
                <w:sz w:val="22"/>
                <w:szCs w:val="22"/>
                <w:u w:val="none"/>
              </w:rPr>
              <w:t>分。</w:t>
            </w:r>
          </w:p>
        </w:tc>
      </w:tr>
      <w:tr w14:paraId="1B9CAC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40" w:hRule="exact"/>
        </w:trPr>
        <w:tc>
          <w:tcPr>
            <w:tcW w:w="669" w:type="dxa"/>
            <w:tcBorders>
              <w:top w:val="single" w:color="080000" w:sz="4" w:space="0"/>
              <w:left w:val="single" w:color="080000" w:sz="4" w:space="0"/>
              <w:bottom w:val="single" w:color="080000" w:sz="4" w:space="0"/>
              <w:right w:val="single" w:color="080000" w:sz="4" w:space="0"/>
            </w:tcBorders>
            <w:noWrap/>
            <w:vAlign w:val="center"/>
          </w:tcPr>
          <w:p w14:paraId="58068860">
            <w:pPr>
              <w:pStyle w:val="43"/>
              <w:wordWrap w:val="0"/>
              <w:adjustRightInd w:val="0"/>
              <w:snapToGrid w:val="0"/>
              <w:spacing w:line="360" w:lineRule="exact"/>
              <w:jc w:val="center"/>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6</w:t>
            </w:r>
          </w:p>
        </w:tc>
        <w:tc>
          <w:tcPr>
            <w:tcW w:w="1693" w:type="dxa"/>
            <w:tcBorders>
              <w:top w:val="single" w:color="080000" w:sz="4" w:space="0"/>
              <w:left w:val="single" w:color="080000" w:sz="4" w:space="0"/>
              <w:bottom w:val="single" w:color="080000" w:sz="4" w:space="0"/>
              <w:right w:val="single" w:color="080000" w:sz="4" w:space="0"/>
            </w:tcBorders>
            <w:noWrap/>
            <w:vAlign w:val="center"/>
          </w:tcPr>
          <w:p w14:paraId="2B7EDAE4">
            <w:pPr>
              <w:pStyle w:val="43"/>
              <w:wordWrap w:val="0"/>
              <w:adjustRightInd w:val="0"/>
              <w:snapToGrid w:val="0"/>
              <w:spacing w:line="360" w:lineRule="exact"/>
              <w:jc w:val="center"/>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电子投标</w:t>
            </w:r>
          </w:p>
          <w:p w14:paraId="1B33E65F">
            <w:pPr>
              <w:pStyle w:val="43"/>
              <w:wordWrap w:val="0"/>
              <w:adjustRightInd w:val="0"/>
              <w:snapToGrid w:val="0"/>
              <w:spacing w:line="360" w:lineRule="exact"/>
              <w:jc w:val="center"/>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 xml:space="preserve">截止时间 </w:t>
            </w:r>
          </w:p>
        </w:tc>
        <w:tc>
          <w:tcPr>
            <w:tcW w:w="7448" w:type="dxa"/>
            <w:tcBorders>
              <w:top w:val="single" w:color="080000" w:sz="4" w:space="0"/>
              <w:left w:val="single" w:color="080000" w:sz="4" w:space="0"/>
              <w:bottom w:val="single" w:color="080000" w:sz="4" w:space="0"/>
              <w:right w:val="single" w:color="080000" w:sz="4" w:space="0"/>
            </w:tcBorders>
            <w:noWrap/>
            <w:vAlign w:val="center"/>
          </w:tcPr>
          <w:p w14:paraId="6A481905">
            <w:pPr>
              <w:pStyle w:val="8"/>
              <w:wordWrap w:val="0"/>
              <w:adjustRightInd w:val="0"/>
              <w:snapToGrid w:val="0"/>
              <w:spacing w:line="400" w:lineRule="exact"/>
              <w:ind w:left="0" w:leftChars="0" w:firstLine="200" w:firstLineChars="91"/>
              <w:jc w:val="left"/>
              <w:rPr>
                <w:rFonts w:hint="eastAsia" w:ascii="宋体" w:hAnsi="宋体" w:eastAsia="宋体" w:cs="宋体"/>
                <w:snapToGrid w:val="0"/>
                <w:color w:val="auto"/>
                <w:kern w:val="0"/>
                <w:sz w:val="22"/>
                <w:szCs w:val="22"/>
                <w:u w:val="none"/>
              </w:rPr>
            </w:pPr>
            <w:r>
              <w:rPr>
                <w:rFonts w:hint="eastAsia" w:ascii="宋体" w:hAnsi="宋体" w:eastAsia="宋体" w:cs="宋体"/>
                <w:snapToGrid w:val="0"/>
                <w:color w:val="auto"/>
                <w:kern w:val="0"/>
                <w:sz w:val="22"/>
                <w:szCs w:val="21"/>
                <w:u w:val="none"/>
              </w:rPr>
              <w:t>202</w:t>
            </w:r>
            <w:r>
              <w:rPr>
                <w:rFonts w:hint="eastAsia" w:ascii="宋体" w:hAnsi="宋体" w:eastAsia="宋体" w:cs="宋体"/>
                <w:snapToGrid w:val="0"/>
                <w:color w:val="auto"/>
                <w:kern w:val="0"/>
                <w:sz w:val="22"/>
                <w:szCs w:val="21"/>
                <w:u w:val="none"/>
                <w:lang w:val="en-US" w:eastAsia="zh-CN"/>
              </w:rPr>
              <w:t>5</w:t>
            </w:r>
            <w:r>
              <w:rPr>
                <w:rFonts w:hint="eastAsia" w:ascii="宋体" w:hAnsi="宋体" w:eastAsia="宋体" w:cs="宋体"/>
                <w:snapToGrid w:val="0"/>
                <w:color w:val="auto"/>
                <w:kern w:val="0"/>
                <w:sz w:val="22"/>
                <w:szCs w:val="21"/>
                <w:u w:val="none"/>
              </w:rPr>
              <w:t>年</w:t>
            </w:r>
            <w:r>
              <w:rPr>
                <w:rFonts w:hint="eastAsia" w:hAnsi="宋体" w:cs="宋体"/>
                <w:snapToGrid w:val="0"/>
                <w:color w:val="auto"/>
                <w:kern w:val="0"/>
                <w:sz w:val="22"/>
                <w:szCs w:val="21"/>
                <w:u w:val="none"/>
                <w:lang w:val="en-US" w:eastAsia="zh-CN"/>
              </w:rPr>
              <w:t>12</w:t>
            </w:r>
            <w:r>
              <w:rPr>
                <w:rFonts w:hint="eastAsia" w:ascii="宋体" w:hAnsi="宋体" w:eastAsia="宋体" w:cs="宋体"/>
                <w:snapToGrid w:val="0"/>
                <w:color w:val="auto"/>
                <w:kern w:val="0"/>
                <w:sz w:val="22"/>
                <w:szCs w:val="21"/>
                <w:u w:val="none"/>
              </w:rPr>
              <w:t>月</w:t>
            </w:r>
            <w:r>
              <w:rPr>
                <w:rFonts w:hint="eastAsia" w:hAnsi="宋体" w:cs="宋体"/>
                <w:snapToGrid w:val="0"/>
                <w:color w:val="auto"/>
                <w:kern w:val="0"/>
                <w:sz w:val="22"/>
                <w:szCs w:val="21"/>
                <w:u w:val="none"/>
                <w:lang w:val="en-US" w:eastAsia="zh-CN"/>
              </w:rPr>
              <w:t>10</w:t>
            </w:r>
            <w:r>
              <w:rPr>
                <w:rFonts w:hint="eastAsia" w:ascii="宋体" w:hAnsi="宋体" w:eastAsia="宋体" w:cs="宋体"/>
                <w:snapToGrid w:val="0"/>
                <w:color w:val="auto"/>
                <w:kern w:val="0"/>
                <w:sz w:val="22"/>
                <w:szCs w:val="21"/>
                <w:u w:val="none"/>
              </w:rPr>
              <w:t>日</w:t>
            </w:r>
            <w:r>
              <w:rPr>
                <w:rFonts w:hint="eastAsia" w:hAnsi="宋体" w:cs="宋体"/>
                <w:snapToGrid w:val="0"/>
                <w:color w:val="auto"/>
                <w:kern w:val="0"/>
                <w:sz w:val="22"/>
                <w:szCs w:val="21"/>
                <w:u w:val="none"/>
                <w:lang w:val="en-US" w:eastAsia="zh-CN"/>
              </w:rPr>
              <w:t>10</w:t>
            </w:r>
            <w:r>
              <w:rPr>
                <w:rFonts w:hint="eastAsia" w:ascii="宋体" w:hAnsi="宋体" w:eastAsia="宋体" w:cs="宋体"/>
                <w:snapToGrid w:val="0"/>
                <w:color w:val="auto"/>
                <w:kern w:val="0"/>
                <w:sz w:val="22"/>
                <w:szCs w:val="21"/>
                <w:u w:val="none"/>
              </w:rPr>
              <w:t>时</w:t>
            </w:r>
            <w:r>
              <w:rPr>
                <w:rFonts w:hint="eastAsia" w:hAnsi="宋体" w:cs="宋体"/>
                <w:snapToGrid w:val="0"/>
                <w:color w:val="auto"/>
                <w:kern w:val="0"/>
                <w:sz w:val="22"/>
                <w:szCs w:val="21"/>
                <w:u w:val="none"/>
                <w:lang w:val="en-US" w:eastAsia="zh-CN"/>
              </w:rPr>
              <w:t>00</w:t>
            </w:r>
            <w:r>
              <w:rPr>
                <w:rFonts w:hint="eastAsia" w:ascii="宋体" w:hAnsi="宋体" w:eastAsia="宋体" w:cs="宋体"/>
                <w:snapToGrid w:val="0"/>
                <w:color w:val="auto"/>
                <w:kern w:val="0"/>
                <w:sz w:val="22"/>
                <w:szCs w:val="21"/>
                <w:u w:val="none"/>
              </w:rPr>
              <w:t>分</w:t>
            </w:r>
          </w:p>
        </w:tc>
      </w:tr>
      <w:tr w14:paraId="191A4D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42" w:hRule="exact"/>
        </w:trPr>
        <w:tc>
          <w:tcPr>
            <w:tcW w:w="669" w:type="dxa"/>
            <w:tcBorders>
              <w:top w:val="single" w:color="080000" w:sz="4" w:space="0"/>
              <w:left w:val="single" w:color="080000" w:sz="4" w:space="0"/>
              <w:bottom w:val="single" w:color="080000" w:sz="4" w:space="0"/>
              <w:right w:val="single" w:color="080000" w:sz="4" w:space="0"/>
            </w:tcBorders>
            <w:noWrap/>
            <w:vAlign w:val="center"/>
          </w:tcPr>
          <w:p w14:paraId="2F02E5A5">
            <w:pPr>
              <w:pStyle w:val="43"/>
              <w:wordWrap w:val="0"/>
              <w:adjustRightInd w:val="0"/>
              <w:snapToGrid w:val="0"/>
              <w:spacing w:line="360" w:lineRule="exact"/>
              <w:jc w:val="center"/>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7</w:t>
            </w:r>
          </w:p>
        </w:tc>
        <w:tc>
          <w:tcPr>
            <w:tcW w:w="1693" w:type="dxa"/>
            <w:tcBorders>
              <w:top w:val="single" w:color="080000" w:sz="4" w:space="0"/>
              <w:left w:val="single" w:color="080000" w:sz="4" w:space="0"/>
              <w:bottom w:val="single" w:color="080000" w:sz="4" w:space="0"/>
              <w:right w:val="single" w:color="080000" w:sz="4" w:space="0"/>
            </w:tcBorders>
            <w:noWrap/>
            <w:vAlign w:val="center"/>
          </w:tcPr>
          <w:p w14:paraId="08059860">
            <w:pPr>
              <w:pStyle w:val="43"/>
              <w:wordWrap w:val="0"/>
              <w:adjustRightInd w:val="0"/>
              <w:snapToGrid w:val="0"/>
              <w:spacing w:line="360" w:lineRule="exact"/>
              <w:jc w:val="center"/>
              <w:rPr>
                <w:rFonts w:hint="eastAsia" w:ascii="宋体" w:hAnsi="宋体" w:eastAsia="宋体" w:cs="宋体"/>
                <w:b w:val="0"/>
                <w:bCs w:val="0"/>
                <w:snapToGrid w:val="0"/>
                <w:color w:val="auto"/>
                <w:kern w:val="0"/>
                <w:sz w:val="22"/>
                <w:szCs w:val="22"/>
              </w:rPr>
            </w:pPr>
            <w:r>
              <w:rPr>
                <w:rFonts w:hint="eastAsia" w:ascii="宋体" w:hAnsi="宋体" w:eastAsia="宋体" w:cs="宋体"/>
                <w:b w:val="0"/>
                <w:bCs w:val="0"/>
                <w:snapToGrid w:val="0"/>
                <w:color w:val="auto"/>
                <w:kern w:val="0"/>
                <w:sz w:val="22"/>
                <w:szCs w:val="22"/>
              </w:rPr>
              <w:t>投标相关资料（如有）递交时间</w:t>
            </w:r>
          </w:p>
        </w:tc>
        <w:tc>
          <w:tcPr>
            <w:tcW w:w="7448" w:type="dxa"/>
            <w:tcBorders>
              <w:top w:val="single" w:color="080000" w:sz="4" w:space="0"/>
              <w:left w:val="single" w:color="080000" w:sz="4" w:space="0"/>
              <w:bottom w:val="single" w:color="080000" w:sz="4" w:space="0"/>
              <w:right w:val="single" w:color="080000" w:sz="4" w:space="0"/>
            </w:tcBorders>
            <w:noWrap/>
            <w:vAlign w:val="center"/>
          </w:tcPr>
          <w:p w14:paraId="0471C957">
            <w:pPr>
              <w:pStyle w:val="8"/>
              <w:wordWrap w:val="0"/>
              <w:adjustRightInd w:val="0"/>
              <w:snapToGrid w:val="0"/>
              <w:spacing w:line="400" w:lineRule="exact"/>
              <w:ind w:firstLine="220" w:firstLineChars="100"/>
              <w:jc w:val="left"/>
              <w:rPr>
                <w:rFonts w:hint="eastAsia" w:ascii="宋体" w:hAnsi="宋体" w:eastAsia="宋体" w:cs="宋体"/>
                <w:snapToGrid w:val="0"/>
                <w:color w:val="auto"/>
                <w:kern w:val="0"/>
                <w:sz w:val="22"/>
                <w:szCs w:val="22"/>
                <w:u w:val="none"/>
              </w:rPr>
            </w:pPr>
            <w:r>
              <w:rPr>
                <w:rFonts w:hint="eastAsia" w:ascii="宋体" w:hAnsi="宋体" w:eastAsia="宋体" w:cs="宋体"/>
                <w:snapToGrid w:val="0"/>
                <w:color w:val="auto"/>
                <w:kern w:val="0"/>
                <w:sz w:val="22"/>
                <w:szCs w:val="21"/>
                <w:u w:val="none"/>
              </w:rPr>
              <w:t>202</w:t>
            </w:r>
            <w:r>
              <w:rPr>
                <w:rFonts w:hint="eastAsia" w:ascii="宋体" w:hAnsi="宋体" w:eastAsia="宋体" w:cs="宋体"/>
                <w:snapToGrid w:val="0"/>
                <w:color w:val="auto"/>
                <w:kern w:val="0"/>
                <w:sz w:val="22"/>
                <w:szCs w:val="21"/>
                <w:u w:val="none"/>
                <w:lang w:val="en-US" w:eastAsia="zh-CN"/>
              </w:rPr>
              <w:t>5</w:t>
            </w:r>
            <w:r>
              <w:rPr>
                <w:rFonts w:hint="eastAsia" w:ascii="宋体" w:hAnsi="宋体" w:eastAsia="宋体" w:cs="宋体"/>
                <w:snapToGrid w:val="0"/>
                <w:color w:val="auto"/>
                <w:kern w:val="0"/>
                <w:sz w:val="22"/>
                <w:szCs w:val="21"/>
                <w:u w:val="none"/>
              </w:rPr>
              <w:t>年</w:t>
            </w:r>
            <w:r>
              <w:rPr>
                <w:rFonts w:hint="eastAsia" w:hAnsi="宋体" w:cs="宋体"/>
                <w:snapToGrid w:val="0"/>
                <w:color w:val="auto"/>
                <w:kern w:val="0"/>
                <w:sz w:val="22"/>
                <w:szCs w:val="21"/>
                <w:u w:val="none"/>
                <w:lang w:val="en-US" w:eastAsia="zh-CN"/>
              </w:rPr>
              <w:t>12</w:t>
            </w:r>
            <w:r>
              <w:rPr>
                <w:rFonts w:hint="eastAsia" w:ascii="宋体" w:hAnsi="宋体" w:eastAsia="宋体" w:cs="宋体"/>
                <w:snapToGrid w:val="0"/>
                <w:color w:val="auto"/>
                <w:kern w:val="0"/>
                <w:sz w:val="22"/>
                <w:szCs w:val="21"/>
                <w:u w:val="none"/>
              </w:rPr>
              <w:t>月</w:t>
            </w:r>
            <w:r>
              <w:rPr>
                <w:rFonts w:hint="eastAsia" w:hAnsi="宋体" w:cs="宋体"/>
                <w:snapToGrid w:val="0"/>
                <w:color w:val="auto"/>
                <w:kern w:val="0"/>
                <w:sz w:val="22"/>
                <w:szCs w:val="21"/>
                <w:u w:val="none"/>
                <w:lang w:val="en-US" w:eastAsia="zh-CN"/>
              </w:rPr>
              <w:t>10</w:t>
            </w:r>
            <w:r>
              <w:rPr>
                <w:rFonts w:hint="eastAsia" w:ascii="宋体" w:hAnsi="宋体" w:eastAsia="宋体" w:cs="宋体"/>
                <w:snapToGrid w:val="0"/>
                <w:color w:val="auto"/>
                <w:kern w:val="0"/>
                <w:sz w:val="22"/>
                <w:szCs w:val="21"/>
                <w:u w:val="none"/>
              </w:rPr>
              <w:t>日</w:t>
            </w:r>
            <w:r>
              <w:rPr>
                <w:rFonts w:hint="eastAsia" w:hAnsi="宋体" w:cs="宋体"/>
                <w:snapToGrid w:val="0"/>
                <w:color w:val="auto"/>
                <w:kern w:val="0"/>
                <w:sz w:val="22"/>
                <w:szCs w:val="21"/>
                <w:u w:val="none"/>
                <w:lang w:val="en-US" w:eastAsia="zh-CN"/>
              </w:rPr>
              <w:t>09</w:t>
            </w:r>
            <w:r>
              <w:rPr>
                <w:rFonts w:hint="eastAsia" w:ascii="宋体" w:hAnsi="宋体" w:eastAsia="宋体" w:cs="宋体"/>
                <w:snapToGrid w:val="0"/>
                <w:color w:val="auto"/>
                <w:kern w:val="0"/>
                <w:sz w:val="22"/>
                <w:szCs w:val="21"/>
                <w:u w:val="none"/>
              </w:rPr>
              <w:t>时</w:t>
            </w:r>
            <w:r>
              <w:rPr>
                <w:rFonts w:hint="eastAsia" w:hAnsi="宋体" w:cs="宋体"/>
                <w:snapToGrid w:val="0"/>
                <w:color w:val="auto"/>
                <w:kern w:val="0"/>
                <w:sz w:val="22"/>
                <w:szCs w:val="21"/>
                <w:u w:val="none"/>
                <w:lang w:val="en-US" w:eastAsia="zh-CN"/>
              </w:rPr>
              <w:t>30</w:t>
            </w:r>
            <w:r>
              <w:rPr>
                <w:rFonts w:hint="eastAsia" w:ascii="宋体" w:hAnsi="宋体" w:eastAsia="宋体" w:cs="宋体"/>
                <w:snapToGrid w:val="0"/>
                <w:color w:val="auto"/>
                <w:kern w:val="0"/>
                <w:sz w:val="22"/>
                <w:szCs w:val="21"/>
                <w:u w:val="none"/>
              </w:rPr>
              <w:t>分</w:t>
            </w:r>
            <w:r>
              <w:rPr>
                <w:rFonts w:hint="eastAsia" w:ascii="宋体" w:hAnsi="宋体" w:eastAsia="宋体" w:cs="宋体"/>
                <w:snapToGrid w:val="0"/>
                <w:color w:val="auto"/>
                <w:kern w:val="0"/>
                <w:sz w:val="22"/>
                <w:szCs w:val="22"/>
                <w:u w:val="none"/>
              </w:rPr>
              <w:t>至</w:t>
            </w:r>
            <w:r>
              <w:rPr>
                <w:rFonts w:hint="eastAsia" w:ascii="宋体" w:hAnsi="宋体" w:eastAsia="宋体" w:cs="宋体"/>
                <w:snapToGrid w:val="0"/>
                <w:color w:val="auto"/>
                <w:kern w:val="0"/>
                <w:sz w:val="22"/>
                <w:szCs w:val="21"/>
                <w:u w:val="none"/>
              </w:rPr>
              <w:t>202</w:t>
            </w:r>
            <w:r>
              <w:rPr>
                <w:rFonts w:hint="eastAsia" w:ascii="宋体" w:hAnsi="宋体" w:eastAsia="宋体" w:cs="宋体"/>
                <w:snapToGrid w:val="0"/>
                <w:color w:val="auto"/>
                <w:kern w:val="0"/>
                <w:sz w:val="22"/>
                <w:szCs w:val="21"/>
                <w:u w:val="none"/>
                <w:lang w:val="en-US" w:eastAsia="zh-CN"/>
              </w:rPr>
              <w:t>5</w:t>
            </w:r>
            <w:r>
              <w:rPr>
                <w:rFonts w:hint="eastAsia" w:ascii="宋体" w:hAnsi="宋体" w:eastAsia="宋体" w:cs="宋体"/>
                <w:snapToGrid w:val="0"/>
                <w:color w:val="auto"/>
                <w:kern w:val="0"/>
                <w:sz w:val="22"/>
                <w:szCs w:val="21"/>
                <w:u w:val="none"/>
              </w:rPr>
              <w:t>年</w:t>
            </w:r>
            <w:r>
              <w:rPr>
                <w:rFonts w:hint="eastAsia" w:hAnsi="宋体" w:cs="宋体"/>
                <w:snapToGrid w:val="0"/>
                <w:color w:val="auto"/>
                <w:kern w:val="0"/>
                <w:sz w:val="22"/>
                <w:szCs w:val="21"/>
                <w:u w:val="none"/>
                <w:lang w:val="en-US" w:eastAsia="zh-CN"/>
              </w:rPr>
              <w:t>12</w:t>
            </w:r>
            <w:r>
              <w:rPr>
                <w:rFonts w:hint="eastAsia" w:ascii="宋体" w:hAnsi="宋体" w:eastAsia="宋体" w:cs="宋体"/>
                <w:snapToGrid w:val="0"/>
                <w:color w:val="auto"/>
                <w:kern w:val="0"/>
                <w:sz w:val="22"/>
                <w:szCs w:val="21"/>
                <w:u w:val="none"/>
              </w:rPr>
              <w:t>月</w:t>
            </w:r>
            <w:r>
              <w:rPr>
                <w:rFonts w:hint="eastAsia" w:hAnsi="宋体" w:cs="宋体"/>
                <w:snapToGrid w:val="0"/>
                <w:color w:val="auto"/>
                <w:kern w:val="0"/>
                <w:sz w:val="22"/>
                <w:szCs w:val="21"/>
                <w:u w:val="none"/>
                <w:lang w:val="en-US" w:eastAsia="zh-CN"/>
              </w:rPr>
              <w:t>10</w:t>
            </w:r>
            <w:r>
              <w:rPr>
                <w:rFonts w:hint="eastAsia" w:ascii="宋体" w:hAnsi="宋体" w:eastAsia="宋体" w:cs="宋体"/>
                <w:snapToGrid w:val="0"/>
                <w:color w:val="auto"/>
                <w:kern w:val="0"/>
                <w:sz w:val="22"/>
                <w:szCs w:val="21"/>
                <w:u w:val="none"/>
              </w:rPr>
              <w:t>日</w:t>
            </w:r>
            <w:r>
              <w:rPr>
                <w:rFonts w:hint="eastAsia" w:hAnsi="宋体" w:cs="宋体"/>
                <w:snapToGrid w:val="0"/>
                <w:color w:val="auto"/>
                <w:kern w:val="0"/>
                <w:sz w:val="22"/>
                <w:szCs w:val="21"/>
                <w:u w:val="none"/>
                <w:lang w:val="en-US" w:eastAsia="zh-CN"/>
              </w:rPr>
              <w:t>10</w:t>
            </w:r>
            <w:r>
              <w:rPr>
                <w:rFonts w:hint="eastAsia" w:ascii="宋体" w:hAnsi="宋体" w:eastAsia="宋体" w:cs="宋体"/>
                <w:snapToGrid w:val="0"/>
                <w:color w:val="auto"/>
                <w:kern w:val="0"/>
                <w:sz w:val="22"/>
                <w:szCs w:val="21"/>
                <w:u w:val="none"/>
              </w:rPr>
              <w:t>时</w:t>
            </w:r>
            <w:r>
              <w:rPr>
                <w:rFonts w:hint="eastAsia" w:hAnsi="宋体" w:cs="宋体"/>
                <w:snapToGrid w:val="0"/>
                <w:color w:val="auto"/>
                <w:kern w:val="0"/>
                <w:sz w:val="22"/>
                <w:szCs w:val="21"/>
                <w:u w:val="none"/>
                <w:lang w:val="en-US" w:eastAsia="zh-CN"/>
              </w:rPr>
              <w:t>00</w:t>
            </w:r>
            <w:r>
              <w:rPr>
                <w:rFonts w:hint="eastAsia" w:ascii="宋体" w:hAnsi="宋体" w:eastAsia="宋体" w:cs="宋体"/>
                <w:snapToGrid w:val="0"/>
                <w:color w:val="auto"/>
                <w:kern w:val="0"/>
                <w:sz w:val="22"/>
                <w:szCs w:val="21"/>
                <w:u w:val="none"/>
              </w:rPr>
              <w:t>分</w:t>
            </w:r>
          </w:p>
        </w:tc>
      </w:tr>
      <w:tr w14:paraId="12A3B2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56" w:hRule="exact"/>
        </w:trPr>
        <w:tc>
          <w:tcPr>
            <w:tcW w:w="669" w:type="dxa"/>
            <w:tcBorders>
              <w:top w:val="single" w:color="080000" w:sz="4" w:space="0"/>
              <w:left w:val="single" w:color="080000" w:sz="4" w:space="0"/>
              <w:bottom w:val="single" w:color="080000" w:sz="4" w:space="0"/>
              <w:right w:val="single" w:color="080000" w:sz="4" w:space="0"/>
            </w:tcBorders>
            <w:noWrap/>
            <w:vAlign w:val="center"/>
          </w:tcPr>
          <w:p w14:paraId="7535E83F">
            <w:pPr>
              <w:pStyle w:val="43"/>
              <w:wordWrap w:val="0"/>
              <w:adjustRightInd w:val="0"/>
              <w:snapToGrid w:val="0"/>
              <w:spacing w:line="360" w:lineRule="exact"/>
              <w:jc w:val="center"/>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8</w:t>
            </w:r>
          </w:p>
        </w:tc>
        <w:tc>
          <w:tcPr>
            <w:tcW w:w="1693" w:type="dxa"/>
            <w:tcBorders>
              <w:top w:val="single" w:color="080000" w:sz="4" w:space="0"/>
              <w:left w:val="single" w:color="080000" w:sz="4" w:space="0"/>
              <w:bottom w:val="single" w:color="080000" w:sz="4" w:space="0"/>
              <w:right w:val="single" w:color="080000" w:sz="4" w:space="0"/>
            </w:tcBorders>
            <w:noWrap/>
            <w:vAlign w:val="center"/>
          </w:tcPr>
          <w:p w14:paraId="62DE7B8E">
            <w:pPr>
              <w:pStyle w:val="43"/>
              <w:wordWrap w:val="0"/>
              <w:adjustRightInd w:val="0"/>
              <w:snapToGrid w:val="0"/>
              <w:spacing w:line="360" w:lineRule="exact"/>
              <w:jc w:val="center"/>
              <w:rPr>
                <w:rFonts w:hint="eastAsia" w:ascii="宋体" w:hAnsi="宋体" w:eastAsia="宋体" w:cs="宋体"/>
                <w:b w:val="0"/>
                <w:bCs w:val="0"/>
                <w:snapToGrid w:val="0"/>
                <w:color w:val="auto"/>
                <w:kern w:val="0"/>
                <w:sz w:val="22"/>
                <w:szCs w:val="22"/>
              </w:rPr>
            </w:pPr>
            <w:r>
              <w:rPr>
                <w:rFonts w:hint="eastAsia" w:ascii="宋体" w:hAnsi="宋体" w:eastAsia="宋体" w:cs="宋体"/>
                <w:b w:val="0"/>
                <w:bCs w:val="0"/>
                <w:snapToGrid w:val="0"/>
                <w:color w:val="auto"/>
                <w:kern w:val="0"/>
                <w:sz w:val="22"/>
                <w:szCs w:val="22"/>
              </w:rPr>
              <w:t>投标相关资料（如有）递交地点</w:t>
            </w:r>
          </w:p>
        </w:tc>
        <w:tc>
          <w:tcPr>
            <w:tcW w:w="7448" w:type="dxa"/>
            <w:tcBorders>
              <w:top w:val="single" w:color="080000" w:sz="4" w:space="0"/>
              <w:left w:val="single" w:color="080000" w:sz="4" w:space="0"/>
              <w:bottom w:val="single" w:color="080000" w:sz="4" w:space="0"/>
              <w:right w:val="single" w:color="080000" w:sz="4" w:space="0"/>
            </w:tcBorders>
            <w:noWrap/>
            <w:vAlign w:val="center"/>
          </w:tcPr>
          <w:p w14:paraId="5A90359A">
            <w:pPr>
              <w:pStyle w:val="8"/>
              <w:keepNext w:val="0"/>
              <w:keepLines w:val="0"/>
              <w:pageBreakBefore w:val="0"/>
              <w:widowControl w:val="0"/>
              <w:kinsoku/>
              <w:wordWrap w:val="0"/>
              <w:overflowPunct/>
              <w:topLinePunct w:val="0"/>
              <w:autoSpaceDE/>
              <w:autoSpaceDN/>
              <w:bidi w:val="0"/>
              <w:adjustRightInd w:val="0"/>
              <w:snapToGrid w:val="0"/>
              <w:spacing w:line="400" w:lineRule="exact"/>
              <w:ind w:firstLine="220" w:firstLineChars="100"/>
              <w:jc w:val="left"/>
              <w:textAlignment w:val="auto"/>
              <w:rPr>
                <w:rFonts w:hint="eastAsia" w:ascii="宋体" w:hAnsi="宋体" w:eastAsia="宋体" w:cs="宋体"/>
                <w:snapToGrid w:val="0"/>
                <w:color w:val="auto"/>
                <w:kern w:val="0"/>
                <w:sz w:val="22"/>
                <w:szCs w:val="22"/>
                <w:u w:val="none"/>
              </w:rPr>
            </w:pPr>
            <w:r>
              <w:rPr>
                <w:rFonts w:hint="eastAsia" w:ascii="宋体" w:hAnsi="宋体" w:eastAsia="宋体" w:cs="宋体"/>
                <w:snapToGrid w:val="0"/>
                <w:color w:val="auto"/>
                <w:kern w:val="0"/>
                <w:sz w:val="22"/>
                <w:szCs w:val="22"/>
                <w:u w:val="none"/>
              </w:rPr>
              <w:t>递交场所：韶关市公共资源交易中心新丰分中心，</w:t>
            </w:r>
          </w:p>
          <w:p w14:paraId="02EF8CE0">
            <w:pPr>
              <w:pStyle w:val="8"/>
              <w:keepNext w:val="0"/>
              <w:keepLines w:val="0"/>
              <w:pageBreakBefore w:val="0"/>
              <w:widowControl w:val="0"/>
              <w:kinsoku/>
              <w:wordWrap w:val="0"/>
              <w:overflowPunct/>
              <w:topLinePunct w:val="0"/>
              <w:autoSpaceDE/>
              <w:autoSpaceDN/>
              <w:bidi w:val="0"/>
              <w:adjustRightInd w:val="0"/>
              <w:snapToGrid w:val="0"/>
              <w:spacing w:line="400" w:lineRule="exact"/>
              <w:ind w:firstLine="220" w:firstLineChars="100"/>
              <w:jc w:val="left"/>
              <w:textAlignment w:val="auto"/>
              <w:rPr>
                <w:rFonts w:hint="eastAsia" w:ascii="宋体" w:hAnsi="宋体" w:eastAsia="宋体" w:cs="宋体"/>
                <w:snapToGrid w:val="0"/>
                <w:color w:val="auto"/>
                <w:kern w:val="0"/>
                <w:sz w:val="22"/>
                <w:szCs w:val="22"/>
                <w:u w:val="none"/>
              </w:rPr>
            </w:pPr>
            <w:r>
              <w:rPr>
                <w:rFonts w:hint="eastAsia" w:ascii="宋体" w:hAnsi="宋体" w:eastAsia="宋体" w:cs="宋体"/>
                <w:snapToGrid w:val="0"/>
                <w:color w:val="auto"/>
                <w:kern w:val="0"/>
                <w:sz w:val="22"/>
                <w:szCs w:val="22"/>
                <w:u w:val="none"/>
              </w:rPr>
              <w:t>地址：新丰县丰城街道金园路53号行政服务中心5楼（韶关市公共资源交易中心新丰分中心），具体开标室以当日现场通知为准。</w:t>
            </w:r>
          </w:p>
        </w:tc>
      </w:tr>
      <w:tr w14:paraId="12B05D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92" w:hRule="exact"/>
        </w:trPr>
        <w:tc>
          <w:tcPr>
            <w:tcW w:w="669" w:type="dxa"/>
            <w:tcBorders>
              <w:top w:val="single" w:color="080000" w:sz="4" w:space="0"/>
              <w:left w:val="single" w:color="080000" w:sz="4" w:space="0"/>
              <w:bottom w:val="single" w:color="080000" w:sz="4" w:space="0"/>
              <w:right w:val="single" w:color="080000" w:sz="4" w:space="0"/>
            </w:tcBorders>
            <w:noWrap/>
            <w:vAlign w:val="center"/>
          </w:tcPr>
          <w:p w14:paraId="6FC6DE65">
            <w:pPr>
              <w:pStyle w:val="43"/>
              <w:wordWrap w:val="0"/>
              <w:adjustRightInd w:val="0"/>
              <w:snapToGrid w:val="0"/>
              <w:spacing w:line="360" w:lineRule="exact"/>
              <w:jc w:val="center"/>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9</w:t>
            </w:r>
          </w:p>
        </w:tc>
        <w:tc>
          <w:tcPr>
            <w:tcW w:w="1693" w:type="dxa"/>
            <w:tcBorders>
              <w:top w:val="single" w:color="080000" w:sz="4" w:space="0"/>
              <w:left w:val="single" w:color="080000" w:sz="4" w:space="0"/>
              <w:bottom w:val="single" w:color="080000" w:sz="4" w:space="0"/>
              <w:right w:val="single" w:color="080000" w:sz="4" w:space="0"/>
            </w:tcBorders>
            <w:noWrap/>
            <w:vAlign w:val="center"/>
          </w:tcPr>
          <w:p w14:paraId="31B1BA86">
            <w:pPr>
              <w:pStyle w:val="43"/>
              <w:wordWrap w:val="0"/>
              <w:adjustRightInd w:val="0"/>
              <w:snapToGrid w:val="0"/>
              <w:spacing w:line="360" w:lineRule="exact"/>
              <w:jc w:val="center"/>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 xml:space="preserve">开标时间 </w:t>
            </w:r>
          </w:p>
        </w:tc>
        <w:tc>
          <w:tcPr>
            <w:tcW w:w="7448" w:type="dxa"/>
            <w:tcBorders>
              <w:top w:val="single" w:color="080000" w:sz="4" w:space="0"/>
              <w:left w:val="single" w:color="080000" w:sz="4" w:space="0"/>
              <w:bottom w:val="single" w:color="080000" w:sz="4" w:space="0"/>
              <w:right w:val="single" w:color="080000" w:sz="4" w:space="0"/>
            </w:tcBorders>
            <w:noWrap/>
            <w:vAlign w:val="center"/>
          </w:tcPr>
          <w:p w14:paraId="053AF3B9">
            <w:pPr>
              <w:pStyle w:val="8"/>
              <w:wordWrap w:val="0"/>
              <w:adjustRightInd w:val="0"/>
              <w:snapToGrid w:val="0"/>
              <w:spacing w:line="400" w:lineRule="exact"/>
              <w:ind w:left="0" w:leftChars="0" w:firstLine="200" w:firstLineChars="91"/>
              <w:jc w:val="left"/>
              <w:rPr>
                <w:rFonts w:hint="eastAsia" w:ascii="宋体" w:hAnsi="宋体" w:eastAsia="宋体" w:cs="宋体"/>
                <w:snapToGrid w:val="0"/>
                <w:color w:val="auto"/>
                <w:kern w:val="0"/>
                <w:sz w:val="22"/>
                <w:szCs w:val="22"/>
                <w:u w:val="none"/>
              </w:rPr>
            </w:pPr>
            <w:r>
              <w:rPr>
                <w:rFonts w:hint="eastAsia" w:ascii="宋体" w:hAnsi="宋体" w:eastAsia="宋体" w:cs="宋体"/>
                <w:snapToGrid w:val="0"/>
                <w:color w:val="auto"/>
                <w:kern w:val="0"/>
                <w:sz w:val="22"/>
                <w:szCs w:val="21"/>
                <w:u w:val="none"/>
              </w:rPr>
              <w:t>202</w:t>
            </w:r>
            <w:r>
              <w:rPr>
                <w:rFonts w:hint="eastAsia" w:ascii="宋体" w:hAnsi="宋体" w:eastAsia="宋体" w:cs="宋体"/>
                <w:snapToGrid w:val="0"/>
                <w:color w:val="auto"/>
                <w:kern w:val="0"/>
                <w:sz w:val="22"/>
                <w:szCs w:val="21"/>
                <w:u w:val="none"/>
                <w:lang w:val="en-US" w:eastAsia="zh-CN"/>
              </w:rPr>
              <w:t>5</w:t>
            </w:r>
            <w:r>
              <w:rPr>
                <w:rFonts w:hint="eastAsia" w:ascii="宋体" w:hAnsi="宋体" w:eastAsia="宋体" w:cs="宋体"/>
                <w:snapToGrid w:val="0"/>
                <w:color w:val="auto"/>
                <w:kern w:val="0"/>
                <w:sz w:val="22"/>
                <w:szCs w:val="21"/>
                <w:u w:val="none"/>
              </w:rPr>
              <w:t>年</w:t>
            </w:r>
            <w:r>
              <w:rPr>
                <w:rFonts w:hint="eastAsia" w:hAnsi="宋体" w:cs="宋体"/>
                <w:snapToGrid w:val="0"/>
                <w:color w:val="auto"/>
                <w:kern w:val="0"/>
                <w:sz w:val="22"/>
                <w:szCs w:val="21"/>
                <w:u w:val="none"/>
                <w:lang w:val="en-US" w:eastAsia="zh-CN"/>
              </w:rPr>
              <w:t>12</w:t>
            </w:r>
            <w:r>
              <w:rPr>
                <w:rFonts w:hint="eastAsia" w:ascii="宋体" w:hAnsi="宋体" w:eastAsia="宋体" w:cs="宋体"/>
                <w:snapToGrid w:val="0"/>
                <w:color w:val="auto"/>
                <w:kern w:val="0"/>
                <w:sz w:val="22"/>
                <w:szCs w:val="21"/>
                <w:u w:val="none"/>
              </w:rPr>
              <w:t>月</w:t>
            </w:r>
            <w:r>
              <w:rPr>
                <w:rFonts w:hint="eastAsia" w:hAnsi="宋体" w:cs="宋体"/>
                <w:snapToGrid w:val="0"/>
                <w:color w:val="auto"/>
                <w:kern w:val="0"/>
                <w:sz w:val="22"/>
                <w:szCs w:val="21"/>
                <w:u w:val="none"/>
                <w:lang w:val="en-US" w:eastAsia="zh-CN"/>
              </w:rPr>
              <w:t>10</w:t>
            </w:r>
            <w:r>
              <w:rPr>
                <w:rFonts w:hint="eastAsia" w:ascii="宋体" w:hAnsi="宋体" w:eastAsia="宋体" w:cs="宋体"/>
                <w:snapToGrid w:val="0"/>
                <w:color w:val="auto"/>
                <w:kern w:val="0"/>
                <w:sz w:val="22"/>
                <w:szCs w:val="21"/>
                <w:u w:val="none"/>
              </w:rPr>
              <w:t>日</w:t>
            </w:r>
            <w:r>
              <w:rPr>
                <w:rFonts w:hint="eastAsia" w:hAnsi="宋体" w:cs="宋体"/>
                <w:snapToGrid w:val="0"/>
                <w:color w:val="auto"/>
                <w:kern w:val="0"/>
                <w:sz w:val="22"/>
                <w:szCs w:val="21"/>
                <w:u w:val="none"/>
                <w:lang w:val="en-US" w:eastAsia="zh-CN"/>
              </w:rPr>
              <w:t>10</w:t>
            </w:r>
            <w:r>
              <w:rPr>
                <w:rFonts w:hint="eastAsia" w:ascii="宋体" w:hAnsi="宋体" w:eastAsia="宋体" w:cs="宋体"/>
                <w:snapToGrid w:val="0"/>
                <w:color w:val="auto"/>
                <w:kern w:val="0"/>
                <w:sz w:val="22"/>
                <w:szCs w:val="21"/>
                <w:u w:val="none"/>
              </w:rPr>
              <w:t>时</w:t>
            </w:r>
            <w:r>
              <w:rPr>
                <w:rFonts w:hint="eastAsia" w:hAnsi="宋体" w:cs="宋体"/>
                <w:snapToGrid w:val="0"/>
                <w:color w:val="auto"/>
                <w:kern w:val="0"/>
                <w:sz w:val="22"/>
                <w:szCs w:val="21"/>
                <w:u w:val="none"/>
                <w:lang w:val="en-US" w:eastAsia="zh-CN"/>
              </w:rPr>
              <w:t>00</w:t>
            </w:r>
            <w:r>
              <w:rPr>
                <w:rFonts w:hint="eastAsia" w:ascii="宋体" w:hAnsi="宋体" w:eastAsia="宋体" w:cs="宋体"/>
                <w:snapToGrid w:val="0"/>
                <w:color w:val="auto"/>
                <w:kern w:val="0"/>
                <w:sz w:val="22"/>
                <w:szCs w:val="21"/>
                <w:u w:val="none"/>
              </w:rPr>
              <w:t>分</w:t>
            </w:r>
            <w:bookmarkStart w:id="128" w:name="_GoBack"/>
            <w:bookmarkEnd w:id="128"/>
          </w:p>
        </w:tc>
      </w:tr>
      <w:tr w14:paraId="4AF57C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46" w:hRule="exact"/>
        </w:trPr>
        <w:tc>
          <w:tcPr>
            <w:tcW w:w="669" w:type="dxa"/>
            <w:tcBorders>
              <w:top w:val="single" w:color="080000" w:sz="4" w:space="0"/>
              <w:left w:val="single" w:color="080000" w:sz="4" w:space="0"/>
              <w:bottom w:val="single" w:color="080000" w:sz="4" w:space="0"/>
              <w:right w:val="single" w:color="080000" w:sz="4" w:space="0"/>
            </w:tcBorders>
            <w:noWrap/>
            <w:vAlign w:val="center"/>
          </w:tcPr>
          <w:p w14:paraId="5C2009D2">
            <w:pPr>
              <w:pStyle w:val="43"/>
              <w:wordWrap w:val="0"/>
              <w:adjustRightInd w:val="0"/>
              <w:snapToGrid w:val="0"/>
              <w:spacing w:line="360" w:lineRule="exact"/>
              <w:jc w:val="center"/>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10</w:t>
            </w:r>
          </w:p>
        </w:tc>
        <w:tc>
          <w:tcPr>
            <w:tcW w:w="1693" w:type="dxa"/>
            <w:tcBorders>
              <w:top w:val="single" w:color="080000" w:sz="4" w:space="0"/>
              <w:left w:val="single" w:color="080000" w:sz="4" w:space="0"/>
              <w:bottom w:val="single" w:color="080000" w:sz="4" w:space="0"/>
              <w:right w:val="single" w:color="080000" w:sz="4" w:space="0"/>
            </w:tcBorders>
            <w:noWrap/>
            <w:vAlign w:val="center"/>
          </w:tcPr>
          <w:p w14:paraId="3613E034">
            <w:pPr>
              <w:pStyle w:val="43"/>
              <w:wordWrap w:val="0"/>
              <w:adjustRightInd w:val="0"/>
              <w:snapToGrid w:val="0"/>
              <w:spacing w:line="360" w:lineRule="exact"/>
              <w:jc w:val="center"/>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 xml:space="preserve">开标地点 </w:t>
            </w:r>
          </w:p>
        </w:tc>
        <w:tc>
          <w:tcPr>
            <w:tcW w:w="7448" w:type="dxa"/>
            <w:tcBorders>
              <w:top w:val="single" w:color="080000" w:sz="4" w:space="0"/>
              <w:left w:val="single" w:color="080000" w:sz="4" w:space="0"/>
              <w:bottom w:val="single" w:color="080000" w:sz="4" w:space="0"/>
              <w:right w:val="single" w:color="080000" w:sz="4" w:space="0"/>
            </w:tcBorders>
            <w:noWrap/>
            <w:vAlign w:val="center"/>
          </w:tcPr>
          <w:p w14:paraId="4AA1BC46">
            <w:pPr>
              <w:pStyle w:val="8"/>
              <w:keepNext w:val="0"/>
              <w:keepLines w:val="0"/>
              <w:pageBreakBefore w:val="0"/>
              <w:widowControl w:val="0"/>
              <w:kinsoku/>
              <w:wordWrap w:val="0"/>
              <w:overflowPunct/>
              <w:topLinePunct w:val="0"/>
              <w:autoSpaceDE/>
              <w:autoSpaceDN/>
              <w:bidi w:val="0"/>
              <w:adjustRightInd w:val="0"/>
              <w:snapToGrid w:val="0"/>
              <w:spacing w:line="400" w:lineRule="exact"/>
              <w:ind w:firstLine="220" w:firstLineChars="100"/>
              <w:jc w:val="left"/>
              <w:textAlignment w:val="auto"/>
              <w:rPr>
                <w:rFonts w:hint="eastAsia" w:ascii="宋体" w:hAnsi="宋体" w:eastAsia="宋体" w:cs="宋体"/>
                <w:snapToGrid w:val="0"/>
                <w:color w:val="auto"/>
                <w:kern w:val="0"/>
                <w:sz w:val="22"/>
                <w:szCs w:val="22"/>
                <w:u w:val="none"/>
              </w:rPr>
            </w:pPr>
            <w:r>
              <w:rPr>
                <w:rFonts w:hint="eastAsia" w:ascii="宋体" w:hAnsi="宋体" w:eastAsia="宋体" w:cs="宋体"/>
                <w:snapToGrid w:val="0"/>
                <w:color w:val="auto"/>
                <w:kern w:val="0"/>
                <w:sz w:val="22"/>
                <w:szCs w:val="22"/>
                <w:u w:val="none"/>
              </w:rPr>
              <w:t>开标场所：韶关市公共资源交易中心新丰分中心，</w:t>
            </w:r>
          </w:p>
          <w:p w14:paraId="7301C009">
            <w:pPr>
              <w:pStyle w:val="8"/>
              <w:keepNext w:val="0"/>
              <w:keepLines w:val="0"/>
              <w:pageBreakBefore w:val="0"/>
              <w:widowControl w:val="0"/>
              <w:kinsoku/>
              <w:wordWrap w:val="0"/>
              <w:overflowPunct/>
              <w:topLinePunct w:val="0"/>
              <w:autoSpaceDE/>
              <w:autoSpaceDN/>
              <w:bidi w:val="0"/>
              <w:adjustRightInd w:val="0"/>
              <w:snapToGrid w:val="0"/>
              <w:spacing w:line="400" w:lineRule="exact"/>
              <w:ind w:firstLine="220" w:firstLineChars="100"/>
              <w:jc w:val="left"/>
              <w:textAlignment w:val="auto"/>
              <w:rPr>
                <w:rFonts w:hint="eastAsia" w:ascii="宋体" w:hAnsi="宋体" w:eastAsia="宋体" w:cs="宋体"/>
                <w:snapToGrid w:val="0"/>
                <w:color w:val="auto"/>
                <w:kern w:val="0"/>
                <w:sz w:val="22"/>
                <w:szCs w:val="22"/>
                <w:u w:val="none"/>
                <w:lang w:eastAsia="zh-CN"/>
              </w:rPr>
            </w:pPr>
            <w:r>
              <w:rPr>
                <w:rFonts w:hint="eastAsia" w:ascii="宋体" w:hAnsi="宋体" w:eastAsia="宋体" w:cs="宋体"/>
                <w:snapToGrid w:val="0"/>
                <w:color w:val="auto"/>
                <w:kern w:val="0"/>
                <w:sz w:val="22"/>
                <w:szCs w:val="22"/>
                <w:u w:val="none"/>
              </w:rPr>
              <w:t>地址：新丰县丰城街道金园路53号行政服务中心5楼（韶关市公共资源交易中心新丰分中心），具体开标室以当日现场通知为准</w:t>
            </w:r>
            <w:r>
              <w:rPr>
                <w:rFonts w:hint="eastAsia" w:ascii="宋体" w:hAnsi="宋体" w:eastAsia="宋体" w:cs="宋体"/>
                <w:snapToGrid w:val="0"/>
                <w:color w:val="auto"/>
                <w:kern w:val="0"/>
                <w:sz w:val="22"/>
                <w:szCs w:val="22"/>
                <w:u w:val="none"/>
                <w:lang w:eastAsia="zh-CN"/>
              </w:rPr>
              <w:t>。</w:t>
            </w:r>
          </w:p>
        </w:tc>
      </w:tr>
    </w:tbl>
    <w:p w14:paraId="509A04E6">
      <w:pPr>
        <w:rPr>
          <w:rFonts w:hint="eastAsia"/>
          <w:color w:val="auto"/>
          <w:sz w:val="22"/>
          <w:szCs w:val="24"/>
          <w:highlight w:val="none"/>
        </w:rPr>
      </w:pPr>
    </w:p>
    <w:p w14:paraId="637F0372">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备注：投标人应按有关计划时间安排办理企业CA认证、企业入库等，完成相关手续后自行下载招标文件、资料文件及招标答疑书等。若由于投标人自身原因未能及时取得上述资料的，由此发生的任何责任由投标人自负。</w:t>
      </w:r>
    </w:p>
    <w:p w14:paraId="02AA2E3B">
      <w:pPr>
        <w:pStyle w:val="18"/>
        <w:keepNext w:val="0"/>
        <w:keepLines w:val="0"/>
        <w:pageBreakBefore w:val="0"/>
        <w:widowControl w:val="0"/>
        <w:kinsoku/>
        <w:wordWrap/>
        <w:overflowPunct/>
        <w:topLinePunct w:val="0"/>
        <w:autoSpaceDE/>
        <w:autoSpaceDN/>
        <w:bidi w:val="0"/>
        <w:adjustRightInd/>
        <w:snapToGrid/>
        <w:spacing w:before="0" w:after="0"/>
        <w:textAlignment w:val="auto"/>
        <w:rPr>
          <w:rFonts w:cs="宋体" w:asciiTheme="majorEastAsia" w:hAnsiTheme="majorEastAsia" w:eastAsiaTheme="majorEastAsia"/>
          <w:b w:val="0"/>
          <w:color w:val="auto"/>
          <w:highlight w:val="none"/>
        </w:rPr>
      </w:pPr>
      <w:r>
        <w:rPr>
          <w:rFonts w:cs="宋体" w:asciiTheme="majorEastAsia" w:hAnsiTheme="majorEastAsia" w:eastAsiaTheme="majorEastAsia"/>
          <w:color w:val="auto"/>
          <w:highlight w:val="none"/>
        </w:rPr>
        <w:br w:type="page"/>
      </w:r>
      <w:bookmarkStart w:id="4" w:name="_Toc23739"/>
      <w:r>
        <w:rPr>
          <w:rFonts w:hint="eastAsia" w:cs="宋体" w:asciiTheme="majorEastAsia" w:hAnsiTheme="majorEastAsia" w:eastAsiaTheme="majorEastAsia"/>
          <w:color w:val="auto"/>
          <w:highlight w:val="none"/>
        </w:rPr>
        <w:t>第二章投标人须知</w:t>
      </w:r>
      <w:bookmarkEnd w:id="4"/>
    </w:p>
    <w:p w14:paraId="154A2878">
      <w:pPr>
        <w:keepNext/>
        <w:keepLines/>
        <w:spacing w:line="360" w:lineRule="auto"/>
        <w:jc w:val="center"/>
        <w:rPr>
          <w:rFonts w:cs="宋体" w:asciiTheme="majorEastAsia" w:hAnsiTheme="majorEastAsia" w:eastAsiaTheme="majorEastAsia"/>
          <w:b/>
          <w:color w:val="auto"/>
          <w:sz w:val="32"/>
          <w:highlight w:val="none"/>
        </w:rPr>
      </w:pPr>
      <w:r>
        <w:rPr>
          <w:rFonts w:hint="eastAsia" w:cs="宋体" w:asciiTheme="majorEastAsia" w:hAnsiTheme="majorEastAsia" w:eastAsiaTheme="majorEastAsia"/>
          <w:b/>
          <w:color w:val="auto"/>
          <w:sz w:val="32"/>
          <w:highlight w:val="none"/>
        </w:rPr>
        <w:t>投标人须知前附表</w:t>
      </w:r>
    </w:p>
    <w:tbl>
      <w:tblPr>
        <w:tblStyle w:val="20"/>
        <w:tblW w:w="10710" w:type="dxa"/>
        <w:jc w:val="center"/>
        <w:tblLayout w:type="autofit"/>
        <w:tblCellMar>
          <w:top w:w="0" w:type="dxa"/>
          <w:left w:w="10" w:type="dxa"/>
          <w:bottom w:w="0" w:type="dxa"/>
          <w:right w:w="10" w:type="dxa"/>
        </w:tblCellMar>
      </w:tblPr>
      <w:tblGrid>
        <w:gridCol w:w="1012"/>
        <w:gridCol w:w="1847"/>
        <w:gridCol w:w="7851"/>
      </w:tblGrid>
      <w:tr w14:paraId="1111387B">
        <w:tblPrEx>
          <w:tblCellMar>
            <w:top w:w="0" w:type="dxa"/>
            <w:left w:w="10" w:type="dxa"/>
            <w:bottom w:w="0" w:type="dxa"/>
            <w:right w:w="10" w:type="dxa"/>
          </w:tblCellMar>
        </w:tblPrEx>
        <w:trPr>
          <w:trHeight w:val="59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87AD14">
            <w:pPr>
              <w:spacing w:line="360" w:lineRule="auto"/>
              <w:ind w:left="-9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条款号</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5AD5AC">
            <w:pPr>
              <w:spacing w:line="360" w:lineRule="auto"/>
              <w:ind w:left="-9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条款名称</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CC6157">
            <w:pPr>
              <w:spacing w:line="360" w:lineRule="auto"/>
              <w:ind w:left="-9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编  列  内  容</w:t>
            </w:r>
          </w:p>
        </w:tc>
      </w:tr>
      <w:tr w14:paraId="0FA1BBD9">
        <w:tblPrEx>
          <w:tblCellMar>
            <w:top w:w="0" w:type="dxa"/>
            <w:left w:w="10" w:type="dxa"/>
            <w:bottom w:w="0" w:type="dxa"/>
            <w:right w:w="10" w:type="dxa"/>
          </w:tblCellMar>
        </w:tblPrEx>
        <w:trPr>
          <w:trHeight w:val="45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DF2488">
            <w:pPr>
              <w:spacing w:line="360" w:lineRule="auto"/>
              <w:ind w:left="-9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1.1.2</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F6766A">
            <w:pPr>
              <w:spacing w:line="360" w:lineRule="auto"/>
              <w:ind w:left="-9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招标人</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EC2E94">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新丰县产业转移工业园管理委员会</w:t>
            </w:r>
          </w:p>
        </w:tc>
      </w:tr>
      <w:tr w14:paraId="1428BE53">
        <w:tblPrEx>
          <w:tblCellMar>
            <w:top w:w="0" w:type="dxa"/>
            <w:left w:w="10" w:type="dxa"/>
            <w:bottom w:w="0" w:type="dxa"/>
            <w:right w:w="10" w:type="dxa"/>
          </w:tblCellMar>
        </w:tblPrEx>
        <w:trPr>
          <w:trHeight w:val="468"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E15E31">
            <w:pPr>
              <w:spacing w:line="360" w:lineRule="auto"/>
              <w:ind w:left="-9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1.1.3</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243688">
            <w:pPr>
              <w:spacing w:line="360" w:lineRule="auto"/>
              <w:ind w:left="-9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招标代理机构</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9EE4BB">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广东省广大工程顾问有限公司</w:t>
            </w:r>
          </w:p>
        </w:tc>
      </w:tr>
      <w:tr w14:paraId="740C7903">
        <w:tblPrEx>
          <w:tblCellMar>
            <w:top w:w="0" w:type="dxa"/>
            <w:left w:w="10" w:type="dxa"/>
            <w:bottom w:w="0" w:type="dxa"/>
            <w:right w:w="10" w:type="dxa"/>
          </w:tblCellMar>
        </w:tblPrEx>
        <w:trPr>
          <w:trHeight w:val="465"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E6890E">
            <w:pPr>
              <w:spacing w:line="360" w:lineRule="auto"/>
              <w:ind w:left="-9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1.1.4</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672937">
            <w:pPr>
              <w:spacing w:line="360" w:lineRule="auto"/>
              <w:ind w:left="-90" w:firstLine="9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1F8508">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欧公洞水水系（回龙工业园段）整治工程施工</w:t>
            </w:r>
          </w:p>
        </w:tc>
      </w:tr>
      <w:tr w14:paraId="2AA45819">
        <w:tblPrEx>
          <w:tblCellMar>
            <w:top w:w="0" w:type="dxa"/>
            <w:left w:w="10" w:type="dxa"/>
            <w:bottom w:w="0" w:type="dxa"/>
            <w:right w:w="10" w:type="dxa"/>
          </w:tblCellMar>
        </w:tblPrEx>
        <w:trPr>
          <w:trHeight w:val="494"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6A3FF8">
            <w:pPr>
              <w:spacing w:line="360" w:lineRule="auto"/>
              <w:ind w:left="-9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1.1.5</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7AAEB7">
            <w:pPr>
              <w:spacing w:line="360" w:lineRule="auto"/>
              <w:ind w:left="-9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建设地点</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FCF1A5">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韶关市新丰县回龙镇来石村。</w:t>
            </w:r>
          </w:p>
        </w:tc>
      </w:tr>
      <w:tr w14:paraId="4B05301A">
        <w:tblPrEx>
          <w:tblCellMar>
            <w:top w:w="0" w:type="dxa"/>
            <w:left w:w="10" w:type="dxa"/>
            <w:bottom w:w="0" w:type="dxa"/>
            <w:right w:w="10" w:type="dxa"/>
          </w:tblCellMar>
        </w:tblPrEx>
        <w:trPr>
          <w:trHeight w:val="46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AEFEA0">
            <w:pPr>
              <w:spacing w:line="360" w:lineRule="auto"/>
              <w:ind w:left="-9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1.1.7</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59FC0F">
            <w:pPr>
              <w:spacing w:line="360" w:lineRule="auto"/>
              <w:ind w:left="-9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设计人</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0B0BF5">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韶关市水利水电勘测设计咨询有限公司</w:t>
            </w:r>
          </w:p>
        </w:tc>
      </w:tr>
      <w:tr w14:paraId="76037DEE">
        <w:tblPrEx>
          <w:tblCellMar>
            <w:top w:w="0" w:type="dxa"/>
            <w:left w:w="10" w:type="dxa"/>
            <w:bottom w:w="0" w:type="dxa"/>
            <w:right w:w="10" w:type="dxa"/>
          </w:tblCellMar>
        </w:tblPrEx>
        <w:trPr>
          <w:trHeight w:val="49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C2F44B">
            <w:pPr>
              <w:spacing w:line="360" w:lineRule="auto"/>
              <w:ind w:left="-9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1.1.8</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7A772D">
            <w:pPr>
              <w:spacing w:line="360" w:lineRule="auto"/>
              <w:ind w:left="-9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监理人</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8DA65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待定</w:t>
            </w:r>
          </w:p>
        </w:tc>
      </w:tr>
      <w:tr w14:paraId="27AB6751">
        <w:tblPrEx>
          <w:tblCellMar>
            <w:top w:w="0" w:type="dxa"/>
            <w:left w:w="10" w:type="dxa"/>
            <w:bottom w:w="0" w:type="dxa"/>
            <w:right w:w="10" w:type="dxa"/>
          </w:tblCellMar>
        </w:tblPrEx>
        <w:trPr>
          <w:trHeight w:val="384"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E50621">
            <w:pPr>
              <w:spacing w:line="360" w:lineRule="auto"/>
              <w:ind w:left="-9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1.2.1</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8CF40F">
            <w:pPr>
              <w:spacing w:line="360" w:lineRule="auto"/>
              <w:ind w:left="-9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280C75">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由上级资金和县财政统筹安排解决。</w:t>
            </w:r>
          </w:p>
        </w:tc>
      </w:tr>
      <w:tr w14:paraId="467C48D5">
        <w:tblPrEx>
          <w:tblCellMar>
            <w:top w:w="0" w:type="dxa"/>
            <w:left w:w="10" w:type="dxa"/>
            <w:bottom w:w="0" w:type="dxa"/>
            <w:right w:w="10" w:type="dxa"/>
          </w:tblCellMar>
        </w:tblPrEx>
        <w:trPr>
          <w:trHeight w:val="42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0E3813">
            <w:pPr>
              <w:spacing w:line="360" w:lineRule="auto"/>
              <w:ind w:left="-9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1.2.2</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567362">
            <w:pPr>
              <w:spacing w:line="360" w:lineRule="auto"/>
              <w:ind w:left="-9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资金落实情况</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F9224F">
            <w:pPr>
              <w:spacing w:line="360" w:lineRule="auto"/>
              <w:ind w:firstLine="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已落实</w:t>
            </w:r>
          </w:p>
        </w:tc>
      </w:tr>
      <w:tr w14:paraId="2D603870">
        <w:tblPrEx>
          <w:tblCellMar>
            <w:top w:w="0" w:type="dxa"/>
            <w:left w:w="10" w:type="dxa"/>
            <w:bottom w:w="0" w:type="dxa"/>
            <w:right w:w="10" w:type="dxa"/>
          </w:tblCellMar>
        </w:tblPrEx>
        <w:trPr>
          <w:trHeight w:val="512"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790488">
            <w:pPr>
              <w:spacing w:line="360" w:lineRule="auto"/>
              <w:ind w:left="-9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1.3.1</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3E5A60">
            <w:pPr>
              <w:spacing w:line="360" w:lineRule="auto"/>
              <w:ind w:left="-9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招标范围</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D88B0D">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工程量清单及施工图设计文件范围内的工程施工</w:t>
            </w:r>
          </w:p>
        </w:tc>
      </w:tr>
      <w:tr w14:paraId="5D03D0A3">
        <w:tblPrEx>
          <w:tblCellMar>
            <w:top w:w="0" w:type="dxa"/>
            <w:left w:w="10" w:type="dxa"/>
            <w:bottom w:w="0" w:type="dxa"/>
            <w:right w:w="10" w:type="dxa"/>
          </w:tblCellMar>
        </w:tblPrEx>
        <w:trPr>
          <w:trHeight w:val="46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4693BC">
            <w:pPr>
              <w:spacing w:line="360" w:lineRule="auto"/>
              <w:ind w:left="-9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1.3.2</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37A33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计划工期</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B6D6BE">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150日历天</w:t>
            </w:r>
          </w:p>
        </w:tc>
      </w:tr>
      <w:tr w14:paraId="4E3F1BB7">
        <w:tblPrEx>
          <w:tblCellMar>
            <w:top w:w="0" w:type="dxa"/>
            <w:left w:w="10" w:type="dxa"/>
            <w:bottom w:w="0" w:type="dxa"/>
            <w:right w:w="10" w:type="dxa"/>
          </w:tblCellMar>
        </w:tblPrEx>
        <w:trPr>
          <w:trHeight w:val="495"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1040A3">
            <w:pPr>
              <w:spacing w:line="360" w:lineRule="auto"/>
              <w:ind w:left="-9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1.3.3</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B2ED9B">
            <w:pPr>
              <w:spacing w:line="360" w:lineRule="auto"/>
              <w:ind w:left="-9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质量要求</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C05347">
            <w:pPr>
              <w:spacing w:line="360" w:lineRule="auto"/>
              <w:ind w:left="-90" w:firstLine="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合格</w:t>
            </w:r>
          </w:p>
        </w:tc>
      </w:tr>
      <w:tr w14:paraId="5C0B5518">
        <w:tblPrEx>
          <w:tblCellMar>
            <w:top w:w="0" w:type="dxa"/>
            <w:left w:w="10" w:type="dxa"/>
            <w:bottom w:w="0" w:type="dxa"/>
            <w:right w:w="10" w:type="dxa"/>
          </w:tblCellMar>
        </w:tblPrEx>
        <w:trPr>
          <w:trHeight w:val="9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976C2A">
            <w:pPr>
              <w:spacing w:line="360" w:lineRule="auto"/>
              <w:ind w:left="-9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1.4.1</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E66C8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投标人资质条件、能力和信誉</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7FDE2D">
            <w:pPr>
              <w:spacing w:line="360" w:lineRule="auto"/>
              <w:ind w:firstLine="330" w:firstLine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（1）投标人必须具备</w:t>
            </w:r>
            <w:r>
              <w:rPr>
                <w:rFonts w:hint="eastAsia" w:ascii="宋体" w:hAnsi="宋体" w:eastAsia="宋体" w:cs="宋体"/>
                <w:b/>
                <w:bCs/>
                <w:color w:val="auto"/>
                <w:sz w:val="22"/>
                <w:szCs w:val="22"/>
                <w:highlight w:val="none"/>
              </w:rPr>
              <w:t>水利水电工程施工总承包三级以上(含三级)资质</w:t>
            </w:r>
            <w:r>
              <w:rPr>
                <w:rFonts w:hint="eastAsia" w:ascii="宋体" w:hAnsi="宋体" w:eastAsia="宋体" w:cs="宋体"/>
                <w:color w:val="auto"/>
                <w:sz w:val="22"/>
                <w:szCs w:val="22"/>
                <w:highlight w:val="none"/>
              </w:rPr>
              <w:t>；</w:t>
            </w:r>
          </w:p>
          <w:p w14:paraId="3A02916B">
            <w:pPr>
              <w:spacing w:line="360" w:lineRule="auto"/>
              <w:ind w:firstLine="330" w:firstLine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具有有效的营业执照、具有有效的安全生产许可证、具有有效的资质证书（投标人的企业相关证书到期的，必须将相关文件附在该证书后面中，证明在开标日继续有效。因推行电子证照，可提供营业执照、资质证书、安全生产许可证实时网页查询页）； </w:t>
            </w:r>
          </w:p>
          <w:p w14:paraId="2D61CBB7">
            <w:pPr>
              <w:keepNext w:val="0"/>
              <w:keepLines w:val="0"/>
              <w:pageBreakBefore w:val="0"/>
              <w:widowControl w:val="0"/>
              <w:kinsoku/>
              <w:wordWrap/>
              <w:overflowPunct/>
              <w:topLinePunct w:val="0"/>
              <w:autoSpaceDE/>
              <w:autoSpaceDN/>
              <w:bidi w:val="0"/>
              <w:adjustRightInd/>
              <w:snapToGrid/>
              <w:spacing w:line="360" w:lineRule="auto"/>
              <w:ind w:firstLine="330" w:firstLineChars="150"/>
              <w:textAlignment w:val="auto"/>
              <w:rPr>
                <w:rFonts w:hint="eastAsia" w:ascii="宋体" w:hAnsi="宋体" w:eastAsia="宋体" w:cs="宋体"/>
                <w:i/>
                <w:iCs/>
                <w:color w:val="auto"/>
                <w:sz w:val="22"/>
                <w:szCs w:val="22"/>
                <w:highlight w:val="none"/>
                <w:lang w:eastAsia="zh-CN"/>
              </w:rPr>
            </w:pPr>
            <w:r>
              <w:rPr>
                <w:rFonts w:hint="eastAsia" w:ascii="宋体" w:hAnsi="宋体" w:eastAsia="宋体" w:cs="宋体"/>
                <w:color w:val="auto"/>
                <w:sz w:val="22"/>
                <w:szCs w:val="22"/>
                <w:highlight w:val="none"/>
              </w:rPr>
              <w:t>（3）投标人拟派项目经理为在本单位注册的</w:t>
            </w:r>
            <w:r>
              <w:rPr>
                <w:rFonts w:hint="eastAsia" w:ascii="宋体" w:hAnsi="宋体" w:eastAsia="宋体" w:cs="宋体"/>
                <w:b/>
                <w:bCs/>
                <w:color w:val="auto"/>
                <w:sz w:val="22"/>
                <w:szCs w:val="22"/>
                <w:highlight w:val="none"/>
              </w:rPr>
              <w:t>“水利水电工程”</w:t>
            </w:r>
            <w:r>
              <w:rPr>
                <w:rFonts w:hint="eastAsia" w:ascii="宋体" w:hAnsi="宋体" w:eastAsia="宋体" w:cs="宋体"/>
                <w:color w:val="auto"/>
                <w:sz w:val="22"/>
                <w:szCs w:val="22"/>
                <w:highlight w:val="none"/>
              </w:rPr>
              <w:t>专业二级</w:t>
            </w:r>
            <w:r>
              <w:rPr>
                <w:rFonts w:hint="eastAsia" w:ascii="宋体" w:hAnsi="宋体" w:eastAsia="宋体" w:cs="宋体"/>
                <w:color w:val="auto"/>
                <w:sz w:val="22"/>
                <w:szCs w:val="22"/>
                <w:highlight w:val="none"/>
                <w:lang w:val="en-US" w:eastAsia="zh-CN"/>
              </w:rPr>
              <w:t>以上（含二级）</w:t>
            </w:r>
            <w:r>
              <w:rPr>
                <w:rFonts w:hint="eastAsia" w:ascii="宋体" w:hAnsi="宋体" w:eastAsia="宋体" w:cs="宋体"/>
                <w:color w:val="auto"/>
                <w:sz w:val="22"/>
                <w:szCs w:val="22"/>
                <w:highlight w:val="none"/>
              </w:rPr>
              <w:t>注册建造师，应持有住建部门印发的在使用有效期内的有效电子注册证书（根据广东省住房和城乡建设厅（粤建市函〔2023〕469号）文件精神，二级注册建造师可随注册企业在全国范围内执业），同时须具备</w:t>
            </w:r>
            <w:r>
              <w:rPr>
                <w:rFonts w:hint="eastAsia" w:ascii="宋体" w:hAnsi="宋体" w:eastAsia="宋体" w:cs="宋体"/>
                <w:b w:val="0"/>
                <w:bCs w:val="0"/>
                <w:color w:val="auto"/>
                <w:sz w:val="22"/>
                <w:szCs w:val="22"/>
                <w:highlight w:val="none"/>
              </w:rPr>
              <w:t>水利</w:t>
            </w:r>
            <w:r>
              <w:rPr>
                <w:rFonts w:hint="eastAsia" w:ascii="宋体" w:hAnsi="宋体" w:eastAsia="宋体" w:cs="宋体"/>
                <w:color w:val="auto"/>
                <w:sz w:val="22"/>
                <w:szCs w:val="22"/>
                <w:highlight w:val="none"/>
              </w:rPr>
              <w:t>行政主管部门颁发的安全生产考核合格证书(B证)</w:t>
            </w:r>
            <w:r>
              <w:rPr>
                <w:rFonts w:hint="eastAsia" w:ascii="宋体" w:hAnsi="宋体" w:eastAsia="宋体" w:cs="宋体"/>
                <w:color w:val="auto"/>
                <w:kern w:val="0"/>
                <w:sz w:val="22"/>
                <w:szCs w:val="22"/>
                <w:highlight w:val="none"/>
              </w:rPr>
              <w:t>，</w:t>
            </w:r>
            <w:r>
              <w:rPr>
                <w:rFonts w:hint="eastAsia" w:ascii="宋体" w:hAnsi="宋体" w:eastAsia="宋体" w:cs="宋体"/>
                <w:i w:val="0"/>
                <w:iCs w:val="0"/>
                <w:color w:val="auto"/>
                <w:kern w:val="0"/>
                <w:sz w:val="22"/>
                <w:szCs w:val="22"/>
                <w:highlight w:val="none"/>
              </w:rPr>
              <w:t>提供</w:t>
            </w:r>
            <w:r>
              <w:rPr>
                <w:rFonts w:hint="eastAsia" w:ascii="宋体" w:hAnsi="宋体" w:eastAsia="宋体" w:cs="宋体"/>
                <w:i w:val="0"/>
                <w:iCs w:val="0"/>
                <w:color w:val="auto"/>
                <w:kern w:val="0"/>
                <w:sz w:val="22"/>
                <w:szCs w:val="22"/>
                <w:highlight w:val="none"/>
                <w:lang w:val="en-US" w:eastAsia="zh-CN"/>
              </w:rPr>
              <w:t>近</w:t>
            </w:r>
            <w:r>
              <w:rPr>
                <w:rFonts w:hint="eastAsia" w:ascii="宋体" w:hAnsi="宋体" w:eastAsia="宋体" w:cs="宋体"/>
                <w:i w:val="0"/>
                <w:iCs w:val="0"/>
                <w:color w:val="auto"/>
                <w:kern w:val="0"/>
                <w:sz w:val="22"/>
                <w:szCs w:val="22"/>
                <w:highlight w:val="none"/>
                <w:lang w:eastAsia="zh-CN"/>
              </w:rPr>
              <w:t>3个月（其中必须有202</w:t>
            </w:r>
            <w:r>
              <w:rPr>
                <w:rFonts w:hint="eastAsia" w:ascii="宋体" w:hAnsi="宋体" w:eastAsia="宋体" w:cs="宋体"/>
                <w:i w:val="0"/>
                <w:iCs w:val="0"/>
                <w:color w:val="auto"/>
                <w:kern w:val="0"/>
                <w:sz w:val="22"/>
                <w:szCs w:val="22"/>
                <w:highlight w:val="none"/>
                <w:lang w:val="en-US" w:eastAsia="zh-CN"/>
              </w:rPr>
              <w:t>5</w:t>
            </w:r>
            <w:r>
              <w:rPr>
                <w:rFonts w:hint="eastAsia" w:ascii="宋体" w:hAnsi="宋体" w:eastAsia="宋体" w:cs="宋体"/>
                <w:i w:val="0"/>
                <w:iCs w:val="0"/>
                <w:color w:val="auto"/>
                <w:kern w:val="0"/>
                <w:sz w:val="22"/>
                <w:szCs w:val="22"/>
                <w:highlight w:val="none"/>
                <w:lang w:eastAsia="zh-CN"/>
              </w:rPr>
              <w:t>年</w:t>
            </w:r>
            <w:r>
              <w:rPr>
                <w:rFonts w:hint="eastAsia" w:ascii="宋体" w:hAnsi="宋体" w:cs="宋体"/>
                <w:i w:val="0"/>
                <w:iCs w:val="0"/>
                <w:color w:val="auto"/>
                <w:kern w:val="0"/>
                <w:sz w:val="22"/>
                <w:szCs w:val="22"/>
                <w:highlight w:val="none"/>
                <w:lang w:val="en-US" w:eastAsia="zh-CN"/>
              </w:rPr>
              <w:t>10</w:t>
            </w:r>
            <w:r>
              <w:rPr>
                <w:rFonts w:hint="eastAsia" w:ascii="宋体" w:hAnsi="宋体" w:eastAsia="宋体" w:cs="宋体"/>
                <w:i w:val="0"/>
                <w:iCs w:val="0"/>
                <w:color w:val="auto"/>
                <w:kern w:val="0"/>
                <w:sz w:val="22"/>
                <w:szCs w:val="22"/>
                <w:highlight w:val="none"/>
                <w:lang w:eastAsia="zh-CN"/>
              </w:rPr>
              <w:t>月）</w:t>
            </w:r>
            <w:r>
              <w:rPr>
                <w:rFonts w:hint="eastAsia" w:ascii="宋体" w:hAnsi="宋体" w:eastAsia="宋体" w:cs="宋体"/>
                <w:i w:val="0"/>
                <w:iCs w:val="0"/>
                <w:color w:val="auto"/>
                <w:kern w:val="0"/>
                <w:sz w:val="22"/>
                <w:szCs w:val="22"/>
                <w:highlight w:val="none"/>
              </w:rPr>
              <w:t>社保证明</w:t>
            </w:r>
            <w:r>
              <w:rPr>
                <w:rFonts w:hint="eastAsia" w:ascii="宋体" w:hAnsi="宋体" w:eastAsia="宋体" w:cs="宋体"/>
                <w:i w:val="0"/>
                <w:iCs w:val="0"/>
                <w:color w:val="auto"/>
                <w:kern w:val="0"/>
                <w:sz w:val="22"/>
                <w:szCs w:val="22"/>
                <w:highlight w:val="none"/>
                <w:lang w:eastAsia="zh-CN"/>
              </w:rPr>
              <w:t>（如为退休人员无社会保险关系证明的，则需提供其退休证及返聘证明）</w:t>
            </w:r>
            <w:r>
              <w:rPr>
                <w:rFonts w:hint="eastAsia" w:ascii="宋体" w:hAnsi="宋体" w:eastAsia="宋体" w:cs="宋体"/>
                <w:i w:val="0"/>
                <w:iCs w:val="0"/>
                <w:color w:val="auto"/>
                <w:kern w:val="0"/>
                <w:sz w:val="22"/>
                <w:szCs w:val="22"/>
                <w:highlight w:val="none"/>
              </w:rPr>
              <w:t>及有效的居民身份证</w:t>
            </w:r>
            <w:r>
              <w:rPr>
                <w:rFonts w:hint="eastAsia" w:ascii="宋体" w:hAnsi="宋体" w:cs="宋体"/>
                <w:i w:val="0"/>
                <w:iCs w:val="0"/>
                <w:color w:val="auto"/>
                <w:kern w:val="0"/>
                <w:sz w:val="22"/>
                <w:szCs w:val="22"/>
                <w:highlight w:val="none"/>
                <w:lang w:eastAsia="zh-CN"/>
              </w:rPr>
              <w:t>，</w:t>
            </w:r>
            <w:r>
              <w:rPr>
                <w:rFonts w:hint="eastAsia" w:ascii="宋体" w:hAnsi="宋体" w:eastAsia="宋体" w:cs="宋体"/>
                <w:color w:val="auto"/>
                <w:kern w:val="0"/>
                <w:sz w:val="22"/>
                <w:szCs w:val="22"/>
                <w:highlight w:val="none"/>
              </w:rPr>
              <w:t>且未担任其他在建（包括已列为其他项目第一中标候选人、已中标未开工或已建成未竣工）建设工程项目</w:t>
            </w:r>
            <w:r>
              <w:rPr>
                <w:rFonts w:hint="eastAsia" w:ascii="宋体" w:hAnsi="宋体" w:eastAsia="宋体" w:cs="宋体"/>
                <w:b/>
                <w:bCs/>
                <w:color w:val="auto"/>
                <w:kern w:val="0"/>
                <w:sz w:val="22"/>
                <w:szCs w:val="22"/>
                <w:highlight w:val="none"/>
              </w:rPr>
              <w:t>（提供承诺函，格式自拟）</w:t>
            </w:r>
            <w:r>
              <w:rPr>
                <w:rFonts w:hint="eastAsia" w:ascii="宋体" w:hAnsi="宋体" w:cs="宋体"/>
                <w:color w:val="auto"/>
                <w:kern w:val="0"/>
                <w:sz w:val="22"/>
                <w:szCs w:val="22"/>
                <w:highlight w:val="none"/>
                <w:lang w:eastAsia="zh-CN"/>
              </w:rPr>
              <w:t>；</w:t>
            </w:r>
          </w:p>
          <w:p w14:paraId="0DDE4C57">
            <w:pPr>
              <w:keepNext w:val="0"/>
              <w:keepLines w:val="0"/>
              <w:pageBreakBefore w:val="0"/>
              <w:widowControl w:val="0"/>
              <w:kinsoku/>
              <w:wordWrap/>
              <w:overflowPunct/>
              <w:topLinePunct w:val="0"/>
              <w:autoSpaceDE/>
              <w:autoSpaceDN/>
              <w:bidi w:val="0"/>
              <w:adjustRightInd/>
              <w:snapToGrid/>
              <w:spacing w:line="360" w:lineRule="auto"/>
              <w:ind w:firstLine="385" w:firstLineChars="17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（4）拟投入本项目的技术负责人必须具备</w:t>
            </w:r>
            <w:r>
              <w:rPr>
                <w:rFonts w:hint="eastAsia" w:ascii="宋体" w:hAnsi="宋体" w:eastAsia="宋体" w:cs="宋体"/>
                <w:b/>
                <w:bCs/>
                <w:color w:val="auto"/>
                <w:sz w:val="22"/>
                <w:szCs w:val="22"/>
                <w:highlight w:val="none"/>
                <w:u w:val="single"/>
                <w:lang w:eastAsia="zh-CN"/>
              </w:rPr>
              <w:t>水利水电</w:t>
            </w:r>
            <w:r>
              <w:rPr>
                <w:rFonts w:hint="eastAsia" w:ascii="宋体" w:hAnsi="宋体" w:eastAsia="宋体" w:cs="宋体"/>
                <w:b/>
                <w:bCs/>
                <w:color w:val="auto"/>
                <w:sz w:val="22"/>
                <w:szCs w:val="22"/>
                <w:highlight w:val="none"/>
                <w:u w:val="single"/>
                <w:lang w:val="en-US" w:eastAsia="zh-CN"/>
              </w:rPr>
              <w:t>类</w:t>
            </w:r>
            <w:r>
              <w:rPr>
                <w:rFonts w:hint="eastAsia" w:ascii="宋体" w:hAnsi="宋体" w:eastAsia="宋体" w:cs="宋体"/>
                <w:b w:val="0"/>
                <w:bCs w:val="0"/>
                <w:color w:val="auto"/>
                <w:sz w:val="22"/>
                <w:szCs w:val="22"/>
                <w:highlight w:val="none"/>
                <w:u w:val="none"/>
                <w:lang w:val="en-US" w:eastAsia="zh-CN"/>
              </w:rPr>
              <w:t>相关</w:t>
            </w:r>
            <w:r>
              <w:rPr>
                <w:rFonts w:hint="eastAsia" w:ascii="宋体" w:hAnsi="宋体" w:eastAsia="宋体" w:cs="宋体"/>
                <w:b w:val="0"/>
                <w:bCs w:val="0"/>
                <w:color w:val="auto"/>
                <w:sz w:val="22"/>
                <w:szCs w:val="22"/>
                <w:highlight w:val="none"/>
                <w:lang w:eastAsia="zh-CN"/>
              </w:rPr>
              <w:t>专业</w:t>
            </w:r>
            <w:r>
              <w:rPr>
                <w:rFonts w:hint="eastAsia" w:ascii="宋体" w:hAnsi="宋体" w:eastAsia="宋体" w:cs="宋体"/>
                <w:color w:val="auto"/>
                <w:sz w:val="22"/>
                <w:szCs w:val="22"/>
                <w:highlight w:val="none"/>
              </w:rPr>
              <w:t>中级以上（含中级）技术职</w:t>
            </w:r>
            <w:r>
              <w:rPr>
                <w:rFonts w:hint="eastAsia" w:ascii="宋体" w:hAnsi="宋体" w:eastAsia="宋体" w:cs="宋体"/>
                <w:color w:val="auto"/>
                <w:kern w:val="0"/>
                <w:sz w:val="22"/>
                <w:szCs w:val="22"/>
                <w:highlight w:val="none"/>
              </w:rPr>
              <w:t>称，</w:t>
            </w:r>
            <w:r>
              <w:rPr>
                <w:rFonts w:hint="eastAsia" w:ascii="宋体" w:hAnsi="宋体" w:eastAsia="宋体" w:cs="宋体"/>
                <w:i w:val="0"/>
                <w:iCs w:val="0"/>
                <w:color w:val="auto"/>
                <w:kern w:val="0"/>
                <w:sz w:val="22"/>
                <w:szCs w:val="22"/>
                <w:highlight w:val="none"/>
              </w:rPr>
              <w:t>提供</w:t>
            </w:r>
            <w:r>
              <w:rPr>
                <w:rFonts w:hint="eastAsia" w:ascii="宋体" w:hAnsi="宋体" w:eastAsia="宋体" w:cs="宋体"/>
                <w:i w:val="0"/>
                <w:iCs w:val="0"/>
                <w:color w:val="auto"/>
                <w:kern w:val="0"/>
                <w:sz w:val="22"/>
                <w:szCs w:val="22"/>
                <w:highlight w:val="none"/>
                <w:lang w:val="en-US" w:eastAsia="zh-CN"/>
              </w:rPr>
              <w:t>近</w:t>
            </w:r>
            <w:r>
              <w:rPr>
                <w:rFonts w:hint="eastAsia" w:ascii="宋体" w:hAnsi="宋体" w:eastAsia="宋体" w:cs="宋体"/>
                <w:i w:val="0"/>
                <w:iCs w:val="0"/>
                <w:color w:val="auto"/>
                <w:kern w:val="0"/>
                <w:sz w:val="22"/>
                <w:szCs w:val="22"/>
                <w:highlight w:val="none"/>
                <w:lang w:eastAsia="zh-CN"/>
              </w:rPr>
              <w:t>3个月（其中必须有202</w:t>
            </w:r>
            <w:r>
              <w:rPr>
                <w:rFonts w:hint="eastAsia" w:ascii="宋体" w:hAnsi="宋体" w:eastAsia="宋体" w:cs="宋体"/>
                <w:i w:val="0"/>
                <w:iCs w:val="0"/>
                <w:color w:val="auto"/>
                <w:kern w:val="0"/>
                <w:sz w:val="22"/>
                <w:szCs w:val="22"/>
                <w:highlight w:val="none"/>
                <w:lang w:val="en-US" w:eastAsia="zh-CN"/>
              </w:rPr>
              <w:t>5</w:t>
            </w:r>
            <w:r>
              <w:rPr>
                <w:rFonts w:hint="eastAsia" w:ascii="宋体" w:hAnsi="宋体" w:eastAsia="宋体" w:cs="宋体"/>
                <w:i w:val="0"/>
                <w:iCs w:val="0"/>
                <w:color w:val="auto"/>
                <w:kern w:val="0"/>
                <w:sz w:val="22"/>
                <w:szCs w:val="22"/>
                <w:highlight w:val="none"/>
                <w:lang w:eastAsia="zh-CN"/>
              </w:rPr>
              <w:t>年</w:t>
            </w:r>
            <w:r>
              <w:rPr>
                <w:rFonts w:hint="eastAsia" w:ascii="宋体" w:hAnsi="宋体" w:cs="宋体"/>
                <w:i w:val="0"/>
                <w:iCs w:val="0"/>
                <w:color w:val="auto"/>
                <w:kern w:val="0"/>
                <w:sz w:val="22"/>
                <w:szCs w:val="22"/>
                <w:highlight w:val="none"/>
                <w:lang w:val="en-US" w:eastAsia="zh-CN"/>
              </w:rPr>
              <w:t>10</w:t>
            </w:r>
            <w:r>
              <w:rPr>
                <w:rFonts w:hint="eastAsia" w:ascii="宋体" w:hAnsi="宋体" w:eastAsia="宋体" w:cs="宋体"/>
                <w:i w:val="0"/>
                <w:iCs w:val="0"/>
                <w:color w:val="auto"/>
                <w:kern w:val="0"/>
                <w:sz w:val="22"/>
                <w:szCs w:val="22"/>
                <w:highlight w:val="none"/>
                <w:lang w:eastAsia="zh-CN"/>
              </w:rPr>
              <w:t>月）</w:t>
            </w:r>
            <w:r>
              <w:rPr>
                <w:rFonts w:hint="eastAsia" w:ascii="宋体" w:hAnsi="宋体" w:eastAsia="宋体" w:cs="宋体"/>
                <w:i w:val="0"/>
                <w:iCs w:val="0"/>
                <w:color w:val="auto"/>
                <w:kern w:val="0"/>
                <w:sz w:val="22"/>
                <w:szCs w:val="22"/>
                <w:highlight w:val="none"/>
              </w:rPr>
              <w:t>社保证明</w:t>
            </w:r>
            <w:r>
              <w:rPr>
                <w:rFonts w:hint="eastAsia" w:ascii="宋体" w:hAnsi="宋体" w:eastAsia="宋体" w:cs="宋体"/>
                <w:i w:val="0"/>
                <w:iCs w:val="0"/>
                <w:color w:val="auto"/>
                <w:kern w:val="0"/>
                <w:sz w:val="22"/>
                <w:szCs w:val="22"/>
                <w:highlight w:val="none"/>
                <w:lang w:eastAsia="zh-CN"/>
              </w:rPr>
              <w:t>（如为退休人员无社会保险关系证明的，则需提供其退休证及返聘证明）</w:t>
            </w:r>
            <w:r>
              <w:rPr>
                <w:rFonts w:hint="eastAsia" w:ascii="宋体" w:hAnsi="宋体" w:eastAsia="宋体" w:cs="宋体"/>
                <w:color w:val="auto"/>
                <w:kern w:val="0"/>
                <w:sz w:val="22"/>
                <w:szCs w:val="22"/>
                <w:highlight w:val="none"/>
              </w:rPr>
              <w:t>及有效的居民身份证；</w:t>
            </w:r>
          </w:p>
          <w:p w14:paraId="47B9220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2"/>
                <w:szCs w:val="22"/>
                <w:highlight w:val="none"/>
              </w:rPr>
              <w:t>（5）投标人拟委派担任本项目的专职安全生产管理人员，须具有</w:t>
            </w:r>
            <w:r>
              <w:rPr>
                <w:rFonts w:hint="eastAsia" w:ascii="宋体" w:hAnsi="宋体" w:eastAsia="宋体" w:cs="宋体"/>
                <w:b w:val="0"/>
                <w:bCs w:val="0"/>
                <w:color w:val="auto"/>
                <w:sz w:val="22"/>
                <w:szCs w:val="22"/>
                <w:highlight w:val="none"/>
              </w:rPr>
              <w:t>水利</w:t>
            </w:r>
            <w:r>
              <w:rPr>
                <w:rFonts w:hint="eastAsia" w:ascii="宋体" w:hAnsi="宋体" w:eastAsia="宋体" w:cs="宋体"/>
                <w:color w:val="auto"/>
                <w:sz w:val="22"/>
                <w:szCs w:val="22"/>
                <w:highlight w:val="none"/>
              </w:rPr>
              <w:t>行政主管部门颁发的有效的安全生产考核合格证书(C证)且</w:t>
            </w:r>
            <w:r>
              <w:rPr>
                <w:rFonts w:hint="eastAsia" w:ascii="宋体" w:hAnsi="宋体" w:eastAsia="宋体" w:cs="宋体"/>
                <w:color w:val="auto"/>
                <w:sz w:val="22"/>
                <w:szCs w:val="22"/>
                <w:highlight w:val="none"/>
                <w:lang w:eastAsia="zh-CN"/>
              </w:rPr>
              <w:t>不少于</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人</w:t>
            </w:r>
            <w:r>
              <w:rPr>
                <w:rFonts w:hint="eastAsia" w:ascii="宋体" w:hAnsi="宋体" w:eastAsia="宋体" w:cs="宋体"/>
                <w:color w:val="auto"/>
                <w:sz w:val="22"/>
                <w:szCs w:val="22"/>
                <w:highlight w:val="none"/>
              </w:rPr>
              <w:t>，提供</w:t>
            </w:r>
            <w:r>
              <w:rPr>
                <w:rFonts w:hint="eastAsia" w:ascii="宋体" w:hAnsi="宋体" w:eastAsia="宋体" w:cs="宋体"/>
                <w:color w:val="auto"/>
                <w:sz w:val="22"/>
                <w:szCs w:val="22"/>
                <w:highlight w:val="none"/>
                <w:lang w:val="en-US" w:eastAsia="zh-CN"/>
              </w:rPr>
              <w:t>近</w:t>
            </w:r>
            <w:r>
              <w:rPr>
                <w:rFonts w:hint="eastAsia" w:ascii="宋体" w:hAnsi="宋体" w:eastAsia="宋体" w:cs="宋体"/>
                <w:color w:val="auto"/>
                <w:sz w:val="22"/>
                <w:szCs w:val="22"/>
                <w:highlight w:val="none"/>
                <w:lang w:eastAsia="zh-CN"/>
              </w:rPr>
              <w:t>3个月（其中必须有202</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eastAsia="zh-CN"/>
              </w:rPr>
              <w:t>年</w:t>
            </w: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lang w:eastAsia="zh-CN"/>
              </w:rPr>
              <w:t>月）</w:t>
            </w:r>
            <w:r>
              <w:rPr>
                <w:rFonts w:hint="eastAsia" w:ascii="宋体" w:hAnsi="宋体" w:eastAsia="宋体" w:cs="宋体"/>
                <w:color w:val="auto"/>
                <w:sz w:val="22"/>
                <w:szCs w:val="22"/>
                <w:highlight w:val="none"/>
              </w:rPr>
              <w:t>社保证明</w:t>
            </w:r>
            <w:r>
              <w:rPr>
                <w:rFonts w:hint="eastAsia" w:ascii="宋体" w:hAnsi="宋体" w:eastAsia="宋体" w:cs="宋体"/>
                <w:color w:val="auto"/>
                <w:sz w:val="22"/>
                <w:szCs w:val="22"/>
                <w:highlight w:val="none"/>
                <w:lang w:eastAsia="zh-CN"/>
              </w:rPr>
              <w:t>（如为退休人员无社会保险关系证明的，则需提供其退休证及返聘证明）</w:t>
            </w:r>
            <w:r>
              <w:rPr>
                <w:rFonts w:hint="eastAsia" w:ascii="宋体" w:hAnsi="宋体" w:eastAsia="宋体" w:cs="宋体"/>
                <w:color w:val="auto"/>
                <w:sz w:val="22"/>
                <w:szCs w:val="22"/>
                <w:highlight w:val="none"/>
              </w:rPr>
              <w:t>及有效的居民身份证。</w:t>
            </w:r>
          </w:p>
        </w:tc>
      </w:tr>
      <w:tr w14:paraId="66B2375C">
        <w:tblPrEx>
          <w:tblCellMar>
            <w:top w:w="0" w:type="dxa"/>
            <w:left w:w="10" w:type="dxa"/>
            <w:bottom w:w="0" w:type="dxa"/>
            <w:right w:w="10" w:type="dxa"/>
          </w:tblCellMar>
        </w:tblPrEx>
        <w:trPr>
          <w:trHeight w:val="9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AD92D6">
            <w:pPr>
              <w:spacing w:line="360" w:lineRule="auto"/>
              <w:ind w:left="-9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1.4.2</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CA91C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是否接受联合体投标</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14635D">
            <w:pPr>
              <w:spacing w:line="360" w:lineRule="auto"/>
              <w:ind w:firstLine="122"/>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口接受</w:t>
            </w:r>
          </w:p>
          <w:p w14:paraId="2B43EE2A">
            <w:pPr>
              <w:spacing w:line="360" w:lineRule="auto"/>
              <w:ind w:firstLine="12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bdr w:val="single" w:color="auto" w:sz="2" w:space="0"/>
              </w:rPr>
              <w:t>√</w:t>
            </w:r>
            <w:r>
              <w:rPr>
                <w:rFonts w:hint="eastAsia" w:ascii="宋体" w:hAnsi="宋体" w:eastAsia="宋体" w:cs="宋体"/>
                <w:color w:val="auto"/>
                <w:spacing w:val="2"/>
                <w:sz w:val="21"/>
                <w:szCs w:val="21"/>
                <w:highlight w:val="none"/>
              </w:rPr>
              <w:t>不接受</w:t>
            </w:r>
          </w:p>
        </w:tc>
      </w:tr>
      <w:tr w14:paraId="1FEB9E4C">
        <w:tblPrEx>
          <w:tblCellMar>
            <w:top w:w="0" w:type="dxa"/>
            <w:left w:w="10" w:type="dxa"/>
            <w:bottom w:w="0" w:type="dxa"/>
            <w:right w:w="10" w:type="dxa"/>
          </w:tblCellMar>
        </w:tblPrEx>
        <w:trPr>
          <w:trHeight w:val="9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8EF3CB">
            <w:pPr>
              <w:spacing w:line="360" w:lineRule="auto"/>
              <w:ind w:left="-90"/>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1.5.2</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5A95BC">
            <w:pPr>
              <w:spacing w:line="360" w:lineRule="auto"/>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其他费用</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27E04F">
            <w:pPr>
              <w:spacing w:line="360" w:lineRule="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kern w:val="0"/>
                <w:sz w:val="21"/>
                <w:szCs w:val="21"/>
                <w:highlight w:val="none"/>
              </w:rPr>
              <w:t>招标代理费按《招标代理服务收费管理暂行办法》计价格[2002]1980号文计算</w:t>
            </w:r>
            <w:r>
              <w:rPr>
                <w:rFonts w:hint="eastAsia" w:ascii="宋体" w:hAnsi="宋体" w:eastAsia="宋体" w:cs="宋体"/>
                <w:color w:val="auto"/>
                <w:spacing w:val="2"/>
                <w:kern w:val="0"/>
                <w:sz w:val="21"/>
                <w:szCs w:val="21"/>
                <w:highlight w:val="none"/>
                <w:lang w:eastAsia="zh-CN"/>
              </w:rPr>
              <w:t>，</w:t>
            </w:r>
            <w:r>
              <w:rPr>
                <w:rFonts w:hint="eastAsia" w:ascii="宋体" w:hAnsi="宋体" w:eastAsia="宋体" w:cs="宋体"/>
                <w:color w:val="auto"/>
                <w:spacing w:val="2"/>
                <w:kern w:val="0"/>
                <w:sz w:val="21"/>
                <w:szCs w:val="21"/>
                <w:highlight w:val="none"/>
              </w:rPr>
              <w:t>由中标人支付标代理服务费和评标专家酬劳（评标专家酬劳：包括食宿费用、交通费、专家评审劳务费等）</w:t>
            </w:r>
            <w:r>
              <w:rPr>
                <w:rFonts w:hint="eastAsia" w:ascii="宋体" w:hAnsi="宋体" w:eastAsia="宋体" w:cs="宋体"/>
                <w:color w:val="auto"/>
                <w:spacing w:val="2"/>
                <w:kern w:val="0"/>
                <w:sz w:val="21"/>
                <w:szCs w:val="21"/>
                <w:highlight w:val="none"/>
                <w:lang w:eastAsia="zh-CN"/>
              </w:rPr>
              <w:t>，</w:t>
            </w:r>
            <w:r>
              <w:rPr>
                <w:rFonts w:hint="eastAsia" w:ascii="宋体" w:hAnsi="宋体" w:eastAsia="宋体" w:cs="宋体"/>
                <w:color w:val="auto"/>
                <w:spacing w:val="2"/>
                <w:kern w:val="0"/>
                <w:sz w:val="21"/>
                <w:szCs w:val="21"/>
                <w:highlight w:val="none"/>
              </w:rPr>
              <w:t>该费用已含在招标控制价范围内，投标人在投标报价时综合考虑在内</w:t>
            </w:r>
            <w:r>
              <w:rPr>
                <w:rFonts w:hint="eastAsia" w:ascii="宋体" w:hAnsi="宋体" w:eastAsia="宋体" w:cs="宋体"/>
                <w:color w:val="auto"/>
                <w:spacing w:val="2"/>
                <w:kern w:val="0"/>
                <w:sz w:val="21"/>
                <w:szCs w:val="21"/>
                <w:highlight w:val="none"/>
                <w:lang w:eastAsia="zh-CN"/>
              </w:rPr>
              <w:t>，</w:t>
            </w:r>
            <w:r>
              <w:rPr>
                <w:rFonts w:hint="eastAsia" w:ascii="宋体" w:hAnsi="宋体" w:eastAsia="宋体" w:cs="宋体"/>
                <w:color w:val="auto"/>
                <w:spacing w:val="2"/>
                <w:kern w:val="0"/>
                <w:sz w:val="21"/>
                <w:szCs w:val="21"/>
                <w:highlight w:val="none"/>
              </w:rPr>
              <w:t>不单独报价。</w:t>
            </w:r>
          </w:p>
        </w:tc>
      </w:tr>
      <w:tr w14:paraId="4C53385F">
        <w:tblPrEx>
          <w:tblCellMar>
            <w:top w:w="0" w:type="dxa"/>
            <w:left w:w="10" w:type="dxa"/>
            <w:bottom w:w="0" w:type="dxa"/>
            <w:right w:w="10" w:type="dxa"/>
          </w:tblCellMar>
        </w:tblPrEx>
        <w:trPr>
          <w:trHeight w:val="9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9FB778">
            <w:pPr>
              <w:spacing w:line="360" w:lineRule="auto"/>
              <w:ind w:left="-9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1.9</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E19F1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踏勘现场</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4245A1">
            <w:pPr>
              <w:spacing w:line="360" w:lineRule="auto"/>
              <w:ind w:firstLine="122"/>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口组织</w:t>
            </w:r>
          </w:p>
          <w:p w14:paraId="178393CA">
            <w:pPr>
              <w:spacing w:line="360" w:lineRule="auto"/>
              <w:ind w:firstLine="12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bdr w:val="single" w:color="auto" w:sz="2" w:space="0"/>
              </w:rPr>
              <w:t>√</w:t>
            </w:r>
            <w:r>
              <w:rPr>
                <w:rFonts w:hint="eastAsia" w:ascii="宋体" w:hAnsi="宋体" w:eastAsia="宋体" w:cs="宋体"/>
                <w:color w:val="auto"/>
                <w:spacing w:val="2"/>
                <w:sz w:val="21"/>
                <w:szCs w:val="21"/>
                <w:highlight w:val="none"/>
              </w:rPr>
              <w:t>不组织</w:t>
            </w:r>
          </w:p>
        </w:tc>
      </w:tr>
      <w:tr w14:paraId="670FF8A2">
        <w:tblPrEx>
          <w:tblCellMar>
            <w:top w:w="0" w:type="dxa"/>
            <w:left w:w="10" w:type="dxa"/>
            <w:bottom w:w="0" w:type="dxa"/>
            <w:right w:w="10" w:type="dxa"/>
          </w:tblCellMar>
        </w:tblPrEx>
        <w:trPr>
          <w:trHeight w:val="9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C385D8">
            <w:pPr>
              <w:spacing w:line="360" w:lineRule="auto"/>
              <w:ind w:left="-9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1.10</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C31C63">
            <w:pPr>
              <w:spacing w:line="360" w:lineRule="auto"/>
              <w:ind w:left="-9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投标预备会</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9EDA5D">
            <w:pPr>
              <w:spacing w:line="360" w:lineRule="auto"/>
              <w:ind w:firstLine="122"/>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口召开</w:t>
            </w:r>
          </w:p>
          <w:p w14:paraId="486F9D88">
            <w:pPr>
              <w:spacing w:line="360" w:lineRule="auto"/>
              <w:ind w:firstLine="12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bdr w:val="single" w:color="auto" w:sz="2" w:space="0"/>
              </w:rPr>
              <w:t>√</w:t>
            </w:r>
            <w:r>
              <w:rPr>
                <w:rFonts w:hint="eastAsia" w:ascii="宋体" w:hAnsi="宋体" w:eastAsia="宋体" w:cs="宋体"/>
                <w:color w:val="auto"/>
                <w:spacing w:val="2"/>
                <w:sz w:val="21"/>
                <w:szCs w:val="21"/>
                <w:highlight w:val="none"/>
              </w:rPr>
              <w:t>不召开</w:t>
            </w:r>
          </w:p>
        </w:tc>
      </w:tr>
      <w:tr w14:paraId="3BDD759B">
        <w:tblPrEx>
          <w:tblCellMar>
            <w:top w:w="0" w:type="dxa"/>
            <w:left w:w="10" w:type="dxa"/>
            <w:bottom w:w="0" w:type="dxa"/>
            <w:right w:w="10" w:type="dxa"/>
          </w:tblCellMar>
        </w:tblPrEx>
        <w:trPr>
          <w:trHeight w:val="9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9F87F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2"/>
                <w:kern w:val="0"/>
                <w:sz w:val="21"/>
                <w:szCs w:val="21"/>
                <w:highlight w:val="none"/>
              </w:rPr>
              <w:t>1.11</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91CF66">
            <w:pPr>
              <w:spacing w:line="360" w:lineRule="auto"/>
              <w:ind w:left="-9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kern w:val="0"/>
                <w:sz w:val="21"/>
                <w:szCs w:val="21"/>
                <w:highlight w:val="none"/>
              </w:rPr>
              <w:t>分包</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0A1499">
            <w:pPr>
              <w:spacing w:line="360" w:lineRule="auto"/>
              <w:ind w:firstLine="107" w:firstLineChars="50"/>
              <w:rPr>
                <w:rFonts w:hint="eastAsia" w:ascii="宋体" w:hAnsi="宋体" w:eastAsia="宋体" w:cs="宋体"/>
                <w:color w:val="auto"/>
                <w:spacing w:val="2"/>
                <w:kern w:val="0"/>
                <w:sz w:val="21"/>
                <w:szCs w:val="21"/>
                <w:highlight w:val="none"/>
              </w:rPr>
            </w:pPr>
            <w:r>
              <w:rPr>
                <w:rFonts w:hint="eastAsia" w:ascii="宋体" w:hAnsi="宋体" w:eastAsia="宋体" w:cs="宋体"/>
                <w:color w:val="auto"/>
                <w:spacing w:val="2"/>
                <w:kern w:val="0"/>
                <w:sz w:val="21"/>
                <w:szCs w:val="21"/>
                <w:highlight w:val="none"/>
              </w:rPr>
              <w:t>□允许，分包内容要求：</w:t>
            </w:r>
          </w:p>
          <w:p w14:paraId="26B8B647">
            <w:pPr>
              <w:spacing w:line="360" w:lineRule="auto"/>
              <w:ind w:firstLine="963" w:firstLineChars="450"/>
              <w:rPr>
                <w:rFonts w:hint="eastAsia" w:ascii="宋体" w:hAnsi="宋体" w:eastAsia="宋体" w:cs="宋体"/>
                <w:color w:val="auto"/>
                <w:spacing w:val="2"/>
                <w:kern w:val="0"/>
                <w:sz w:val="21"/>
                <w:szCs w:val="21"/>
                <w:highlight w:val="none"/>
              </w:rPr>
            </w:pPr>
            <w:r>
              <w:rPr>
                <w:rFonts w:hint="eastAsia" w:ascii="宋体" w:hAnsi="宋体" w:eastAsia="宋体" w:cs="宋体"/>
                <w:color w:val="auto"/>
                <w:spacing w:val="2"/>
                <w:kern w:val="0"/>
                <w:sz w:val="21"/>
                <w:szCs w:val="21"/>
                <w:highlight w:val="none"/>
              </w:rPr>
              <w:t>分包金额要求：</w:t>
            </w:r>
          </w:p>
          <w:p w14:paraId="275A465F">
            <w:pPr>
              <w:spacing w:line="360" w:lineRule="auto"/>
              <w:ind w:firstLine="963" w:firstLineChars="450"/>
              <w:rPr>
                <w:rFonts w:hint="eastAsia" w:ascii="宋体" w:hAnsi="宋体" w:eastAsia="宋体" w:cs="宋体"/>
                <w:color w:val="auto"/>
                <w:spacing w:val="2"/>
                <w:kern w:val="0"/>
                <w:sz w:val="21"/>
                <w:szCs w:val="21"/>
                <w:highlight w:val="none"/>
              </w:rPr>
            </w:pPr>
            <w:r>
              <w:rPr>
                <w:rFonts w:hint="eastAsia" w:ascii="宋体" w:hAnsi="宋体" w:eastAsia="宋体" w:cs="宋体"/>
                <w:color w:val="auto"/>
                <w:spacing w:val="2"/>
                <w:kern w:val="0"/>
                <w:sz w:val="21"/>
                <w:szCs w:val="21"/>
                <w:highlight w:val="none"/>
              </w:rPr>
              <w:t>接受分包的第三人资质要求：</w:t>
            </w:r>
          </w:p>
          <w:p w14:paraId="6D742C62">
            <w:pPr>
              <w:spacing w:line="360" w:lineRule="auto"/>
              <w:ind w:firstLine="107" w:firstLineChars="50"/>
              <w:rPr>
                <w:rFonts w:hint="eastAsia" w:ascii="宋体" w:hAnsi="宋体" w:eastAsia="宋体" w:cs="宋体"/>
                <w:color w:val="auto"/>
                <w:sz w:val="21"/>
                <w:szCs w:val="21"/>
                <w:highlight w:val="none"/>
              </w:rPr>
            </w:pPr>
            <w:r>
              <w:rPr>
                <w:rFonts w:hint="eastAsia" w:ascii="宋体" w:hAnsi="宋体" w:eastAsia="宋体" w:cs="宋体"/>
                <w:color w:val="auto"/>
                <w:spacing w:val="2"/>
                <w:kern w:val="0"/>
                <w:sz w:val="21"/>
                <w:szCs w:val="21"/>
                <w:highlight w:val="none"/>
              </w:rPr>
              <w:sym w:font="Wingdings" w:char="F0FE"/>
            </w:r>
            <w:r>
              <w:rPr>
                <w:rFonts w:hint="eastAsia" w:ascii="宋体" w:hAnsi="宋体" w:eastAsia="宋体" w:cs="宋体"/>
                <w:color w:val="auto"/>
                <w:spacing w:val="2"/>
                <w:kern w:val="0"/>
                <w:sz w:val="21"/>
                <w:szCs w:val="21"/>
                <w:highlight w:val="none"/>
              </w:rPr>
              <w:t>不允许</w:t>
            </w:r>
          </w:p>
        </w:tc>
      </w:tr>
      <w:tr w14:paraId="1410D283">
        <w:tblPrEx>
          <w:tblCellMar>
            <w:top w:w="0" w:type="dxa"/>
            <w:left w:w="10" w:type="dxa"/>
            <w:bottom w:w="0" w:type="dxa"/>
            <w:right w:w="10" w:type="dxa"/>
          </w:tblCellMar>
        </w:tblPrEx>
        <w:trPr>
          <w:trHeight w:val="9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18D1E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1.12</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B7FE8C">
            <w:pPr>
              <w:spacing w:line="360" w:lineRule="auto"/>
              <w:ind w:left="-9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偏离</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9CF37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偏离允许幅度及其处理方法：对招标文件实质性要求不允许偏离，对非实质性要求的偏离应该在投标文件中附上偏离表。</w:t>
            </w:r>
          </w:p>
        </w:tc>
      </w:tr>
      <w:tr w14:paraId="07918A34">
        <w:tblPrEx>
          <w:tblCellMar>
            <w:top w:w="0" w:type="dxa"/>
            <w:left w:w="10" w:type="dxa"/>
            <w:bottom w:w="0" w:type="dxa"/>
            <w:right w:w="10" w:type="dxa"/>
          </w:tblCellMar>
        </w:tblPrEx>
        <w:trPr>
          <w:trHeight w:val="9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24F1FE">
            <w:pPr>
              <w:adjustRightInd w:val="0"/>
              <w:snapToGrid w:val="0"/>
              <w:spacing w:line="360" w:lineRule="auto"/>
              <w:jc w:val="center"/>
              <w:rPr>
                <w:rFonts w:hint="eastAsia" w:ascii="宋体" w:hAnsi="宋体" w:eastAsia="宋体" w:cs="宋体"/>
                <w:color w:val="auto"/>
                <w:spacing w:val="2"/>
                <w:kern w:val="0"/>
                <w:sz w:val="21"/>
                <w:szCs w:val="21"/>
                <w:highlight w:val="none"/>
              </w:rPr>
            </w:pPr>
            <w:r>
              <w:rPr>
                <w:rFonts w:hint="eastAsia" w:ascii="宋体" w:hAnsi="宋体" w:eastAsia="宋体" w:cs="宋体"/>
                <w:color w:val="auto"/>
                <w:sz w:val="21"/>
                <w:szCs w:val="21"/>
                <w:highlight w:val="none"/>
              </w:rPr>
              <w:t>2.2.1</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44FC19">
            <w:pPr>
              <w:spacing w:line="360" w:lineRule="auto"/>
              <w:jc w:val="center"/>
              <w:rPr>
                <w:rFonts w:hint="eastAsia" w:ascii="宋体" w:hAnsi="宋体" w:eastAsia="宋体" w:cs="宋体"/>
                <w:color w:val="auto"/>
                <w:spacing w:val="2"/>
                <w:kern w:val="0"/>
                <w:sz w:val="21"/>
                <w:szCs w:val="21"/>
                <w:highlight w:val="none"/>
              </w:rPr>
            </w:pPr>
            <w:r>
              <w:rPr>
                <w:rFonts w:hint="eastAsia" w:ascii="宋体" w:hAnsi="宋体" w:eastAsia="宋体" w:cs="宋体"/>
                <w:color w:val="auto"/>
                <w:sz w:val="21"/>
                <w:szCs w:val="21"/>
                <w:highlight w:val="none"/>
              </w:rPr>
              <w:t>投标人要求澄清招标文件</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B91EDF">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color w:val="auto"/>
                <w:spacing w:val="-3"/>
                <w:sz w:val="21"/>
                <w:szCs w:val="21"/>
                <w:highlight w:val="none"/>
              </w:rPr>
              <w:t>：</w:t>
            </w:r>
            <w:r>
              <w:rPr>
                <w:rFonts w:hint="eastAsia" w:ascii="宋体" w:hAnsi="宋体" w:eastAsia="宋体" w:cs="宋体"/>
                <w:color w:val="auto"/>
                <w:kern w:val="0"/>
                <w:sz w:val="21"/>
                <w:szCs w:val="21"/>
                <w:highlight w:val="none"/>
              </w:rPr>
              <w:t>见“重要事项时间地点一览表”</w:t>
            </w:r>
          </w:p>
          <w:p w14:paraId="48E02046">
            <w:pPr>
              <w:widowControl/>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形式：投标人对招标文件的疑问或要求澄清的内容以不署名的形式在韶关市公共资源交易一体化平台建设工程交易系统提出。提出疑问截止时间见“重要事项时间地点一览表”。</w:t>
            </w:r>
          </w:p>
        </w:tc>
      </w:tr>
      <w:tr w14:paraId="63109418">
        <w:tblPrEx>
          <w:tblCellMar>
            <w:top w:w="0" w:type="dxa"/>
            <w:left w:w="10" w:type="dxa"/>
            <w:bottom w:w="0" w:type="dxa"/>
            <w:right w:w="10" w:type="dxa"/>
          </w:tblCellMar>
        </w:tblPrEx>
        <w:trPr>
          <w:trHeight w:val="9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0A77AF">
            <w:pPr>
              <w:adjustRightInd w:val="0"/>
              <w:snapToGrid w:val="0"/>
              <w:spacing w:line="360" w:lineRule="auto"/>
              <w:jc w:val="center"/>
              <w:rPr>
                <w:rFonts w:hint="eastAsia" w:ascii="宋体" w:hAnsi="宋体" w:eastAsia="宋体" w:cs="宋体"/>
                <w:color w:val="auto"/>
                <w:spacing w:val="2"/>
                <w:kern w:val="0"/>
                <w:sz w:val="21"/>
                <w:szCs w:val="21"/>
                <w:highlight w:val="none"/>
              </w:rPr>
            </w:pPr>
            <w:r>
              <w:rPr>
                <w:rFonts w:hint="eastAsia" w:ascii="宋体" w:hAnsi="宋体" w:eastAsia="宋体" w:cs="宋体"/>
                <w:color w:val="auto"/>
                <w:sz w:val="21"/>
                <w:szCs w:val="21"/>
                <w:highlight w:val="none"/>
              </w:rPr>
              <w:t>2.2.2</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F1689B">
            <w:pPr>
              <w:spacing w:line="360" w:lineRule="auto"/>
              <w:jc w:val="center"/>
              <w:rPr>
                <w:rFonts w:hint="eastAsia" w:ascii="宋体" w:hAnsi="宋体" w:eastAsia="宋体" w:cs="宋体"/>
                <w:color w:val="auto"/>
                <w:spacing w:val="2"/>
                <w:kern w:val="0"/>
                <w:sz w:val="21"/>
                <w:szCs w:val="21"/>
                <w:highlight w:val="none"/>
              </w:rPr>
            </w:pPr>
            <w:r>
              <w:rPr>
                <w:rFonts w:hint="eastAsia" w:ascii="宋体" w:hAnsi="宋体" w:eastAsia="宋体" w:cs="宋体"/>
                <w:color w:val="auto"/>
                <w:sz w:val="21"/>
                <w:szCs w:val="21"/>
                <w:highlight w:val="none"/>
              </w:rPr>
              <w:t>招标答疑书发布时间</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CA76D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时间：发出即视作收到。</w:t>
            </w:r>
          </w:p>
          <w:p w14:paraId="6718FB7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形式：投标人自行查阅全国公共资源交易平台 （广东省·韶关市）建设工程栏目的公告公示，因投标人自身原因未及时查阅的，由此引起的任何责任由投标人自行承担。</w:t>
            </w:r>
          </w:p>
        </w:tc>
      </w:tr>
      <w:tr w14:paraId="473F86D0">
        <w:tblPrEx>
          <w:tblCellMar>
            <w:top w:w="0" w:type="dxa"/>
            <w:left w:w="10" w:type="dxa"/>
            <w:bottom w:w="0" w:type="dxa"/>
            <w:right w:w="10" w:type="dxa"/>
          </w:tblCellMar>
        </w:tblPrEx>
        <w:trPr>
          <w:trHeight w:val="9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D7042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3.2.1</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195A40">
            <w:pPr>
              <w:spacing w:line="360" w:lineRule="auto"/>
              <w:ind w:left="-9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投标报价</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0F0ED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投标人仅需填报投标报价下浮率（有效投标报价下浮率≥0.000%）（保留小数点后3位），不在此范围内的投标报价均为无效投标报价。</w:t>
            </w:r>
          </w:p>
          <w:p w14:paraId="0725141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主体工程采用综合单价承包（综合单价为财政审核控制单价×（1-中标下浮率）为中标的综合单价，合同总价为（招标控制价-安全生产措施费、其他临时工程费-预留金）×（1-中标下浮率）+安全生产措施费、其他临时工程费（安全生产措施费、其他临时工程费控制价不下浮）+预留金（预留金控制价不下浮）；临时工程费采用总价承包（临时工程费用控制价的临时工程费×（1-中标下浮率））。</w:t>
            </w:r>
          </w:p>
          <w:p w14:paraId="0D94987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下浮率大于15%，又未提供相应书面说明和佐证材料或提供的书面说明和佐证材料不能令人信服的，评标委员会应认定其以低于成本的价格竞标，并否决其投标。评标委员会接受该投标人的投标总价而未否决其投标的，应在评标报告中说明判断理由。</w:t>
            </w:r>
          </w:p>
        </w:tc>
      </w:tr>
      <w:tr w14:paraId="1FB01E63">
        <w:tblPrEx>
          <w:tblCellMar>
            <w:top w:w="0" w:type="dxa"/>
            <w:left w:w="10" w:type="dxa"/>
            <w:bottom w:w="0" w:type="dxa"/>
            <w:right w:w="10" w:type="dxa"/>
          </w:tblCellMar>
        </w:tblPrEx>
        <w:trPr>
          <w:trHeight w:val="621"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1A76C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68E3F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招标控制价</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F52E5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本项目招标控制价为人民币(大写)：</w:t>
            </w:r>
            <w:r>
              <w:rPr>
                <w:rFonts w:hint="eastAsia" w:ascii="宋体" w:hAnsi="宋体" w:cs="宋体"/>
                <w:color w:val="auto"/>
                <w:sz w:val="21"/>
                <w:szCs w:val="21"/>
                <w:highlight w:val="none"/>
                <w:lang w:val="en-US" w:eastAsia="zh-CN"/>
              </w:rPr>
              <w:t>伍佰壹拾肆万零玖佰贰拾元捌角</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5140920.80</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其中安全生产措施费140914.32元，其他临时工程费58056.70元，预留金244805.75元。</w:t>
            </w:r>
          </w:p>
        </w:tc>
      </w:tr>
      <w:tr w14:paraId="66461696">
        <w:tblPrEx>
          <w:tblCellMar>
            <w:top w:w="0" w:type="dxa"/>
            <w:left w:w="10" w:type="dxa"/>
            <w:bottom w:w="0" w:type="dxa"/>
            <w:right w:w="10" w:type="dxa"/>
          </w:tblCellMar>
        </w:tblPrEx>
        <w:trPr>
          <w:trHeight w:val="543"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3D049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3.3.1</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B05A9A">
            <w:pPr>
              <w:spacing w:line="360" w:lineRule="auto"/>
              <w:ind w:left="-9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投标有效期</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0FF9F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自投标截止时间算起的90天内。</w:t>
            </w:r>
          </w:p>
        </w:tc>
      </w:tr>
      <w:tr w14:paraId="0B0B820B">
        <w:tblPrEx>
          <w:tblCellMar>
            <w:top w:w="0" w:type="dxa"/>
            <w:left w:w="10" w:type="dxa"/>
            <w:bottom w:w="0" w:type="dxa"/>
            <w:right w:w="10" w:type="dxa"/>
          </w:tblCellMar>
        </w:tblPrEx>
        <w:trPr>
          <w:trHeight w:val="1322"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2F1E9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3.4.1</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14D5BA">
            <w:pPr>
              <w:spacing w:line="360" w:lineRule="auto"/>
              <w:ind w:left="-9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投标保证金</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F3F27C">
            <w:pPr>
              <w:spacing w:line="360" w:lineRule="auto"/>
              <w:ind w:firstLine="122"/>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本工程投标保证金额</w:t>
            </w:r>
            <w:r>
              <w:rPr>
                <w:rFonts w:hint="eastAsia" w:ascii="宋体" w:hAnsi="宋体" w:eastAsia="宋体" w:cs="宋体"/>
                <w:color w:val="auto"/>
                <w:spacing w:val="2"/>
                <w:sz w:val="21"/>
                <w:szCs w:val="21"/>
                <w:highlight w:val="none"/>
                <w:lang w:eastAsia="zh-CN"/>
              </w:rPr>
              <w:t>为人民币</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u w:val="single"/>
                <w:lang w:val="en-US" w:eastAsia="zh-CN"/>
              </w:rPr>
              <w:t>30000</w:t>
            </w:r>
            <w:r>
              <w:rPr>
                <w:rFonts w:hint="eastAsia" w:ascii="宋体" w:hAnsi="宋体" w:eastAsia="宋体" w:cs="宋体"/>
                <w:color w:val="auto"/>
                <w:spacing w:val="2"/>
                <w:sz w:val="21"/>
                <w:szCs w:val="21"/>
                <w:highlight w:val="none"/>
                <w:u w:val="single"/>
                <w:lang w:eastAsia="zh-CN"/>
              </w:rPr>
              <w:t>.00</w:t>
            </w:r>
            <w:r>
              <w:rPr>
                <w:rFonts w:hint="eastAsia" w:ascii="宋体" w:hAnsi="宋体" w:eastAsia="宋体" w:cs="宋体"/>
                <w:color w:val="auto"/>
                <w:spacing w:val="2"/>
                <w:sz w:val="21"/>
                <w:szCs w:val="21"/>
                <w:highlight w:val="none"/>
                <w:u w:val="single"/>
              </w:rPr>
              <w:t>元</w:t>
            </w:r>
            <w:r>
              <w:rPr>
                <w:rFonts w:hint="eastAsia" w:ascii="宋体" w:hAnsi="宋体" w:eastAsia="宋体" w:cs="宋体"/>
                <w:color w:val="auto"/>
                <w:spacing w:val="2"/>
                <w:sz w:val="21"/>
                <w:szCs w:val="21"/>
                <w:highlight w:val="none"/>
              </w:rPr>
              <w:t>。</w:t>
            </w:r>
          </w:p>
          <w:p w14:paraId="5693F0E6">
            <w:pPr>
              <w:spacing w:line="360" w:lineRule="auto"/>
              <w:ind w:firstLine="122"/>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投标保证的形式包括投投标保证金、投标保证担保、投标保证保险三种，由投标人自主选择。</w:t>
            </w:r>
          </w:p>
          <w:p w14:paraId="07217407">
            <w:pPr>
              <w:numPr>
                <w:ilvl w:val="0"/>
                <w:numId w:val="1"/>
              </w:numPr>
              <w:spacing w:line="360" w:lineRule="auto"/>
              <w:ind w:firstLine="122"/>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采用投标保证金的，投标人在建设工程交易获取招标文件完毕后，即可在系统申请缴纳投标保证金，获取本次招标投标保证金缴纳账号。投标人必须于投标保证金到账截止时间（见“重要事项时间地点一览表”）前，从其基本账户将投标保证金转账到指定的缴纳账号。逾期到账的、从非投标人基本账户转出的，其投标无效。</w:t>
            </w:r>
          </w:p>
          <w:p w14:paraId="2652315A">
            <w:pPr>
              <w:numPr>
                <w:ilvl w:val="0"/>
                <w:numId w:val="1"/>
              </w:numPr>
              <w:spacing w:line="360" w:lineRule="auto"/>
              <w:ind w:firstLine="122"/>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采用投标保证担保的，投标人应提交有效的银行保函，银行保函的有效期不得短于投标有效期。投标人必须在投标保证担保截止时间（详见“重要事项时间地点一览表”）前，使用工程建设交易系统完成网上办理电子保函。</w:t>
            </w:r>
          </w:p>
          <w:p w14:paraId="58677A66">
            <w:pPr>
              <w:keepNext w:val="0"/>
              <w:keepLines w:val="0"/>
              <w:pageBreakBefore w:val="0"/>
              <w:widowControl w:val="0"/>
              <w:numPr>
                <w:ilvl w:val="0"/>
                <w:numId w:val="1"/>
              </w:numPr>
              <w:kinsoku/>
              <w:wordWrap w:val="0"/>
              <w:overflowPunct/>
              <w:topLinePunct w:val="0"/>
              <w:autoSpaceDE/>
              <w:autoSpaceDN/>
              <w:bidi w:val="0"/>
              <w:adjustRightInd/>
              <w:snapToGrid/>
              <w:spacing w:line="360" w:lineRule="auto"/>
              <w:ind w:firstLine="119"/>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采用投标保证保险的，投标人须在投标保证保险投保截止时间（详见“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交易指引】栏目中下载《建设工程网上交易系统保险保证金缴纳操作指南》，了解网上投保具体操作流程。逾期投保的，其投标无效。</w:t>
            </w:r>
          </w:p>
          <w:p w14:paraId="2E75B9EE">
            <w:pPr>
              <w:spacing w:line="360" w:lineRule="auto"/>
              <w:ind w:firstLine="122"/>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296BC2E8">
            <w:pPr>
              <w:spacing w:line="360" w:lineRule="auto"/>
              <w:ind w:firstLine="214" w:firstLineChars="10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注：投标人不按要求提交</w:t>
            </w:r>
            <w:r>
              <w:rPr>
                <w:rFonts w:hint="eastAsia" w:ascii="宋体" w:hAnsi="宋体" w:eastAsia="宋体" w:cs="宋体"/>
                <w:color w:val="auto"/>
                <w:spacing w:val="2"/>
                <w:sz w:val="21"/>
                <w:szCs w:val="21"/>
                <w:highlight w:val="none"/>
                <w:lang w:val="en-US" w:eastAsia="zh-CN"/>
              </w:rPr>
              <w:t>投标保证金、</w:t>
            </w:r>
            <w:r>
              <w:rPr>
                <w:rFonts w:hint="eastAsia" w:ascii="宋体" w:hAnsi="宋体" w:eastAsia="宋体" w:cs="宋体"/>
                <w:color w:val="auto"/>
                <w:spacing w:val="2"/>
                <w:sz w:val="21"/>
                <w:szCs w:val="21"/>
                <w:highlight w:val="none"/>
              </w:rPr>
              <w:t>银行保函或投标保证保险的，其投标文件作无效标书处理，由此造成的后果自负。</w:t>
            </w:r>
          </w:p>
        </w:tc>
      </w:tr>
      <w:tr w14:paraId="0BEC118B">
        <w:tblPrEx>
          <w:tblCellMar>
            <w:top w:w="0" w:type="dxa"/>
            <w:left w:w="10" w:type="dxa"/>
            <w:bottom w:w="0" w:type="dxa"/>
            <w:right w:w="10" w:type="dxa"/>
          </w:tblCellMar>
        </w:tblPrEx>
        <w:trPr>
          <w:trHeight w:val="9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57FB6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3.7.1</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9D5B0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w:t>
            </w:r>
          </w:p>
          <w:p w14:paraId="20DF293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组成</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1C16AB">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本工程投标文件包括商务标书、技术标书两个分册</w:t>
            </w:r>
          </w:p>
        </w:tc>
      </w:tr>
      <w:tr w14:paraId="09BAA123">
        <w:tblPrEx>
          <w:tblCellMar>
            <w:top w:w="0" w:type="dxa"/>
            <w:left w:w="10" w:type="dxa"/>
            <w:bottom w:w="0" w:type="dxa"/>
            <w:right w:w="10" w:type="dxa"/>
          </w:tblCellMar>
        </w:tblPrEx>
        <w:trPr>
          <w:trHeight w:val="1078"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54D47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C86AD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盖章或签字</w:t>
            </w:r>
          </w:p>
          <w:p w14:paraId="385FD9BA">
            <w:pPr>
              <w:spacing w:line="360" w:lineRule="auto"/>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rPr>
              <w:t>要求</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0920B0">
            <w:pPr>
              <w:spacing w:line="360" w:lineRule="auto"/>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rPr>
              <w:t>电子投标文件：仅需在投标文件封面和有格式要求签字盖章的地方由投标人的法定代表人或其授权委托人签字（电子印章）和加盖投标人公章（电子印章），无需每页签字盖章。</w:t>
            </w:r>
          </w:p>
        </w:tc>
      </w:tr>
      <w:tr w14:paraId="152E0019">
        <w:tblPrEx>
          <w:tblCellMar>
            <w:top w:w="0" w:type="dxa"/>
            <w:left w:w="10" w:type="dxa"/>
            <w:bottom w:w="0" w:type="dxa"/>
            <w:right w:w="10" w:type="dxa"/>
          </w:tblCellMar>
        </w:tblPrEx>
        <w:trPr>
          <w:trHeight w:val="9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7142E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4.2.2</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5F8F2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电子投标文件截止时间</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9C6094">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详见“重要事项时间地点一览表”</w:t>
            </w:r>
          </w:p>
        </w:tc>
      </w:tr>
      <w:tr w14:paraId="66933C4C">
        <w:tblPrEx>
          <w:tblCellMar>
            <w:top w:w="0" w:type="dxa"/>
            <w:left w:w="10" w:type="dxa"/>
            <w:bottom w:w="0" w:type="dxa"/>
            <w:right w:w="10" w:type="dxa"/>
          </w:tblCellMar>
        </w:tblPrEx>
        <w:trPr>
          <w:trHeight w:val="562"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6264E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5.1</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299A00">
            <w:pPr>
              <w:spacing w:line="360" w:lineRule="auto"/>
              <w:ind w:left="-9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开标时间和地点</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D0E2B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详见“重要事项时间地点一览表”</w:t>
            </w:r>
          </w:p>
        </w:tc>
      </w:tr>
      <w:tr w14:paraId="12C0432C">
        <w:tblPrEx>
          <w:tblCellMar>
            <w:top w:w="0" w:type="dxa"/>
            <w:left w:w="10" w:type="dxa"/>
            <w:bottom w:w="0" w:type="dxa"/>
            <w:right w:w="10" w:type="dxa"/>
          </w:tblCellMar>
        </w:tblPrEx>
        <w:trPr>
          <w:trHeight w:val="1369"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9127C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6.1.1</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FB8DE4">
            <w:pPr>
              <w:spacing w:line="360" w:lineRule="auto"/>
              <w:ind w:left="-9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评标委员会的组建</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43E23B">
            <w:pPr>
              <w:spacing w:line="360" w:lineRule="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评标委员会构成：</w:t>
            </w:r>
            <w:r>
              <w:rPr>
                <w:rFonts w:hint="eastAsia" w:ascii="宋体" w:hAnsi="宋体" w:eastAsia="宋体" w:cs="宋体"/>
                <w:color w:val="auto"/>
                <w:spacing w:val="2"/>
                <w:sz w:val="21"/>
                <w:szCs w:val="21"/>
                <w:highlight w:val="none"/>
                <w:lang w:val="en-US" w:eastAsia="zh-CN"/>
              </w:rPr>
              <w:t>5</w:t>
            </w:r>
            <w:r>
              <w:rPr>
                <w:rFonts w:hint="eastAsia" w:ascii="宋体" w:hAnsi="宋体" w:eastAsia="宋体" w:cs="宋体"/>
                <w:color w:val="auto"/>
                <w:spacing w:val="2"/>
                <w:sz w:val="21"/>
                <w:szCs w:val="21"/>
                <w:highlight w:val="none"/>
              </w:rPr>
              <w:t>人，其中招标人代表0人、</w:t>
            </w:r>
            <w:r>
              <w:rPr>
                <w:rFonts w:hint="eastAsia" w:ascii="宋体" w:hAnsi="宋体" w:eastAsia="宋体" w:cs="宋体"/>
                <w:color w:val="auto"/>
                <w:sz w:val="21"/>
                <w:szCs w:val="21"/>
                <w:highlight w:val="none"/>
              </w:rPr>
              <w:t>经济类专家2人、技术类专家</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人</w:t>
            </w:r>
            <w:r>
              <w:rPr>
                <w:rFonts w:hint="eastAsia" w:ascii="宋体" w:hAnsi="宋体" w:eastAsia="宋体" w:cs="宋体"/>
                <w:color w:val="auto"/>
                <w:spacing w:val="2"/>
                <w:sz w:val="21"/>
                <w:szCs w:val="21"/>
                <w:highlight w:val="none"/>
              </w:rPr>
              <w:t>；</w:t>
            </w:r>
          </w:p>
          <w:p w14:paraId="50B2ACA0">
            <w:pPr>
              <w:spacing w:line="360" w:lineRule="auto"/>
              <w:ind w:left="-9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rPr>
              <w:t>评标专家确定方式：</w:t>
            </w:r>
            <w:r>
              <w:rPr>
                <w:rFonts w:hint="eastAsia" w:ascii="宋体" w:hAnsi="宋体" w:eastAsia="宋体" w:cs="宋体"/>
                <w:color w:val="auto"/>
                <w:sz w:val="21"/>
                <w:szCs w:val="21"/>
                <w:highlight w:val="none"/>
              </w:rPr>
              <w:t>从广东省综合评标评审专家库韶关市区域中随机抽取产生</w:t>
            </w:r>
            <w:r>
              <w:rPr>
                <w:rFonts w:hint="eastAsia" w:ascii="宋体" w:hAnsi="宋体" w:eastAsia="宋体" w:cs="宋体"/>
                <w:color w:val="auto"/>
                <w:sz w:val="21"/>
                <w:szCs w:val="21"/>
                <w:highlight w:val="none"/>
                <w:lang w:eastAsia="zh-CN"/>
              </w:rPr>
              <w:t>。</w:t>
            </w:r>
          </w:p>
        </w:tc>
      </w:tr>
      <w:tr w14:paraId="7C2476DD">
        <w:tblPrEx>
          <w:tblCellMar>
            <w:top w:w="0" w:type="dxa"/>
            <w:left w:w="10" w:type="dxa"/>
            <w:bottom w:w="0" w:type="dxa"/>
            <w:right w:w="10" w:type="dxa"/>
          </w:tblCellMar>
        </w:tblPrEx>
        <w:trPr>
          <w:trHeight w:val="109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AE5476">
            <w:pPr>
              <w:spacing w:line="360" w:lineRule="auto"/>
              <w:ind w:left="-9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7.4.1</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FCF832">
            <w:pPr>
              <w:spacing w:line="360" w:lineRule="auto"/>
              <w:ind w:left="-9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履约担保</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92364F">
            <w:pPr>
              <w:spacing w:line="360" w:lineRule="auto"/>
              <w:ind w:left="-9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履约担保的形式：</w:t>
            </w:r>
            <w:r>
              <w:rPr>
                <w:rFonts w:hint="eastAsia" w:ascii="宋体" w:hAnsi="宋体" w:eastAsia="宋体" w:cs="宋体"/>
                <w:color w:val="auto"/>
                <w:spacing w:val="2"/>
                <w:sz w:val="21"/>
                <w:szCs w:val="21"/>
                <w:highlight w:val="none"/>
                <w:lang w:val="en-US" w:eastAsia="zh-CN"/>
              </w:rPr>
              <w:t>银行</w:t>
            </w:r>
            <w:r>
              <w:rPr>
                <w:rFonts w:hint="eastAsia" w:ascii="宋体" w:hAnsi="宋体" w:eastAsia="宋体" w:cs="宋体"/>
                <w:color w:val="auto"/>
                <w:spacing w:val="2"/>
                <w:kern w:val="0"/>
                <w:sz w:val="21"/>
                <w:szCs w:val="21"/>
                <w:highlight w:val="none"/>
                <w:lang w:val="zh-CN"/>
              </w:rPr>
              <w:t>转账或银行保函或履约担保保险</w:t>
            </w:r>
          </w:p>
          <w:p w14:paraId="55A80221">
            <w:pPr>
              <w:spacing w:line="360" w:lineRule="auto"/>
              <w:ind w:left="-9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履约担保的金额：中标价的</w:t>
            </w:r>
            <w:r>
              <w:rPr>
                <w:rFonts w:hint="eastAsia" w:ascii="宋体" w:hAnsi="宋体" w:cs="宋体"/>
                <w:color w:val="auto"/>
                <w:spacing w:val="2"/>
                <w:sz w:val="21"/>
                <w:szCs w:val="21"/>
                <w:highlight w:val="none"/>
                <w:lang w:val="en-US" w:eastAsia="zh-CN"/>
              </w:rPr>
              <w:t>3</w:t>
            </w:r>
            <w:r>
              <w:rPr>
                <w:rFonts w:hint="eastAsia" w:ascii="宋体" w:hAnsi="宋体" w:eastAsia="宋体" w:cs="宋体"/>
                <w:color w:val="auto"/>
                <w:spacing w:val="2"/>
                <w:sz w:val="21"/>
                <w:szCs w:val="21"/>
                <w:highlight w:val="none"/>
              </w:rPr>
              <w:t>%（收到中标通知书后</w:t>
            </w:r>
            <w:r>
              <w:rPr>
                <w:rFonts w:hint="eastAsia" w:ascii="宋体" w:hAnsi="宋体" w:cs="宋体"/>
                <w:color w:val="auto"/>
                <w:spacing w:val="2"/>
                <w:sz w:val="21"/>
                <w:szCs w:val="21"/>
                <w:highlight w:val="none"/>
                <w:lang w:val="en-US" w:eastAsia="zh-CN"/>
              </w:rPr>
              <w:t>10</w:t>
            </w:r>
            <w:r>
              <w:rPr>
                <w:rFonts w:hint="eastAsia" w:ascii="宋体" w:hAnsi="宋体" w:eastAsia="宋体" w:cs="宋体"/>
                <w:color w:val="auto"/>
                <w:spacing w:val="2"/>
                <w:sz w:val="21"/>
                <w:szCs w:val="21"/>
                <w:highlight w:val="none"/>
              </w:rPr>
              <w:t>工作日内缴纳）</w:t>
            </w:r>
          </w:p>
          <w:p w14:paraId="055E73EA">
            <w:pPr>
              <w:spacing w:line="360" w:lineRule="auto"/>
              <w:ind w:left="-9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注：（1）中标人根据《关于统一在市公共资源交易一体化服务平台缴退工程建设项目履约保证金的通知》办理相关手续，履约保证的形式包括履约保证金、履约保证担保、履约保证保险三种，由中标人自主选择。商业保函、银行保函或保险合同（或保险单）的有效期应当自合同生效之日起至项目通过竣工验收之日后 28 天止。</w:t>
            </w:r>
          </w:p>
          <w:p w14:paraId="0CFCC734">
            <w:pPr>
              <w:spacing w:line="360" w:lineRule="auto"/>
              <w:ind w:left="-9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（2）中标人在工程建设交易系统约定的时间内未提交履约保证的，视其放弃中标，并由招标人通报建设行政管理部门。</w:t>
            </w:r>
          </w:p>
          <w:p w14:paraId="3ED7CEE7">
            <w:pPr>
              <w:spacing w:line="360" w:lineRule="auto"/>
              <w:ind w:left="-9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（3）项目通过竣工验收之日后28天内，由发包人</w:t>
            </w:r>
            <w:r>
              <w:rPr>
                <w:rFonts w:hint="eastAsia" w:ascii="宋体" w:hAnsi="宋体" w:eastAsia="宋体" w:cs="宋体"/>
                <w:color w:val="auto"/>
                <w:spacing w:val="2"/>
                <w:sz w:val="21"/>
                <w:szCs w:val="21"/>
                <w:highlight w:val="none"/>
                <w:lang w:eastAsia="zh-CN"/>
              </w:rPr>
              <w:t>在</w:t>
            </w:r>
            <w:r>
              <w:rPr>
                <w:rFonts w:hint="eastAsia" w:ascii="宋体" w:hAnsi="宋体" w:eastAsia="宋体" w:cs="宋体"/>
                <w:color w:val="auto"/>
                <w:spacing w:val="2"/>
                <w:sz w:val="21"/>
                <w:szCs w:val="21"/>
                <w:highlight w:val="none"/>
              </w:rPr>
              <w:t>工程建设交易系统内进行履约保证金退回操作，将履约保证原路退还给承包人。</w:t>
            </w:r>
          </w:p>
        </w:tc>
      </w:tr>
      <w:tr w14:paraId="4AD9C70E">
        <w:tblPrEx>
          <w:tblCellMar>
            <w:top w:w="0" w:type="dxa"/>
            <w:left w:w="10" w:type="dxa"/>
            <w:bottom w:w="0" w:type="dxa"/>
            <w:right w:w="10" w:type="dxa"/>
          </w:tblCellMar>
        </w:tblPrEx>
        <w:trPr>
          <w:trHeight w:val="409"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132856">
            <w:pPr>
              <w:adjustRightInd w:val="0"/>
              <w:snapToGrid w:val="0"/>
              <w:spacing w:line="360" w:lineRule="auto"/>
              <w:jc w:val="center"/>
              <w:rPr>
                <w:rFonts w:hint="eastAsia" w:ascii="宋体" w:hAnsi="宋体" w:eastAsia="宋体" w:cs="宋体"/>
                <w:color w:val="auto"/>
                <w:spacing w:val="2"/>
                <w:kern w:val="0"/>
                <w:sz w:val="21"/>
                <w:szCs w:val="21"/>
                <w:highlight w:val="none"/>
                <w:lang w:val="en-US" w:eastAsia="zh-CN"/>
              </w:rPr>
            </w:pPr>
            <w:bookmarkStart w:id="5" w:name="_Toc48665808"/>
            <w:r>
              <w:rPr>
                <w:rFonts w:hint="eastAsia" w:ascii="宋体" w:hAnsi="宋体" w:eastAsia="宋体" w:cs="宋体"/>
                <w:color w:val="auto"/>
                <w:spacing w:val="2"/>
                <w:kern w:val="0"/>
                <w:sz w:val="21"/>
                <w:szCs w:val="21"/>
                <w:highlight w:val="none"/>
                <w:lang w:val="en-US" w:eastAsia="zh-CN"/>
              </w:rPr>
              <w:t>10</w:t>
            </w:r>
          </w:p>
        </w:tc>
        <w:tc>
          <w:tcPr>
            <w:tcW w:w="9698" w:type="dxa"/>
            <w:gridSpan w:val="2"/>
            <w:tcBorders>
              <w:top w:val="single" w:color="000000" w:sz="4" w:space="0"/>
              <w:left w:val="single" w:color="000000" w:sz="4" w:space="0"/>
              <w:bottom w:val="single" w:color="000000" w:sz="4" w:space="0"/>
              <w:right w:val="single" w:color="auto" w:sz="4" w:space="0"/>
            </w:tcBorders>
            <w:shd w:val="clear" w:color="000000" w:fill="FFFFFF"/>
            <w:tcMar>
              <w:left w:w="108" w:type="dxa"/>
              <w:right w:w="108" w:type="dxa"/>
            </w:tcMar>
            <w:vAlign w:val="center"/>
          </w:tcPr>
          <w:p w14:paraId="54550167">
            <w:pPr>
              <w:keepLines/>
              <w:autoSpaceDE w:val="0"/>
              <w:autoSpaceDN w:val="0"/>
              <w:adjustRightInd w:val="0"/>
              <w:snapToGrid w:val="0"/>
              <w:spacing w:line="360" w:lineRule="auto"/>
              <w:jc w:val="left"/>
              <w:rPr>
                <w:rFonts w:hint="eastAsia" w:ascii="宋体" w:hAnsi="宋体" w:eastAsia="宋体" w:cs="宋体"/>
                <w:color w:val="auto"/>
                <w:spacing w:val="2"/>
                <w:kern w:val="0"/>
                <w:sz w:val="21"/>
                <w:szCs w:val="21"/>
                <w:highlight w:val="none"/>
              </w:rPr>
            </w:pPr>
            <w:bookmarkStart w:id="6" w:name="_Toc48665807"/>
            <w:r>
              <w:rPr>
                <w:rFonts w:hint="eastAsia" w:ascii="宋体" w:hAnsi="宋体" w:eastAsia="宋体" w:cs="宋体"/>
                <w:color w:val="auto"/>
                <w:spacing w:val="2"/>
                <w:kern w:val="0"/>
                <w:sz w:val="21"/>
                <w:szCs w:val="21"/>
                <w:highlight w:val="none"/>
              </w:rPr>
              <w:t>需要补充的其它内容</w:t>
            </w:r>
            <w:bookmarkEnd w:id="6"/>
          </w:p>
        </w:tc>
      </w:tr>
      <w:tr w14:paraId="208A22CE">
        <w:tblPrEx>
          <w:tblCellMar>
            <w:top w:w="0" w:type="dxa"/>
            <w:left w:w="10" w:type="dxa"/>
            <w:bottom w:w="0" w:type="dxa"/>
            <w:right w:w="10" w:type="dxa"/>
          </w:tblCellMar>
        </w:tblPrEx>
        <w:trPr>
          <w:trHeight w:val="63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24F025">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2"/>
                <w:kern w:val="0"/>
                <w:sz w:val="21"/>
                <w:szCs w:val="21"/>
                <w:highlight w:val="none"/>
              </w:rPr>
              <w:t>10.1</w:t>
            </w:r>
            <w:bookmarkEnd w:id="5"/>
          </w:p>
        </w:tc>
        <w:tc>
          <w:tcPr>
            <w:tcW w:w="1847" w:type="dxa"/>
            <w:tcBorders>
              <w:top w:val="single" w:color="000000" w:sz="4" w:space="0"/>
              <w:left w:val="single" w:color="000000" w:sz="4" w:space="0"/>
              <w:bottom w:val="single" w:color="000000" w:sz="4" w:space="0"/>
              <w:right w:val="single" w:color="auto" w:sz="4" w:space="0"/>
            </w:tcBorders>
            <w:shd w:val="clear" w:color="000000" w:fill="FFFFFF"/>
            <w:tcMar>
              <w:left w:w="108" w:type="dxa"/>
              <w:right w:w="108" w:type="dxa"/>
            </w:tcMar>
            <w:vAlign w:val="center"/>
          </w:tcPr>
          <w:p w14:paraId="299F75CD">
            <w:pPr>
              <w:spacing w:line="360" w:lineRule="auto"/>
              <w:ind w:left="-90"/>
              <w:jc w:val="center"/>
              <w:rPr>
                <w:rFonts w:hint="eastAsia" w:ascii="宋体" w:hAnsi="宋体" w:eastAsia="宋体" w:cs="宋体"/>
                <w:color w:val="auto"/>
                <w:spacing w:val="2"/>
                <w:kern w:val="0"/>
                <w:sz w:val="21"/>
                <w:szCs w:val="21"/>
                <w:highlight w:val="none"/>
              </w:rPr>
            </w:pPr>
            <w:r>
              <w:rPr>
                <w:rFonts w:hint="eastAsia" w:ascii="宋体" w:hAnsi="宋体" w:eastAsia="宋体" w:cs="宋体"/>
                <w:color w:val="auto"/>
                <w:sz w:val="21"/>
                <w:szCs w:val="21"/>
                <w:highlight w:val="none"/>
              </w:rPr>
              <w:t>安全生产责任险</w:t>
            </w:r>
          </w:p>
        </w:tc>
        <w:tc>
          <w:tcPr>
            <w:tcW w:w="7851" w:type="dxa"/>
            <w:tcBorders>
              <w:top w:val="single" w:color="000000" w:sz="4" w:space="0"/>
              <w:left w:val="single" w:color="000000" w:sz="4" w:space="0"/>
              <w:bottom w:val="single" w:color="000000" w:sz="4" w:space="0"/>
              <w:right w:val="single" w:color="auto" w:sz="4" w:space="0"/>
            </w:tcBorders>
            <w:shd w:val="clear" w:color="000000" w:fill="FFFFFF"/>
            <w:vAlign w:val="center"/>
          </w:tcPr>
          <w:p w14:paraId="3AFDA31A">
            <w:pPr>
              <w:keepLines/>
              <w:autoSpaceDE w:val="0"/>
              <w:autoSpaceDN w:val="0"/>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pacing w:val="2"/>
                <w:kern w:val="0"/>
                <w:sz w:val="21"/>
                <w:szCs w:val="21"/>
                <w:highlight w:val="none"/>
              </w:rPr>
              <w:t>施工单位和业主签订施工合同后，15天内施工单位必须购买安全生产责任险。</w:t>
            </w:r>
          </w:p>
        </w:tc>
      </w:tr>
      <w:tr w14:paraId="643C91A3">
        <w:tblPrEx>
          <w:tblCellMar>
            <w:top w:w="0" w:type="dxa"/>
            <w:left w:w="10" w:type="dxa"/>
            <w:bottom w:w="0" w:type="dxa"/>
            <w:right w:w="10" w:type="dxa"/>
          </w:tblCellMar>
        </w:tblPrEx>
        <w:trPr>
          <w:trHeight w:val="9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6E346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333303">
            <w:pPr>
              <w:keepLines/>
              <w:spacing w:line="360" w:lineRule="auto"/>
              <w:ind w:left="-9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工人工资支付保证金</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8CF85D">
            <w:pPr>
              <w:keepLines/>
              <w:spacing w:line="360" w:lineRule="auto"/>
              <w:ind w:left="-9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中标人按照</w:t>
            </w:r>
            <w:r>
              <w:rPr>
                <w:rFonts w:hint="eastAsia" w:ascii="宋体" w:hAnsi="宋体" w:eastAsia="宋体" w:cs="宋体"/>
                <w:color w:val="auto"/>
                <w:sz w:val="21"/>
                <w:szCs w:val="21"/>
                <w:highlight w:val="none"/>
                <w:lang w:eastAsia="zh-CN"/>
              </w:rPr>
              <w:t>《韶关市人力资源和社会保障局 韶关市住房和城乡建设管理局 韶关市交通运输局 韶关市水务局 韶关市金融工作局 国家金融监督管理总局韶关监管分局关于印发《韶关市工程建设领域农民工工资保证金管理实施细则》的通知》(韶人社规〔2023〕2号) 及《韶关市工程建设领域农民工工资保证金管理实施细则》（韶法审〔2023〕19号）</w:t>
            </w:r>
            <w:r>
              <w:rPr>
                <w:rFonts w:hint="eastAsia" w:ascii="宋体" w:hAnsi="宋体" w:eastAsia="宋体" w:cs="宋体"/>
                <w:color w:val="auto"/>
                <w:sz w:val="21"/>
                <w:szCs w:val="21"/>
                <w:highlight w:val="none"/>
              </w:rPr>
              <w:t>相关规定办理。承包人在签订工程施工承包合同后一个月内必须办妥该事项，并将办妥回执交发包人，如未办妥的，项目所在地</w:t>
            </w:r>
            <w:r>
              <w:rPr>
                <w:rFonts w:hint="eastAsia" w:ascii="宋体" w:hAnsi="宋体" w:eastAsia="宋体" w:cs="宋体"/>
                <w:color w:val="auto"/>
                <w:sz w:val="21"/>
                <w:szCs w:val="21"/>
                <w:highlight w:val="none"/>
                <w:lang w:eastAsia="zh-CN"/>
              </w:rPr>
              <w:t>水利行政主管部门</w:t>
            </w:r>
            <w:r>
              <w:rPr>
                <w:rFonts w:hint="eastAsia" w:ascii="宋体" w:hAnsi="宋体" w:eastAsia="宋体" w:cs="宋体"/>
                <w:color w:val="auto"/>
                <w:sz w:val="21"/>
                <w:szCs w:val="21"/>
                <w:highlight w:val="none"/>
              </w:rPr>
              <w:t>把中标人上报省市</w:t>
            </w:r>
            <w:r>
              <w:rPr>
                <w:rFonts w:hint="eastAsia" w:ascii="宋体" w:hAnsi="宋体" w:eastAsia="宋体" w:cs="宋体"/>
                <w:color w:val="auto"/>
                <w:sz w:val="21"/>
                <w:szCs w:val="21"/>
                <w:highlight w:val="none"/>
                <w:lang w:eastAsia="zh-CN"/>
              </w:rPr>
              <w:t>水利行政主管部门</w:t>
            </w:r>
            <w:r>
              <w:rPr>
                <w:rFonts w:hint="eastAsia" w:ascii="宋体" w:hAnsi="宋体" w:eastAsia="宋体" w:cs="宋体"/>
                <w:color w:val="auto"/>
                <w:sz w:val="21"/>
                <w:szCs w:val="21"/>
                <w:highlight w:val="none"/>
              </w:rPr>
              <w:t>将此行为列入不良信用记录，发包方并有权终止承包合同并扣除履约保证金。</w:t>
            </w:r>
          </w:p>
        </w:tc>
      </w:tr>
      <w:tr w14:paraId="296AF1FC">
        <w:tblPrEx>
          <w:tblCellMar>
            <w:top w:w="0" w:type="dxa"/>
            <w:left w:w="10" w:type="dxa"/>
            <w:bottom w:w="0" w:type="dxa"/>
            <w:right w:w="10" w:type="dxa"/>
          </w:tblCellMar>
        </w:tblPrEx>
        <w:trPr>
          <w:trHeight w:val="9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E0B6B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ABBCB4">
            <w:pPr>
              <w:keepLines/>
              <w:spacing w:line="360" w:lineRule="auto"/>
              <w:ind w:left="-9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农民工工资专用账户</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DBF21D">
            <w:pPr>
              <w:keepLines/>
              <w:spacing w:line="360" w:lineRule="auto"/>
              <w:ind w:left="-9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依据人力资源社会保障部等十部门印发的《工程建设领域农民工工资专用账户管理暂行办法》（人社部发〔2021〕53号），本项目必须执行建设领域工人工资支付分账管理，并于项目开工建设前到项目施工所在地银行设立工人工资支付专用账户，为每个工人办理工资个人账户，并建立劳动用工管理台账备查。根据水利工程人工工资所占比例，于每次拨付工程进度款时，按工程进度款的</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lang w:val="zh-CN"/>
              </w:rPr>
              <w:t>将资金转存到中标单位开设的工人工资专用账户上，确保每月25日前足额支付工人工资。若未按期执行，将上报省市水行政主管部门将此行为列入不良信用记录。</w:t>
            </w:r>
          </w:p>
        </w:tc>
      </w:tr>
      <w:tr w14:paraId="68635875">
        <w:tblPrEx>
          <w:tblCellMar>
            <w:top w:w="0" w:type="dxa"/>
            <w:left w:w="10" w:type="dxa"/>
            <w:bottom w:w="0" w:type="dxa"/>
            <w:right w:w="10" w:type="dxa"/>
          </w:tblCellMar>
        </w:tblPrEx>
        <w:trPr>
          <w:trHeight w:val="1265"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CD56A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4559CD">
            <w:pPr>
              <w:keepLines/>
              <w:spacing w:line="360" w:lineRule="auto"/>
              <w:ind w:left="-9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用工实名管理</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9A5EED">
            <w:pPr>
              <w:keepLines/>
              <w:spacing w:line="360" w:lineRule="auto"/>
              <w:ind w:left="-9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中标人按照人力资源社会保障部等十部门关于印发《工程建设领域农民工工资专用账户管理暂行办法》的通知（人社部发〔2021〕53号）等相关规定办理，在施工过程中未按要求办理，将上报省市</w:t>
            </w:r>
            <w:r>
              <w:rPr>
                <w:rFonts w:hint="eastAsia" w:ascii="宋体" w:hAnsi="宋体" w:eastAsia="宋体" w:cs="宋体"/>
                <w:color w:val="auto"/>
                <w:sz w:val="21"/>
                <w:szCs w:val="21"/>
                <w:highlight w:val="none"/>
                <w:lang w:eastAsia="zh-CN"/>
              </w:rPr>
              <w:t>水利行政主管部门</w:t>
            </w:r>
            <w:r>
              <w:rPr>
                <w:rFonts w:hint="eastAsia" w:ascii="宋体" w:hAnsi="宋体" w:eastAsia="宋体" w:cs="宋体"/>
                <w:color w:val="auto"/>
                <w:sz w:val="21"/>
                <w:szCs w:val="21"/>
                <w:highlight w:val="none"/>
              </w:rPr>
              <w:t>将此行为列入不良信用记录。</w:t>
            </w:r>
          </w:p>
        </w:tc>
      </w:tr>
      <w:tr w14:paraId="744ACF12">
        <w:tblPrEx>
          <w:tblCellMar>
            <w:top w:w="0" w:type="dxa"/>
            <w:left w:w="10" w:type="dxa"/>
            <w:bottom w:w="0" w:type="dxa"/>
            <w:right w:w="10" w:type="dxa"/>
          </w:tblCellMar>
        </w:tblPrEx>
        <w:trPr>
          <w:trHeight w:val="137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97C2A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10.5</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E9EC31">
            <w:pPr>
              <w:keepLines/>
              <w:spacing w:line="360" w:lineRule="auto"/>
              <w:ind w:left="-9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工程保险</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6634FE">
            <w:pPr>
              <w:keepLines/>
              <w:spacing w:line="360" w:lineRule="auto"/>
              <w:ind w:left="-9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保险的办理严格按照《关于要求施工单位购买安全生产责任险的通知》（韶水运行监督〔2020〕5号）及《转发关于做好我省铁路、公路、水运、水利、能源、机场工程建设参加工伤保险工作的通知》（韶人社[2019]22号）执行。</w:t>
            </w:r>
          </w:p>
        </w:tc>
      </w:tr>
      <w:tr w14:paraId="3A609939">
        <w:tblPrEx>
          <w:tblCellMar>
            <w:top w:w="0" w:type="dxa"/>
            <w:left w:w="10" w:type="dxa"/>
            <w:bottom w:w="0" w:type="dxa"/>
            <w:right w:w="10" w:type="dxa"/>
          </w:tblCellMar>
        </w:tblPrEx>
        <w:trPr>
          <w:trHeight w:val="652"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4038B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10.6</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92F7E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原件（如需）</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BF8519">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按要求提供。</w:t>
            </w:r>
          </w:p>
        </w:tc>
      </w:tr>
      <w:tr w14:paraId="76455E37">
        <w:tblPrEx>
          <w:tblCellMar>
            <w:top w:w="0" w:type="dxa"/>
            <w:left w:w="10" w:type="dxa"/>
            <w:bottom w:w="0" w:type="dxa"/>
            <w:right w:w="10" w:type="dxa"/>
          </w:tblCellMar>
        </w:tblPrEx>
        <w:trPr>
          <w:trHeight w:val="652"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314DE2">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10.7</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51AAAA">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其他</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0D10B0">
            <w:pPr>
              <w:spacing w:line="360" w:lineRule="auto"/>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中标人</w:t>
            </w:r>
            <w:r>
              <w:rPr>
                <w:rFonts w:hint="eastAsia" w:ascii="宋体" w:hAnsi="宋体" w:cs="宋体"/>
                <w:color w:val="auto"/>
                <w:sz w:val="21"/>
                <w:szCs w:val="21"/>
                <w:highlight w:val="none"/>
                <w:lang w:val="en-US" w:eastAsia="zh-CN"/>
              </w:rPr>
              <w:t>须捐建公益项目，具体实施另行协商。</w:t>
            </w:r>
          </w:p>
        </w:tc>
      </w:tr>
      <w:tr w14:paraId="0C6AC391">
        <w:tblPrEx>
          <w:tblCellMar>
            <w:top w:w="0" w:type="dxa"/>
            <w:left w:w="10" w:type="dxa"/>
            <w:bottom w:w="0" w:type="dxa"/>
            <w:right w:w="10" w:type="dxa"/>
          </w:tblCellMar>
        </w:tblPrEx>
        <w:trPr>
          <w:trHeight w:val="1092"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581C06">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w:t>
            </w:r>
            <w:r>
              <w:rPr>
                <w:rFonts w:hint="eastAsia" w:ascii="宋体" w:hAnsi="宋体" w:cs="宋体"/>
                <w:color w:val="auto"/>
                <w:sz w:val="21"/>
                <w:szCs w:val="21"/>
                <w:highlight w:val="none"/>
                <w:lang w:val="en-US" w:eastAsia="zh-CN"/>
              </w:rPr>
              <w:t>8</w:t>
            </w:r>
          </w:p>
        </w:tc>
        <w:tc>
          <w:tcPr>
            <w:tcW w:w="1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62D53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未尽事宜</w:t>
            </w:r>
          </w:p>
        </w:tc>
        <w:tc>
          <w:tcPr>
            <w:tcW w:w="7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02B82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本招标文件未尽事宜按《中华人民共和国招标投标法》、《中华人民共和国招标投标法实施条例》、《广东省实施〈中华人民共和国招标投标法〉办法》及部门规章执行。</w:t>
            </w:r>
          </w:p>
        </w:tc>
      </w:tr>
    </w:tbl>
    <w:p w14:paraId="19CE3772">
      <w:pPr>
        <w:keepNext/>
        <w:keepLines/>
        <w:spacing w:line="360" w:lineRule="auto"/>
        <w:rPr>
          <w:rFonts w:hint="eastAsia" w:ascii="宋体" w:hAnsi="宋体" w:eastAsia="宋体" w:cs="宋体"/>
          <w:b/>
          <w:color w:val="auto"/>
          <w:sz w:val="22"/>
          <w:szCs w:val="22"/>
          <w:highlight w:val="none"/>
        </w:rPr>
      </w:pPr>
      <w:r>
        <w:rPr>
          <w:rFonts w:cs="宋体" w:asciiTheme="majorEastAsia" w:hAnsiTheme="majorEastAsia" w:eastAsiaTheme="majorEastAsia"/>
          <w:b/>
          <w:color w:val="auto"/>
          <w:sz w:val="32"/>
          <w:highlight w:val="none"/>
        </w:rPr>
        <w:br w:type="page"/>
      </w:r>
      <w:r>
        <w:rPr>
          <w:rFonts w:hint="eastAsia" w:ascii="宋体" w:hAnsi="宋体" w:eastAsia="宋体" w:cs="宋体"/>
          <w:b/>
          <w:color w:val="auto"/>
          <w:sz w:val="22"/>
          <w:szCs w:val="22"/>
          <w:highlight w:val="none"/>
        </w:rPr>
        <w:t>1  总则</w:t>
      </w:r>
    </w:p>
    <w:p w14:paraId="0CE72FC7">
      <w:pPr>
        <w:spacing w:line="360" w:lineRule="auto"/>
        <w:ind w:left="178"/>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1.1项目概况</w:t>
      </w:r>
    </w:p>
    <w:p w14:paraId="56A3DE5C">
      <w:pPr>
        <w:spacing w:line="360" w:lineRule="auto"/>
        <w:ind w:left="178"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1.1.1 根据《中华人民共和国招标投标法》等有关法律、法规和规章的规定，本招标项目己具备招标条件，现对本项目施工进行招标。</w:t>
      </w:r>
    </w:p>
    <w:p w14:paraId="704A9C54">
      <w:pPr>
        <w:spacing w:line="360" w:lineRule="auto"/>
        <w:ind w:left="178"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1.1.2 本招标项目招标人：见投标人须知前附表。</w:t>
      </w:r>
    </w:p>
    <w:p w14:paraId="3A43AECD">
      <w:pPr>
        <w:spacing w:line="360" w:lineRule="auto"/>
        <w:ind w:left="178"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1.1.3 本项目招标代理机构：见投标人须知前附表。</w:t>
      </w:r>
    </w:p>
    <w:p w14:paraId="4ECE782C">
      <w:pPr>
        <w:spacing w:line="360" w:lineRule="auto"/>
        <w:ind w:left="178"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1.1.4 本招标工程名称及编号：见投标人须知前附表。</w:t>
      </w:r>
    </w:p>
    <w:p w14:paraId="667AC315">
      <w:pPr>
        <w:spacing w:line="360" w:lineRule="auto"/>
        <w:ind w:left="178"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1.1.5 本项目建设地点：见投标人须知前附表。</w:t>
      </w:r>
    </w:p>
    <w:p w14:paraId="5897E326">
      <w:pPr>
        <w:spacing w:line="360" w:lineRule="auto"/>
        <w:ind w:left="178"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1.1.7本招标项目设计人：见投标人须知前附表。</w:t>
      </w:r>
    </w:p>
    <w:p w14:paraId="0B5F78BF">
      <w:pPr>
        <w:spacing w:line="360" w:lineRule="auto"/>
        <w:ind w:left="178"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1.1.8本招标项目监理人：见投标人须知前附表。</w:t>
      </w:r>
    </w:p>
    <w:p w14:paraId="236DAC5B">
      <w:pPr>
        <w:spacing w:line="360" w:lineRule="auto"/>
        <w:ind w:left="178"/>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1.2 资金来源和落实情况</w:t>
      </w:r>
    </w:p>
    <w:p w14:paraId="5D5A5063">
      <w:pPr>
        <w:spacing w:line="360" w:lineRule="auto"/>
        <w:ind w:left="178"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1.2.1 本招标项目的资金来源：见投标人须知前附表。</w:t>
      </w:r>
    </w:p>
    <w:p w14:paraId="5AB242DB">
      <w:pPr>
        <w:spacing w:line="360" w:lineRule="auto"/>
        <w:ind w:left="178"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1.2.2 本招标项目的资金落实情况：见投标人须知前附表。</w:t>
      </w:r>
    </w:p>
    <w:p w14:paraId="6771A604">
      <w:pPr>
        <w:spacing w:line="360" w:lineRule="auto"/>
        <w:ind w:left="178"/>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1.3 招标范围、计划工期和质量要求</w:t>
      </w:r>
    </w:p>
    <w:p w14:paraId="70AB79EF">
      <w:pPr>
        <w:spacing w:line="360" w:lineRule="auto"/>
        <w:ind w:left="178"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1.3.1 本次招标范围：见投标人须知前附表。</w:t>
      </w:r>
    </w:p>
    <w:p w14:paraId="06748A9C">
      <w:pPr>
        <w:spacing w:line="360" w:lineRule="auto"/>
        <w:ind w:left="178"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1.3.2 本项目的计划工期：见投标人须知前附表。</w:t>
      </w:r>
    </w:p>
    <w:p w14:paraId="38A44691">
      <w:pPr>
        <w:spacing w:line="360" w:lineRule="auto"/>
        <w:ind w:left="178"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1.3.3 本项目的质量要求：见投标人须知前附表。</w:t>
      </w:r>
    </w:p>
    <w:p w14:paraId="15B43FA3">
      <w:pPr>
        <w:spacing w:line="360" w:lineRule="auto"/>
        <w:ind w:left="178"/>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1.4 投标人资格要求</w:t>
      </w:r>
    </w:p>
    <w:p w14:paraId="244933B5">
      <w:pPr>
        <w:spacing w:line="360" w:lineRule="auto"/>
        <w:ind w:left="178"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1.4.1 投标人应具备的资质要求：见投标人须知前附表。</w:t>
      </w:r>
    </w:p>
    <w:p w14:paraId="1FF48E58">
      <w:pPr>
        <w:spacing w:line="360" w:lineRule="auto"/>
        <w:ind w:left="178"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1.4.2本工程不接受联合体投标；</w:t>
      </w:r>
    </w:p>
    <w:p w14:paraId="0EC70968">
      <w:pPr>
        <w:spacing w:line="360" w:lineRule="auto"/>
        <w:ind w:left="178"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1.4.3投标人不得存在下列情形之一：</w:t>
      </w:r>
    </w:p>
    <w:p w14:paraId="39DB82FA">
      <w:pPr>
        <w:pStyle w:val="47"/>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（1）为招标人不具有独立法人资格的附属机构（单位）；</w:t>
      </w:r>
    </w:p>
    <w:p w14:paraId="5B762A70">
      <w:pPr>
        <w:pStyle w:val="47"/>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（2）为本招标项目前期准备提供设计或咨询服务的；</w:t>
      </w:r>
    </w:p>
    <w:p w14:paraId="607C0405">
      <w:pPr>
        <w:pStyle w:val="47"/>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（3）与本招标项目的其他投标人为同一个单位负责人；</w:t>
      </w:r>
    </w:p>
    <w:p w14:paraId="628AB94E">
      <w:pPr>
        <w:pStyle w:val="47"/>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（4）与本招标项目的其他投标人存在控股、管理关系；</w:t>
      </w:r>
    </w:p>
    <w:p w14:paraId="7F54E691">
      <w:pPr>
        <w:pStyle w:val="47"/>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（5）为本招标项目的监理人；</w:t>
      </w:r>
    </w:p>
    <w:p w14:paraId="1661F73F">
      <w:pPr>
        <w:pStyle w:val="47"/>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（6）为本招标项目的代建人；</w:t>
      </w:r>
    </w:p>
    <w:p w14:paraId="74CDDBA9">
      <w:pPr>
        <w:pStyle w:val="47"/>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（7）为本招标项目的招标代理机构；</w:t>
      </w:r>
    </w:p>
    <w:p w14:paraId="38A2A428">
      <w:pPr>
        <w:pStyle w:val="47"/>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（8）与本招标项目的监理人或代建人或招标代理机构同为一个法定代表人；</w:t>
      </w:r>
    </w:p>
    <w:p w14:paraId="32B9A4F6">
      <w:pPr>
        <w:pStyle w:val="47"/>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（9）与本招标项目的监理人或代建人或招标代理机构存在控股或参股关系；</w:t>
      </w:r>
    </w:p>
    <w:p w14:paraId="0FD429F2">
      <w:pPr>
        <w:pStyle w:val="47"/>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（10）与本招标项目的监理人或代建人或招标代理机构存在相互任职或工作关系；</w:t>
      </w:r>
    </w:p>
    <w:p w14:paraId="5C0DB153">
      <w:pPr>
        <w:pStyle w:val="47"/>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（11）被依法暂停或者取消投标资格；</w:t>
      </w:r>
    </w:p>
    <w:p w14:paraId="4B9E5B62">
      <w:pPr>
        <w:pStyle w:val="47"/>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（12）被责令停产停业、暂扣或者吊销许可证、暂扣或者吊销执照；</w:t>
      </w:r>
    </w:p>
    <w:p w14:paraId="2B0FD6D3">
      <w:pPr>
        <w:pStyle w:val="47"/>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（13）进入清算程序，或被宣告破产，或其他丧失履约能力的情形；</w:t>
      </w:r>
    </w:p>
    <w:p w14:paraId="1B8D4236">
      <w:pPr>
        <w:pStyle w:val="47"/>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（14）在最近三年内发生重大工程质量或安全问题（以相关行业主管部门的行政处罚决定或司法机关出具的有关法律文书为准）；</w:t>
      </w:r>
    </w:p>
    <w:p w14:paraId="0F18E2C4">
      <w:pPr>
        <w:pStyle w:val="47"/>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（15）被“信用中国”网站（https://www.creditchina.gov.cn）发布的《法人和非法人组织公共信用信息报告》列为严重失信主体名单的。</w:t>
      </w:r>
    </w:p>
    <w:p w14:paraId="44778369">
      <w:pPr>
        <w:pStyle w:val="47"/>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（16）法律法规或投标人须知前附表规定的其他情形。</w:t>
      </w:r>
    </w:p>
    <w:p w14:paraId="69633E75">
      <w:pPr>
        <w:pStyle w:val="47"/>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1.4.4</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单位负责人为同一人或者存在控股、管理关系的不同单位，不得同时参加本招标项目投标。</w:t>
      </w:r>
    </w:p>
    <w:p w14:paraId="24AC65A5">
      <w:pPr>
        <w:spacing w:line="360" w:lineRule="auto"/>
        <w:ind w:left="178"/>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1.5费用承担</w:t>
      </w:r>
    </w:p>
    <w:p w14:paraId="7D1AD75F">
      <w:pPr>
        <w:spacing w:line="36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1.5.1投标人准备和参加投标活动发生的费用自理。</w:t>
      </w:r>
    </w:p>
    <w:p w14:paraId="1C0CFB16">
      <w:pPr>
        <w:spacing w:line="36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1.5.2中标人须承担的其他费用：见投标人须知前附表</w:t>
      </w:r>
    </w:p>
    <w:p w14:paraId="7F365179">
      <w:pPr>
        <w:spacing w:line="360" w:lineRule="auto"/>
        <w:ind w:left="178"/>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1.6 保密</w:t>
      </w:r>
    </w:p>
    <w:p w14:paraId="5F014657">
      <w:pPr>
        <w:spacing w:line="360" w:lineRule="auto"/>
        <w:ind w:left="178"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参与招标投标活动的各方应对招标文件和投标文件中的商业和技术等秘密保密，违者应对由此造成的后果承担法律责任。</w:t>
      </w:r>
    </w:p>
    <w:p w14:paraId="7A40F717">
      <w:pPr>
        <w:spacing w:line="360" w:lineRule="auto"/>
        <w:ind w:left="178"/>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1.7 语言文字</w:t>
      </w:r>
    </w:p>
    <w:p w14:paraId="537CFB9E">
      <w:pPr>
        <w:spacing w:line="360" w:lineRule="auto"/>
        <w:ind w:left="178"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除专用术语外，与招标投标有关的语言均使用中文。必要时专用术语应附有中文注释。</w:t>
      </w:r>
    </w:p>
    <w:p w14:paraId="462792FD">
      <w:pPr>
        <w:spacing w:line="360" w:lineRule="auto"/>
        <w:ind w:left="178"/>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1.8 计量单位</w:t>
      </w:r>
    </w:p>
    <w:p w14:paraId="1247F341">
      <w:pPr>
        <w:spacing w:line="360" w:lineRule="auto"/>
        <w:ind w:left="178"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所有计量均采用中华人民共和国法定计量单位。</w:t>
      </w:r>
    </w:p>
    <w:p w14:paraId="716A86EB">
      <w:pPr>
        <w:spacing w:line="360" w:lineRule="auto"/>
        <w:ind w:left="178"/>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1.9  踏勘现场</w:t>
      </w:r>
    </w:p>
    <w:p w14:paraId="4108D193">
      <w:pPr>
        <w:spacing w:line="360" w:lineRule="auto"/>
        <w:ind w:left="178" w:leftChars="0" w:firstLine="422" w:firstLineChars="19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见投标人须知前附表</w:t>
      </w:r>
    </w:p>
    <w:p w14:paraId="02C9A3CE">
      <w:pPr>
        <w:spacing w:line="360" w:lineRule="auto"/>
        <w:ind w:left="178"/>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1.10  投标预备会</w:t>
      </w:r>
    </w:p>
    <w:p w14:paraId="2AA147BA">
      <w:pPr>
        <w:spacing w:line="360" w:lineRule="auto"/>
        <w:ind w:left="178" w:leftChars="0" w:firstLine="422" w:firstLineChars="19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见投标人须知前附表</w:t>
      </w:r>
    </w:p>
    <w:p w14:paraId="7D6FF30A">
      <w:pPr>
        <w:spacing w:line="360" w:lineRule="auto"/>
        <w:ind w:left="178"/>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1.11  分包</w:t>
      </w:r>
    </w:p>
    <w:p w14:paraId="57C8ADAC">
      <w:pPr>
        <w:spacing w:line="360" w:lineRule="auto"/>
        <w:ind w:left="178" w:leftChars="0" w:firstLine="422" w:firstLineChars="19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见投标人须知前附表</w:t>
      </w:r>
    </w:p>
    <w:p w14:paraId="0C84A37B">
      <w:pPr>
        <w:spacing w:line="360" w:lineRule="auto"/>
        <w:ind w:left="178"/>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1.12  偏离</w:t>
      </w:r>
    </w:p>
    <w:p w14:paraId="449F67A3">
      <w:pPr>
        <w:spacing w:line="360" w:lineRule="auto"/>
        <w:ind w:left="178" w:leftChars="0" w:firstLine="422" w:firstLineChars="19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投标文件不允许偏离招标文件的实质性要求和条件。投标文件偏离招标文件的非实质性要求和条件的，其处理方式见投标人须知前附表。</w:t>
      </w:r>
    </w:p>
    <w:p w14:paraId="34CEC82E">
      <w:pPr>
        <w:keepNext/>
        <w:keepLines/>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  招标文件</w:t>
      </w:r>
    </w:p>
    <w:p w14:paraId="52833F58">
      <w:pPr>
        <w:spacing w:line="360" w:lineRule="auto"/>
        <w:ind w:left="178"/>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2.1 招标文件的组成</w:t>
      </w:r>
    </w:p>
    <w:p w14:paraId="168F4388">
      <w:pPr>
        <w:spacing w:line="360" w:lineRule="auto"/>
        <w:ind w:left="178"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本招标文件包括：</w:t>
      </w:r>
    </w:p>
    <w:p w14:paraId="1C24FFED">
      <w:pPr>
        <w:spacing w:line="360" w:lineRule="auto"/>
        <w:ind w:left="178"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（1）招标公告；</w:t>
      </w:r>
    </w:p>
    <w:p w14:paraId="3C1BCFE1">
      <w:pPr>
        <w:spacing w:line="360" w:lineRule="auto"/>
        <w:ind w:left="178"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（2）投标人须知；</w:t>
      </w:r>
    </w:p>
    <w:p w14:paraId="7B89DFC7">
      <w:pPr>
        <w:spacing w:line="360" w:lineRule="auto"/>
        <w:ind w:left="178"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（3）评标办法；</w:t>
      </w:r>
    </w:p>
    <w:p w14:paraId="0BF5BD5B">
      <w:pPr>
        <w:spacing w:line="360" w:lineRule="auto"/>
        <w:ind w:left="178"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（4）合同条款及格式；</w:t>
      </w:r>
    </w:p>
    <w:p w14:paraId="03E51DDF">
      <w:pPr>
        <w:spacing w:line="360" w:lineRule="auto"/>
        <w:ind w:left="178"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（5）工程量清单；</w:t>
      </w:r>
    </w:p>
    <w:p w14:paraId="17911606">
      <w:pPr>
        <w:spacing w:line="360" w:lineRule="auto"/>
        <w:ind w:left="178"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（6）图纸；</w:t>
      </w:r>
    </w:p>
    <w:p w14:paraId="21C972C2">
      <w:pPr>
        <w:spacing w:line="360" w:lineRule="auto"/>
        <w:ind w:left="178"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（7）技术标准和要求；</w:t>
      </w:r>
    </w:p>
    <w:p w14:paraId="44EDCACC">
      <w:pPr>
        <w:spacing w:line="360" w:lineRule="auto"/>
        <w:ind w:left="178"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（8）投标文件格式；</w:t>
      </w:r>
    </w:p>
    <w:p w14:paraId="3FAC7319">
      <w:pPr>
        <w:spacing w:line="360" w:lineRule="auto"/>
        <w:ind w:left="178"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（9）投标人须知前附表规定的其他材料。</w:t>
      </w:r>
    </w:p>
    <w:p w14:paraId="1FD4EB4E">
      <w:pPr>
        <w:spacing w:line="360" w:lineRule="auto"/>
        <w:ind w:left="178"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根据本章第2.2 款和第2.3 款对招标文件所作的澄清、修改，构成招标文件的组成部分。</w:t>
      </w:r>
    </w:p>
    <w:p w14:paraId="7DB96A55">
      <w:pPr>
        <w:spacing w:line="360" w:lineRule="auto"/>
        <w:ind w:left="178"/>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2.2  招标文件的澄清</w:t>
      </w:r>
    </w:p>
    <w:p w14:paraId="22843B67">
      <w:pPr>
        <w:spacing w:line="36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2.2.1 投标人应仔细阅读和检查招标文件的全部内容。如发现缺页或附件不全，应及时向招标人提出，以便补齐。如有疑问，投标人对招标文件的质疑应在招标文件规定的质疑截止时间前以不署名的书面形式在建设工程网上交易系统提出。 </w:t>
      </w:r>
    </w:p>
    <w:p w14:paraId="4F5D1BCC">
      <w:pPr>
        <w:spacing w:line="36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2.2.2招标文件的澄清将在招标文件规定的招标答疑截止时间前发布于全国公共资源交易平台（广东省·韶关市）（https://ygp.gdzwfw.gov.cn/ggzy-portal/#/440200/index），但不说明问题的来源。如果澄清发出的时间在招标文件规定的招标答疑截止时间之后，相应延长投标截止时间。</w:t>
      </w:r>
    </w:p>
    <w:p w14:paraId="38382866">
      <w:pPr>
        <w:spacing w:line="36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2.2.3澄清一旦网上发布，即视为已通知给所有投标人。若由于投标人自身原因未及时获得补遗文件，由此发生的任何责任由投标人自负。</w:t>
      </w:r>
    </w:p>
    <w:p w14:paraId="3CCEB65C">
      <w:pPr>
        <w:spacing w:line="360" w:lineRule="auto"/>
        <w:ind w:firstLine="482"/>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2.3  招标文件的修改</w:t>
      </w:r>
    </w:p>
    <w:p w14:paraId="594F061F">
      <w:pPr>
        <w:spacing w:line="36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2.3.1 招标人以网上质疑形式修改招标文件。修改招标文件的时间距投标人须知前附表规定的投标截止时间不足15天的，并且澄清内容影响投标文件编制的，将相应延长投标截止时间。 </w:t>
      </w:r>
    </w:p>
    <w:p w14:paraId="28D13668">
      <w:pPr>
        <w:spacing w:line="36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2.3.2上述发布的补充通知将作为招标文件的组成部分。</w:t>
      </w:r>
    </w:p>
    <w:p w14:paraId="7A222C37">
      <w:pPr>
        <w:spacing w:line="36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2.3.3修改一旦网上发布，即视为已通知给所有投标人。</w:t>
      </w:r>
    </w:p>
    <w:p w14:paraId="07793077">
      <w:pPr>
        <w:keepNext/>
        <w:keepLines/>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  投标文件</w:t>
      </w:r>
    </w:p>
    <w:p w14:paraId="520C2354">
      <w:pPr>
        <w:spacing w:line="360" w:lineRule="auto"/>
        <w:ind w:left="178"/>
        <w:rPr>
          <w:rFonts w:hint="eastAsia" w:ascii="宋体" w:hAnsi="宋体" w:eastAsia="宋体" w:cs="宋体"/>
          <w:strike/>
          <w:color w:val="auto"/>
          <w:sz w:val="22"/>
          <w:szCs w:val="22"/>
          <w:highlight w:val="none"/>
        </w:rPr>
      </w:pPr>
      <w:r>
        <w:rPr>
          <w:rFonts w:hint="eastAsia" w:ascii="宋体" w:hAnsi="宋体" w:eastAsia="宋体" w:cs="宋体"/>
          <w:b/>
          <w:color w:val="auto"/>
          <w:sz w:val="22"/>
          <w:szCs w:val="22"/>
          <w:highlight w:val="none"/>
        </w:rPr>
        <w:t>3.1 投标文件的组成</w:t>
      </w:r>
    </w:p>
    <w:p w14:paraId="25B913B6">
      <w:pPr>
        <w:spacing w:line="36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3.1.1 投标文件包括商务标书、技术标书两个分册</w:t>
      </w:r>
    </w:p>
    <w:p w14:paraId="06A57DC2">
      <w:pPr>
        <w:spacing w:line="36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3.1.2 投标文件包括但不限于下列内容</w:t>
      </w:r>
    </w:p>
    <w:p w14:paraId="3E8034ED">
      <w:pPr>
        <w:spacing w:line="36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第一册：商务标书</w:t>
      </w:r>
    </w:p>
    <w:p w14:paraId="458CD0AD">
      <w:pPr>
        <w:spacing w:line="360" w:lineRule="auto"/>
        <w:ind w:firstLine="48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一、投标报价书</w:t>
      </w:r>
    </w:p>
    <w:p w14:paraId="7C6DD478">
      <w:pPr>
        <w:spacing w:line="36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二</w:t>
      </w:r>
      <w:r>
        <w:rPr>
          <w:rFonts w:hint="eastAsia" w:ascii="宋体" w:hAnsi="宋体" w:eastAsia="宋体" w:cs="宋体"/>
          <w:color w:val="auto"/>
          <w:sz w:val="22"/>
          <w:szCs w:val="22"/>
          <w:highlight w:val="none"/>
        </w:rPr>
        <w:t>、投标函及投标函附录</w:t>
      </w:r>
    </w:p>
    <w:p w14:paraId="3F296837">
      <w:pPr>
        <w:spacing w:line="36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法定代表人身份证明或附有法定代表人身份证明的授权委托书</w:t>
      </w:r>
    </w:p>
    <w:p w14:paraId="3C41CBBE">
      <w:pPr>
        <w:spacing w:line="36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四</w:t>
      </w:r>
      <w:r>
        <w:rPr>
          <w:rFonts w:hint="eastAsia" w:ascii="宋体" w:hAnsi="宋体" w:eastAsia="宋体" w:cs="宋体"/>
          <w:color w:val="auto"/>
          <w:sz w:val="22"/>
          <w:szCs w:val="22"/>
          <w:highlight w:val="none"/>
        </w:rPr>
        <w:t>、投标保证缴纳证明</w:t>
      </w:r>
    </w:p>
    <w:p w14:paraId="47116A0C">
      <w:pPr>
        <w:spacing w:line="36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五</w:t>
      </w:r>
      <w:r>
        <w:rPr>
          <w:rFonts w:hint="eastAsia" w:ascii="宋体" w:hAnsi="宋体" w:eastAsia="宋体" w:cs="宋体"/>
          <w:color w:val="auto"/>
          <w:sz w:val="22"/>
          <w:szCs w:val="22"/>
          <w:highlight w:val="none"/>
        </w:rPr>
        <w:t>、项目管理机构表</w:t>
      </w:r>
    </w:p>
    <w:p w14:paraId="74B93698">
      <w:pPr>
        <w:spacing w:line="36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六</w:t>
      </w:r>
      <w:r>
        <w:rPr>
          <w:rFonts w:hint="eastAsia" w:ascii="宋体" w:hAnsi="宋体" w:eastAsia="宋体" w:cs="宋体"/>
          <w:color w:val="auto"/>
          <w:sz w:val="22"/>
          <w:szCs w:val="22"/>
          <w:highlight w:val="none"/>
        </w:rPr>
        <w:t>、资格审查资料</w:t>
      </w:r>
    </w:p>
    <w:p w14:paraId="31CDEB29">
      <w:pPr>
        <w:spacing w:line="36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七</w:t>
      </w:r>
      <w:r>
        <w:rPr>
          <w:rFonts w:hint="eastAsia" w:ascii="宋体" w:hAnsi="宋体" w:eastAsia="宋体" w:cs="宋体"/>
          <w:color w:val="auto"/>
          <w:sz w:val="22"/>
          <w:szCs w:val="22"/>
          <w:highlight w:val="none"/>
        </w:rPr>
        <w:t>、投标承诺书</w:t>
      </w:r>
    </w:p>
    <w:p w14:paraId="60405974">
      <w:pPr>
        <w:spacing w:line="36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八</w:t>
      </w:r>
      <w:r>
        <w:rPr>
          <w:rFonts w:hint="eastAsia" w:ascii="宋体" w:hAnsi="宋体" w:eastAsia="宋体" w:cs="宋体"/>
          <w:color w:val="auto"/>
          <w:sz w:val="22"/>
          <w:szCs w:val="22"/>
          <w:highlight w:val="none"/>
        </w:rPr>
        <w:t>、其他材料（若有）</w:t>
      </w:r>
    </w:p>
    <w:p w14:paraId="4DBC0A7B">
      <w:pPr>
        <w:spacing w:line="36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第二册：技术标书</w:t>
      </w:r>
    </w:p>
    <w:p w14:paraId="0A19D73D">
      <w:pPr>
        <w:spacing w:line="360" w:lineRule="auto"/>
        <w:ind w:left="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一、施工组织设计内容完整性和编制水平</w:t>
      </w:r>
    </w:p>
    <w:p w14:paraId="705B2B23">
      <w:pPr>
        <w:spacing w:line="360" w:lineRule="auto"/>
        <w:ind w:left="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二、施工方案与技术措施的合理性、科学性与可行性</w:t>
      </w:r>
    </w:p>
    <w:p w14:paraId="322A52B7">
      <w:pPr>
        <w:spacing w:line="360" w:lineRule="auto"/>
        <w:ind w:left="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三、质量管理体系与措施</w:t>
      </w:r>
    </w:p>
    <w:p w14:paraId="753AE95C">
      <w:pPr>
        <w:spacing w:line="360" w:lineRule="auto"/>
        <w:ind w:left="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四、安全管理体系与措施</w:t>
      </w:r>
    </w:p>
    <w:p w14:paraId="095AD1AD">
      <w:pPr>
        <w:spacing w:line="360" w:lineRule="auto"/>
        <w:ind w:left="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五、环境保护管理体系与措施</w:t>
      </w:r>
    </w:p>
    <w:p w14:paraId="0C074FDC">
      <w:pPr>
        <w:spacing w:line="360" w:lineRule="auto"/>
        <w:ind w:left="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六、工程建设进度计划与措施</w:t>
      </w:r>
    </w:p>
    <w:p w14:paraId="6E102709">
      <w:pPr>
        <w:spacing w:line="360" w:lineRule="auto"/>
        <w:ind w:left="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七、资源配备计划。</w:t>
      </w:r>
    </w:p>
    <w:p w14:paraId="5C80D5EF">
      <w:pPr>
        <w:spacing w:line="360" w:lineRule="auto"/>
        <w:ind w:left="178"/>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3.2 投标报价</w:t>
      </w:r>
    </w:p>
    <w:p w14:paraId="41C2B41A">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3.2.1 投标人应按“投标函及投标函附录”的要求填写相应表格。</w:t>
      </w:r>
    </w:p>
    <w:p w14:paraId="13C46EF1">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3.2.2本项目招标控制价见投标人须知前附表。</w:t>
      </w:r>
    </w:p>
    <w:p w14:paraId="13CE0467">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3.2.3 投标人仅需填报投标报价下浮率（有效投标报价下浮率≥0.000%）（保留小数点后3位），不在此范围内的投标报价均为无效投标报价。投标人的投标报价包括所有税费、单位应交的保险、应承担的风险及应提供的服务。</w:t>
      </w:r>
    </w:p>
    <w:p w14:paraId="51BBDA42">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本项目主体工程采用综合单价承包（综合单价为财政审核控制单价×（1-中标下浮率）为中标的综合单价，合同总价为（招标控制价-安全生产措施费、其他临时工程费-预留金）×（1-中标下浮率）+安全生产措施费、其他临时工程费（安全生产措施费、其他临时工程费控制价不下浮）+预留金（预留金控制价不下浮）；临时工程费采用总价承包（临时工程费用控制价的临时工程费×（1-中标下浮率））。</w:t>
      </w:r>
    </w:p>
    <w:p w14:paraId="227B06C0">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3.2.4投标下浮率大于15%，又未提供相应书面说明和佐证材料或提供的书面说明和佐证材料不能令人信服的，评标委员会应认定其以低于成本的价格竞标，并否决其投标。评标委员会接受该投标人的投标总价而未否决其投标的，应在评标报告中说明判断理由。</w:t>
      </w:r>
    </w:p>
    <w:p w14:paraId="4F7B8667">
      <w:pPr>
        <w:spacing w:line="360" w:lineRule="auto"/>
        <w:ind w:left="178"/>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3.3 投标有效期</w:t>
      </w:r>
    </w:p>
    <w:p w14:paraId="6820DD9B">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3.3.1 在投标人须知前附表规定的投标有效期内，投标人不得要求撤销或修改其投标文件。</w:t>
      </w:r>
    </w:p>
    <w:p w14:paraId="78120AAE">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3.3.2 出现特殊情况需要延长投标有效期的，招标人以</w:t>
      </w:r>
      <w:r>
        <w:rPr>
          <w:rFonts w:hint="eastAsia" w:ascii="宋体" w:hAnsi="宋体" w:eastAsia="宋体" w:cs="宋体"/>
          <w:color w:val="auto"/>
          <w:sz w:val="22"/>
          <w:szCs w:val="22"/>
          <w:highlight w:val="none"/>
          <w:shd w:val="clear" w:color="auto" w:fill="FFFFFF"/>
          <w:lang w:val="en-US" w:eastAsia="zh-CN"/>
        </w:rPr>
        <w:t>补充公告的</w:t>
      </w:r>
      <w:r>
        <w:rPr>
          <w:rFonts w:hint="eastAsia" w:ascii="宋体" w:hAnsi="宋体" w:eastAsia="宋体" w:cs="宋体"/>
          <w:color w:val="auto"/>
          <w:sz w:val="22"/>
          <w:szCs w:val="22"/>
          <w:highlight w:val="none"/>
          <w:shd w:val="clear" w:color="auto" w:fill="FFFFFF"/>
        </w:rPr>
        <w:t>形式通知所有投标人延长投标有效期。</w:t>
      </w:r>
      <w:r>
        <w:rPr>
          <w:rFonts w:hint="eastAsia" w:ascii="宋体" w:hAnsi="宋体" w:eastAsia="宋体" w:cs="宋体"/>
          <w:color w:val="auto"/>
          <w:sz w:val="22"/>
          <w:szCs w:val="22"/>
          <w:highlight w:val="none"/>
          <w:shd w:val="clear" w:color="auto" w:fill="FFFFFF"/>
          <w:lang w:val="en-US" w:eastAsia="zh-CN"/>
        </w:rPr>
        <w:t>补充公告</w:t>
      </w:r>
      <w:r>
        <w:rPr>
          <w:rFonts w:hint="eastAsia" w:ascii="宋体" w:hAnsi="宋体" w:eastAsia="宋体" w:cs="宋体"/>
          <w:color w:val="auto"/>
          <w:sz w:val="22"/>
          <w:szCs w:val="22"/>
          <w:highlight w:val="none"/>
          <w:shd w:val="clear" w:color="auto" w:fill="FFFFFF"/>
        </w:rPr>
        <w:t>一经在建设工程交易系统发布，</w:t>
      </w:r>
      <w:r>
        <w:rPr>
          <w:rFonts w:hint="eastAsia" w:ascii="宋体" w:hAnsi="宋体" w:eastAsia="宋体" w:cs="宋体"/>
          <w:color w:val="auto"/>
          <w:sz w:val="22"/>
          <w:szCs w:val="22"/>
          <w:highlight w:val="none"/>
          <w:shd w:val="clear" w:color="auto" w:fill="FFFFFF"/>
          <w:lang w:val="en-US" w:eastAsia="zh-CN"/>
        </w:rPr>
        <w:t>则</w:t>
      </w:r>
      <w:r>
        <w:rPr>
          <w:rFonts w:hint="eastAsia" w:ascii="宋体" w:hAnsi="宋体" w:eastAsia="宋体" w:cs="宋体"/>
          <w:color w:val="auto"/>
          <w:sz w:val="22"/>
          <w:szCs w:val="22"/>
          <w:highlight w:val="none"/>
          <w:shd w:val="clear" w:color="auto" w:fill="FFFFFF"/>
        </w:rPr>
        <w:t>视为投标人同意延长其投标保证金的有效期，</w:t>
      </w:r>
      <w:r>
        <w:rPr>
          <w:rFonts w:hint="eastAsia" w:ascii="宋体" w:hAnsi="宋体" w:eastAsia="宋体" w:cs="宋体"/>
          <w:color w:val="auto"/>
          <w:sz w:val="22"/>
          <w:szCs w:val="22"/>
          <w:highlight w:val="none"/>
          <w:shd w:val="clear" w:color="auto" w:fill="FFFFFF"/>
          <w:lang w:val="en-US" w:eastAsia="zh-CN"/>
        </w:rPr>
        <w:t>但</w:t>
      </w:r>
      <w:r>
        <w:rPr>
          <w:rFonts w:hint="eastAsia" w:ascii="宋体" w:hAnsi="宋体" w:eastAsia="宋体" w:cs="宋体"/>
          <w:color w:val="auto"/>
          <w:sz w:val="22"/>
          <w:szCs w:val="22"/>
          <w:highlight w:val="none"/>
          <w:shd w:val="clear" w:color="auto" w:fill="FFFFFF"/>
        </w:rPr>
        <w:t>不得要求或被允许修改或撤销其投标文件；投标人拒绝延长的，其投标失效，但投标人有权收回其投标保证金。</w:t>
      </w:r>
    </w:p>
    <w:p w14:paraId="6140B165">
      <w:pPr>
        <w:spacing w:line="360" w:lineRule="auto"/>
        <w:ind w:left="178"/>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3.4 投标保证</w:t>
      </w:r>
    </w:p>
    <w:p w14:paraId="0A46B209">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3.4.1投标人在递交投标文件的同时，应按投标人须知前附表规定的金额和担保形式和第八章“投标文件格式”规定的投标保证金格式递交投标保证金，并作为其投标文件的组成部分。</w:t>
      </w:r>
    </w:p>
    <w:p w14:paraId="6F23562D">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3.4.2 待中标公示结束且无异议后，投标项目保证金由韶关市公共资源交易中心建设工程招标投标交易平台自动退回。如韶关市公共资源交易中心关于投标保证的退回有新规定的，则按新规定执行。</w:t>
      </w:r>
    </w:p>
    <w:p w14:paraId="64F100E7">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3.4.3 投标人不按本章第3.4.1项要求提交投标保证的，其投标文件作无效标书处理。</w:t>
      </w:r>
    </w:p>
    <w:p w14:paraId="156C6B0A">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3.4.4 有下列情形之一的，投标保证将不予退还：</w:t>
      </w:r>
    </w:p>
    <w:p w14:paraId="3613C1C4">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（1）投标人在规定的投标有效期内撤销或修改其投标文件；</w:t>
      </w:r>
    </w:p>
    <w:p w14:paraId="321F2FEE">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（2）中标人在收到中标通知书后，无正当理由拒签合同协议书。</w:t>
      </w:r>
    </w:p>
    <w:p w14:paraId="65D5C4F4">
      <w:pPr>
        <w:spacing w:line="360" w:lineRule="auto"/>
        <w:ind w:left="178"/>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3.5  资格审查资料</w:t>
      </w:r>
    </w:p>
    <w:p w14:paraId="1655CEC6">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3.5.1按投标人须知前附表1.4.1的规定。</w:t>
      </w:r>
    </w:p>
    <w:p w14:paraId="537D6601">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3.5.2本次招标不接受联合体投标。</w:t>
      </w:r>
    </w:p>
    <w:p w14:paraId="0CD2B16A">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3.5.3本次招标实行资格后审，资格审查的具体要求见招标文件，资格后审不合格的投标人的投标文件将按废标处理。</w:t>
      </w:r>
    </w:p>
    <w:p w14:paraId="67DE492A">
      <w:pPr>
        <w:tabs>
          <w:tab w:val="left" w:pos="3018"/>
        </w:tabs>
        <w:spacing w:line="360" w:lineRule="auto"/>
        <w:ind w:left="178"/>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3.6  备选投标方案</w:t>
      </w:r>
      <w:r>
        <w:rPr>
          <w:rFonts w:hint="eastAsia" w:ascii="宋体" w:hAnsi="宋体" w:eastAsia="宋体" w:cs="宋体"/>
          <w:b/>
          <w:color w:val="auto"/>
          <w:sz w:val="22"/>
          <w:szCs w:val="22"/>
          <w:highlight w:val="none"/>
        </w:rPr>
        <w:tab/>
      </w:r>
    </w:p>
    <w:p w14:paraId="327AF0C8">
      <w:pPr>
        <w:spacing w:line="360" w:lineRule="auto"/>
        <w:ind w:left="17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不接受备选投标方案。</w:t>
      </w:r>
    </w:p>
    <w:p w14:paraId="02BBC578">
      <w:pPr>
        <w:spacing w:line="360" w:lineRule="auto"/>
        <w:ind w:left="178"/>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rPr>
        <w:t>3.7  投标文件的编制</w:t>
      </w:r>
    </w:p>
    <w:p w14:paraId="22DD3B0A">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3.7.1 投标文件应按第八章“投标文件格式”进行编写，如有必要，可以增加附页，作为投标文件的组成部分。其中，投标函附录在满足招标文件实质性要求的基础上，可以提出比招标文件要求更有利于招标人的承诺。</w:t>
      </w:r>
    </w:p>
    <w:p w14:paraId="1E3BC355">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3.7.2 投标人必须响应招标文件，并在充分理解招标人提供的全部文件、设计图纸、资料及现场条件的基础上编制投标文件。因投标文件不符合招标文件的要求而造成的损失和后果，由投标人自行承担。</w:t>
      </w:r>
    </w:p>
    <w:p w14:paraId="34F4BDD4">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3.7.3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交易指引。</w:t>
      </w:r>
    </w:p>
    <w:p w14:paraId="37AB6F21">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3.7.4 投标文件需按以下要求签字、盖章：</w:t>
      </w:r>
    </w:p>
    <w:p w14:paraId="23545859">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3.7.4.1 投标文件封面、组成内容中凡注明“签字”处由要求的人员签字或电子签章；凡注明“签字或盖章”处由要求的人员签字或盖其私章（电子印章）；凡注明“签字并盖执业印章”处由要求的人员签字并盖其执业印章。</w:t>
      </w:r>
    </w:p>
    <w:p w14:paraId="0CE5CBD3">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3.7.4.2 投标文件封套、封面、组成内容中凡要求录入投标人名称且注明“盖单位章”处盖单位法人公章（电子印章）。</w:t>
      </w:r>
    </w:p>
    <w:p w14:paraId="7BC480DA">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3.7.4.3 投标文件正本的签字均为签字人本人亲笔署名或签章（电子印章），其余部分的复印件无须另行签字、盖章。</w:t>
      </w:r>
    </w:p>
    <w:p w14:paraId="0E75500C">
      <w:pPr>
        <w:keepNext/>
        <w:keepLines/>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  投标</w:t>
      </w:r>
    </w:p>
    <w:p w14:paraId="2EB6B038">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4.1电子投标</w:t>
      </w:r>
    </w:p>
    <w:p w14:paraId="2DF0FF61">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4.1.1 在建设工程交易系统上传加盖电子印章投标文件、录入相关信息及标书页码信息（页码起始从封面开始）并提交投标标书。提交标书为已加密投标文件。具体操作参照《韶关市公共资源建设工程交易系统-投标人操作指南》。本项目评标采用全流程电子化进行招标投标（投标人应根据韶关市公共资源交易一体化平台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14:paraId="4BFC78D0">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4.1.2 电子投标文件的修改、撤回：在提交投标文件截止时间前，投标人可以修改或撤回未解密的电子投标文件，并于提交投标文件截止时间前将修改后重新上传电子投标文件至系统，到达投标文件提交截止时间后，将不允许修改或撤回。</w:t>
      </w:r>
    </w:p>
    <w:p w14:paraId="4130AFEA">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4.1.3 按照交易平台关于全流程电子化项目的相关指南进行操作。详见：全国公共资源交易平台（广东省·韶关市）（https://ygp.gdzwfw.gov.cn/ggzy-portal/#/440200/index）【服务指南】栏目中下载《韶关市公共资源建设工程交易系统-投标人操作指南》。</w:t>
      </w:r>
    </w:p>
    <w:p w14:paraId="74CDDACB">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4.2电子投标突发情况及补救方案</w:t>
      </w:r>
    </w:p>
    <w:p w14:paraId="52216681">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4.2.1按照交易平台关于全流程电子化项目的相关指南进行操作。详见：全国公共资源交易平台（广东省·韶关市）（https://ygp.gdzwfw.gov.cn/ggzy-portal/#/440200/index）交易指引栏目发布的最新版操作指引。</w:t>
      </w:r>
    </w:p>
    <w:p w14:paraId="19C7F09B">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4.2.2补救方案</w:t>
      </w:r>
    </w:p>
    <w:p w14:paraId="57FDC9E1">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（1）投标文件解密失败的补救方案：</w:t>
      </w:r>
    </w:p>
    <w:p w14:paraId="36D94397">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在规定时间内，因投标人之外原因(指网络瘫痪、服务器损坏、交易系统故障短期无法恢复)等导致的电子投标文件解密失败，允许代理授权投标人重新上传电子投标文件（时限为30分钟），评标委员会对其投标文件的评审以重新上传的内容为准。电子投标文件解密失败且未重新上传电子投标文件的，视为无效投标。</w:t>
      </w:r>
    </w:p>
    <w:p w14:paraId="6F3447CF">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（2）评标时突发情况的补救方案</w:t>
      </w:r>
    </w:p>
    <w:p w14:paraId="5938450B">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在评标过程中，因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34AEF719">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（3）除发生上述情况外，开标评标均以投标人通过交易平台网上递交的电子投标文件为准。</w:t>
      </w:r>
    </w:p>
    <w:p w14:paraId="109DC5B3">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4.3投标文件的提交</w:t>
      </w:r>
    </w:p>
    <w:p w14:paraId="175FA45D">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4.3.1投标人必须在规定的截止时间前使用交易系统完成获取招标文件、缴纳投标保证和全流程电子投标，只有满足以上所有条件，方为有效投标。</w:t>
      </w:r>
    </w:p>
    <w:p w14:paraId="7931DE80">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4.3.2投标人如有招标文件要求提交的用于评审的证书、证件、证明原件（附一式两份清单），由投标人法定代表人或其委托代理人在指定的时间和地点递交（详见“重要事项时间地点一览表”）。</w:t>
      </w:r>
    </w:p>
    <w:p w14:paraId="2AE9552F">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4.3.3代理机构对因不可抗力事件造成的投标文件的损坏、丢失的，不承担责任。</w:t>
      </w:r>
    </w:p>
    <w:p w14:paraId="7F04216F">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4.3.4出现下述情形之一，属于未成功提交投标文件，按无效投标处理：</w:t>
      </w:r>
    </w:p>
    <w:p w14:paraId="125ABCB5">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（1）至提交投标文件截止时，投标文件未完整上传或未提交投标。</w:t>
      </w:r>
    </w:p>
    <w:p w14:paraId="37B6F3B2">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（2）因投标人原因导致电子投标文件解密失败且未在规定的时限内按要求成功上传未加密的备用投标文件的。</w:t>
      </w:r>
    </w:p>
    <w:p w14:paraId="57DA6A01">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4.4 投标文件的修改与撤回</w:t>
      </w:r>
    </w:p>
    <w:p w14:paraId="6D6831D6">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shd w:val="clear" w:color="auto" w:fill="FFFFFF"/>
        </w:rPr>
        <w:t>在提交投标文件截止时间前，投标人可以修改或撤回未解密的电子投标文件，并于提交投标文件截止时间前将修改后重新上传电子投标文件至系统，到达投标文件提交截止时间后，将不允许修改或撤回。在提交投标文件截止时间后，投标人不得补充、修改和更换投标文件。</w:t>
      </w:r>
    </w:p>
    <w:p w14:paraId="560810F0">
      <w:pPr>
        <w:keepNext/>
        <w:keepLines/>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  开标</w:t>
      </w:r>
    </w:p>
    <w:p w14:paraId="09A98109">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5.1  开标时间和地点</w:t>
      </w:r>
    </w:p>
    <w:p w14:paraId="4437C5D2">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5.1.1招标人邀请所有已经按要求完成网上获取招标文件、电子投标、缴纳投标保证金的投标人参加开标，投标人可自主决定是否参加。投标人不参加开标的，视其放弃见证、监督、申辩、投诉有关开标活动的权利。</w:t>
      </w:r>
    </w:p>
    <w:p w14:paraId="41803A00">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5.1.2开标时间和地点：详见“重要事项时间地点一览表”。</w:t>
      </w:r>
    </w:p>
    <w:p w14:paraId="055A8410">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5.1.3开标前24小时，若建设工程交易系统显示缴纳投标保证（包括投标保证金、投标保证担保）的投标人数量不足3个时，招标人将取消原定于次日召开的开标活动。投标人可在投标保证缴纳截止时间（详见“重要事项时间地点一览表”）至电子投标截止时间（详见“重要事项时间地点一览表”）期间登录全国公共资源交易平台（广东省·韶关市）（https://ygp.gdzwfw.gov.cn/ggzy-portal/#/440200/index）查询是否发布了取消开标活动的相关信息。</w:t>
      </w:r>
    </w:p>
    <w:p w14:paraId="2DC28098">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5.2  开标程序</w:t>
      </w:r>
    </w:p>
    <w:p w14:paraId="66498464">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（1）宣布开标纪律；</w:t>
      </w:r>
    </w:p>
    <w:p w14:paraId="50E35946">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（2）公布在投标截止时间前提交电子投标文件的投标人名称；</w:t>
      </w:r>
    </w:p>
    <w:p w14:paraId="3693B153">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（3）宣布开标人、唱标人、记录人、监标人等有关人员姓名；</w:t>
      </w:r>
    </w:p>
    <w:p w14:paraId="69E551EA">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4）在交易中心工作人员的见证下，由招标代理机构人员插入数字证书进行验证，验证通过后对投标人的电子投标文件进行解密，成功解密后系统自动提取投标人的相关信息，生成开标一览表，开标记录表包括各投标人的签到情况、投标报价、投标保证缴纳情况等内容；</w:t>
      </w:r>
    </w:p>
    <w:p w14:paraId="3C89AE6F">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（5）招标人代表、监标人、记录人等人员在《开标一览表》上签字确认；</w:t>
      </w:r>
    </w:p>
    <w:p w14:paraId="352F3726">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（6）开标结束。</w:t>
      </w:r>
    </w:p>
    <w:p w14:paraId="4390F81D">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shd w:val="clear" w:color="auto" w:fill="FFFFFF"/>
        </w:rPr>
        <w:t>备注：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74546913">
      <w:pPr>
        <w:keepNext/>
        <w:keepLines/>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6  评标</w:t>
      </w:r>
    </w:p>
    <w:p w14:paraId="28AC18F1">
      <w:pPr>
        <w:spacing w:line="360" w:lineRule="auto"/>
        <w:ind w:left="178"/>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6.1 评标委员会</w:t>
      </w:r>
    </w:p>
    <w:p w14:paraId="2D6CAFBA">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6.1.1 评标由招标人依法组建的评标委员会负责。评标委员会成员人数以及技术、经济等方面专家的确定方式见投标人须知前附表。</w:t>
      </w:r>
    </w:p>
    <w:p w14:paraId="068E8195">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评标专家确定方式：从广东省综合评标评审专家库韶关市区域中随机抽取产生。</w:t>
      </w:r>
    </w:p>
    <w:p w14:paraId="6C9ACBA7">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6.1.2 评标委员会成员有下列情形之一的，应当回避：</w:t>
      </w:r>
    </w:p>
    <w:p w14:paraId="6CED4CC8">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(1) 招标人或投标人的主要负责人的近亲属；</w:t>
      </w:r>
    </w:p>
    <w:p w14:paraId="79F9FFCE">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(2) 项目主管部门或者行政监督部门的人员；</w:t>
      </w:r>
    </w:p>
    <w:p w14:paraId="3447B418">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(3) 与投标人有经济利益关系，可能影响对投标公正评审的；</w:t>
      </w:r>
    </w:p>
    <w:p w14:paraId="3B2296C5">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(4) 曾因在招标、评标以及其他与招标投标有关活动中从事违法行为而受过行政处罚或刑事处罚的；</w:t>
      </w:r>
    </w:p>
    <w:p w14:paraId="4A3F69B0">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shd w:val="clear" w:color="auto" w:fill="FFFFFF"/>
        </w:rPr>
        <w:t>(5) 与投标人有其他利害关系。</w:t>
      </w:r>
    </w:p>
    <w:p w14:paraId="471AC585">
      <w:pPr>
        <w:spacing w:line="360" w:lineRule="auto"/>
        <w:ind w:left="178"/>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6.2 评标原则</w:t>
      </w:r>
    </w:p>
    <w:p w14:paraId="1D76C8E1">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评标活动遵循公平、公正、科学和择优的原则。</w:t>
      </w:r>
    </w:p>
    <w:p w14:paraId="4137ED52">
      <w:pPr>
        <w:spacing w:line="360" w:lineRule="auto"/>
        <w:ind w:left="178"/>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6.3 评标</w:t>
      </w:r>
    </w:p>
    <w:p w14:paraId="42C99328">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评标委员会按照第3章“评标办法”规定的方法、评审因素、标准和程序对投标文件进行评审。第3章“评标办法”没有规定的方法、评审因素和标准，不作为评标依据。</w:t>
      </w:r>
    </w:p>
    <w:p w14:paraId="4F820C9F">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shd w:val="clear" w:color="auto" w:fill="FFFFFF"/>
        </w:rPr>
        <w:t>本工程采用线上评标方式评标，评标委员会评审（除投标文件解密失败的补救方案情形）外以投标单位提交到韶关市公共资源一体化平台投标文件为准。</w:t>
      </w:r>
    </w:p>
    <w:p w14:paraId="28323644">
      <w:pPr>
        <w:keepNext/>
        <w:keepLines/>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7  合同授予</w:t>
      </w:r>
    </w:p>
    <w:p w14:paraId="41F2D1F1">
      <w:pPr>
        <w:spacing w:line="360" w:lineRule="auto"/>
        <w:ind w:left="178"/>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7.1  定标方式</w:t>
      </w:r>
    </w:p>
    <w:p w14:paraId="22A8689B">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shd w:val="clear" w:color="auto" w:fill="FFFFFF"/>
        </w:rPr>
        <w:t>评标委员会推荐3名中标候选人，并标明推荐顺序。招标人依据评标委员会推荐的中标候选人确定中标人。</w:t>
      </w:r>
    </w:p>
    <w:p w14:paraId="3C53F8E8">
      <w:pPr>
        <w:spacing w:line="360" w:lineRule="auto"/>
        <w:ind w:left="178"/>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7.2 中标通知</w:t>
      </w:r>
    </w:p>
    <w:p w14:paraId="39AFC8E0">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在本章第3.3款规定的投标有效期内，招标人以书面形式向中标人发出中标通知书，由于对评标结果以网上形式进行了公示，因此招标人向中标人发出中标通知时，不再将中标结果通知未中标的投标人。</w:t>
      </w:r>
    </w:p>
    <w:p w14:paraId="53065C35">
      <w:pPr>
        <w:spacing w:line="360" w:lineRule="auto"/>
        <w:ind w:left="178"/>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7.3 签订合同</w:t>
      </w:r>
    </w:p>
    <w:p w14:paraId="47948A14">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7.3.1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023D7B42">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7.3.2 发出中标通知书后，招标人无正当理由拒签合同的，招标人向中标人退还投标保证金，并按投标保证金双倍的金额补偿投标人损失。</w:t>
      </w:r>
    </w:p>
    <w:p w14:paraId="0C928DD1">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shd w:val="clear" w:color="auto" w:fill="FFFFFF"/>
        </w:rPr>
        <w:t>7.3.3  签订合同的同时签订《安全生产责任书》和《工资支付保证金管理协议书》。</w:t>
      </w:r>
    </w:p>
    <w:p w14:paraId="0C05BA4B">
      <w:pPr>
        <w:spacing w:line="360" w:lineRule="auto"/>
        <w:ind w:left="178"/>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7.4 履约保证金</w:t>
      </w:r>
    </w:p>
    <w:p w14:paraId="0EFEA9FC">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7.4.1 在签订合同前，中标人应按投标人须知前附表规定的形式向招标人提交履约保证金。除投标人须知前附表另有规定外，履约保证金的金额为中标价的3%。</w:t>
      </w:r>
    </w:p>
    <w:p w14:paraId="6A25B270">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7.4.2 中标人不能按本章7.4.1项要求提交履约保证金的，视为放弃中标，其投标保证金不予退还，给招标人造成的损失超过投标保证金数额的，中标人还应当对超过部分予以赔偿。</w:t>
      </w:r>
    </w:p>
    <w:p w14:paraId="6D3946CC">
      <w:pPr>
        <w:keepNext/>
        <w:keepLines/>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8  重新招标和不再招标</w:t>
      </w:r>
    </w:p>
    <w:p w14:paraId="4651A30A">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8.1  重新招标</w:t>
      </w:r>
    </w:p>
    <w:p w14:paraId="6E6EA141">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有下列情形之一的，招标人将重新招标：</w:t>
      </w:r>
    </w:p>
    <w:p w14:paraId="42401169">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(1) 投标截止时间止，投标人少于3个的；</w:t>
      </w:r>
    </w:p>
    <w:p w14:paraId="5A41DEA7">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(2)通过资格审查的投标人少于3个的；</w:t>
      </w:r>
    </w:p>
    <w:p w14:paraId="41C5888A">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(3) 经评标委员会评审后否决所有投标的；</w:t>
      </w:r>
    </w:p>
    <w:p w14:paraId="595A6A36">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(4) 评标委员会否决不合格投标后因有效投标不足3个使得投标明显缺乏竞争，评标委员会决定否决全部投标的；</w:t>
      </w:r>
    </w:p>
    <w:p w14:paraId="18955696">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(5) 同意延长投标有效期的投标人少于3个的；</w:t>
      </w:r>
    </w:p>
    <w:p w14:paraId="11F372F5">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shd w:val="clear" w:color="auto" w:fill="FFFFFF"/>
        </w:rPr>
        <w:t>(6) 中标候选人均未与招标人签订合同的。</w:t>
      </w:r>
    </w:p>
    <w:p w14:paraId="0EF7AD89">
      <w:pPr>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8.2  不再招标</w:t>
      </w:r>
    </w:p>
    <w:p w14:paraId="23B24CEB">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重新招标后，仍出现本章第8.1条规定情形之一的，属于必须审批的水利工程建设项目，经行政监督部门批准后不再进行招标。</w:t>
      </w:r>
    </w:p>
    <w:p w14:paraId="2F22898F">
      <w:pPr>
        <w:keepNext/>
        <w:keepLines/>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9  纪律和监督</w:t>
      </w:r>
    </w:p>
    <w:p w14:paraId="30F6F14C">
      <w:pPr>
        <w:spacing w:line="360" w:lineRule="auto"/>
        <w:ind w:left="178"/>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9.1  对招标人的纪律要求</w:t>
      </w:r>
    </w:p>
    <w:p w14:paraId="381529EC">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招标人不得泄漏招标投标活动中应当保密的情况和资料，不得与投标人串通损害国家利益、社会公共利益或者他人合法权益。</w:t>
      </w:r>
    </w:p>
    <w:p w14:paraId="23311CB9">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下列行为均属招标人与投标人串通投标：</w:t>
      </w:r>
    </w:p>
    <w:p w14:paraId="1DA1FA21">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(1) 招标人在开标前开启投标文件，并将投标情况告知其它投标人，或者协助投标人撤换投标文件，更改报价；</w:t>
      </w:r>
    </w:p>
    <w:p w14:paraId="6268B6B6">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(2) 招标人向投标人泄露标底；</w:t>
      </w:r>
    </w:p>
    <w:p w14:paraId="09C82610">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(3) 招标人与投标人商定，投标时压低或抬高标价，中标后再给投标人或招标人额外补偿；</w:t>
      </w:r>
    </w:p>
    <w:p w14:paraId="56E5D95C">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(4) 招标人预先内定中标人；</w:t>
      </w:r>
    </w:p>
    <w:p w14:paraId="7EDF413D">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shd w:val="clear" w:color="auto" w:fill="FFFFFF"/>
        </w:rPr>
        <w:t>(5) 其它串通投标行为。</w:t>
      </w:r>
    </w:p>
    <w:p w14:paraId="4C483662">
      <w:pPr>
        <w:spacing w:line="360" w:lineRule="auto"/>
        <w:ind w:left="178"/>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9.2  对投标人的纪律要求</w:t>
      </w:r>
    </w:p>
    <w:p w14:paraId="07EF5176">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投标人不得相互串通投标或者与招标人串通投标，不得向招标人或者评标委员会成员行贿谋取中标，不得以他人名义投标或者以其它方式弄虚作假骗取中标；投标人不得以任何方式干扰、影响评标工作。</w:t>
      </w:r>
    </w:p>
    <w:p w14:paraId="11EFDC70">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9.2.1  下列行为均属以他人名义投标，按无效</w:t>
      </w:r>
      <w:r>
        <w:rPr>
          <w:rFonts w:hint="eastAsia" w:ascii="宋体" w:hAnsi="宋体" w:cs="宋体"/>
          <w:color w:val="auto"/>
          <w:sz w:val="22"/>
          <w:szCs w:val="22"/>
          <w:highlight w:val="none"/>
          <w:shd w:val="clear" w:color="auto" w:fill="FFFFFF"/>
          <w:lang w:val="en-US" w:eastAsia="zh-CN"/>
        </w:rPr>
        <w:t>投标</w:t>
      </w:r>
      <w:r>
        <w:rPr>
          <w:rFonts w:hint="eastAsia" w:ascii="宋体" w:hAnsi="宋体" w:eastAsia="宋体" w:cs="宋体"/>
          <w:color w:val="auto"/>
          <w:sz w:val="22"/>
          <w:szCs w:val="22"/>
          <w:highlight w:val="none"/>
          <w:shd w:val="clear" w:color="auto" w:fill="FFFFFF"/>
        </w:rPr>
        <w:t>处理：</w:t>
      </w:r>
    </w:p>
    <w:p w14:paraId="47A03C57">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（1）投标人挂靠其它施工单位；</w:t>
      </w:r>
    </w:p>
    <w:p w14:paraId="3DF92899">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（2）投标人从其它施工单位通过转让或租借的方式获取资格或资质证书；</w:t>
      </w:r>
    </w:p>
    <w:p w14:paraId="61701430">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（3）由其它单位及法定代表人在自己编制的投标文件上加盖印章或签字的行为。</w:t>
      </w:r>
    </w:p>
    <w:p w14:paraId="21630062">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9.2.2  下列行为，视为允许他人以本单位名义承揽工程，按无效</w:t>
      </w:r>
      <w:r>
        <w:rPr>
          <w:rFonts w:hint="eastAsia" w:ascii="宋体" w:hAnsi="宋体" w:cs="宋体"/>
          <w:color w:val="auto"/>
          <w:sz w:val="22"/>
          <w:szCs w:val="22"/>
          <w:highlight w:val="none"/>
          <w:shd w:val="clear" w:color="auto" w:fill="FFFFFF"/>
          <w:lang w:val="en-US" w:eastAsia="zh-CN"/>
        </w:rPr>
        <w:t>投标</w:t>
      </w:r>
      <w:r>
        <w:rPr>
          <w:rFonts w:hint="eastAsia" w:ascii="宋体" w:hAnsi="宋体" w:eastAsia="宋体" w:cs="宋体"/>
          <w:color w:val="auto"/>
          <w:sz w:val="22"/>
          <w:szCs w:val="22"/>
          <w:highlight w:val="none"/>
          <w:shd w:val="clear" w:color="auto" w:fill="FFFFFF"/>
        </w:rPr>
        <w:t>处理：</w:t>
      </w:r>
    </w:p>
    <w:p w14:paraId="558E91F0">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（1）投标人的法定代表人的授权委托人不是投标人本单位人员；</w:t>
      </w:r>
    </w:p>
    <w:p w14:paraId="4FA97BAB">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（2）投标人拟在施工现场所设项目管理机构的项目经理、技术负责人、安全管理人员（专职安全生产管理人员）不是本单位人员。</w:t>
      </w:r>
    </w:p>
    <w:p w14:paraId="2985A113">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 xml:space="preserve"> 9.2.3  下列行为均属投标人串通投标报价，按无效标书处理：</w:t>
      </w:r>
    </w:p>
    <w:p w14:paraId="286479C7">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（1）投标人之间相互约定抬高或压低投标报价；</w:t>
      </w:r>
    </w:p>
    <w:p w14:paraId="53C592BC">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（2）投标人之间相互约定，在招标项目中分别以高、中、低价位报价；</w:t>
      </w:r>
    </w:p>
    <w:p w14:paraId="36E1907F">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（3）投标人之间先进行内部竞价，内定中标人，然后再参加投标；</w:t>
      </w:r>
    </w:p>
    <w:p w14:paraId="76E4F78F">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shd w:val="clear" w:color="auto" w:fill="FFFFFF"/>
        </w:rPr>
        <w:t>（4）投标人之间其它串通投标报价的行为。</w:t>
      </w:r>
    </w:p>
    <w:p w14:paraId="5C366340">
      <w:pPr>
        <w:spacing w:line="360" w:lineRule="auto"/>
        <w:ind w:left="178"/>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9.3  对评标委员会成员的纪律要求</w:t>
      </w:r>
    </w:p>
    <w:p w14:paraId="766E87D3">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751017BB">
      <w:pPr>
        <w:spacing w:line="360" w:lineRule="auto"/>
        <w:ind w:left="178"/>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9.4  对与评标活动有关的工作人员的纪律要求</w:t>
      </w:r>
    </w:p>
    <w:p w14:paraId="4AD29D49">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2464577D">
      <w:pPr>
        <w:spacing w:line="360" w:lineRule="auto"/>
        <w:ind w:left="178" w:leftChars="85"/>
        <w:outlineLvl w:val="2"/>
        <w:rPr>
          <w:rFonts w:hint="eastAsia" w:ascii="宋体" w:hAnsi="宋体" w:eastAsia="宋体" w:cs="宋体"/>
          <w:b/>
          <w:color w:val="auto"/>
          <w:sz w:val="22"/>
          <w:szCs w:val="22"/>
          <w:highlight w:val="none"/>
        </w:rPr>
      </w:pPr>
      <w:bookmarkStart w:id="7" w:name="_Toc11148"/>
      <w:r>
        <w:rPr>
          <w:rFonts w:hint="eastAsia" w:ascii="宋体" w:hAnsi="宋体" w:eastAsia="宋体" w:cs="宋体"/>
          <w:b/>
          <w:color w:val="auto"/>
          <w:sz w:val="22"/>
          <w:szCs w:val="22"/>
          <w:highlight w:val="none"/>
        </w:rPr>
        <w:t>9.5 异议</w:t>
      </w:r>
      <w:bookmarkEnd w:id="7"/>
    </w:p>
    <w:p w14:paraId="73503164">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（一）对招标文件有异议的，潜在投标人或者其他利害关系人应当在提交投标文件截止时间10日前提出；</w:t>
      </w:r>
    </w:p>
    <w:p w14:paraId="6C0BD8A2">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（二）对招标人公布的招标控制价有异议的，应当在提交投标文件截止时间3日前提出；</w:t>
      </w:r>
    </w:p>
    <w:p w14:paraId="28F1E8AA">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（三）对提交投标文件的截标时间、开标程序、投标文件密封检查和开封、唱标内容、开标记录、唱标次序等开标有异议的，投标人应当在开标期间提出；</w:t>
      </w:r>
    </w:p>
    <w:p w14:paraId="1F9D35FE">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（四）对评标报告、定标结果有异议的，投标人或者其他利害关系人应当分别在评标报告和中标候选人的公示期间提出。</w:t>
      </w:r>
    </w:p>
    <w:p w14:paraId="0F5C519E">
      <w:pPr>
        <w:spacing w:line="360" w:lineRule="auto"/>
        <w:ind w:left="178"/>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9.6投诉</w:t>
      </w:r>
    </w:p>
    <w:p w14:paraId="6FD7AB91">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投标人和其他利害关系人认为本次招标活动违反法律、法规和规章规定的，有权向有关行政监督部门投诉。</w:t>
      </w:r>
    </w:p>
    <w:p w14:paraId="5211E3EB">
      <w:pPr>
        <w:keepNext/>
        <w:keepLines/>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10  需要补充的其它内容</w:t>
      </w:r>
    </w:p>
    <w:p w14:paraId="1E990EEB">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shd w:val="clear" w:color="auto" w:fill="FFFFFF"/>
        </w:rPr>
        <w:t>其他内容详见投标人须知前附表。</w:t>
      </w:r>
    </w:p>
    <w:p w14:paraId="4149369B">
      <w:pPr>
        <w:pStyle w:val="18"/>
        <w:jc w:val="both"/>
        <w:outlineLvl w:val="9"/>
        <w:rPr>
          <w:rFonts w:cs="宋体" w:asciiTheme="majorEastAsia" w:hAnsiTheme="majorEastAsia" w:eastAsiaTheme="majorEastAsia"/>
          <w:color w:val="auto"/>
          <w:highlight w:val="none"/>
        </w:rPr>
      </w:pPr>
    </w:p>
    <w:p w14:paraId="5D43B42B">
      <w:pPr>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highlight w:val="none"/>
        </w:rPr>
        <w:br w:type="page"/>
      </w:r>
    </w:p>
    <w:p w14:paraId="10902660">
      <w:pPr>
        <w:pStyle w:val="18"/>
        <w:rPr>
          <w:rFonts w:cs="宋体" w:asciiTheme="majorEastAsia" w:hAnsiTheme="majorEastAsia" w:eastAsiaTheme="majorEastAsia"/>
          <w:color w:val="auto"/>
          <w:highlight w:val="none"/>
        </w:rPr>
      </w:pPr>
      <w:bookmarkStart w:id="8" w:name="_Toc21781"/>
      <w:r>
        <w:rPr>
          <w:rFonts w:hint="eastAsia" w:cs="宋体" w:asciiTheme="majorEastAsia" w:hAnsiTheme="majorEastAsia" w:eastAsiaTheme="majorEastAsia"/>
          <w:color w:val="auto"/>
          <w:highlight w:val="none"/>
        </w:rPr>
        <w:t>第三章评标办法</w:t>
      </w:r>
      <w:bookmarkEnd w:id="8"/>
    </w:p>
    <w:p w14:paraId="00202E22">
      <w:pPr>
        <w:keepNext/>
        <w:keepLines/>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一、评标依据：</w:t>
      </w:r>
    </w:p>
    <w:p w14:paraId="78D7DF33">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(1)《中华人民共和国招标投标法》；</w:t>
      </w:r>
    </w:p>
    <w:p w14:paraId="6771CF8B">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(2)《中华人民共和国招标投标法实施条例》；</w:t>
      </w:r>
    </w:p>
    <w:p w14:paraId="00B17AC0">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(3)广东省实施《中华人民共和国招标投标法》办法；</w:t>
      </w:r>
    </w:p>
    <w:p w14:paraId="6A4DD30B">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(4)国家计划发展委员会3号令《工程建设项目招标范围和规模标准规定》；</w:t>
      </w:r>
    </w:p>
    <w:p w14:paraId="3B2B1B39">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(5)国家计委等七部委30号令《工程建设项目施工招标投标办法》；</w:t>
      </w:r>
    </w:p>
    <w:p w14:paraId="136A5708">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(6)国务院办公厅国办发[2000]34号《国务院办公厅印发国务院有关部门实施招投标活动行政监督的职责分工意见的通知》；</w:t>
      </w:r>
    </w:p>
    <w:p w14:paraId="0730F464">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(7)水利部发布的第14号令《水利工程建设项目招标投标管理规定》；</w:t>
      </w:r>
    </w:p>
    <w:p w14:paraId="632A07B6">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(8)国家计委计政策[2001]1400号《关于进一步贯彻〈中华人民共和国招标投标法〉的通知》；</w:t>
      </w:r>
    </w:p>
    <w:p w14:paraId="67F05824">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(9)印发关于进一步加强和完善我省工程建设招标投标管理工作若干意见的通知(粤府办〔2010〕37号)；</w:t>
      </w:r>
    </w:p>
    <w:p w14:paraId="2ED9D94A">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bookmarkStart w:id="9" w:name="_Toc48666051"/>
      <w:r>
        <w:rPr>
          <w:rFonts w:hint="eastAsia" w:ascii="宋体" w:hAnsi="宋体" w:eastAsia="宋体" w:cs="宋体"/>
          <w:color w:val="auto"/>
          <w:sz w:val="22"/>
          <w:szCs w:val="22"/>
          <w:highlight w:val="none"/>
          <w:shd w:val="clear" w:color="auto" w:fill="FFFFFF"/>
        </w:rPr>
        <w:t>(1</w:t>
      </w:r>
      <w:r>
        <w:rPr>
          <w:rFonts w:hint="eastAsia" w:ascii="宋体" w:hAnsi="宋体" w:eastAsia="宋体" w:cs="宋体"/>
          <w:color w:val="auto"/>
          <w:sz w:val="22"/>
          <w:szCs w:val="22"/>
          <w:highlight w:val="none"/>
          <w:shd w:val="clear" w:color="auto" w:fill="FFFFFF"/>
          <w:lang w:val="en-US" w:eastAsia="zh-CN"/>
        </w:rPr>
        <w:t>0</w:t>
      </w:r>
      <w:r>
        <w:rPr>
          <w:rFonts w:hint="eastAsia" w:ascii="宋体" w:hAnsi="宋体" w:eastAsia="宋体" w:cs="宋体"/>
          <w:color w:val="auto"/>
          <w:sz w:val="22"/>
          <w:szCs w:val="22"/>
          <w:highlight w:val="none"/>
          <w:shd w:val="clear" w:color="auto" w:fill="FFFFFF"/>
        </w:rPr>
        <w:t>)广东省人民政府办公厅颁发的《广东省综合评标评审专家和评标评审专家库管理办法》；</w:t>
      </w:r>
      <w:bookmarkEnd w:id="9"/>
    </w:p>
    <w:p w14:paraId="15255CF3">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(1</w:t>
      </w:r>
      <w:r>
        <w:rPr>
          <w:rFonts w:hint="eastAsia" w:ascii="宋体" w:hAnsi="宋体" w:eastAsia="宋体" w:cs="宋体"/>
          <w:color w:val="auto"/>
          <w:sz w:val="22"/>
          <w:szCs w:val="22"/>
          <w:highlight w:val="none"/>
          <w:shd w:val="clear" w:color="auto" w:fill="FFFFFF"/>
          <w:lang w:val="en-US" w:eastAsia="zh-CN"/>
        </w:rPr>
        <w:t>1</w:t>
      </w:r>
      <w:r>
        <w:rPr>
          <w:rFonts w:hint="eastAsia" w:ascii="宋体" w:hAnsi="宋体" w:eastAsia="宋体" w:cs="宋体"/>
          <w:color w:val="auto"/>
          <w:sz w:val="22"/>
          <w:szCs w:val="22"/>
          <w:highlight w:val="none"/>
          <w:shd w:val="clear" w:color="auto" w:fill="FFFFFF"/>
        </w:rPr>
        <w:t>)国家和部及地方颁有关技术规范和管理规定；</w:t>
      </w:r>
    </w:p>
    <w:p w14:paraId="0A4F0326">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(1</w:t>
      </w:r>
      <w:r>
        <w:rPr>
          <w:rFonts w:hint="eastAsia" w:ascii="宋体" w:hAnsi="宋体" w:eastAsia="宋体" w:cs="宋体"/>
          <w:color w:val="auto"/>
          <w:sz w:val="22"/>
          <w:szCs w:val="22"/>
          <w:highlight w:val="none"/>
          <w:shd w:val="clear" w:color="auto" w:fill="FFFFFF"/>
          <w:lang w:val="en-US" w:eastAsia="zh-CN"/>
        </w:rPr>
        <w:t>2</w:t>
      </w:r>
      <w:r>
        <w:rPr>
          <w:rFonts w:hint="eastAsia" w:ascii="宋体" w:hAnsi="宋体" w:eastAsia="宋体" w:cs="宋体"/>
          <w:color w:val="auto"/>
          <w:sz w:val="22"/>
          <w:szCs w:val="22"/>
          <w:highlight w:val="none"/>
          <w:shd w:val="clear" w:color="auto" w:fill="FFFFFF"/>
        </w:rPr>
        <w:t>)本工程招标文件。</w:t>
      </w:r>
    </w:p>
    <w:p w14:paraId="219BE446">
      <w:pPr>
        <w:keepNext/>
        <w:keepLines/>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二、评标委员会组成</w:t>
      </w:r>
    </w:p>
    <w:p w14:paraId="01B12F50">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bookmarkStart w:id="10" w:name="_Toc48666055"/>
      <w:r>
        <w:rPr>
          <w:rFonts w:hint="eastAsia" w:ascii="宋体" w:hAnsi="宋体" w:eastAsia="宋体" w:cs="宋体"/>
          <w:color w:val="auto"/>
          <w:sz w:val="22"/>
          <w:szCs w:val="22"/>
          <w:highlight w:val="none"/>
          <w:shd w:val="clear" w:color="auto" w:fill="FFFFFF"/>
        </w:rPr>
        <w:t>评标委员会根据国家计委、水利部等七部委12号令规定组建，招标代理机构负责组织工作。评标委员会由有关技术、经济等方面的专家5人组成，其中经济类专家2人，招标人代表0人，技术类专家3人；评标专家确定方式：开标前从广东省综合评标评审专家库韶关市区域中随机抽取专家5名。</w:t>
      </w:r>
      <w:bookmarkEnd w:id="10"/>
    </w:p>
    <w:p w14:paraId="74A82CFC">
      <w:pPr>
        <w:keepNext/>
        <w:keepLines/>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三、投标报价</w:t>
      </w:r>
    </w:p>
    <w:p w14:paraId="4664B6CF">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投标人仅需填报投标报价下浮率（有效投标报价下浮率≥0.000%）（保留小数点后3位），不在此范围内的投标报价均为无效投标报价。</w:t>
      </w:r>
    </w:p>
    <w:p w14:paraId="5C46616F">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本项目主体工程采用综合单价承包（综合单价为财政审核控制单价×（1-中标下浮率）为中标的综合单价，合同总价为（招标控制价-安全生产措施费、其他临时工程费-预留金）×（1-中标下浮率）+安全生产措施费、其他临时工程费（安全生产措施费、其他临时工程费控制价不下浮）+预留金（预留金控制价不下浮）；临时工程费采用总价承包（临时工程费用控制价的临时工程费×（1-中标下浮率））。</w:t>
      </w:r>
    </w:p>
    <w:p w14:paraId="5B5C84EC">
      <w:pPr>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投标下浮率大于15%，又未提供相应书面说明和佐证材料或提供的书面说明和佐证材料不能令人信服的，评标委员会应认定其以低于成本的价格竞标，并否决其投标。评标委员会接受该投标人的投标总价而未否决其投标的，应在评标报告中说明判断理由。</w:t>
      </w:r>
    </w:p>
    <w:p w14:paraId="3281BF03">
      <w:pPr>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四、评标纪律</w:t>
      </w:r>
    </w:p>
    <w:p w14:paraId="35961FA9">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1、参加评标的所有评标委员均不代表原来各自的单位和组织，评标委员的名单在中标结果确定前保密。</w:t>
      </w:r>
    </w:p>
    <w:p w14:paraId="1E251661">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2、评标委员会和与评标活动有关的工作人员不得透露对投标文件的评审和比较、中标候选人的推荐情况以及与评标有关的其它情况。</w:t>
      </w:r>
    </w:p>
    <w:p w14:paraId="5B10F145">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3、评标委员会成员对所提出的评审意见承担个人责任，评标委员不得与任何投标人或者与招标结果有利害关系的人进行私下接触。</w:t>
      </w:r>
    </w:p>
    <w:p w14:paraId="3EDD679C">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4、评标委员应站在公平、公正的立场，严格按照评标办法、招标文件和国家有关技术规范的规定进行，不得随意修改评标办法。</w:t>
      </w:r>
    </w:p>
    <w:p w14:paraId="507A1A2D">
      <w:pPr>
        <w:keepNext/>
        <w:keepLines/>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五、评标监督管理</w:t>
      </w:r>
    </w:p>
    <w:p w14:paraId="6243A0B6">
      <w:pPr>
        <w:spacing w:line="36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招标评标活动在招标人和有关行政监督部门、上级</w:t>
      </w:r>
      <w:r>
        <w:rPr>
          <w:rFonts w:hint="eastAsia" w:ascii="宋体" w:hAnsi="宋体" w:eastAsia="宋体" w:cs="宋体"/>
          <w:color w:val="auto"/>
          <w:sz w:val="22"/>
          <w:szCs w:val="22"/>
          <w:highlight w:val="none"/>
          <w:lang w:eastAsia="zh-CN"/>
        </w:rPr>
        <w:t>水利行政主管部门</w:t>
      </w:r>
      <w:r>
        <w:rPr>
          <w:rFonts w:hint="eastAsia" w:ascii="宋体" w:hAnsi="宋体" w:eastAsia="宋体" w:cs="宋体"/>
          <w:color w:val="auto"/>
          <w:sz w:val="22"/>
          <w:szCs w:val="22"/>
          <w:highlight w:val="none"/>
        </w:rPr>
        <w:t>的监督下进行。</w:t>
      </w:r>
    </w:p>
    <w:p w14:paraId="7C1A5118">
      <w:pPr>
        <w:keepNext/>
        <w:keepLines/>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六、评标程序</w:t>
      </w:r>
    </w:p>
    <w:p w14:paraId="3D3FC4D9">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1、评委召开预备会，宣布评标纪律，签订评标保密承诺书，熟悉招标文件，学习评标办法，选举评标委员会主任。</w:t>
      </w:r>
    </w:p>
    <w:p w14:paraId="09280937">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2、评委在有关监督部门的监督下封闭评标，按照评标方法进行评审。</w:t>
      </w:r>
    </w:p>
    <w:p w14:paraId="626F4548">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3、评审结果由工作人员汇总复核。</w:t>
      </w:r>
    </w:p>
    <w:p w14:paraId="201F2342">
      <w:pPr>
        <w:keepNext w:val="0"/>
        <w:keepLines w:val="0"/>
        <w:pageBreakBefore w:val="0"/>
        <w:widowControl w:val="0"/>
        <w:tabs>
          <w:tab w:val="left" w:pos="3018"/>
        </w:tabs>
        <w:kinsoku/>
        <w:wordWrap/>
        <w:overflowPunct/>
        <w:topLinePunct w:val="0"/>
        <w:autoSpaceDE/>
        <w:autoSpaceDN/>
        <w:bidi w:val="0"/>
        <w:adjustRightInd/>
        <w:snapToGrid/>
        <w:spacing w:line="360" w:lineRule="auto"/>
        <w:ind w:left="0" w:firstLine="440" w:firstLineChars="200"/>
        <w:textAlignment w:val="auto"/>
        <w:rPr>
          <w:rFonts w:cs="宋体" w:asciiTheme="majorEastAsia" w:hAnsiTheme="majorEastAsia" w:eastAsiaTheme="majorEastAsia"/>
          <w:b/>
          <w:color w:val="auto"/>
          <w:sz w:val="24"/>
          <w:highlight w:val="none"/>
        </w:rPr>
      </w:pPr>
      <w:r>
        <w:rPr>
          <w:rFonts w:hint="eastAsia" w:ascii="宋体" w:hAnsi="宋体" w:eastAsia="宋体" w:cs="宋体"/>
          <w:color w:val="auto"/>
          <w:sz w:val="22"/>
          <w:szCs w:val="22"/>
          <w:highlight w:val="none"/>
          <w:shd w:val="clear" w:color="auto" w:fill="FFFFFF"/>
        </w:rPr>
        <w:t>4、提交评标报告。</w:t>
      </w:r>
    </w:p>
    <w:p w14:paraId="146C1927">
      <w:pPr>
        <w:spacing w:line="360" w:lineRule="auto"/>
        <w:ind w:left="359"/>
        <w:rPr>
          <w:rFonts w:cs="宋体" w:asciiTheme="majorEastAsia" w:hAnsiTheme="majorEastAsia" w:eastAsiaTheme="majorEastAsia"/>
          <w:b/>
          <w:color w:val="auto"/>
          <w:sz w:val="24"/>
          <w:highlight w:val="none"/>
        </w:rPr>
      </w:pPr>
      <w:r>
        <w:rPr>
          <w:rFonts w:cs="宋体" w:asciiTheme="majorEastAsia" w:hAnsiTheme="majorEastAsia" w:eastAsiaTheme="majorEastAsia"/>
          <w:b/>
          <w:color w:val="auto"/>
          <w:sz w:val="24"/>
          <w:highlight w:val="none"/>
        </w:rPr>
        <w:br w:type="page"/>
      </w:r>
    </w:p>
    <w:p w14:paraId="09B00851">
      <w:pPr>
        <w:keepNext/>
        <w:keepLines/>
        <w:spacing w:line="416" w:lineRule="auto"/>
        <w:jc w:val="center"/>
        <w:rPr>
          <w:rFonts w:cs="Arial" w:asciiTheme="majorEastAsia" w:hAnsiTheme="majorEastAsia" w:eastAsiaTheme="majorEastAsia"/>
          <w:b/>
          <w:color w:val="auto"/>
          <w:sz w:val="32"/>
          <w:highlight w:val="none"/>
        </w:rPr>
      </w:pPr>
      <w:r>
        <w:rPr>
          <w:rFonts w:hint="eastAsia" w:cs="宋体" w:asciiTheme="majorEastAsia" w:hAnsiTheme="majorEastAsia" w:eastAsiaTheme="majorEastAsia"/>
          <w:b/>
          <w:color w:val="auto"/>
          <w:sz w:val="32"/>
          <w:highlight w:val="none"/>
        </w:rPr>
        <w:t>【综合评分法】评标办法前附表</w:t>
      </w:r>
    </w:p>
    <w:tbl>
      <w:tblPr>
        <w:tblStyle w:val="20"/>
        <w:tblW w:w="10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832"/>
        <w:gridCol w:w="2475"/>
        <w:gridCol w:w="6032"/>
      </w:tblGrid>
      <w:tr w14:paraId="09B8B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76" w:type="dxa"/>
            <w:gridSpan w:val="2"/>
            <w:noWrap/>
            <w:vAlign w:val="center"/>
          </w:tcPr>
          <w:p w14:paraId="4B9BDC05">
            <w:pPr>
              <w:spacing w:line="400" w:lineRule="exact"/>
              <w:jc w:val="center"/>
              <w:rPr>
                <w:rFonts w:hint="eastAsia" w:ascii="宋体" w:hAnsi="宋体" w:eastAsia="宋体" w:cs="宋体"/>
                <w:b/>
                <w:color w:val="auto"/>
                <w:sz w:val="22"/>
                <w:szCs w:val="22"/>
                <w:highlight w:val="none"/>
              </w:rPr>
            </w:pPr>
            <w:bookmarkStart w:id="11" w:name="_Toc48666071"/>
            <w:r>
              <w:rPr>
                <w:rFonts w:hint="eastAsia" w:ascii="宋体" w:hAnsi="宋体" w:eastAsia="宋体" w:cs="宋体"/>
                <w:b/>
                <w:color w:val="auto"/>
                <w:sz w:val="22"/>
                <w:szCs w:val="22"/>
                <w:highlight w:val="none"/>
              </w:rPr>
              <w:t>条款号</w:t>
            </w:r>
          </w:p>
        </w:tc>
        <w:tc>
          <w:tcPr>
            <w:tcW w:w="2475" w:type="dxa"/>
            <w:noWrap/>
            <w:vAlign w:val="center"/>
          </w:tcPr>
          <w:p w14:paraId="16C594E8">
            <w:pPr>
              <w:spacing w:line="40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评审因素</w:t>
            </w:r>
          </w:p>
        </w:tc>
        <w:tc>
          <w:tcPr>
            <w:tcW w:w="6032" w:type="dxa"/>
            <w:noWrap/>
            <w:vAlign w:val="center"/>
          </w:tcPr>
          <w:p w14:paraId="6DC27D98">
            <w:pPr>
              <w:spacing w:line="40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评审标准</w:t>
            </w:r>
          </w:p>
        </w:tc>
      </w:tr>
      <w:tr w14:paraId="632EF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844" w:type="dxa"/>
            <w:vMerge w:val="restart"/>
            <w:shd w:val="clear" w:color="auto" w:fill="auto"/>
            <w:noWrap/>
            <w:vAlign w:val="center"/>
          </w:tcPr>
          <w:p w14:paraId="701BC19B">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 xml:space="preserve">.1 </w:t>
            </w:r>
          </w:p>
        </w:tc>
        <w:tc>
          <w:tcPr>
            <w:tcW w:w="832" w:type="dxa"/>
            <w:vMerge w:val="restart"/>
            <w:shd w:val="clear" w:color="auto" w:fill="FFFFFF"/>
            <w:noWrap/>
            <w:vAlign w:val="center"/>
          </w:tcPr>
          <w:p w14:paraId="60B9E393">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p>
          <w:p w14:paraId="10777E3A">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评审标准</w:t>
            </w:r>
          </w:p>
        </w:tc>
        <w:tc>
          <w:tcPr>
            <w:tcW w:w="2475" w:type="dxa"/>
            <w:shd w:val="clear" w:color="auto" w:fill="FFFFFF"/>
            <w:noWrap/>
            <w:vAlign w:val="center"/>
          </w:tcPr>
          <w:p w14:paraId="736DDD96">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投标人名称</w:t>
            </w:r>
          </w:p>
        </w:tc>
        <w:tc>
          <w:tcPr>
            <w:tcW w:w="6032" w:type="dxa"/>
            <w:shd w:val="clear" w:color="auto" w:fill="FFFFFF"/>
            <w:noWrap/>
            <w:vAlign w:val="center"/>
          </w:tcPr>
          <w:p w14:paraId="09B00592">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与营业执照、资质证书、安全生产许可证一致</w:t>
            </w:r>
          </w:p>
        </w:tc>
      </w:tr>
      <w:tr w14:paraId="356B3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44" w:type="dxa"/>
            <w:vMerge w:val="continue"/>
            <w:shd w:val="clear" w:color="auto" w:fill="auto"/>
            <w:noWrap/>
            <w:vAlign w:val="center"/>
          </w:tcPr>
          <w:p w14:paraId="14AC8214">
            <w:pPr>
              <w:spacing w:line="400" w:lineRule="exact"/>
              <w:rPr>
                <w:rFonts w:hint="eastAsia" w:ascii="宋体" w:hAnsi="宋体" w:eastAsia="宋体" w:cs="宋体"/>
                <w:color w:val="auto"/>
                <w:sz w:val="22"/>
                <w:szCs w:val="22"/>
                <w:highlight w:val="none"/>
              </w:rPr>
            </w:pPr>
          </w:p>
        </w:tc>
        <w:tc>
          <w:tcPr>
            <w:tcW w:w="832" w:type="dxa"/>
            <w:vMerge w:val="continue"/>
            <w:shd w:val="clear" w:color="auto" w:fill="FFFFFF"/>
            <w:noWrap/>
            <w:vAlign w:val="center"/>
          </w:tcPr>
          <w:p w14:paraId="07B0A416">
            <w:pPr>
              <w:spacing w:line="400" w:lineRule="exact"/>
              <w:jc w:val="center"/>
              <w:rPr>
                <w:rFonts w:hint="eastAsia" w:ascii="宋体" w:hAnsi="宋体" w:eastAsia="宋体" w:cs="宋体"/>
                <w:color w:val="auto"/>
                <w:sz w:val="22"/>
                <w:szCs w:val="22"/>
                <w:highlight w:val="none"/>
              </w:rPr>
            </w:pPr>
          </w:p>
        </w:tc>
        <w:tc>
          <w:tcPr>
            <w:tcW w:w="2475" w:type="dxa"/>
            <w:shd w:val="clear" w:color="auto" w:fill="FFFFFF"/>
            <w:noWrap/>
            <w:vAlign w:val="center"/>
          </w:tcPr>
          <w:p w14:paraId="3D5F575D">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投标文件的签字盖章</w:t>
            </w:r>
          </w:p>
        </w:tc>
        <w:tc>
          <w:tcPr>
            <w:tcW w:w="6032" w:type="dxa"/>
            <w:shd w:val="clear" w:color="auto" w:fill="FFFFFF"/>
            <w:noWrap/>
            <w:vAlign w:val="center"/>
          </w:tcPr>
          <w:p w14:paraId="3906CE36">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符合第二章“投标人须知”第3.7.3款规定</w:t>
            </w:r>
          </w:p>
        </w:tc>
      </w:tr>
      <w:tr w14:paraId="21BD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44" w:type="dxa"/>
            <w:vMerge w:val="continue"/>
            <w:shd w:val="clear" w:color="auto" w:fill="auto"/>
            <w:noWrap/>
            <w:vAlign w:val="center"/>
          </w:tcPr>
          <w:p w14:paraId="365E4FB5">
            <w:pPr>
              <w:spacing w:line="400" w:lineRule="exact"/>
              <w:rPr>
                <w:rFonts w:hint="eastAsia" w:ascii="宋体" w:hAnsi="宋体" w:eastAsia="宋体" w:cs="宋体"/>
                <w:color w:val="auto"/>
                <w:sz w:val="22"/>
                <w:szCs w:val="22"/>
                <w:highlight w:val="none"/>
              </w:rPr>
            </w:pPr>
          </w:p>
        </w:tc>
        <w:tc>
          <w:tcPr>
            <w:tcW w:w="832" w:type="dxa"/>
            <w:vMerge w:val="continue"/>
            <w:shd w:val="clear" w:color="auto" w:fill="FFFFFF"/>
            <w:noWrap/>
            <w:vAlign w:val="center"/>
          </w:tcPr>
          <w:p w14:paraId="0E37C2E8">
            <w:pPr>
              <w:spacing w:line="400" w:lineRule="exact"/>
              <w:jc w:val="center"/>
              <w:rPr>
                <w:rFonts w:hint="eastAsia" w:ascii="宋体" w:hAnsi="宋体" w:eastAsia="宋体" w:cs="宋体"/>
                <w:color w:val="auto"/>
                <w:sz w:val="22"/>
                <w:szCs w:val="22"/>
                <w:highlight w:val="none"/>
              </w:rPr>
            </w:pPr>
          </w:p>
        </w:tc>
        <w:tc>
          <w:tcPr>
            <w:tcW w:w="2475" w:type="dxa"/>
            <w:shd w:val="clear" w:color="auto" w:fill="FFFFFF"/>
            <w:noWrap/>
            <w:vAlign w:val="center"/>
          </w:tcPr>
          <w:p w14:paraId="64BC8BD1">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投标文件格式</w:t>
            </w:r>
          </w:p>
        </w:tc>
        <w:tc>
          <w:tcPr>
            <w:tcW w:w="6032" w:type="dxa"/>
            <w:shd w:val="clear" w:color="auto" w:fill="FFFFFF"/>
            <w:noWrap/>
            <w:vAlign w:val="center"/>
          </w:tcPr>
          <w:p w14:paraId="60FED569">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符合第八章“投标文件格式”的要求</w:t>
            </w:r>
          </w:p>
        </w:tc>
      </w:tr>
      <w:tr w14:paraId="19C69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4" w:type="dxa"/>
            <w:vMerge w:val="continue"/>
            <w:shd w:val="clear" w:color="auto" w:fill="auto"/>
            <w:noWrap/>
            <w:vAlign w:val="center"/>
          </w:tcPr>
          <w:p w14:paraId="36F8CDA7">
            <w:pPr>
              <w:spacing w:line="400" w:lineRule="exact"/>
              <w:rPr>
                <w:rFonts w:hint="eastAsia" w:ascii="宋体" w:hAnsi="宋体" w:eastAsia="宋体" w:cs="宋体"/>
                <w:color w:val="auto"/>
                <w:sz w:val="22"/>
                <w:szCs w:val="22"/>
                <w:highlight w:val="none"/>
              </w:rPr>
            </w:pPr>
          </w:p>
        </w:tc>
        <w:tc>
          <w:tcPr>
            <w:tcW w:w="832" w:type="dxa"/>
            <w:vMerge w:val="continue"/>
            <w:shd w:val="clear" w:color="auto" w:fill="FFFFFF"/>
            <w:noWrap/>
            <w:vAlign w:val="center"/>
          </w:tcPr>
          <w:p w14:paraId="6B642710">
            <w:pPr>
              <w:spacing w:line="400" w:lineRule="exact"/>
              <w:jc w:val="center"/>
              <w:rPr>
                <w:rFonts w:hint="eastAsia" w:ascii="宋体" w:hAnsi="宋体" w:eastAsia="宋体" w:cs="宋体"/>
                <w:color w:val="auto"/>
                <w:sz w:val="22"/>
                <w:szCs w:val="22"/>
                <w:highlight w:val="none"/>
              </w:rPr>
            </w:pPr>
          </w:p>
        </w:tc>
        <w:tc>
          <w:tcPr>
            <w:tcW w:w="2475" w:type="dxa"/>
            <w:shd w:val="clear" w:color="auto" w:fill="FFFFFF"/>
            <w:noWrap/>
            <w:vAlign w:val="center"/>
          </w:tcPr>
          <w:p w14:paraId="3B1196BC">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报价唯一</w:t>
            </w:r>
          </w:p>
        </w:tc>
        <w:tc>
          <w:tcPr>
            <w:tcW w:w="6032" w:type="dxa"/>
            <w:shd w:val="clear" w:color="auto" w:fill="FFFFFF"/>
            <w:noWrap/>
            <w:vAlign w:val="center"/>
          </w:tcPr>
          <w:p w14:paraId="5A588A2A">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只能有一个有效报价下浮率</w:t>
            </w:r>
          </w:p>
        </w:tc>
      </w:tr>
      <w:tr w14:paraId="0FBEE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4" w:type="dxa"/>
            <w:vMerge w:val="restart"/>
            <w:shd w:val="clear" w:color="auto" w:fill="auto"/>
            <w:noWrap/>
            <w:vAlign w:val="center"/>
          </w:tcPr>
          <w:p w14:paraId="447342B8">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.2</w:t>
            </w:r>
          </w:p>
        </w:tc>
        <w:tc>
          <w:tcPr>
            <w:tcW w:w="832" w:type="dxa"/>
            <w:vMerge w:val="restart"/>
            <w:shd w:val="clear" w:color="auto" w:fill="FFFFFF"/>
            <w:noWrap/>
            <w:vAlign w:val="center"/>
          </w:tcPr>
          <w:p w14:paraId="0C3BC3E9">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资格</w:t>
            </w:r>
          </w:p>
          <w:p w14:paraId="7A13617D">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评审标准</w:t>
            </w:r>
          </w:p>
        </w:tc>
        <w:tc>
          <w:tcPr>
            <w:tcW w:w="2475" w:type="dxa"/>
            <w:shd w:val="clear" w:color="auto" w:fill="FFFFFF"/>
            <w:noWrap/>
            <w:vAlign w:val="center"/>
          </w:tcPr>
          <w:p w14:paraId="706F4418">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营业执照</w:t>
            </w:r>
          </w:p>
        </w:tc>
        <w:tc>
          <w:tcPr>
            <w:tcW w:w="6032" w:type="dxa"/>
            <w:shd w:val="clear" w:color="auto" w:fill="FFFFFF"/>
            <w:noWrap/>
            <w:vAlign w:val="center"/>
          </w:tcPr>
          <w:p w14:paraId="76444F9F">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具备有效的营业执照</w:t>
            </w:r>
          </w:p>
        </w:tc>
      </w:tr>
      <w:tr w14:paraId="24C56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44" w:type="dxa"/>
            <w:vMerge w:val="continue"/>
            <w:shd w:val="clear" w:color="auto" w:fill="auto"/>
            <w:noWrap/>
            <w:vAlign w:val="center"/>
          </w:tcPr>
          <w:p w14:paraId="48AAA767">
            <w:pPr>
              <w:spacing w:line="400" w:lineRule="exact"/>
              <w:rPr>
                <w:rFonts w:hint="eastAsia" w:ascii="宋体" w:hAnsi="宋体" w:eastAsia="宋体" w:cs="宋体"/>
                <w:color w:val="auto"/>
                <w:sz w:val="22"/>
                <w:szCs w:val="22"/>
                <w:highlight w:val="none"/>
              </w:rPr>
            </w:pPr>
          </w:p>
        </w:tc>
        <w:tc>
          <w:tcPr>
            <w:tcW w:w="832" w:type="dxa"/>
            <w:vMerge w:val="continue"/>
            <w:shd w:val="clear" w:color="auto" w:fill="FFFFFF"/>
            <w:noWrap/>
            <w:vAlign w:val="center"/>
          </w:tcPr>
          <w:p w14:paraId="79AECDC8">
            <w:pPr>
              <w:spacing w:line="400" w:lineRule="exact"/>
              <w:jc w:val="center"/>
              <w:rPr>
                <w:rFonts w:hint="eastAsia" w:ascii="宋体" w:hAnsi="宋体" w:eastAsia="宋体" w:cs="宋体"/>
                <w:color w:val="auto"/>
                <w:sz w:val="22"/>
                <w:szCs w:val="22"/>
                <w:highlight w:val="none"/>
              </w:rPr>
            </w:pPr>
          </w:p>
        </w:tc>
        <w:tc>
          <w:tcPr>
            <w:tcW w:w="2475" w:type="dxa"/>
            <w:shd w:val="clear" w:color="auto" w:fill="FFFFFF"/>
            <w:noWrap/>
            <w:vAlign w:val="center"/>
          </w:tcPr>
          <w:p w14:paraId="497306ED">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资质证书及等级</w:t>
            </w:r>
          </w:p>
        </w:tc>
        <w:tc>
          <w:tcPr>
            <w:tcW w:w="6032" w:type="dxa"/>
            <w:shd w:val="clear" w:color="auto" w:fill="FFFFFF"/>
            <w:noWrap/>
            <w:vAlign w:val="center"/>
          </w:tcPr>
          <w:p w14:paraId="2088BF61">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符合第二章“投标人须知”第1.4.1项规定</w:t>
            </w:r>
          </w:p>
        </w:tc>
      </w:tr>
      <w:tr w14:paraId="3BC1A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44" w:type="dxa"/>
            <w:vMerge w:val="continue"/>
            <w:shd w:val="clear" w:color="auto" w:fill="auto"/>
            <w:noWrap/>
            <w:vAlign w:val="center"/>
          </w:tcPr>
          <w:p w14:paraId="1A3913A1">
            <w:pPr>
              <w:spacing w:line="400" w:lineRule="exact"/>
              <w:rPr>
                <w:rFonts w:hint="eastAsia" w:ascii="宋体" w:hAnsi="宋体" w:eastAsia="宋体" w:cs="宋体"/>
                <w:color w:val="auto"/>
                <w:sz w:val="22"/>
                <w:szCs w:val="22"/>
                <w:highlight w:val="none"/>
              </w:rPr>
            </w:pPr>
          </w:p>
        </w:tc>
        <w:tc>
          <w:tcPr>
            <w:tcW w:w="832" w:type="dxa"/>
            <w:vMerge w:val="continue"/>
            <w:shd w:val="clear" w:color="auto" w:fill="FFFFFF"/>
            <w:noWrap/>
            <w:vAlign w:val="center"/>
          </w:tcPr>
          <w:p w14:paraId="2875A992">
            <w:pPr>
              <w:spacing w:line="400" w:lineRule="exact"/>
              <w:jc w:val="center"/>
              <w:rPr>
                <w:rFonts w:hint="eastAsia" w:ascii="宋体" w:hAnsi="宋体" w:eastAsia="宋体" w:cs="宋体"/>
                <w:color w:val="auto"/>
                <w:sz w:val="22"/>
                <w:szCs w:val="22"/>
                <w:highlight w:val="none"/>
              </w:rPr>
            </w:pPr>
          </w:p>
        </w:tc>
        <w:tc>
          <w:tcPr>
            <w:tcW w:w="2475" w:type="dxa"/>
            <w:shd w:val="clear" w:color="auto" w:fill="FFFFFF"/>
            <w:noWrap/>
            <w:vAlign w:val="center"/>
          </w:tcPr>
          <w:p w14:paraId="6ECDF2FC">
            <w:pPr>
              <w:tabs>
                <w:tab w:val="left" w:pos="1800"/>
              </w:tabs>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安全生产许可证</w:t>
            </w:r>
          </w:p>
        </w:tc>
        <w:tc>
          <w:tcPr>
            <w:tcW w:w="6032" w:type="dxa"/>
            <w:shd w:val="clear" w:color="auto" w:fill="FFFFFF"/>
            <w:noWrap/>
            <w:vAlign w:val="center"/>
          </w:tcPr>
          <w:p w14:paraId="5ED54DBD">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具备有效的安全生产许可证</w:t>
            </w:r>
          </w:p>
        </w:tc>
      </w:tr>
      <w:tr w14:paraId="5E94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44" w:type="dxa"/>
            <w:vMerge w:val="continue"/>
            <w:shd w:val="clear" w:color="auto" w:fill="auto"/>
            <w:noWrap/>
            <w:vAlign w:val="center"/>
          </w:tcPr>
          <w:p w14:paraId="07DBDC73">
            <w:pPr>
              <w:spacing w:line="400" w:lineRule="exact"/>
              <w:rPr>
                <w:rFonts w:hint="eastAsia" w:ascii="宋体" w:hAnsi="宋体" w:eastAsia="宋体" w:cs="宋体"/>
                <w:color w:val="auto"/>
                <w:sz w:val="22"/>
                <w:szCs w:val="22"/>
                <w:highlight w:val="none"/>
              </w:rPr>
            </w:pPr>
          </w:p>
        </w:tc>
        <w:tc>
          <w:tcPr>
            <w:tcW w:w="832" w:type="dxa"/>
            <w:vMerge w:val="continue"/>
            <w:shd w:val="clear" w:color="auto" w:fill="FFFFFF"/>
            <w:noWrap/>
            <w:vAlign w:val="center"/>
          </w:tcPr>
          <w:p w14:paraId="52E0641B">
            <w:pPr>
              <w:spacing w:line="400" w:lineRule="exact"/>
              <w:jc w:val="center"/>
              <w:rPr>
                <w:rFonts w:hint="eastAsia" w:ascii="宋体" w:hAnsi="宋体" w:eastAsia="宋体" w:cs="宋体"/>
                <w:color w:val="auto"/>
                <w:sz w:val="22"/>
                <w:szCs w:val="22"/>
                <w:highlight w:val="none"/>
              </w:rPr>
            </w:pPr>
          </w:p>
        </w:tc>
        <w:tc>
          <w:tcPr>
            <w:tcW w:w="2475" w:type="dxa"/>
            <w:shd w:val="clear" w:color="auto" w:fill="FFFFFF"/>
            <w:noWrap/>
            <w:vAlign w:val="center"/>
          </w:tcPr>
          <w:p w14:paraId="56E71A55">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项目经理 </w:t>
            </w:r>
          </w:p>
        </w:tc>
        <w:tc>
          <w:tcPr>
            <w:tcW w:w="6032" w:type="dxa"/>
            <w:shd w:val="clear" w:color="auto" w:fill="FFFFFF"/>
            <w:noWrap/>
            <w:vAlign w:val="center"/>
          </w:tcPr>
          <w:p w14:paraId="665DDA4F">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符合第二章“投标人须知”第1.4.1项规定</w:t>
            </w:r>
          </w:p>
        </w:tc>
      </w:tr>
      <w:tr w14:paraId="0FA1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44" w:type="dxa"/>
            <w:vMerge w:val="continue"/>
            <w:shd w:val="clear" w:color="auto" w:fill="auto"/>
            <w:noWrap/>
            <w:vAlign w:val="center"/>
          </w:tcPr>
          <w:p w14:paraId="4EBD092E">
            <w:pPr>
              <w:spacing w:line="400" w:lineRule="exact"/>
              <w:rPr>
                <w:rFonts w:hint="eastAsia" w:ascii="宋体" w:hAnsi="宋体" w:eastAsia="宋体" w:cs="宋体"/>
                <w:color w:val="auto"/>
                <w:sz w:val="22"/>
                <w:szCs w:val="22"/>
                <w:highlight w:val="none"/>
              </w:rPr>
            </w:pPr>
          </w:p>
        </w:tc>
        <w:tc>
          <w:tcPr>
            <w:tcW w:w="832" w:type="dxa"/>
            <w:vMerge w:val="continue"/>
            <w:shd w:val="clear" w:color="auto" w:fill="FFFFFF"/>
            <w:noWrap/>
            <w:vAlign w:val="center"/>
          </w:tcPr>
          <w:p w14:paraId="7EF8CCC9">
            <w:pPr>
              <w:spacing w:line="400" w:lineRule="exact"/>
              <w:jc w:val="center"/>
              <w:rPr>
                <w:rFonts w:hint="eastAsia" w:ascii="宋体" w:hAnsi="宋体" w:eastAsia="宋体" w:cs="宋体"/>
                <w:color w:val="auto"/>
                <w:sz w:val="22"/>
                <w:szCs w:val="22"/>
                <w:highlight w:val="none"/>
              </w:rPr>
            </w:pPr>
          </w:p>
        </w:tc>
        <w:tc>
          <w:tcPr>
            <w:tcW w:w="2475" w:type="dxa"/>
            <w:shd w:val="clear" w:color="auto" w:fill="FFFFFF"/>
            <w:noWrap/>
            <w:vAlign w:val="center"/>
          </w:tcPr>
          <w:p w14:paraId="1C49A5EC">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技术负责人</w:t>
            </w:r>
          </w:p>
        </w:tc>
        <w:tc>
          <w:tcPr>
            <w:tcW w:w="6032" w:type="dxa"/>
            <w:shd w:val="clear" w:color="auto" w:fill="FFFFFF"/>
            <w:noWrap/>
            <w:vAlign w:val="center"/>
          </w:tcPr>
          <w:p w14:paraId="334839BC">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符合第二章“投标人须知”第1.4.1项规定</w:t>
            </w:r>
          </w:p>
        </w:tc>
      </w:tr>
      <w:tr w14:paraId="71E2B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4" w:type="dxa"/>
            <w:vMerge w:val="continue"/>
            <w:shd w:val="clear" w:color="auto" w:fill="auto"/>
            <w:noWrap/>
            <w:vAlign w:val="center"/>
          </w:tcPr>
          <w:p w14:paraId="1646118D">
            <w:pPr>
              <w:spacing w:line="400" w:lineRule="exact"/>
              <w:rPr>
                <w:rFonts w:hint="eastAsia" w:ascii="宋体" w:hAnsi="宋体" w:eastAsia="宋体" w:cs="宋体"/>
                <w:color w:val="auto"/>
                <w:sz w:val="22"/>
                <w:szCs w:val="22"/>
                <w:highlight w:val="none"/>
              </w:rPr>
            </w:pPr>
          </w:p>
        </w:tc>
        <w:tc>
          <w:tcPr>
            <w:tcW w:w="832" w:type="dxa"/>
            <w:vMerge w:val="continue"/>
            <w:shd w:val="clear" w:color="auto" w:fill="FFFFFF"/>
            <w:noWrap/>
            <w:vAlign w:val="center"/>
          </w:tcPr>
          <w:p w14:paraId="7B621DAB">
            <w:pPr>
              <w:spacing w:line="400" w:lineRule="exact"/>
              <w:jc w:val="center"/>
              <w:rPr>
                <w:rFonts w:hint="eastAsia" w:ascii="宋体" w:hAnsi="宋体" w:eastAsia="宋体" w:cs="宋体"/>
                <w:color w:val="auto"/>
                <w:sz w:val="22"/>
                <w:szCs w:val="22"/>
                <w:highlight w:val="none"/>
              </w:rPr>
            </w:pPr>
          </w:p>
        </w:tc>
        <w:tc>
          <w:tcPr>
            <w:tcW w:w="2475" w:type="dxa"/>
            <w:shd w:val="clear" w:color="auto" w:fill="FFFFFF"/>
            <w:noWrap/>
            <w:vAlign w:val="center"/>
          </w:tcPr>
          <w:p w14:paraId="287DA6C3">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专职安全员</w:t>
            </w:r>
          </w:p>
        </w:tc>
        <w:tc>
          <w:tcPr>
            <w:tcW w:w="6032" w:type="dxa"/>
            <w:shd w:val="clear" w:color="auto" w:fill="FFFFFF"/>
            <w:noWrap/>
            <w:vAlign w:val="center"/>
          </w:tcPr>
          <w:p w14:paraId="1B3E7668">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符合第二章“投标人须知”第1.4.1项规定</w:t>
            </w:r>
          </w:p>
        </w:tc>
      </w:tr>
      <w:tr w14:paraId="74854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4" w:type="dxa"/>
            <w:vMerge w:val="continue"/>
            <w:shd w:val="clear" w:color="auto" w:fill="auto"/>
            <w:noWrap/>
            <w:vAlign w:val="center"/>
          </w:tcPr>
          <w:p w14:paraId="4839D4B3">
            <w:pPr>
              <w:spacing w:line="400" w:lineRule="exact"/>
              <w:rPr>
                <w:rFonts w:hint="eastAsia" w:ascii="宋体" w:hAnsi="宋体" w:eastAsia="宋体" w:cs="宋体"/>
                <w:color w:val="auto"/>
                <w:sz w:val="22"/>
                <w:szCs w:val="22"/>
                <w:highlight w:val="none"/>
              </w:rPr>
            </w:pPr>
          </w:p>
        </w:tc>
        <w:tc>
          <w:tcPr>
            <w:tcW w:w="832" w:type="dxa"/>
            <w:vMerge w:val="continue"/>
            <w:shd w:val="clear" w:color="auto" w:fill="FFFFFF"/>
            <w:noWrap/>
            <w:vAlign w:val="center"/>
          </w:tcPr>
          <w:p w14:paraId="5193FE5E">
            <w:pPr>
              <w:spacing w:line="400" w:lineRule="exact"/>
              <w:jc w:val="center"/>
              <w:rPr>
                <w:rFonts w:hint="eastAsia" w:ascii="宋体" w:hAnsi="宋体" w:eastAsia="宋体" w:cs="宋体"/>
                <w:color w:val="auto"/>
                <w:sz w:val="22"/>
                <w:szCs w:val="22"/>
                <w:highlight w:val="none"/>
              </w:rPr>
            </w:pPr>
          </w:p>
        </w:tc>
        <w:tc>
          <w:tcPr>
            <w:tcW w:w="2475" w:type="dxa"/>
            <w:shd w:val="clear" w:color="auto" w:fill="FFFFFF"/>
            <w:noWrap/>
            <w:vAlign w:val="center"/>
          </w:tcPr>
          <w:p w14:paraId="73F158F0">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w:t>
            </w:r>
          </w:p>
        </w:tc>
        <w:tc>
          <w:tcPr>
            <w:tcW w:w="6032" w:type="dxa"/>
            <w:shd w:val="clear" w:color="auto" w:fill="FFFFFF"/>
            <w:noWrap/>
            <w:vAlign w:val="center"/>
          </w:tcPr>
          <w:p w14:paraId="007BB7B7">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符合第二章“投标人须知”第1.4.2</w:t>
            </w:r>
            <w:r>
              <w:rPr>
                <w:rFonts w:hint="eastAsia" w:ascii="宋体" w:hAnsi="宋体" w:eastAsia="宋体" w:cs="宋体"/>
                <w:color w:val="auto"/>
                <w:sz w:val="22"/>
                <w:szCs w:val="22"/>
                <w:highlight w:val="none"/>
                <w:lang w:eastAsia="zh-CN"/>
              </w:rPr>
              <w:t>、1.4.3项规定</w:t>
            </w:r>
          </w:p>
        </w:tc>
      </w:tr>
      <w:tr w14:paraId="250F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44" w:type="dxa"/>
            <w:vMerge w:val="restart"/>
            <w:shd w:val="clear" w:color="auto" w:fill="auto"/>
            <w:noWrap/>
            <w:vAlign w:val="center"/>
          </w:tcPr>
          <w:p w14:paraId="5FA214E5">
            <w:pPr>
              <w:spacing w:line="400" w:lineRule="exact"/>
              <w:rPr>
                <w:rFonts w:hint="eastAsia" w:ascii="宋体" w:hAnsi="宋体" w:eastAsia="宋体" w:cs="宋体"/>
                <w:color w:val="auto"/>
                <w:sz w:val="22"/>
                <w:szCs w:val="22"/>
                <w:highlight w:val="none"/>
              </w:rPr>
            </w:pPr>
          </w:p>
          <w:p w14:paraId="322A1DFE">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.3</w:t>
            </w:r>
          </w:p>
        </w:tc>
        <w:tc>
          <w:tcPr>
            <w:tcW w:w="832" w:type="dxa"/>
            <w:vMerge w:val="restart"/>
            <w:shd w:val="clear" w:color="auto" w:fill="FFFFFF"/>
            <w:noWrap/>
            <w:vAlign w:val="center"/>
          </w:tcPr>
          <w:p w14:paraId="5F274E0D">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响应性评审标准</w:t>
            </w:r>
          </w:p>
        </w:tc>
        <w:tc>
          <w:tcPr>
            <w:tcW w:w="2475" w:type="dxa"/>
            <w:shd w:val="clear" w:color="auto" w:fill="FFFFFF"/>
            <w:noWrap/>
            <w:vAlign w:val="center"/>
          </w:tcPr>
          <w:p w14:paraId="3E798F83">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投标范围</w:t>
            </w:r>
          </w:p>
        </w:tc>
        <w:tc>
          <w:tcPr>
            <w:tcW w:w="6032" w:type="dxa"/>
            <w:shd w:val="clear" w:color="auto" w:fill="FFFFFF"/>
            <w:noWrap/>
            <w:vAlign w:val="center"/>
          </w:tcPr>
          <w:p w14:paraId="65391846">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符合第二章“投标人须知前附表”第1.3.1项规定</w:t>
            </w:r>
          </w:p>
        </w:tc>
      </w:tr>
      <w:tr w14:paraId="499C2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44" w:type="dxa"/>
            <w:vMerge w:val="continue"/>
            <w:shd w:val="clear" w:color="auto" w:fill="auto"/>
            <w:noWrap/>
            <w:vAlign w:val="center"/>
          </w:tcPr>
          <w:p w14:paraId="231724C2">
            <w:pPr>
              <w:spacing w:line="400" w:lineRule="exact"/>
              <w:rPr>
                <w:rFonts w:hint="eastAsia" w:ascii="宋体" w:hAnsi="宋体" w:eastAsia="宋体" w:cs="宋体"/>
                <w:color w:val="auto"/>
                <w:sz w:val="22"/>
                <w:szCs w:val="22"/>
                <w:highlight w:val="none"/>
              </w:rPr>
            </w:pPr>
          </w:p>
        </w:tc>
        <w:tc>
          <w:tcPr>
            <w:tcW w:w="832" w:type="dxa"/>
            <w:vMerge w:val="continue"/>
            <w:shd w:val="clear" w:color="auto" w:fill="FFFFFF"/>
            <w:noWrap/>
            <w:vAlign w:val="center"/>
          </w:tcPr>
          <w:p w14:paraId="3200DAA9">
            <w:pPr>
              <w:spacing w:line="400" w:lineRule="exact"/>
              <w:rPr>
                <w:rFonts w:hint="eastAsia" w:ascii="宋体" w:hAnsi="宋体" w:eastAsia="宋体" w:cs="宋体"/>
                <w:color w:val="auto"/>
                <w:sz w:val="22"/>
                <w:szCs w:val="22"/>
                <w:highlight w:val="none"/>
              </w:rPr>
            </w:pPr>
          </w:p>
        </w:tc>
        <w:tc>
          <w:tcPr>
            <w:tcW w:w="2475" w:type="dxa"/>
            <w:shd w:val="clear" w:color="auto" w:fill="FFFFFF"/>
            <w:noWrap/>
            <w:vAlign w:val="center"/>
          </w:tcPr>
          <w:p w14:paraId="01527F08">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工期</w:t>
            </w:r>
          </w:p>
        </w:tc>
        <w:tc>
          <w:tcPr>
            <w:tcW w:w="6032" w:type="dxa"/>
            <w:shd w:val="clear" w:color="auto" w:fill="FFFFFF"/>
            <w:noWrap/>
            <w:vAlign w:val="center"/>
          </w:tcPr>
          <w:p w14:paraId="3F799875">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符合第二章“投标人须知前附表”第1.3.2项规定</w:t>
            </w:r>
          </w:p>
        </w:tc>
      </w:tr>
      <w:tr w14:paraId="1E8EE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44" w:type="dxa"/>
            <w:vMerge w:val="continue"/>
            <w:shd w:val="clear" w:color="auto" w:fill="auto"/>
            <w:noWrap/>
            <w:vAlign w:val="center"/>
          </w:tcPr>
          <w:p w14:paraId="5A3B2C19">
            <w:pPr>
              <w:spacing w:line="400" w:lineRule="exact"/>
              <w:rPr>
                <w:rFonts w:hint="eastAsia" w:ascii="宋体" w:hAnsi="宋体" w:eastAsia="宋体" w:cs="宋体"/>
                <w:color w:val="auto"/>
                <w:sz w:val="22"/>
                <w:szCs w:val="22"/>
                <w:highlight w:val="none"/>
              </w:rPr>
            </w:pPr>
          </w:p>
        </w:tc>
        <w:tc>
          <w:tcPr>
            <w:tcW w:w="832" w:type="dxa"/>
            <w:vMerge w:val="continue"/>
            <w:shd w:val="clear" w:color="auto" w:fill="FFFFFF"/>
            <w:noWrap/>
            <w:vAlign w:val="center"/>
          </w:tcPr>
          <w:p w14:paraId="132DB8CA">
            <w:pPr>
              <w:spacing w:line="400" w:lineRule="exact"/>
              <w:rPr>
                <w:rFonts w:hint="eastAsia" w:ascii="宋体" w:hAnsi="宋体" w:eastAsia="宋体" w:cs="宋体"/>
                <w:color w:val="auto"/>
                <w:sz w:val="22"/>
                <w:szCs w:val="22"/>
                <w:highlight w:val="none"/>
              </w:rPr>
            </w:pPr>
          </w:p>
        </w:tc>
        <w:tc>
          <w:tcPr>
            <w:tcW w:w="2475" w:type="dxa"/>
            <w:shd w:val="clear" w:color="auto" w:fill="FFFFFF"/>
            <w:noWrap/>
            <w:vAlign w:val="center"/>
          </w:tcPr>
          <w:p w14:paraId="0062C0AD">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质量标准</w:t>
            </w:r>
          </w:p>
        </w:tc>
        <w:tc>
          <w:tcPr>
            <w:tcW w:w="6032" w:type="dxa"/>
            <w:shd w:val="clear" w:color="auto" w:fill="FFFFFF"/>
            <w:noWrap/>
            <w:vAlign w:val="center"/>
          </w:tcPr>
          <w:p w14:paraId="68D08024">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符合第二章“投标人须知前附表”第1.3.3项规定</w:t>
            </w:r>
          </w:p>
        </w:tc>
      </w:tr>
      <w:tr w14:paraId="22EE2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vMerge w:val="continue"/>
            <w:shd w:val="clear" w:color="auto" w:fill="auto"/>
            <w:noWrap/>
            <w:vAlign w:val="center"/>
          </w:tcPr>
          <w:p w14:paraId="29CD0568">
            <w:pPr>
              <w:spacing w:line="400" w:lineRule="exact"/>
              <w:rPr>
                <w:rFonts w:hint="eastAsia" w:ascii="宋体" w:hAnsi="宋体" w:eastAsia="宋体" w:cs="宋体"/>
                <w:color w:val="auto"/>
                <w:sz w:val="22"/>
                <w:szCs w:val="22"/>
                <w:highlight w:val="none"/>
              </w:rPr>
            </w:pPr>
          </w:p>
        </w:tc>
        <w:tc>
          <w:tcPr>
            <w:tcW w:w="832" w:type="dxa"/>
            <w:vMerge w:val="continue"/>
            <w:shd w:val="clear" w:color="auto" w:fill="FFFFFF"/>
            <w:noWrap/>
            <w:vAlign w:val="center"/>
          </w:tcPr>
          <w:p w14:paraId="20E68F93">
            <w:pPr>
              <w:spacing w:line="400" w:lineRule="exact"/>
              <w:rPr>
                <w:rFonts w:hint="eastAsia" w:ascii="宋体" w:hAnsi="宋体" w:eastAsia="宋体" w:cs="宋体"/>
                <w:color w:val="auto"/>
                <w:sz w:val="22"/>
                <w:szCs w:val="22"/>
                <w:highlight w:val="none"/>
              </w:rPr>
            </w:pPr>
          </w:p>
        </w:tc>
        <w:tc>
          <w:tcPr>
            <w:tcW w:w="2475" w:type="dxa"/>
            <w:shd w:val="clear" w:color="auto" w:fill="FFFFFF"/>
            <w:noWrap/>
            <w:vAlign w:val="center"/>
          </w:tcPr>
          <w:p w14:paraId="4D93A5CF">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投标承诺函</w:t>
            </w:r>
          </w:p>
        </w:tc>
        <w:tc>
          <w:tcPr>
            <w:tcW w:w="6032" w:type="dxa"/>
            <w:shd w:val="clear" w:color="auto" w:fill="FFFFFF"/>
            <w:noWrap/>
            <w:vAlign w:val="center"/>
          </w:tcPr>
          <w:p w14:paraId="6908ECD1">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符合第八章“投标文件格式”投标承诺函的规定</w:t>
            </w:r>
          </w:p>
        </w:tc>
      </w:tr>
      <w:tr w14:paraId="61580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44" w:type="dxa"/>
            <w:vMerge w:val="continue"/>
            <w:shd w:val="clear" w:color="auto" w:fill="auto"/>
            <w:noWrap/>
            <w:vAlign w:val="center"/>
          </w:tcPr>
          <w:p w14:paraId="1D1CEA82">
            <w:pPr>
              <w:spacing w:line="400" w:lineRule="exact"/>
              <w:rPr>
                <w:rFonts w:hint="eastAsia" w:ascii="宋体" w:hAnsi="宋体" w:eastAsia="宋体" w:cs="宋体"/>
                <w:color w:val="auto"/>
                <w:sz w:val="22"/>
                <w:szCs w:val="22"/>
                <w:highlight w:val="none"/>
              </w:rPr>
            </w:pPr>
          </w:p>
        </w:tc>
        <w:tc>
          <w:tcPr>
            <w:tcW w:w="832" w:type="dxa"/>
            <w:vMerge w:val="continue"/>
            <w:shd w:val="clear" w:color="auto" w:fill="FFFFFF"/>
            <w:noWrap/>
            <w:vAlign w:val="center"/>
          </w:tcPr>
          <w:p w14:paraId="19D8F32A">
            <w:pPr>
              <w:spacing w:line="400" w:lineRule="exact"/>
              <w:rPr>
                <w:rFonts w:hint="eastAsia" w:ascii="宋体" w:hAnsi="宋体" w:eastAsia="宋体" w:cs="宋体"/>
                <w:color w:val="auto"/>
                <w:sz w:val="22"/>
                <w:szCs w:val="22"/>
                <w:highlight w:val="none"/>
              </w:rPr>
            </w:pPr>
          </w:p>
        </w:tc>
        <w:tc>
          <w:tcPr>
            <w:tcW w:w="2475" w:type="dxa"/>
            <w:shd w:val="clear" w:color="auto" w:fill="FFFFFF"/>
            <w:noWrap/>
            <w:vAlign w:val="center"/>
          </w:tcPr>
          <w:p w14:paraId="64031C15">
            <w:pPr>
              <w:tabs>
                <w:tab w:val="center" w:pos="1104"/>
              </w:tabs>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投标有效期</w:t>
            </w:r>
          </w:p>
        </w:tc>
        <w:tc>
          <w:tcPr>
            <w:tcW w:w="6032" w:type="dxa"/>
            <w:shd w:val="clear" w:color="auto" w:fill="FFFFFF"/>
            <w:noWrap/>
            <w:vAlign w:val="center"/>
          </w:tcPr>
          <w:p w14:paraId="6C5067B7">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符合第二章“投标人须知前附表”第3.3.1项规定</w:t>
            </w:r>
          </w:p>
        </w:tc>
      </w:tr>
      <w:tr w14:paraId="4B882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44" w:type="dxa"/>
            <w:vMerge w:val="continue"/>
            <w:noWrap/>
            <w:vAlign w:val="center"/>
          </w:tcPr>
          <w:p w14:paraId="7461CFB0">
            <w:pPr>
              <w:spacing w:line="400" w:lineRule="exact"/>
              <w:jc w:val="center"/>
              <w:rPr>
                <w:rFonts w:hint="eastAsia" w:ascii="宋体" w:hAnsi="宋体" w:eastAsia="宋体" w:cs="宋体"/>
                <w:color w:val="auto"/>
                <w:sz w:val="22"/>
                <w:szCs w:val="22"/>
                <w:highlight w:val="none"/>
              </w:rPr>
            </w:pPr>
          </w:p>
        </w:tc>
        <w:tc>
          <w:tcPr>
            <w:tcW w:w="832" w:type="dxa"/>
            <w:vMerge w:val="continue"/>
            <w:noWrap/>
            <w:vAlign w:val="center"/>
          </w:tcPr>
          <w:p w14:paraId="590D1E39">
            <w:pPr>
              <w:spacing w:line="400" w:lineRule="exact"/>
              <w:jc w:val="center"/>
              <w:rPr>
                <w:rFonts w:hint="eastAsia" w:ascii="宋体" w:hAnsi="宋体" w:eastAsia="宋体" w:cs="宋体"/>
                <w:color w:val="auto"/>
                <w:sz w:val="22"/>
                <w:szCs w:val="22"/>
                <w:highlight w:val="none"/>
              </w:rPr>
            </w:pPr>
          </w:p>
        </w:tc>
        <w:tc>
          <w:tcPr>
            <w:tcW w:w="2475" w:type="dxa"/>
            <w:noWrap/>
            <w:vAlign w:val="center"/>
          </w:tcPr>
          <w:p w14:paraId="76F04172">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投标保证金</w:t>
            </w:r>
          </w:p>
        </w:tc>
        <w:tc>
          <w:tcPr>
            <w:tcW w:w="6032" w:type="dxa"/>
            <w:noWrap/>
            <w:vAlign w:val="center"/>
          </w:tcPr>
          <w:p w14:paraId="50258F2C">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符合第二章“投标人须知前附表”第3.4.1款规定</w:t>
            </w:r>
          </w:p>
        </w:tc>
      </w:tr>
      <w:tr w14:paraId="68B1F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44" w:type="dxa"/>
            <w:vMerge w:val="continue"/>
            <w:noWrap/>
            <w:vAlign w:val="center"/>
          </w:tcPr>
          <w:p w14:paraId="3C9BF6E5">
            <w:pPr>
              <w:spacing w:line="400" w:lineRule="exact"/>
              <w:jc w:val="center"/>
              <w:rPr>
                <w:rFonts w:hint="eastAsia" w:ascii="宋体" w:hAnsi="宋体" w:eastAsia="宋体" w:cs="宋体"/>
                <w:color w:val="auto"/>
                <w:sz w:val="22"/>
                <w:szCs w:val="22"/>
                <w:highlight w:val="none"/>
              </w:rPr>
            </w:pPr>
          </w:p>
        </w:tc>
        <w:tc>
          <w:tcPr>
            <w:tcW w:w="832" w:type="dxa"/>
            <w:vMerge w:val="continue"/>
            <w:noWrap/>
            <w:vAlign w:val="center"/>
          </w:tcPr>
          <w:p w14:paraId="3B2EF1C8">
            <w:pPr>
              <w:spacing w:line="400" w:lineRule="exact"/>
              <w:jc w:val="center"/>
              <w:rPr>
                <w:rFonts w:hint="eastAsia" w:ascii="宋体" w:hAnsi="宋体" w:eastAsia="宋体" w:cs="宋体"/>
                <w:color w:val="auto"/>
                <w:sz w:val="22"/>
                <w:szCs w:val="22"/>
                <w:highlight w:val="none"/>
              </w:rPr>
            </w:pPr>
          </w:p>
        </w:tc>
        <w:tc>
          <w:tcPr>
            <w:tcW w:w="2475" w:type="dxa"/>
            <w:noWrap/>
            <w:vAlign w:val="center"/>
          </w:tcPr>
          <w:p w14:paraId="7CD02F08">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投标报价有效性</w:t>
            </w:r>
          </w:p>
        </w:tc>
        <w:tc>
          <w:tcPr>
            <w:tcW w:w="6032" w:type="dxa"/>
            <w:noWrap/>
            <w:vAlign w:val="center"/>
          </w:tcPr>
          <w:p w14:paraId="0C422DF8">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符合第二章“投标人须知前附表”第3.2.1 项规定 </w:t>
            </w:r>
          </w:p>
        </w:tc>
      </w:tr>
      <w:tr w14:paraId="019F8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44" w:type="dxa"/>
            <w:vMerge w:val="continue"/>
            <w:noWrap/>
            <w:vAlign w:val="center"/>
          </w:tcPr>
          <w:p w14:paraId="7688E925">
            <w:pPr>
              <w:spacing w:line="400" w:lineRule="exact"/>
              <w:jc w:val="center"/>
              <w:rPr>
                <w:rFonts w:hint="eastAsia" w:ascii="宋体" w:hAnsi="宋体" w:eastAsia="宋体" w:cs="宋体"/>
                <w:color w:val="auto"/>
                <w:sz w:val="22"/>
                <w:szCs w:val="22"/>
                <w:highlight w:val="none"/>
              </w:rPr>
            </w:pPr>
          </w:p>
        </w:tc>
        <w:tc>
          <w:tcPr>
            <w:tcW w:w="832" w:type="dxa"/>
            <w:vMerge w:val="continue"/>
            <w:noWrap/>
            <w:vAlign w:val="center"/>
          </w:tcPr>
          <w:p w14:paraId="1EE78804">
            <w:pPr>
              <w:spacing w:line="400" w:lineRule="exact"/>
              <w:jc w:val="center"/>
              <w:rPr>
                <w:rFonts w:hint="eastAsia" w:ascii="宋体" w:hAnsi="宋体" w:eastAsia="宋体" w:cs="宋体"/>
                <w:color w:val="auto"/>
                <w:sz w:val="22"/>
                <w:szCs w:val="22"/>
                <w:highlight w:val="none"/>
              </w:rPr>
            </w:pPr>
          </w:p>
        </w:tc>
        <w:tc>
          <w:tcPr>
            <w:tcW w:w="2475" w:type="dxa"/>
            <w:noWrap/>
            <w:vAlign w:val="center"/>
          </w:tcPr>
          <w:p w14:paraId="5938EECC">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w:t>
            </w:r>
          </w:p>
        </w:tc>
        <w:tc>
          <w:tcPr>
            <w:tcW w:w="6032" w:type="dxa"/>
            <w:noWrap/>
            <w:vAlign w:val="center"/>
          </w:tcPr>
          <w:p w14:paraId="3E2D424D">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符合招标文件规定的其他要求。</w:t>
            </w:r>
          </w:p>
        </w:tc>
      </w:tr>
      <w:bookmarkEnd w:id="11"/>
    </w:tbl>
    <w:p w14:paraId="56CB825C">
      <w:pPr>
        <w:rPr>
          <w:color w:val="auto"/>
          <w:highlight w:val="none"/>
        </w:rPr>
      </w:pPr>
      <w:r>
        <w:rPr>
          <w:color w:val="auto"/>
          <w:highlight w:val="none"/>
        </w:rPr>
        <w:br w:type="page"/>
      </w:r>
    </w:p>
    <w:tbl>
      <w:tblPr>
        <w:tblStyle w:val="20"/>
        <w:tblW w:w="10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129"/>
        <w:gridCol w:w="2082"/>
        <w:gridCol w:w="6064"/>
      </w:tblGrid>
      <w:tr w14:paraId="4F29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32" w:type="dxa"/>
            <w:gridSpan w:val="2"/>
            <w:noWrap w:val="0"/>
            <w:vAlign w:val="center"/>
          </w:tcPr>
          <w:p w14:paraId="1827CD93">
            <w:pPr>
              <w:pageBreakBefore w:val="0"/>
              <w:kinsoku/>
              <w:overflowPunct/>
              <w:topLinePunct w:val="0"/>
              <w:autoSpaceDE/>
              <w:autoSpaceDN/>
              <w:bidi w:val="0"/>
              <w:spacing w:beforeAutospacing="0" w:line="360" w:lineRule="auto"/>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条款号</w:t>
            </w:r>
          </w:p>
        </w:tc>
        <w:tc>
          <w:tcPr>
            <w:tcW w:w="2082" w:type="dxa"/>
            <w:noWrap w:val="0"/>
            <w:vAlign w:val="center"/>
          </w:tcPr>
          <w:p w14:paraId="477F2E09">
            <w:pPr>
              <w:pageBreakBefore w:val="0"/>
              <w:kinsoku/>
              <w:overflowPunct/>
              <w:topLinePunct w:val="0"/>
              <w:autoSpaceDE/>
              <w:autoSpaceDN/>
              <w:bidi w:val="0"/>
              <w:spacing w:beforeAutospacing="0" w:line="360" w:lineRule="auto"/>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评分因素</w:t>
            </w:r>
          </w:p>
        </w:tc>
        <w:tc>
          <w:tcPr>
            <w:tcW w:w="6064" w:type="dxa"/>
            <w:noWrap w:val="0"/>
            <w:vAlign w:val="center"/>
          </w:tcPr>
          <w:p w14:paraId="7EE25A4C">
            <w:pPr>
              <w:pageBreakBefore w:val="0"/>
              <w:kinsoku/>
              <w:overflowPunct/>
              <w:topLinePunct w:val="0"/>
              <w:autoSpaceDE/>
              <w:autoSpaceDN/>
              <w:bidi w:val="0"/>
              <w:spacing w:beforeAutospacing="0" w:line="360" w:lineRule="auto"/>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评分标准</w:t>
            </w:r>
          </w:p>
        </w:tc>
      </w:tr>
      <w:tr w14:paraId="6E50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32" w:type="dxa"/>
            <w:gridSpan w:val="2"/>
            <w:noWrap w:val="0"/>
            <w:vAlign w:val="center"/>
          </w:tcPr>
          <w:p w14:paraId="27E5B56A">
            <w:pPr>
              <w:pageBreakBefore w:val="0"/>
              <w:kinsoku/>
              <w:overflowPunct/>
              <w:topLinePunct w:val="0"/>
              <w:autoSpaceDE/>
              <w:autoSpaceDN/>
              <w:bidi w:val="0"/>
              <w:spacing w:beforeAutospacing="0" w:line="360" w:lineRule="auto"/>
              <w:jc w:val="center"/>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2.2.1</w:t>
            </w:r>
          </w:p>
        </w:tc>
        <w:tc>
          <w:tcPr>
            <w:tcW w:w="2082" w:type="dxa"/>
            <w:noWrap w:val="0"/>
            <w:vAlign w:val="center"/>
          </w:tcPr>
          <w:p w14:paraId="12A8A5C9">
            <w:pPr>
              <w:pageBreakBefore w:val="0"/>
              <w:kinsoku/>
              <w:overflowPunct/>
              <w:topLinePunct w:val="0"/>
              <w:autoSpaceDE/>
              <w:autoSpaceDN/>
              <w:bidi w:val="0"/>
              <w:spacing w:beforeAutospacing="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分值构成</w:t>
            </w:r>
          </w:p>
          <w:p w14:paraId="2BD9969A">
            <w:pPr>
              <w:pageBreakBefore w:val="0"/>
              <w:kinsoku/>
              <w:overflowPunct/>
              <w:topLinePunct w:val="0"/>
              <w:autoSpaceDE/>
              <w:autoSpaceDN/>
              <w:bidi w:val="0"/>
              <w:spacing w:beforeAutospacing="0" w:line="360" w:lineRule="auto"/>
              <w:jc w:val="center"/>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(总分100分)</w:t>
            </w:r>
          </w:p>
        </w:tc>
        <w:tc>
          <w:tcPr>
            <w:tcW w:w="6064" w:type="dxa"/>
            <w:noWrap w:val="0"/>
            <w:vAlign w:val="center"/>
          </w:tcPr>
          <w:p w14:paraId="1AF8936E">
            <w:pPr>
              <w:pageBreakBefore w:val="0"/>
              <w:widowControl/>
              <w:kinsoku/>
              <w:overflowPunct/>
              <w:topLinePunct w:val="0"/>
              <w:autoSpaceDE/>
              <w:autoSpaceDN/>
              <w:bidi w:val="0"/>
              <w:spacing w:beforeAutospacing="0" w:line="360" w:lineRule="auto"/>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信用等级（A）:10分；</w:t>
            </w:r>
          </w:p>
          <w:p w14:paraId="42F5A54B">
            <w:pPr>
              <w:pageBreakBefore w:val="0"/>
              <w:widowControl/>
              <w:kinsoku/>
              <w:overflowPunct/>
              <w:topLinePunct w:val="0"/>
              <w:autoSpaceDE/>
              <w:autoSpaceDN/>
              <w:bidi w:val="0"/>
              <w:spacing w:beforeAutospacing="0" w:line="360" w:lineRule="auto"/>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技术部分（B）：40分；</w:t>
            </w:r>
          </w:p>
          <w:p w14:paraId="2955A1AC">
            <w:pPr>
              <w:pageBreakBefore w:val="0"/>
              <w:widowControl/>
              <w:kinsoku/>
              <w:overflowPunct/>
              <w:topLinePunct w:val="0"/>
              <w:autoSpaceDE/>
              <w:autoSpaceDN/>
              <w:bidi w:val="0"/>
              <w:spacing w:beforeAutospacing="0" w:line="360" w:lineRule="auto"/>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商务部分（C）：</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0分；</w:t>
            </w:r>
          </w:p>
          <w:p w14:paraId="742300B2">
            <w:pPr>
              <w:pageBreakBefore w:val="0"/>
              <w:widowControl/>
              <w:kinsoku/>
              <w:overflowPunct/>
              <w:topLinePunct w:val="0"/>
              <w:autoSpaceDE/>
              <w:autoSpaceDN/>
              <w:bidi w:val="0"/>
              <w:spacing w:beforeAutospacing="0" w:line="360" w:lineRule="auto"/>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投标报价</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D</w:t>
            </w:r>
            <w:r>
              <w:rPr>
                <w:rFonts w:hint="eastAsia" w:ascii="宋体" w:hAnsi="宋体" w:eastAsia="宋体" w:cs="宋体"/>
                <w:color w:val="auto"/>
                <w:sz w:val="22"/>
                <w:szCs w:val="22"/>
                <w:highlight w:val="none"/>
              </w:rPr>
              <w:t>）：10分。</w:t>
            </w:r>
          </w:p>
        </w:tc>
      </w:tr>
      <w:tr w14:paraId="012B4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3" w:type="dxa"/>
            <w:noWrap w:val="0"/>
            <w:vAlign w:val="center"/>
          </w:tcPr>
          <w:p w14:paraId="74A2C503">
            <w:pPr>
              <w:pageBreakBefore w:val="0"/>
              <w:kinsoku/>
              <w:overflowPunct/>
              <w:topLinePunct w:val="0"/>
              <w:autoSpaceDE/>
              <w:autoSpaceDN/>
              <w:bidi w:val="0"/>
              <w:spacing w:beforeAutospacing="0" w:line="360"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2.2.2</w:t>
            </w:r>
          </w:p>
          <w:p w14:paraId="59FC3AFC">
            <w:pPr>
              <w:pageBreakBefore w:val="0"/>
              <w:kinsoku/>
              <w:overflowPunct/>
              <w:topLinePunct w:val="0"/>
              <w:autoSpaceDE/>
              <w:autoSpaceDN/>
              <w:bidi w:val="0"/>
              <w:spacing w:beforeAutospacing="0" w:line="360"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1129" w:type="dxa"/>
            <w:noWrap w:val="0"/>
            <w:vAlign w:val="center"/>
          </w:tcPr>
          <w:p w14:paraId="4A830662">
            <w:pPr>
              <w:pageBreakBefore w:val="0"/>
              <w:kinsoku/>
              <w:overflowPunct/>
              <w:topLinePunct w:val="0"/>
              <w:autoSpaceDE/>
              <w:autoSpaceDN/>
              <w:bidi w:val="0"/>
              <w:spacing w:beforeAutospacing="0" w:line="360" w:lineRule="auto"/>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信用等级（10分）</w:t>
            </w:r>
          </w:p>
        </w:tc>
        <w:tc>
          <w:tcPr>
            <w:tcW w:w="2082" w:type="dxa"/>
            <w:noWrap w:val="0"/>
            <w:vAlign w:val="center"/>
          </w:tcPr>
          <w:p w14:paraId="3B5D6BB1">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shd w:val="clear" w:color="auto" w:fill="FFFFFF"/>
              </w:rPr>
              <w:t>广东省水利厅水利建设市场信用</w:t>
            </w:r>
            <w:r>
              <w:rPr>
                <w:rFonts w:hint="eastAsia" w:ascii="宋体" w:hAnsi="宋体" w:eastAsia="宋体" w:cs="宋体"/>
                <w:color w:val="auto"/>
                <w:sz w:val="22"/>
                <w:szCs w:val="22"/>
                <w:highlight w:val="none"/>
              </w:rPr>
              <w:t>得分情况（10分）</w:t>
            </w:r>
          </w:p>
        </w:tc>
        <w:tc>
          <w:tcPr>
            <w:tcW w:w="6064" w:type="dxa"/>
            <w:noWrap w:val="0"/>
            <w:vAlign w:val="center"/>
          </w:tcPr>
          <w:p w14:paraId="1C9B791D">
            <w:pPr>
              <w:spacing w:line="360" w:lineRule="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根据广东省水利厅关于印发《广东省水利厅关于水利建设市场信用的管理办法》的通知[粤水规范字（2019）1号]，在广东省内依法建立了信用档案的水利建设市场主体初始信用分为100分，分值权重为10%，按照评标时查询的信用分值（超100分的按100分计算）乘以10%计算所得最终信用得分。</w:t>
            </w:r>
          </w:p>
          <w:p w14:paraId="1BB85AB8">
            <w:pPr>
              <w:spacing w:line="360" w:lineRule="auto"/>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shd w:val="clear" w:color="auto" w:fill="FFFFFF"/>
              </w:rPr>
              <w:t>注</w:t>
            </w:r>
            <w:r>
              <w:rPr>
                <w:rFonts w:hint="eastAsia" w:ascii="宋体" w:hAnsi="宋体" w:eastAsia="宋体" w:cs="宋体"/>
                <w:b/>
                <w:bCs/>
                <w:color w:val="auto"/>
                <w:sz w:val="22"/>
                <w:szCs w:val="22"/>
                <w:highlight w:val="none"/>
              </w:rPr>
              <w:t>：评分依据以开标当天招标代理机构工作人员在监控摄像头的监控下登录“广东省水利厅”网站（</w:t>
            </w:r>
            <w:r>
              <w:rPr>
                <w:rFonts w:hint="eastAsia" w:ascii="宋体" w:hAnsi="宋体" w:eastAsia="宋体" w:cs="宋体"/>
                <w:b/>
                <w:bCs/>
                <w:color w:val="auto"/>
                <w:sz w:val="22"/>
                <w:szCs w:val="22"/>
                <w:highlight w:val="none"/>
                <w:shd w:val="clear" w:color="auto" w:fill="FFFFFF"/>
              </w:rPr>
              <w:t>首页-政府服务-水利建设市场主体信用信息档案系统-广东省水利建设市场信用信息平台-信用信息公开</w:t>
            </w:r>
            <w:r>
              <w:rPr>
                <w:rFonts w:hint="eastAsia" w:ascii="宋体" w:hAnsi="宋体" w:eastAsia="宋体" w:cs="宋体"/>
                <w:b/>
                <w:bCs/>
                <w:color w:val="auto"/>
                <w:sz w:val="22"/>
                <w:szCs w:val="22"/>
                <w:highlight w:val="none"/>
              </w:rPr>
              <w:t>）实时查询结果截图打印为准。</w:t>
            </w:r>
          </w:p>
        </w:tc>
      </w:tr>
      <w:tr w14:paraId="3BE8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3" w:type="dxa"/>
            <w:vMerge w:val="restart"/>
            <w:noWrap w:val="0"/>
            <w:vAlign w:val="center"/>
          </w:tcPr>
          <w:p w14:paraId="25F2AE44">
            <w:pPr>
              <w:pageBreakBefore w:val="0"/>
              <w:kinsoku/>
              <w:overflowPunct/>
              <w:topLinePunct w:val="0"/>
              <w:autoSpaceDE/>
              <w:autoSpaceDN/>
              <w:bidi w:val="0"/>
              <w:spacing w:beforeAutospacing="0" w:line="360"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2.2.</w:t>
            </w:r>
            <w:r>
              <w:rPr>
                <w:rFonts w:hint="eastAsia" w:ascii="宋体" w:hAnsi="宋体" w:eastAsia="宋体" w:cs="宋体"/>
                <w:color w:val="auto"/>
                <w:sz w:val="22"/>
                <w:szCs w:val="22"/>
                <w:highlight w:val="none"/>
                <w:lang w:val="en-US" w:eastAsia="zh-CN"/>
              </w:rPr>
              <w:t>2</w:t>
            </w:r>
          </w:p>
          <w:p w14:paraId="19DCDBE5">
            <w:pPr>
              <w:pageBreakBefore w:val="0"/>
              <w:kinsoku/>
              <w:overflowPunct/>
              <w:topLinePunct w:val="0"/>
              <w:autoSpaceDE/>
              <w:autoSpaceDN/>
              <w:bidi w:val="0"/>
              <w:spacing w:beforeAutospacing="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w:t>
            </w:r>
          </w:p>
          <w:p w14:paraId="165ED036">
            <w:pPr>
              <w:pageBreakBefore w:val="0"/>
              <w:kinsoku/>
              <w:overflowPunct/>
              <w:topLinePunct w:val="0"/>
              <w:autoSpaceDE/>
              <w:autoSpaceDN/>
              <w:bidi w:val="0"/>
              <w:spacing w:beforeAutospacing="0" w:line="360" w:lineRule="auto"/>
              <w:jc w:val="center"/>
              <w:textAlignment w:val="auto"/>
              <w:rPr>
                <w:rFonts w:hint="eastAsia" w:ascii="宋体" w:hAnsi="宋体" w:eastAsia="宋体" w:cs="宋体"/>
                <w:color w:val="auto"/>
                <w:sz w:val="22"/>
                <w:szCs w:val="22"/>
                <w:highlight w:val="none"/>
              </w:rPr>
            </w:pPr>
          </w:p>
        </w:tc>
        <w:tc>
          <w:tcPr>
            <w:tcW w:w="1129" w:type="dxa"/>
            <w:vMerge w:val="restart"/>
            <w:noWrap w:val="0"/>
            <w:vAlign w:val="center"/>
          </w:tcPr>
          <w:p w14:paraId="1D0D057B">
            <w:pPr>
              <w:pageBreakBefore w:val="0"/>
              <w:kinsoku/>
              <w:overflowPunct/>
              <w:topLinePunct w:val="0"/>
              <w:autoSpaceDE/>
              <w:autoSpaceDN/>
              <w:bidi w:val="0"/>
              <w:spacing w:beforeAutospacing="0" w:line="360" w:lineRule="auto"/>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技术部分</w:t>
            </w:r>
          </w:p>
          <w:p w14:paraId="4EF46447">
            <w:pPr>
              <w:pageBreakBefore w:val="0"/>
              <w:kinsoku/>
              <w:overflowPunct/>
              <w:topLinePunct w:val="0"/>
              <w:autoSpaceDE/>
              <w:autoSpaceDN/>
              <w:bidi w:val="0"/>
              <w:spacing w:beforeAutospacing="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（40分）</w:t>
            </w:r>
          </w:p>
        </w:tc>
        <w:tc>
          <w:tcPr>
            <w:tcW w:w="2082" w:type="dxa"/>
            <w:noWrap w:val="0"/>
            <w:vAlign w:val="center"/>
          </w:tcPr>
          <w:p w14:paraId="1BC42815">
            <w:pPr>
              <w:pageBreakBefore w:val="0"/>
              <w:kinsoku/>
              <w:overflowPunct/>
              <w:topLinePunct w:val="0"/>
              <w:autoSpaceDE/>
              <w:autoSpaceDN/>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施工组织设计内容完整性和编制水平(</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w:t>
            </w:r>
          </w:p>
        </w:tc>
        <w:tc>
          <w:tcPr>
            <w:tcW w:w="6064" w:type="dxa"/>
            <w:noWrap w:val="0"/>
            <w:vAlign w:val="center"/>
          </w:tcPr>
          <w:p w14:paraId="5C1296B2">
            <w:pPr>
              <w:keepNext w:val="0"/>
              <w:keepLines w:val="0"/>
              <w:pageBreakBefore w:val="0"/>
              <w:widowControl/>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有针对本项目制定</w:t>
            </w:r>
            <w:r>
              <w:rPr>
                <w:rFonts w:hint="eastAsia" w:ascii="宋体" w:hAnsi="宋体" w:eastAsia="宋体" w:cs="宋体"/>
                <w:color w:val="auto"/>
                <w:sz w:val="22"/>
                <w:szCs w:val="22"/>
                <w:highlight w:val="none"/>
              </w:rPr>
              <w:t>施工组织设计内容完整和编制水平</w:t>
            </w:r>
            <w:r>
              <w:rPr>
                <w:rFonts w:hint="eastAsia" w:ascii="宋体" w:hAnsi="宋体" w:eastAsia="宋体" w:cs="宋体"/>
                <w:color w:val="auto"/>
                <w:sz w:val="22"/>
                <w:szCs w:val="22"/>
                <w:highlight w:val="none"/>
                <w:lang w:val="en-US" w:eastAsia="zh-CN"/>
              </w:rPr>
              <w:t>好的，得5分；</w:t>
            </w:r>
          </w:p>
          <w:p w14:paraId="1551CB4F">
            <w:pPr>
              <w:keepNext w:val="0"/>
              <w:keepLines w:val="0"/>
              <w:pageBreakBefore w:val="0"/>
              <w:widowControl/>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内容</w:t>
            </w:r>
            <w:r>
              <w:rPr>
                <w:rFonts w:hint="eastAsia" w:ascii="宋体" w:hAnsi="宋体" w:eastAsia="宋体" w:cs="宋体"/>
                <w:color w:val="auto"/>
                <w:sz w:val="22"/>
                <w:szCs w:val="22"/>
                <w:highlight w:val="none"/>
                <w:lang w:eastAsia="zh-CN"/>
              </w:rPr>
              <w:t>基本</w:t>
            </w:r>
            <w:r>
              <w:rPr>
                <w:rFonts w:hint="eastAsia" w:ascii="宋体" w:hAnsi="宋体" w:eastAsia="宋体" w:cs="宋体"/>
                <w:color w:val="auto"/>
                <w:sz w:val="22"/>
                <w:szCs w:val="22"/>
                <w:highlight w:val="none"/>
              </w:rPr>
              <w:t>完整和编制水平</w:t>
            </w:r>
            <w:r>
              <w:rPr>
                <w:rFonts w:hint="eastAsia" w:ascii="宋体" w:hAnsi="宋体" w:eastAsia="宋体" w:cs="宋体"/>
                <w:color w:val="auto"/>
                <w:sz w:val="22"/>
                <w:szCs w:val="22"/>
                <w:highlight w:val="none"/>
                <w:lang w:val="en-US" w:eastAsia="zh-CN"/>
              </w:rPr>
              <w:t>较好的，得4.9分；</w:t>
            </w:r>
          </w:p>
          <w:p w14:paraId="3A5CDB97">
            <w:pPr>
              <w:keepNext w:val="0"/>
              <w:keepLines w:val="0"/>
              <w:pageBreakBefore w:val="0"/>
              <w:widowControl/>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内容</w:t>
            </w:r>
            <w:r>
              <w:rPr>
                <w:rFonts w:hint="eastAsia" w:ascii="宋体" w:hAnsi="宋体" w:eastAsia="宋体" w:cs="宋体"/>
                <w:color w:val="auto"/>
                <w:sz w:val="22"/>
                <w:szCs w:val="22"/>
                <w:highlight w:val="none"/>
                <w:lang w:eastAsia="zh-CN"/>
              </w:rPr>
              <w:t>不</w:t>
            </w:r>
            <w:r>
              <w:rPr>
                <w:rFonts w:hint="eastAsia" w:ascii="宋体" w:hAnsi="宋体" w:eastAsia="宋体" w:cs="宋体"/>
                <w:color w:val="auto"/>
                <w:sz w:val="22"/>
                <w:szCs w:val="22"/>
                <w:highlight w:val="none"/>
              </w:rPr>
              <w:t>完整和编制水平</w:t>
            </w:r>
            <w:r>
              <w:rPr>
                <w:rFonts w:hint="eastAsia" w:ascii="宋体" w:hAnsi="宋体" w:eastAsia="宋体" w:cs="宋体"/>
                <w:color w:val="auto"/>
                <w:sz w:val="22"/>
                <w:szCs w:val="22"/>
                <w:highlight w:val="none"/>
                <w:lang w:val="en-US" w:eastAsia="zh-CN"/>
              </w:rPr>
              <w:t>一般的，得4.8分；</w:t>
            </w:r>
          </w:p>
          <w:p w14:paraId="6FAC185E">
            <w:pPr>
              <w:pageBreakBefore w:val="0"/>
              <w:kinsoku/>
              <w:overflowPunct/>
              <w:topLinePunct w:val="0"/>
              <w:autoSpaceDE/>
              <w:autoSpaceDN/>
              <w:bidi w:val="0"/>
              <w:spacing w:line="360" w:lineRule="auto"/>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lang w:val="en-US" w:eastAsia="zh-CN"/>
              </w:rPr>
              <w:t>未提供不得分。</w:t>
            </w:r>
          </w:p>
        </w:tc>
      </w:tr>
      <w:tr w14:paraId="0061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3" w:type="dxa"/>
            <w:vMerge w:val="continue"/>
            <w:noWrap w:val="0"/>
            <w:vAlign w:val="center"/>
          </w:tcPr>
          <w:p w14:paraId="1851D753">
            <w:pPr>
              <w:pageBreakBefore w:val="0"/>
              <w:kinsoku/>
              <w:overflowPunct/>
              <w:topLinePunct w:val="0"/>
              <w:autoSpaceDE/>
              <w:autoSpaceDN/>
              <w:bidi w:val="0"/>
              <w:spacing w:beforeAutospacing="0" w:line="360" w:lineRule="auto"/>
              <w:textAlignment w:val="auto"/>
              <w:rPr>
                <w:rFonts w:hint="eastAsia" w:ascii="宋体" w:hAnsi="宋体" w:eastAsia="宋体" w:cs="宋体"/>
                <w:color w:val="auto"/>
                <w:sz w:val="22"/>
                <w:szCs w:val="22"/>
                <w:highlight w:val="none"/>
              </w:rPr>
            </w:pPr>
          </w:p>
        </w:tc>
        <w:tc>
          <w:tcPr>
            <w:tcW w:w="1129" w:type="dxa"/>
            <w:vMerge w:val="continue"/>
            <w:noWrap w:val="0"/>
            <w:vAlign w:val="center"/>
          </w:tcPr>
          <w:p w14:paraId="3B266E3E">
            <w:pPr>
              <w:pageBreakBefore w:val="0"/>
              <w:kinsoku/>
              <w:overflowPunct/>
              <w:topLinePunct w:val="0"/>
              <w:autoSpaceDE/>
              <w:autoSpaceDN/>
              <w:bidi w:val="0"/>
              <w:spacing w:beforeAutospacing="0" w:line="360" w:lineRule="auto"/>
              <w:jc w:val="center"/>
              <w:textAlignment w:val="auto"/>
              <w:rPr>
                <w:rFonts w:hint="eastAsia" w:ascii="宋体" w:hAnsi="宋体" w:eastAsia="宋体" w:cs="宋体"/>
                <w:color w:val="auto"/>
                <w:sz w:val="22"/>
                <w:szCs w:val="22"/>
                <w:highlight w:val="none"/>
              </w:rPr>
            </w:pPr>
          </w:p>
        </w:tc>
        <w:tc>
          <w:tcPr>
            <w:tcW w:w="2082" w:type="dxa"/>
            <w:noWrap w:val="0"/>
            <w:vAlign w:val="center"/>
          </w:tcPr>
          <w:p w14:paraId="0AB10C19">
            <w:pPr>
              <w:pageBreakBefore w:val="0"/>
              <w:kinsoku/>
              <w:overflowPunct/>
              <w:topLinePunct w:val="0"/>
              <w:autoSpaceDE/>
              <w:autoSpaceDN/>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施工方案与技术措施的合理性、科学性与可行性(</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分）</w:t>
            </w:r>
          </w:p>
        </w:tc>
        <w:tc>
          <w:tcPr>
            <w:tcW w:w="6064" w:type="dxa"/>
            <w:noWrap w:val="0"/>
            <w:vAlign w:val="center"/>
          </w:tcPr>
          <w:p w14:paraId="26877DB3">
            <w:pPr>
              <w:keepNext w:val="0"/>
              <w:keepLines w:val="0"/>
              <w:pageBreakBefore w:val="0"/>
              <w:widowControl/>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有针对本项目制定</w:t>
            </w:r>
            <w:r>
              <w:rPr>
                <w:rFonts w:hint="eastAsia" w:ascii="宋体" w:hAnsi="宋体" w:eastAsia="宋体" w:cs="宋体"/>
                <w:color w:val="auto"/>
                <w:sz w:val="22"/>
                <w:szCs w:val="22"/>
                <w:highlight w:val="none"/>
              </w:rPr>
              <w:t>施工方案与技术措施合理、科学与可行性</w:t>
            </w:r>
            <w:r>
              <w:rPr>
                <w:rFonts w:hint="eastAsia" w:ascii="宋体" w:hAnsi="宋体" w:eastAsia="宋体" w:cs="宋体"/>
                <w:color w:val="auto"/>
                <w:sz w:val="22"/>
                <w:szCs w:val="22"/>
                <w:highlight w:val="none"/>
                <w:lang w:val="en-US" w:eastAsia="zh-CN"/>
              </w:rPr>
              <w:t>好的，得6分；</w:t>
            </w:r>
          </w:p>
          <w:p w14:paraId="12D9536F">
            <w:pPr>
              <w:keepNext w:val="0"/>
              <w:keepLines w:val="0"/>
              <w:pageBreakBefore w:val="0"/>
              <w:widowControl/>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制定</w:t>
            </w:r>
            <w:r>
              <w:rPr>
                <w:rFonts w:hint="eastAsia" w:ascii="宋体" w:hAnsi="宋体" w:eastAsia="宋体" w:cs="宋体"/>
                <w:color w:val="auto"/>
                <w:sz w:val="22"/>
                <w:szCs w:val="22"/>
                <w:highlight w:val="none"/>
              </w:rPr>
              <w:t>施工方案与技术措施</w:t>
            </w:r>
            <w:r>
              <w:rPr>
                <w:rFonts w:hint="eastAsia" w:ascii="宋体" w:hAnsi="宋体" w:eastAsia="宋体" w:cs="宋体"/>
                <w:color w:val="auto"/>
                <w:sz w:val="22"/>
                <w:szCs w:val="22"/>
                <w:highlight w:val="none"/>
                <w:lang w:eastAsia="zh-CN"/>
              </w:rPr>
              <w:t>基本</w:t>
            </w:r>
            <w:r>
              <w:rPr>
                <w:rFonts w:hint="eastAsia" w:ascii="宋体" w:hAnsi="宋体" w:eastAsia="宋体" w:cs="宋体"/>
                <w:color w:val="auto"/>
                <w:sz w:val="22"/>
                <w:szCs w:val="22"/>
                <w:highlight w:val="none"/>
              </w:rPr>
              <w:t>合理、</w:t>
            </w:r>
            <w:r>
              <w:rPr>
                <w:rFonts w:hint="eastAsia" w:ascii="宋体" w:hAnsi="宋体" w:eastAsia="宋体" w:cs="宋体"/>
                <w:color w:val="auto"/>
                <w:sz w:val="22"/>
                <w:szCs w:val="22"/>
                <w:highlight w:val="none"/>
                <w:lang w:eastAsia="zh-CN"/>
              </w:rPr>
              <w:t>基本</w:t>
            </w:r>
            <w:r>
              <w:rPr>
                <w:rFonts w:hint="eastAsia" w:ascii="宋体" w:hAnsi="宋体" w:eastAsia="宋体" w:cs="宋体"/>
                <w:color w:val="auto"/>
                <w:sz w:val="22"/>
                <w:szCs w:val="22"/>
                <w:highlight w:val="none"/>
              </w:rPr>
              <w:t>可行性</w:t>
            </w:r>
            <w:r>
              <w:rPr>
                <w:rFonts w:hint="eastAsia" w:ascii="宋体" w:hAnsi="宋体" w:eastAsia="宋体" w:cs="宋体"/>
                <w:color w:val="auto"/>
                <w:sz w:val="22"/>
                <w:szCs w:val="22"/>
                <w:highlight w:val="none"/>
                <w:lang w:val="en-US" w:eastAsia="zh-CN"/>
              </w:rPr>
              <w:t>的，得5.9分；</w:t>
            </w:r>
          </w:p>
          <w:p w14:paraId="7D15C12E">
            <w:pPr>
              <w:keepNext w:val="0"/>
              <w:keepLines w:val="0"/>
              <w:pageBreakBefore w:val="0"/>
              <w:widowControl/>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制定</w:t>
            </w:r>
            <w:r>
              <w:rPr>
                <w:rFonts w:hint="eastAsia" w:ascii="宋体" w:hAnsi="宋体" w:eastAsia="宋体" w:cs="宋体"/>
                <w:color w:val="auto"/>
                <w:sz w:val="22"/>
                <w:szCs w:val="22"/>
                <w:highlight w:val="none"/>
              </w:rPr>
              <w:t>施工方案与技术措施</w:t>
            </w:r>
            <w:r>
              <w:rPr>
                <w:rFonts w:hint="eastAsia" w:ascii="宋体" w:hAnsi="宋体" w:eastAsia="宋体" w:cs="宋体"/>
                <w:color w:val="auto"/>
                <w:sz w:val="22"/>
                <w:szCs w:val="22"/>
                <w:highlight w:val="none"/>
                <w:lang w:val="en-US" w:eastAsia="zh-CN"/>
              </w:rPr>
              <w:t>一般的，得5.8分；</w:t>
            </w:r>
          </w:p>
          <w:p w14:paraId="1ED3FA43">
            <w:pPr>
              <w:pageBreakBefore w:val="0"/>
              <w:kinsoku/>
              <w:overflowPunct/>
              <w:topLinePunct w:val="0"/>
              <w:autoSpaceDE/>
              <w:autoSpaceDN/>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未提供不得分。</w:t>
            </w:r>
          </w:p>
        </w:tc>
      </w:tr>
      <w:tr w14:paraId="6043C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3" w:type="dxa"/>
            <w:vMerge w:val="continue"/>
            <w:noWrap w:val="0"/>
            <w:vAlign w:val="center"/>
          </w:tcPr>
          <w:p w14:paraId="15CE77E9">
            <w:pPr>
              <w:pageBreakBefore w:val="0"/>
              <w:kinsoku/>
              <w:overflowPunct/>
              <w:topLinePunct w:val="0"/>
              <w:autoSpaceDE/>
              <w:autoSpaceDN/>
              <w:bidi w:val="0"/>
              <w:spacing w:beforeAutospacing="0" w:line="360" w:lineRule="auto"/>
              <w:textAlignment w:val="auto"/>
              <w:rPr>
                <w:rFonts w:hint="eastAsia" w:ascii="宋体" w:hAnsi="宋体" w:eastAsia="宋体" w:cs="宋体"/>
                <w:color w:val="auto"/>
                <w:sz w:val="22"/>
                <w:szCs w:val="22"/>
                <w:highlight w:val="none"/>
              </w:rPr>
            </w:pPr>
          </w:p>
        </w:tc>
        <w:tc>
          <w:tcPr>
            <w:tcW w:w="1129" w:type="dxa"/>
            <w:vMerge w:val="continue"/>
            <w:noWrap w:val="0"/>
            <w:vAlign w:val="center"/>
          </w:tcPr>
          <w:p w14:paraId="610F9645">
            <w:pPr>
              <w:pageBreakBefore w:val="0"/>
              <w:kinsoku/>
              <w:overflowPunct/>
              <w:topLinePunct w:val="0"/>
              <w:autoSpaceDE/>
              <w:autoSpaceDN/>
              <w:bidi w:val="0"/>
              <w:spacing w:beforeAutospacing="0" w:line="360" w:lineRule="auto"/>
              <w:jc w:val="center"/>
              <w:textAlignment w:val="auto"/>
              <w:rPr>
                <w:rFonts w:hint="eastAsia" w:ascii="宋体" w:hAnsi="宋体" w:eastAsia="宋体" w:cs="宋体"/>
                <w:color w:val="auto"/>
                <w:sz w:val="22"/>
                <w:szCs w:val="22"/>
                <w:highlight w:val="none"/>
              </w:rPr>
            </w:pPr>
          </w:p>
        </w:tc>
        <w:tc>
          <w:tcPr>
            <w:tcW w:w="2082" w:type="dxa"/>
            <w:noWrap w:val="0"/>
            <w:vAlign w:val="center"/>
          </w:tcPr>
          <w:p w14:paraId="2B8F3084">
            <w:pPr>
              <w:pageBreakBefore w:val="0"/>
              <w:kinsoku/>
              <w:overflowPunct/>
              <w:topLinePunct w:val="0"/>
              <w:autoSpaceDE/>
              <w:autoSpaceDN/>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质量管理体系与措施(</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分）</w:t>
            </w:r>
          </w:p>
        </w:tc>
        <w:tc>
          <w:tcPr>
            <w:tcW w:w="6064" w:type="dxa"/>
            <w:noWrap w:val="0"/>
            <w:vAlign w:val="center"/>
          </w:tcPr>
          <w:p w14:paraId="4DF5ADD7">
            <w:pPr>
              <w:keepNext w:val="0"/>
              <w:keepLines w:val="0"/>
              <w:pageBreakBefore w:val="0"/>
              <w:widowControl/>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有针对本项目制定质量管理体系与措施，体系完善、措施落实得好的，得6分；</w:t>
            </w:r>
          </w:p>
          <w:p w14:paraId="12493E1E">
            <w:pPr>
              <w:keepNext w:val="0"/>
              <w:keepLines w:val="0"/>
              <w:pageBreakBefore w:val="0"/>
              <w:widowControl/>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体系基本完善、措施基本落实的，得5.9分；</w:t>
            </w:r>
          </w:p>
          <w:p w14:paraId="6D5A56D4">
            <w:pPr>
              <w:keepNext w:val="0"/>
              <w:keepLines w:val="0"/>
              <w:pageBreakBefore w:val="0"/>
              <w:widowControl/>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体系一般、措施一般的，得5.8分；</w:t>
            </w:r>
          </w:p>
          <w:p w14:paraId="01ECBF55">
            <w:pPr>
              <w:pageBreakBefore w:val="0"/>
              <w:kinsoku/>
              <w:overflowPunct/>
              <w:topLinePunct w:val="0"/>
              <w:autoSpaceDE/>
              <w:autoSpaceDN/>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未提供不得分。</w:t>
            </w:r>
          </w:p>
        </w:tc>
      </w:tr>
      <w:tr w14:paraId="4FE3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3" w:type="dxa"/>
            <w:vMerge w:val="continue"/>
            <w:noWrap w:val="0"/>
            <w:vAlign w:val="center"/>
          </w:tcPr>
          <w:p w14:paraId="51992C43">
            <w:pPr>
              <w:pageBreakBefore w:val="0"/>
              <w:kinsoku/>
              <w:overflowPunct/>
              <w:topLinePunct w:val="0"/>
              <w:autoSpaceDE/>
              <w:autoSpaceDN/>
              <w:bidi w:val="0"/>
              <w:spacing w:beforeAutospacing="0" w:line="360" w:lineRule="auto"/>
              <w:textAlignment w:val="auto"/>
              <w:rPr>
                <w:rFonts w:hint="eastAsia" w:ascii="宋体" w:hAnsi="宋体" w:eastAsia="宋体" w:cs="宋体"/>
                <w:color w:val="auto"/>
                <w:sz w:val="22"/>
                <w:szCs w:val="22"/>
                <w:highlight w:val="none"/>
              </w:rPr>
            </w:pPr>
          </w:p>
        </w:tc>
        <w:tc>
          <w:tcPr>
            <w:tcW w:w="1129" w:type="dxa"/>
            <w:vMerge w:val="continue"/>
            <w:noWrap w:val="0"/>
            <w:vAlign w:val="center"/>
          </w:tcPr>
          <w:p w14:paraId="0F30C0FD">
            <w:pPr>
              <w:pageBreakBefore w:val="0"/>
              <w:kinsoku/>
              <w:overflowPunct/>
              <w:topLinePunct w:val="0"/>
              <w:autoSpaceDE/>
              <w:autoSpaceDN/>
              <w:bidi w:val="0"/>
              <w:spacing w:beforeAutospacing="0" w:line="360" w:lineRule="auto"/>
              <w:jc w:val="center"/>
              <w:textAlignment w:val="auto"/>
              <w:rPr>
                <w:rFonts w:hint="eastAsia" w:ascii="宋体" w:hAnsi="宋体" w:eastAsia="宋体" w:cs="宋体"/>
                <w:color w:val="auto"/>
                <w:sz w:val="22"/>
                <w:szCs w:val="22"/>
                <w:highlight w:val="none"/>
              </w:rPr>
            </w:pPr>
          </w:p>
        </w:tc>
        <w:tc>
          <w:tcPr>
            <w:tcW w:w="2082" w:type="dxa"/>
            <w:noWrap w:val="0"/>
            <w:vAlign w:val="center"/>
          </w:tcPr>
          <w:p w14:paraId="64CEC4FA">
            <w:pPr>
              <w:pStyle w:val="5"/>
              <w:pageBreakBefore w:val="0"/>
              <w:kinsoku/>
              <w:overflowPunct/>
              <w:topLinePunct w:val="0"/>
              <w:autoSpaceDE/>
              <w:autoSpaceDN/>
              <w:bidi w:val="0"/>
              <w:spacing w:line="360" w:lineRule="auto"/>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rPr>
              <w:t>安全管理体系与措施(</w:t>
            </w:r>
            <w:r>
              <w:rPr>
                <w:rFonts w:hint="eastAsia" w:ascii="宋体" w:hAnsi="宋体" w:eastAsia="宋体" w:cs="宋体"/>
                <w:b w:val="0"/>
                <w:bCs w:val="0"/>
                <w:color w:val="auto"/>
                <w:sz w:val="22"/>
                <w:szCs w:val="22"/>
                <w:highlight w:val="none"/>
                <w:lang w:val="en-US" w:eastAsia="zh-CN"/>
              </w:rPr>
              <w:t>6</w:t>
            </w:r>
            <w:r>
              <w:rPr>
                <w:rFonts w:hint="eastAsia" w:ascii="宋体" w:hAnsi="宋体" w:eastAsia="宋体" w:cs="宋体"/>
                <w:b w:val="0"/>
                <w:bCs w:val="0"/>
                <w:color w:val="auto"/>
                <w:sz w:val="22"/>
                <w:szCs w:val="22"/>
                <w:highlight w:val="none"/>
              </w:rPr>
              <w:t>分）</w:t>
            </w:r>
          </w:p>
        </w:tc>
        <w:tc>
          <w:tcPr>
            <w:tcW w:w="6064" w:type="dxa"/>
            <w:noWrap w:val="0"/>
            <w:vAlign w:val="center"/>
          </w:tcPr>
          <w:p w14:paraId="6D6FF2DF">
            <w:pPr>
              <w:keepNext w:val="0"/>
              <w:keepLines w:val="0"/>
              <w:pageBreakBefore w:val="0"/>
              <w:widowControl/>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有针对本项目制定安全管理体系与措施，体系完善、措施落实得好的，得6分；</w:t>
            </w:r>
          </w:p>
          <w:p w14:paraId="1357524D">
            <w:pPr>
              <w:keepNext w:val="0"/>
              <w:keepLines w:val="0"/>
              <w:pageBreakBefore w:val="0"/>
              <w:widowControl/>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体系基本完善、措施基本落实的，得5.9分；</w:t>
            </w:r>
          </w:p>
          <w:p w14:paraId="4C764B87">
            <w:pPr>
              <w:keepNext w:val="0"/>
              <w:keepLines w:val="0"/>
              <w:pageBreakBefore w:val="0"/>
              <w:widowControl/>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体系一般，措施落实一般的，得5.8分；</w:t>
            </w:r>
          </w:p>
          <w:p w14:paraId="01A2C278">
            <w:pPr>
              <w:pageBreakBefore w:val="0"/>
              <w:kinsoku/>
              <w:overflowPunct/>
              <w:topLinePunct w:val="0"/>
              <w:autoSpaceDE/>
              <w:autoSpaceDN/>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未提供不得分。</w:t>
            </w:r>
          </w:p>
        </w:tc>
      </w:tr>
      <w:tr w14:paraId="3090F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3" w:type="dxa"/>
            <w:vMerge w:val="continue"/>
            <w:noWrap w:val="0"/>
            <w:vAlign w:val="center"/>
          </w:tcPr>
          <w:p w14:paraId="7C9BDA63">
            <w:pPr>
              <w:pageBreakBefore w:val="0"/>
              <w:kinsoku/>
              <w:overflowPunct/>
              <w:topLinePunct w:val="0"/>
              <w:autoSpaceDE/>
              <w:autoSpaceDN/>
              <w:bidi w:val="0"/>
              <w:spacing w:beforeAutospacing="0" w:line="360" w:lineRule="auto"/>
              <w:textAlignment w:val="auto"/>
              <w:rPr>
                <w:rFonts w:hint="eastAsia" w:ascii="宋体" w:hAnsi="宋体" w:eastAsia="宋体" w:cs="宋体"/>
                <w:color w:val="auto"/>
                <w:sz w:val="22"/>
                <w:szCs w:val="22"/>
                <w:highlight w:val="none"/>
              </w:rPr>
            </w:pPr>
          </w:p>
        </w:tc>
        <w:tc>
          <w:tcPr>
            <w:tcW w:w="1129" w:type="dxa"/>
            <w:vMerge w:val="continue"/>
            <w:noWrap w:val="0"/>
            <w:vAlign w:val="center"/>
          </w:tcPr>
          <w:p w14:paraId="2DE7B163">
            <w:pPr>
              <w:pageBreakBefore w:val="0"/>
              <w:kinsoku/>
              <w:overflowPunct/>
              <w:topLinePunct w:val="0"/>
              <w:autoSpaceDE/>
              <w:autoSpaceDN/>
              <w:bidi w:val="0"/>
              <w:spacing w:beforeAutospacing="0" w:line="360" w:lineRule="auto"/>
              <w:jc w:val="center"/>
              <w:textAlignment w:val="auto"/>
              <w:rPr>
                <w:rFonts w:hint="eastAsia" w:ascii="宋体" w:hAnsi="宋体" w:eastAsia="宋体" w:cs="宋体"/>
                <w:color w:val="auto"/>
                <w:sz w:val="22"/>
                <w:szCs w:val="22"/>
                <w:highlight w:val="none"/>
              </w:rPr>
            </w:pPr>
          </w:p>
        </w:tc>
        <w:tc>
          <w:tcPr>
            <w:tcW w:w="2082" w:type="dxa"/>
            <w:noWrap w:val="0"/>
            <w:vAlign w:val="center"/>
          </w:tcPr>
          <w:p w14:paraId="23DA8555">
            <w:pPr>
              <w:pageBreakBefore w:val="0"/>
              <w:kinsoku/>
              <w:overflowPunct/>
              <w:topLinePunct w:val="0"/>
              <w:autoSpaceDE/>
              <w:autoSpaceDN/>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环境保护管理体系与措施(</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分）</w:t>
            </w:r>
          </w:p>
        </w:tc>
        <w:tc>
          <w:tcPr>
            <w:tcW w:w="6064" w:type="dxa"/>
            <w:noWrap w:val="0"/>
            <w:vAlign w:val="center"/>
          </w:tcPr>
          <w:p w14:paraId="0609A538">
            <w:pPr>
              <w:keepNext w:val="0"/>
              <w:keepLines w:val="0"/>
              <w:pageBreakBefore w:val="0"/>
              <w:widowControl/>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有针对本项目制定环境保护管理体系与措施，体系完善、措施落实得好的，得6分；</w:t>
            </w:r>
          </w:p>
          <w:p w14:paraId="11530CFA">
            <w:pPr>
              <w:keepNext w:val="0"/>
              <w:keepLines w:val="0"/>
              <w:pageBreakBefore w:val="0"/>
              <w:widowControl/>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体系基本完善、措施基本落实的，得5.9分；</w:t>
            </w:r>
          </w:p>
          <w:p w14:paraId="3F5AC76C">
            <w:pPr>
              <w:keepNext w:val="0"/>
              <w:keepLines w:val="0"/>
              <w:pageBreakBefore w:val="0"/>
              <w:widowControl/>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体系一般，措施落实一般的，得5.8分；</w:t>
            </w:r>
          </w:p>
          <w:p w14:paraId="3EE78A40">
            <w:pPr>
              <w:pageBreakBefore w:val="0"/>
              <w:kinsoku/>
              <w:overflowPunct/>
              <w:topLinePunct w:val="0"/>
              <w:autoSpaceDE/>
              <w:autoSpaceDN/>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未提供不得分。</w:t>
            </w:r>
          </w:p>
        </w:tc>
      </w:tr>
      <w:tr w14:paraId="5943C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3" w:type="dxa"/>
            <w:vMerge w:val="continue"/>
            <w:noWrap w:val="0"/>
            <w:vAlign w:val="center"/>
          </w:tcPr>
          <w:p w14:paraId="23F9D028">
            <w:pPr>
              <w:pageBreakBefore w:val="0"/>
              <w:kinsoku/>
              <w:overflowPunct/>
              <w:topLinePunct w:val="0"/>
              <w:autoSpaceDE/>
              <w:autoSpaceDN/>
              <w:bidi w:val="0"/>
              <w:spacing w:beforeAutospacing="0" w:line="360" w:lineRule="auto"/>
              <w:textAlignment w:val="auto"/>
              <w:rPr>
                <w:rFonts w:hint="eastAsia" w:ascii="宋体" w:hAnsi="宋体" w:eastAsia="宋体" w:cs="宋体"/>
                <w:color w:val="auto"/>
                <w:sz w:val="22"/>
                <w:szCs w:val="22"/>
                <w:highlight w:val="none"/>
              </w:rPr>
            </w:pPr>
          </w:p>
        </w:tc>
        <w:tc>
          <w:tcPr>
            <w:tcW w:w="1129" w:type="dxa"/>
            <w:vMerge w:val="continue"/>
            <w:noWrap w:val="0"/>
            <w:vAlign w:val="center"/>
          </w:tcPr>
          <w:p w14:paraId="2AB8DE36">
            <w:pPr>
              <w:pageBreakBefore w:val="0"/>
              <w:kinsoku/>
              <w:overflowPunct/>
              <w:topLinePunct w:val="0"/>
              <w:autoSpaceDE/>
              <w:autoSpaceDN/>
              <w:bidi w:val="0"/>
              <w:spacing w:beforeAutospacing="0" w:line="360" w:lineRule="auto"/>
              <w:jc w:val="center"/>
              <w:textAlignment w:val="auto"/>
              <w:rPr>
                <w:rFonts w:hint="eastAsia" w:ascii="宋体" w:hAnsi="宋体" w:eastAsia="宋体" w:cs="宋体"/>
                <w:color w:val="auto"/>
                <w:sz w:val="22"/>
                <w:szCs w:val="22"/>
                <w:highlight w:val="none"/>
              </w:rPr>
            </w:pPr>
          </w:p>
        </w:tc>
        <w:tc>
          <w:tcPr>
            <w:tcW w:w="2082" w:type="dxa"/>
            <w:noWrap w:val="0"/>
            <w:vAlign w:val="center"/>
          </w:tcPr>
          <w:p w14:paraId="2C7191DD">
            <w:pPr>
              <w:pageBreakBefore w:val="0"/>
              <w:kinsoku/>
              <w:overflowPunct/>
              <w:topLinePunct w:val="0"/>
              <w:autoSpaceDE/>
              <w:autoSpaceDN/>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工程建设进度计划与措施(</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w:t>
            </w:r>
          </w:p>
        </w:tc>
        <w:tc>
          <w:tcPr>
            <w:tcW w:w="6064" w:type="dxa"/>
            <w:noWrap w:val="0"/>
            <w:vAlign w:val="center"/>
          </w:tcPr>
          <w:p w14:paraId="5EAF72FD">
            <w:pPr>
              <w:keepNext w:val="0"/>
              <w:keepLines w:val="0"/>
              <w:pageBreakBefore w:val="0"/>
              <w:widowControl/>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有针对本项目制定工程建设进度计划与措施，工程建设进度满足招标文件要求，关键线路清晰、准确、完整，计划编制合理、可行，关键节点的控制措施合理的，得5分；</w:t>
            </w:r>
          </w:p>
          <w:p w14:paraId="6A3DC27B">
            <w:pPr>
              <w:keepNext w:val="0"/>
              <w:keepLines w:val="0"/>
              <w:pageBreakBefore w:val="0"/>
              <w:widowControl/>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基本合理的，得4.9分；</w:t>
            </w:r>
          </w:p>
          <w:p w14:paraId="4155D4CE">
            <w:pPr>
              <w:keepNext w:val="0"/>
              <w:keepLines w:val="0"/>
              <w:pageBreakBefore w:val="0"/>
              <w:widowControl/>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计划措施一般的，得4.8分；</w:t>
            </w:r>
          </w:p>
          <w:p w14:paraId="2830785E">
            <w:pPr>
              <w:pageBreakBefore w:val="0"/>
              <w:kinsoku/>
              <w:overflowPunct/>
              <w:topLinePunct w:val="0"/>
              <w:autoSpaceDE/>
              <w:autoSpaceDN/>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未提供不得分。</w:t>
            </w:r>
          </w:p>
        </w:tc>
      </w:tr>
      <w:tr w14:paraId="083FF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3" w:type="dxa"/>
            <w:vMerge w:val="continue"/>
            <w:noWrap w:val="0"/>
            <w:vAlign w:val="center"/>
          </w:tcPr>
          <w:p w14:paraId="0ECCFB3E">
            <w:pPr>
              <w:pageBreakBefore w:val="0"/>
              <w:kinsoku/>
              <w:overflowPunct/>
              <w:topLinePunct w:val="0"/>
              <w:autoSpaceDE/>
              <w:autoSpaceDN/>
              <w:bidi w:val="0"/>
              <w:spacing w:beforeAutospacing="0" w:line="360" w:lineRule="auto"/>
              <w:textAlignment w:val="auto"/>
              <w:rPr>
                <w:rFonts w:hint="eastAsia" w:ascii="宋体" w:hAnsi="宋体" w:eastAsia="宋体" w:cs="宋体"/>
                <w:color w:val="auto"/>
                <w:sz w:val="22"/>
                <w:szCs w:val="22"/>
                <w:highlight w:val="none"/>
              </w:rPr>
            </w:pPr>
          </w:p>
        </w:tc>
        <w:tc>
          <w:tcPr>
            <w:tcW w:w="1129" w:type="dxa"/>
            <w:vMerge w:val="continue"/>
            <w:noWrap w:val="0"/>
            <w:vAlign w:val="center"/>
          </w:tcPr>
          <w:p w14:paraId="5070D29E">
            <w:pPr>
              <w:pageBreakBefore w:val="0"/>
              <w:kinsoku/>
              <w:overflowPunct/>
              <w:topLinePunct w:val="0"/>
              <w:autoSpaceDE/>
              <w:autoSpaceDN/>
              <w:bidi w:val="0"/>
              <w:spacing w:beforeAutospacing="0" w:line="360" w:lineRule="auto"/>
              <w:jc w:val="center"/>
              <w:textAlignment w:val="auto"/>
              <w:rPr>
                <w:rFonts w:hint="eastAsia" w:ascii="宋体" w:hAnsi="宋体" w:eastAsia="宋体" w:cs="宋体"/>
                <w:color w:val="auto"/>
                <w:sz w:val="22"/>
                <w:szCs w:val="22"/>
                <w:highlight w:val="none"/>
              </w:rPr>
            </w:pPr>
          </w:p>
        </w:tc>
        <w:tc>
          <w:tcPr>
            <w:tcW w:w="2082" w:type="dxa"/>
            <w:noWrap w:val="0"/>
            <w:vAlign w:val="center"/>
          </w:tcPr>
          <w:p w14:paraId="25F67E80">
            <w:pPr>
              <w:pageBreakBefore w:val="0"/>
              <w:kinsoku/>
              <w:overflowPunct/>
              <w:topLinePunct w:val="0"/>
              <w:autoSpaceDE/>
              <w:autoSpaceDN/>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资源配备计划(</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分）</w:t>
            </w:r>
          </w:p>
        </w:tc>
        <w:tc>
          <w:tcPr>
            <w:tcW w:w="6064" w:type="dxa"/>
            <w:noWrap w:val="0"/>
            <w:vAlign w:val="center"/>
          </w:tcPr>
          <w:p w14:paraId="5BC20A1A">
            <w:pPr>
              <w:keepNext w:val="0"/>
              <w:keepLines w:val="0"/>
              <w:pageBreakBefore w:val="0"/>
              <w:widowControl/>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有针对本项目制定资源及主要人员配备计划，资源配备充足、主要人员架构合理及完整的，得6分；</w:t>
            </w:r>
          </w:p>
          <w:p w14:paraId="22E89793">
            <w:pPr>
              <w:keepNext w:val="0"/>
              <w:keepLines w:val="0"/>
              <w:pageBreakBefore w:val="0"/>
              <w:widowControl/>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资源配备较充足、主要人员架构较合理及较完整的，得5.9分；</w:t>
            </w:r>
          </w:p>
          <w:p w14:paraId="6608292C">
            <w:pPr>
              <w:keepNext w:val="0"/>
              <w:keepLines w:val="0"/>
              <w:pageBreakBefore w:val="0"/>
              <w:widowControl/>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资源配备一般、主要人员架构基本满足要求的，得5.8分；</w:t>
            </w:r>
          </w:p>
          <w:p w14:paraId="0916530E">
            <w:pPr>
              <w:pageBreakBefore w:val="0"/>
              <w:kinsoku/>
              <w:overflowPunct/>
              <w:topLinePunct w:val="0"/>
              <w:autoSpaceDE/>
              <w:autoSpaceDN/>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未提供不得分。</w:t>
            </w:r>
          </w:p>
        </w:tc>
      </w:tr>
      <w:tr w14:paraId="3EA3F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3" w:type="dxa"/>
            <w:vMerge w:val="restart"/>
            <w:noWrap w:val="0"/>
            <w:vAlign w:val="center"/>
          </w:tcPr>
          <w:p w14:paraId="3F40F36E">
            <w:pPr>
              <w:pageBreakBefore w:val="0"/>
              <w:kinsoku/>
              <w:overflowPunct/>
              <w:topLinePunct w:val="0"/>
              <w:autoSpaceDE/>
              <w:autoSpaceDN/>
              <w:bidi w:val="0"/>
              <w:spacing w:beforeAutospacing="0" w:line="360"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2.2.</w:t>
            </w:r>
            <w:r>
              <w:rPr>
                <w:rFonts w:hint="eastAsia" w:ascii="宋体" w:hAnsi="宋体" w:eastAsia="宋体" w:cs="宋体"/>
                <w:color w:val="auto"/>
                <w:sz w:val="22"/>
                <w:szCs w:val="22"/>
                <w:highlight w:val="none"/>
                <w:lang w:val="en-US" w:eastAsia="zh-CN"/>
              </w:rPr>
              <w:t>2</w:t>
            </w:r>
          </w:p>
          <w:p w14:paraId="02A77B84">
            <w:pPr>
              <w:pageBreakBefore w:val="0"/>
              <w:kinsoku/>
              <w:overflowPunct/>
              <w:topLinePunct w:val="0"/>
              <w:autoSpaceDE/>
              <w:autoSpaceDN/>
              <w:bidi w:val="0"/>
              <w:spacing w:beforeAutospacing="0" w:line="360" w:lineRule="auto"/>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w:t>
            </w:r>
          </w:p>
        </w:tc>
        <w:tc>
          <w:tcPr>
            <w:tcW w:w="1129" w:type="dxa"/>
            <w:vMerge w:val="restart"/>
            <w:noWrap w:val="0"/>
            <w:vAlign w:val="center"/>
          </w:tcPr>
          <w:p w14:paraId="28288504">
            <w:pPr>
              <w:pageBreakBefore w:val="0"/>
              <w:kinsoku/>
              <w:wordWrap w:val="0"/>
              <w:overflowPunct/>
              <w:topLinePunct w:val="0"/>
              <w:autoSpaceDE/>
              <w:autoSpaceDN/>
              <w:bidi w:val="0"/>
              <w:adjustRightInd w:val="0"/>
              <w:snapToGrid w:val="0"/>
              <w:spacing w:beforeAutospacing="0" w:line="360" w:lineRule="auto"/>
              <w:jc w:val="center"/>
              <w:textAlignment w:val="auto"/>
              <w:rPr>
                <w:rFonts w:hint="eastAsia" w:ascii="宋体" w:hAnsi="宋体" w:eastAsia="宋体" w:cs="宋体"/>
                <w:snapToGrid w:val="0"/>
                <w:color w:val="auto"/>
                <w:kern w:val="0"/>
                <w:sz w:val="22"/>
                <w:szCs w:val="22"/>
                <w:highlight w:val="none"/>
                <w:lang w:bidi="ar"/>
              </w:rPr>
            </w:pPr>
            <w:r>
              <w:rPr>
                <w:rFonts w:hint="eastAsia" w:ascii="宋体" w:hAnsi="宋体" w:eastAsia="宋体" w:cs="宋体"/>
                <w:b/>
                <w:bCs/>
                <w:color w:val="auto"/>
                <w:sz w:val="22"/>
                <w:szCs w:val="22"/>
                <w:highlight w:val="none"/>
              </w:rPr>
              <w:t>商务部分（</w:t>
            </w:r>
            <w:r>
              <w:rPr>
                <w:rFonts w:hint="eastAsia" w:ascii="宋体" w:hAnsi="宋体" w:eastAsia="宋体" w:cs="宋体"/>
                <w:b/>
                <w:bCs/>
                <w:color w:val="auto"/>
                <w:sz w:val="22"/>
                <w:szCs w:val="22"/>
                <w:highlight w:val="none"/>
                <w:lang w:val="en-US" w:eastAsia="zh-CN"/>
              </w:rPr>
              <w:t>4</w:t>
            </w:r>
            <w:r>
              <w:rPr>
                <w:rFonts w:hint="eastAsia" w:ascii="宋体" w:hAnsi="宋体" w:eastAsia="宋体" w:cs="宋体"/>
                <w:b/>
                <w:bCs/>
                <w:color w:val="auto"/>
                <w:sz w:val="22"/>
                <w:szCs w:val="22"/>
                <w:highlight w:val="none"/>
              </w:rPr>
              <w:t>0分）</w:t>
            </w:r>
          </w:p>
        </w:tc>
        <w:tc>
          <w:tcPr>
            <w:tcW w:w="2082" w:type="dxa"/>
            <w:noWrap w:val="0"/>
            <w:vAlign w:val="center"/>
          </w:tcPr>
          <w:p w14:paraId="351AE5FE">
            <w:pPr>
              <w:pStyle w:val="7"/>
              <w:keepNext w:val="0"/>
              <w:keepLines w:val="0"/>
              <w:pageBreakBefore w:val="0"/>
              <w:kinsoku/>
              <w:wordWrap/>
              <w:overflowPunct/>
              <w:topLinePunct w:val="0"/>
              <w:autoSpaceDE/>
              <w:autoSpaceDN/>
              <w:bidi w:val="0"/>
              <w:adjustRightInd w:val="0"/>
              <w:snapToGrid w:val="0"/>
              <w:spacing w:before="0" w:beforeAutospacing="0" w:after="0" w:line="360"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企业业绩</w:t>
            </w:r>
          </w:p>
          <w:p w14:paraId="1BDF4037">
            <w:pPr>
              <w:pStyle w:val="7"/>
              <w:keepNext w:val="0"/>
              <w:keepLines w:val="0"/>
              <w:pageBreakBefore w:val="0"/>
              <w:kinsoku/>
              <w:wordWrap/>
              <w:overflowPunct/>
              <w:topLinePunct w:val="0"/>
              <w:autoSpaceDE/>
              <w:autoSpaceDN/>
              <w:bidi w:val="0"/>
              <w:adjustRightInd w:val="0"/>
              <w:snapToGrid w:val="0"/>
              <w:spacing w:before="0" w:beforeAutospacing="0" w:after="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（10分）</w:t>
            </w:r>
          </w:p>
        </w:tc>
        <w:tc>
          <w:tcPr>
            <w:tcW w:w="6064" w:type="dxa"/>
            <w:noWrap w:val="0"/>
            <w:vAlign w:val="center"/>
          </w:tcPr>
          <w:p w14:paraId="46B93EED">
            <w:pPr>
              <w:pStyle w:val="7"/>
              <w:keepNext w:val="0"/>
              <w:keepLines w:val="0"/>
              <w:pageBreakBefore w:val="0"/>
              <w:kinsoku/>
              <w:wordWrap/>
              <w:overflowPunct/>
              <w:topLinePunct w:val="0"/>
              <w:autoSpaceDE/>
              <w:autoSpaceDN/>
              <w:bidi w:val="0"/>
              <w:adjustRightInd w:val="0"/>
              <w:snapToGrid w:val="0"/>
              <w:spacing w:before="0" w:beforeAutospacing="0" w:after="0" w:line="360" w:lineRule="auto"/>
              <w:jc w:val="left"/>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投标人自2020</w:t>
            </w:r>
            <w:r>
              <w:rPr>
                <w:rFonts w:hint="eastAsia" w:ascii="宋体" w:hAnsi="宋体" w:eastAsia="宋体" w:cs="宋体"/>
                <w:b w:val="0"/>
                <w:bCs w:val="0"/>
                <w:color w:val="auto"/>
                <w:sz w:val="22"/>
                <w:szCs w:val="22"/>
                <w:highlight w:val="none"/>
              </w:rPr>
              <w:t>年</w:t>
            </w:r>
            <w:r>
              <w:rPr>
                <w:rFonts w:hint="eastAsia" w:ascii="宋体" w:hAnsi="宋体" w:eastAsia="宋体" w:cs="宋体"/>
                <w:b w:val="0"/>
                <w:bCs w:val="0"/>
                <w:color w:val="auto"/>
                <w:sz w:val="22"/>
                <w:szCs w:val="22"/>
                <w:highlight w:val="none"/>
                <w:lang w:val="en-US" w:eastAsia="zh-CN"/>
              </w:rPr>
              <w:t>1月1日</w:t>
            </w:r>
            <w:r>
              <w:rPr>
                <w:rFonts w:hint="eastAsia" w:ascii="宋体" w:hAnsi="宋体" w:eastAsia="宋体" w:cs="宋体"/>
                <w:b w:val="0"/>
                <w:bCs w:val="0"/>
                <w:color w:val="auto"/>
                <w:sz w:val="22"/>
                <w:szCs w:val="22"/>
                <w:highlight w:val="none"/>
              </w:rPr>
              <w:t>至今，承接过</w:t>
            </w:r>
            <w:r>
              <w:rPr>
                <w:rFonts w:hint="eastAsia" w:ascii="宋体" w:hAnsi="宋体" w:eastAsia="宋体" w:cs="宋体"/>
                <w:b w:val="0"/>
                <w:bCs w:val="0"/>
                <w:color w:val="auto"/>
                <w:sz w:val="22"/>
                <w:szCs w:val="22"/>
                <w:highlight w:val="none"/>
                <w:lang w:eastAsia="zh-CN"/>
              </w:rPr>
              <w:t>水利类</w:t>
            </w:r>
            <w:r>
              <w:rPr>
                <w:rFonts w:hint="eastAsia" w:ascii="宋体" w:hAnsi="宋体" w:eastAsia="宋体" w:cs="宋体"/>
                <w:b w:val="0"/>
                <w:bCs w:val="0"/>
                <w:color w:val="auto"/>
                <w:sz w:val="22"/>
                <w:szCs w:val="22"/>
                <w:highlight w:val="none"/>
                <w:lang w:val="en-US" w:eastAsia="zh-CN"/>
              </w:rPr>
              <w:t>工程</w:t>
            </w:r>
            <w:r>
              <w:rPr>
                <w:rFonts w:hint="eastAsia" w:ascii="宋体" w:hAnsi="宋体" w:eastAsia="宋体" w:cs="宋体"/>
                <w:b w:val="0"/>
                <w:bCs w:val="0"/>
                <w:color w:val="auto"/>
                <w:sz w:val="22"/>
                <w:szCs w:val="22"/>
                <w:highlight w:val="none"/>
              </w:rPr>
              <w:t>施工的，每提供1项</w:t>
            </w:r>
            <w:r>
              <w:rPr>
                <w:rFonts w:hint="eastAsia" w:ascii="宋体" w:hAnsi="宋体" w:eastAsia="宋体" w:cs="宋体"/>
                <w:b w:val="0"/>
                <w:bCs w:val="0"/>
                <w:color w:val="auto"/>
                <w:sz w:val="22"/>
                <w:szCs w:val="22"/>
                <w:highlight w:val="none"/>
                <w:lang w:val="en-US" w:eastAsia="zh-CN"/>
              </w:rPr>
              <w:t>业绩</w:t>
            </w:r>
            <w:r>
              <w:rPr>
                <w:rFonts w:hint="eastAsia" w:ascii="宋体" w:hAnsi="宋体" w:eastAsia="宋体" w:cs="宋体"/>
                <w:b w:val="0"/>
                <w:bCs w:val="0"/>
                <w:color w:val="auto"/>
                <w:sz w:val="22"/>
                <w:szCs w:val="22"/>
                <w:highlight w:val="none"/>
              </w:rPr>
              <w:t>得</w:t>
            </w:r>
            <w:r>
              <w:rPr>
                <w:rFonts w:hint="eastAsia" w:ascii="宋体" w:hAnsi="宋体" w:eastAsia="宋体" w:cs="宋体"/>
                <w:b w:val="0"/>
                <w:bCs w:val="0"/>
                <w:color w:val="auto"/>
                <w:sz w:val="22"/>
                <w:szCs w:val="22"/>
                <w:highlight w:val="none"/>
                <w:lang w:val="en-US" w:eastAsia="zh-CN"/>
              </w:rPr>
              <w:t>5</w:t>
            </w:r>
            <w:r>
              <w:rPr>
                <w:rFonts w:hint="eastAsia" w:ascii="宋体" w:hAnsi="宋体" w:eastAsia="宋体" w:cs="宋体"/>
                <w:b w:val="0"/>
                <w:bCs w:val="0"/>
                <w:color w:val="auto"/>
                <w:sz w:val="22"/>
                <w:szCs w:val="22"/>
                <w:highlight w:val="none"/>
              </w:rPr>
              <w:t>分。</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lang w:val="en-US" w:eastAsia="zh-CN"/>
              </w:rPr>
              <w:t>本项最高得10分）</w:t>
            </w:r>
          </w:p>
          <w:p w14:paraId="6D96BFE7">
            <w:pPr>
              <w:pStyle w:val="7"/>
              <w:keepNext w:val="0"/>
              <w:keepLines w:val="0"/>
              <w:pageBreakBefore w:val="0"/>
              <w:kinsoku/>
              <w:wordWrap/>
              <w:overflowPunct/>
              <w:topLinePunct w:val="0"/>
              <w:autoSpaceDE/>
              <w:autoSpaceDN/>
              <w:bidi w:val="0"/>
              <w:adjustRightInd w:val="0"/>
              <w:snapToGrid w:val="0"/>
              <w:spacing w:before="0" w:beforeAutospacing="0" w:after="0" w:line="360" w:lineRule="auto"/>
              <w:jc w:val="left"/>
              <w:textAlignment w:val="auto"/>
              <w:rPr>
                <w:rFonts w:hint="eastAsia" w:ascii="宋体" w:hAnsi="宋体" w:eastAsia="宋体" w:cs="宋体"/>
                <w:b/>
                <w:bCs/>
                <w:color w:val="auto"/>
                <w:sz w:val="22"/>
                <w:szCs w:val="22"/>
                <w:highlight w:val="none"/>
              </w:rPr>
            </w:pPr>
            <w:r>
              <w:rPr>
                <w:rFonts w:hint="eastAsia" w:ascii="宋体" w:hAnsi="宋体" w:eastAsia="宋体" w:cs="宋体"/>
                <w:b w:val="0"/>
                <w:bCs w:val="0"/>
                <w:color w:val="auto"/>
                <w:sz w:val="22"/>
                <w:szCs w:val="22"/>
                <w:highlight w:val="none"/>
                <w:lang w:val="en-US" w:eastAsia="zh-CN"/>
              </w:rPr>
              <w:t>注：</w:t>
            </w:r>
            <w:r>
              <w:rPr>
                <w:rFonts w:hint="eastAsia" w:ascii="宋体" w:hAnsi="宋体" w:eastAsia="宋体" w:cs="宋体"/>
                <w:b w:val="0"/>
                <w:bCs w:val="0"/>
                <w:color w:val="auto"/>
                <w:sz w:val="22"/>
                <w:szCs w:val="22"/>
                <w:highlight w:val="none"/>
                <w:lang w:eastAsia="zh-CN"/>
              </w:rPr>
              <w:t>须</w:t>
            </w:r>
            <w:r>
              <w:rPr>
                <w:rFonts w:hint="eastAsia" w:ascii="宋体" w:hAnsi="宋体" w:eastAsia="宋体" w:cs="宋体"/>
                <w:b w:val="0"/>
                <w:bCs w:val="0"/>
                <w:color w:val="auto"/>
                <w:sz w:val="22"/>
                <w:szCs w:val="22"/>
                <w:highlight w:val="none"/>
              </w:rPr>
              <w:t>附合同协议书关键页</w:t>
            </w:r>
            <w:r>
              <w:rPr>
                <w:rFonts w:hint="eastAsia" w:ascii="宋体" w:hAnsi="宋体" w:eastAsia="宋体" w:cs="宋体"/>
                <w:snapToGrid w:val="0"/>
                <w:color w:val="auto"/>
                <w:kern w:val="0"/>
                <w:sz w:val="22"/>
                <w:szCs w:val="22"/>
                <w:highlight w:val="none"/>
                <w:lang w:val="en-US" w:eastAsia="zh-CN" w:bidi="ar-SA"/>
              </w:rPr>
              <w:t>和竣工验收报告的</w:t>
            </w:r>
            <w:r>
              <w:rPr>
                <w:rFonts w:hint="eastAsia" w:ascii="宋体" w:hAnsi="宋体" w:eastAsia="宋体" w:cs="宋体"/>
                <w:b w:val="0"/>
                <w:bCs w:val="0"/>
                <w:color w:val="auto"/>
                <w:sz w:val="22"/>
                <w:szCs w:val="22"/>
                <w:highlight w:val="none"/>
                <w:lang w:val="en-US" w:eastAsia="zh-CN"/>
              </w:rPr>
              <w:t>扫描件，</w:t>
            </w:r>
            <w:r>
              <w:rPr>
                <w:rFonts w:hint="eastAsia" w:ascii="宋体" w:hAnsi="宋体" w:eastAsia="宋体" w:cs="宋体"/>
                <w:b w:val="0"/>
                <w:bCs w:val="0"/>
                <w:color w:val="auto"/>
                <w:sz w:val="22"/>
                <w:szCs w:val="22"/>
                <w:highlight w:val="none"/>
              </w:rPr>
              <w:t>否则不得分。</w:t>
            </w:r>
            <w:r>
              <w:rPr>
                <w:rFonts w:hint="eastAsia" w:ascii="宋体" w:hAnsi="宋体" w:eastAsia="宋体" w:cs="宋体"/>
                <w:b w:val="0"/>
                <w:bCs w:val="0"/>
                <w:color w:val="auto"/>
                <w:sz w:val="22"/>
                <w:szCs w:val="22"/>
                <w:highlight w:val="none"/>
                <w:lang w:val="en-US" w:eastAsia="zh-CN"/>
              </w:rPr>
              <w:t>日期以竣工验收报告日期为准。</w:t>
            </w:r>
          </w:p>
        </w:tc>
      </w:tr>
      <w:tr w14:paraId="58BB4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3" w:type="dxa"/>
            <w:vMerge w:val="continue"/>
            <w:noWrap w:val="0"/>
            <w:vAlign w:val="center"/>
          </w:tcPr>
          <w:p w14:paraId="05D2EEF1">
            <w:pPr>
              <w:pageBreakBefore w:val="0"/>
              <w:kinsoku/>
              <w:overflowPunct/>
              <w:topLinePunct w:val="0"/>
              <w:autoSpaceDE/>
              <w:autoSpaceDN/>
              <w:bidi w:val="0"/>
              <w:spacing w:beforeAutospacing="0" w:line="360" w:lineRule="auto"/>
              <w:jc w:val="center"/>
              <w:textAlignment w:val="auto"/>
              <w:rPr>
                <w:rFonts w:hint="eastAsia" w:ascii="宋体" w:hAnsi="宋体" w:eastAsia="宋体" w:cs="宋体"/>
                <w:b/>
                <w:bCs/>
                <w:color w:val="auto"/>
                <w:sz w:val="22"/>
                <w:szCs w:val="22"/>
                <w:highlight w:val="none"/>
              </w:rPr>
            </w:pPr>
          </w:p>
        </w:tc>
        <w:tc>
          <w:tcPr>
            <w:tcW w:w="1129" w:type="dxa"/>
            <w:vMerge w:val="continue"/>
            <w:noWrap w:val="0"/>
            <w:vAlign w:val="center"/>
          </w:tcPr>
          <w:p w14:paraId="63EAFAB7">
            <w:pPr>
              <w:pageBreakBefore w:val="0"/>
              <w:kinsoku/>
              <w:wordWrap w:val="0"/>
              <w:overflowPunct/>
              <w:topLinePunct w:val="0"/>
              <w:autoSpaceDE/>
              <w:autoSpaceDN/>
              <w:bidi w:val="0"/>
              <w:adjustRightInd w:val="0"/>
              <w:snapToGrid w:val="0"/>
              <w:spacing w:beforeAutospacing="0" w:line="360" w:lineRule="auto"/>
              <w:jc w:val="center"/>
              <w:textAlignment w:val="auto"/>
              <w:rPr>
                <w:rFonts w:hint="eastAsia" w:ascii="宋体" w:hAnsi="宋体" w:eastAsia="宋体" w:cs="宋体"/>
                <w:color w:val="auto"/>
                <w:sz w:val="22"/>
                <w:szCs w:val="22"/>
                <w:highlight w:val="none"/>
              </w:rPr>
            </w:pPr>
          </w:p>
        </w:tc>
        <w:tc>
          <w:tcPr>
            <w:tcW w:w="2082" w:type="dxa"/>
            <w:noWrap w:val="0"/>
            <w:vAlign w:val="center"/>
          </w:tcPr>
          <w:p w14:paraId="3B2D415F">
            <w:pPr>
              <w:keepNext w:val="0"/>
              <w:keepLines w:val="0"/>
              <w:pageBreakBefore w:val="0"/>
              <w:kinsoku/>
              <w:wordWrap/>
              <w:overflowPunct/>
              <w:topLinePunct w:val="0"/>
              <w:autoSpaceDE/>
              <w:autoSpaceDN/>
              <w:bidi w:val="0"/>
              <w:adjustRightInd w:val="0"/>
              <w:snapToGrid w:val="0"/>
              <w:spacing w:beforeAutospacing="0" w:line="360"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项目经理综合素质</w:t>
            </w:r>
          </w:p>
          <w:p w14:paraId="137FACE6">
            <w:pPr>
              <w:keepNext w:val="0"/>
              <w:keepLines w:val="0"/>
              <w:pageBreakBefore w:val="0"/>
              <w:kinsoku/>
              <w:wordWrap/>
              <w:overflowPunct/>
              <w:topLinePunct w:val="0"/>
              <w:autoSpaceDE/>
              <w:autoSpaceDN/>
              <w:bidi w:val="0"/>
              <w:adjustRightInd w:val="0"/>
              <w:snapToGrid w:val="0"/>
              <w:spacing w:beforeAutospacing="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（10分）</w:t>
            </w:r>
          </w:p>
        </w:tc>
        <w:tc>
          <w:tcPr>
            <w:tcW w:w="6064" w:type="dxa"/>
            <w:noWrap w:val="0"/>
            <w:vAlign w:val="center"/>
          </w:tcPr>
          <w:p w14:paraId="523A612E">
            <w:pPr>
              <w:keepNext w:val="0"/>
              <w:keepLines w:val="0"/>
              <w:widowControl w:val="0"/>
              <w:suppressLineNumbers w:val="0"/>
              <w:wordWrap w:val="0"/>
              <w:adjustRightInd w:val="0"/>
              <w:snapToGrid w:val="0"/>
              <w:spacing w:before="0" w:beforeAutospacing="0" w:after="0" w:afterLines="0" w:afterAutospacing="0" w:line="360" w:lineRule="auto"/>
              <w:ind w:left="0" w:right="0"/>
              <w:jc w:val="both"/>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项目经理工程类技术职称情况：</w:t>
            </w:r>
          </w:p>
          <w:p w14:paraId="1F2148B8">
            <w:pPr>
              <w:keepNext w:val="0"/>
              <w:keepLines w:val="0"/>
              <w:widowControl w:val="0"/>
              <w:suppressLineNumbers w:val="0"/>
              <w:wordWrap w:val="0"/>
              <w:adjustRightInd w:val="0"/>
              <w:snapToGrid w:val="0"/>
              <w:spacing w:before="0" w:beforeAutospacing="0" w:after="0" w:afterLines="0" w:afterAutospacing="0" w:line="360" w:lineRule="auto"/>
              <w:ind w:left="0" w:right="0"/>
              <w:jc w:val="both"/>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1.具备工程师或以上职称的，得</w:t>
            </w:r>
            <w:r>
              <w:rPr>
                <w:rFonts w:hint="eastAsia" w:ascii="宋体" w:hAnsi="宋体" w:eastAsia="宋体" w:cs="宋体"/>
                <w:snapToGrid w:val="0"/>
                <w:color w:val="auto"/>
                <w:kern w:val="0"/>
                <w:sz w:val="22"/>
                <w:szCs w:val="22"/>
                <w:highlight w:val="none"/>
                <w:u w:val="none"/>
                <w:lang w:val="en-US" w:eastAsia="zh-CN" w:bidi="ar-SA"/>
              </w:rPr>
              <w:t>10</w:t>
            </w:r>
            <w:r>
              <w:rPr>
                <w:rFonts w:hint="eastAsia" w:ascii="宋体" w:hAnsi="宋体" w:eastAsia="宋体" w:cs="宋体"/>
                <w:snapToGrid w:val="0"/>
                <w:color w:val="auto"/>
                <w:kern w:val="0"/>
                <w:sz w:val="22"/>
                <w:szCs w:val="22"/>
                <w:highlight w:val="none"/>
                <w:lang w:val="en-US" w:eastAsia="zh-CN" w:bidi="ar-SA"/>
              </w:rPr>
              <w:t>分。</w:t>
            </w:r>
          </w:p>
          <w:p w14:paraId="5F819F30">
            <w:pPr>
              <w:keepNext w:val="0"/>
              <w:keepLines w:val="0"/>
              <w:widowControl w:val="0"/>
              <w:suppressLineNumbers w:val="0"/>
              <w:wordWrap w:val="0"/>
              <w:adjustRightInd w:val="0"/>
              <w:snapToGrid w:val="0"/>
              <w:spacing w:before="0" w:beforeAutospacing="0" w:after="0" w:afterLines="0" w:afterAutospacing="0" w:line="360" w:lineRule="auto"/>
              <w:ind w:left="0" w:right="0"/>
              <w:jc w:val="both"/>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2.具备助理工程师职称的，得</w:t>
            </w:r>
            <w:r>
              <w:rPr>
                <w:rFonts w:hint="eastAsia" w:ascii="宋体" w:hAnsi="宋体" w:eastAsia="宋体" w:cs="宋体"/>
                <w:snapToGrid w:val="0"/>
                <w:color w:val="auto"/>
                <w:kern w:val="0"/>
                <w:sz w:val="22"/>
                <w:szCs w:val="22"/>
                <w:highlight w:val="none"/>
                <w:u w:val="none"/>
                <w:lang w:val="en-US" w:eastAsia="zh-CN" w:bidi="ar-SA"/>
              </w:rPr>
              <w:t>5</w:t>
            </w:r>
            <w:r>
              <w:rPr>
                <w:rFonts w:hint="eastAsia" w:ascii="宋体" w:hAnsi="宋体" w:eastAsia="宋体" w:cs="宋体"/>
                <w:snapToGrid w:val="0"/>
                <w:color w:val="auto"/>
                <w:kern w:val="0"/>
                <w:sz w:val="22"/>
                <w:szCs w:val="22"/>
                <w:highlight w:val="none"/>
                <w:lang w:val="en-US" w:eastAsia="zh-CN" w:bidi="ar-SA"/>
              </w:rPr>
              <w:t>分。</w:t>
            </w:r>
          </w:p>
          <w:p w14:paraId="6D920271">
            <w:pPr>
              <w:pStyle w:val="40"/>
              <w:keepNext w:val="0"/>
              <w:keepLines w:val="0"/>
              <w:pageBreakBefore w:val="0"/>
              <w:kinsoku/>
              <w:wordWrap/>
              <w:overflowPunct/>
              <w:topLinePunct w:val="0"/>
              <w:autoSpaceDE/>
              <w:autoSpaceDN/>
              <w:bidi w:val="0"/>
              <w:adjustRightInd w:val="0"/>
              <w:snapToGrid w:val="0"/>
              <w:spacing w:beforeAutospacing="0" w:line="360" w:lineRule="auto"/>
              <w:ind w:firstLine="0" w:firstLineChars="0"/>
              <w:textAlignment w:val="auto"/>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3.不具备以上职称的，或未提供职称证原件的，不予计分。</w:t>
            </w:r>
          </w:p>
          <w:p w14:paraId="6B88BC85">
            <w:pPr>
              <w:pStyle w:val="40"/>
              <w:keepNext w:val="0"/>
              <w:keepLines w:val="0"/>
              <w:pageBreakBefore w:val="0"/>
              <w:kinsoku/>
              <w:wordWrap/>
              <w:overflowPunct/>
              <w:topLinePunct w:val="0"/>
              <w:autoSpaceDE/>
              <w:autoSpaceDN/>
              <w:bidi w:val="0"/>
              <w:adjustRightInd w:val="0"/>
              <w:snapToGrid w:val="0"/>
              <w:spacing w:beforeAutospacing="0" w:line="360" w:lineRule="auto"/>
              <w:ind w:firstLine="0" w:firstLineChars="0"/>
              <w:textAlignment w:val="auto"/>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注：需附职称证扫描件，同时提供原件供核对（职称证为电子证书打印件的除外）。</w:t>
            </w:r>
          </w:p>
        </w:tc>
      </w:tr>
      <w:tr w14:paraId="78659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3" w:type="dxa"/>
            <w:vMerge w:val="continue"/>
            <w:noWrap w:val="0"/>
            <w:vAlign w:val="center"/>
          </w:tcPr>
          <w:p w14:paraId="31574B4F">
            <w:pPr>
              <w:pageBreakBefore w:val="0"/>
              <w:kinsoku/>
              <w:overflowPunct/>
              <w:topLinePunct w:val="0"/>
              <w:autoSpaceDE/>
              <w:autoSpaceDN/>
              <w:bidi w:val="0"/>
              <w:spacing w:beforeAutospacing="0" w:line="360" w:lineRule="auto"/>
              <w:jc w:val="center"/>
              <w:textAlignment w:val="auto"/>
              <w:rPr>
                <w:rFonts w:hint="eastAsia" w:ascii="宋体" w:hAnsi="宋体" w:eastAsia="宋体" w:cs="宋体"/>
                <w:b/>
                <w:bCs/>
                <w:color w:val="auto"/>
                <w:sz w:val="22"/>
                <w:szCs w:val="22"/>
                <w:highlight w:val="none"/>
              </w:rPr>
            </w:pPr>
          </w:p>
        </w:tc>
        <w:tc>
          <w:tcPr>
            <w:tcW w:w="1129" w:type="dxa"/>
            <w:vMerge w:val="continue"/>
            <w:noWrap w:val="0"/>
            <w:vAlign w:val="center"/>
          </w:tcPr>
          <w:p w14:paraId="4697D408">
            <w:pPr>
              <w:pStyle w:val="7"/>
              <w:keepNext w:val="0"/>
              <w:keepLines w:val="0"/>
              <w:pageBreakBefore w:val="0"/>
              <w:kinsoku/>
              <w:wordWrap w:val="0"/>
              <w:overflowPunct/>
              <w:topLinePunct w:val="0"/>
              <w:autoSpaceDE/>
              <w:autoSpaceDN/>
              <w:bidi w:val="0"/>
              <w:adjustRightInd w:val="0"/>
              <w:snapToGrid w:val="0"/>
              <w:spacing w:before="0" w:beforeAutospacing="0" w:line="360" w:lineRule="auto"/>
              <w:jc w:val="center"/>
              <w:textAlignment w:val="auto"/>
              <w:rPr>
                <w:rFonts w:hint="eastAsia" w:ascii="宋体" w:hAnsi="宋体" w:eastAsia="宋体" w:cs="宋体"/>
                <w:color w:val="auto"/>
                <w:sz w:val="22"/>
                <w:szCs w:val="22"/>
                <w:highlight w:val="none"/>
              </w:rPr>
            </w:pPr>
          </w:p>
        </w:tc>
        <w:tc>
          <w:tcPr>
            <w:tcW w:w="2082" w:type="dxa"/>
            <w:noWrap w:val="0"/>
            <w:vAlign w:val="center"/>
          </w:tcPr>
          <w:p w14:paraId="0A4ED2D6">
            <w:pPr>
              <w:keepNext w:val="0"/>
              <w:keepLines w:val="0"/>
              <w:pageBreakBefore w:val="0"/>
              <w:kinsoku/>
              <w:wordWrap/>
              <w:overflowPunct/>
              <w:topLinePunct w:val="0"/>
              <w:autoSpaceDE/>
              <w:autoSpaceDN/>
              <w:bidi w:val="0"/>
              <w:adjustRightInd w:val="0"/>
              <w:snapToGrid w:val="0"/>
              <w:spacing w:beforeAutospacing="0" w:line="360" w:lineRule="auto"/>
              <w:jc w:val="center"/>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企业财务状况</w:t>
            </w:r>
          </w:p>
          <w:p w14:paraId="6A90F4B8">
            <w:pPr>
              <w:keepNext w:val="0"/>
              <w:keepLines w:val="0"/>
              <w:pageBreakBefore w:val="0"/>
              <w:kinsoku/>
              <w:wordWrap/>
              <w:overflowPunct/>
              <w:topLinePunct w:val="0"/>
              <w:autoSpaceDE/>
              <w:autoSpaceDN/>
              <w:bidi w:val="0"/>
              <w:adjustRightInd w:val="0"/>
              <w:snapToGrid w:val="0"/>
              <w:spacing w:beforeAutospacing="0" w:line="360" w:lineRule="auto"/>
              <w:jc w:val="center"/>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（5分）</w:t>
            </w:r>
          </w:p>
        </w:tc>
        <w:tc>
          <w:tcPr>
            <w:tcW w:w="6064" w:type="dxa"/>
            <w:noWrap w:val="0"/>
            <w:vAlign w:val="center"/>
          </w:tcPr>
          <w:p w14:paraId="0285E988">
            <w:pPr>
              <w:keepNext w:val="0"/>
              <w:keepLines w:val="0"/>
              <w:widowControl w:val="0"/>
              <w:suppressLineNumbers w:val="0"/>
              <w:wordWrap w:val="0"/>
              <w:adjustRightInd w:val="0"/>
              <w:snapToGrid w:val="0"/>
              <w:spacing w:before="0" w:beforeAutospacing="0" w:after="0" w:afterAutospacing="0" w:line="360" w:lineRule="auto"/>
              <w:ind w:left="0" w:right="0"/>
              <w:jc w:val="left"/>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提供投标人基本账户在本项目招标公告发布之日起至投标截止时间期间出现过至少连续3日不少于</w:t>
            </w:r>
            <w:r>
              <w:rPr>
                <w:rFonts w:hint="eastAsia" w:ascii="宋体" w:hAnsi="宋体" w:cs="宋体"/>
                <w:snapToGrid w:val="0"/>
                <w:color w:val="auto"/>
                <w:kern w:val="0"/>
                <w:sz w:val="22"/>
                <w:szCs w:val="22"/>
                <w:highlight w:val="none"/>
                <w:u w:val="single"/>
                <w:lang w:val="en-US" w:eastAsia="zh-CN" w:bidi="ar-SA"/>
              </w:rPr>
              <w:t>1</w:t>
            </w:r>
            <w:r>
              <w:rPr>
                <w:rFonts w:hint="eastAsia" w:ascii="宋体" w:hAnsi="宋体" w:eastAsia="宋体" w:cs="宋体"/>
                <w:snapToGrid w:val="0"/>
                <w:color w:val="auto"/>
                <w:kern w:val="0"/>
                <w:sz w:val="22"/>
                <w:szCs w:val="22"/>
                <w:highlight w:val="none"/>
                <w:u w:val="single"/>
                <w:lang w:val="en-US" w:eastAsia="zh-CN" w:bidi="ar-SA"/>
              </w:rPr>
              <w:t>00</w:t>
            </w:r>
            <w:r>
              <w:rPr>
                <w:rFonts w:hint="eastAsia" w:ascii="宋体" w:hAnsi="宋体" w:eastAsia="宋体" w:cs="宋体"/>
                <w:snapToGrid w:val="0"/>
                <w:color w:val="auto"/>
                <w:kern w:val="0"/>
                <w:sz w:val="22"/>
                <w:szCs w:val="22"/>
                <w:highlight w:val="none"/>
                <w:lang w:val="en-US" w:eastAsia="zh-CN" w:bidi="ar-SA"/>
              </w:rPr>
              <w:t>万元存款余额资金流水证明的，得</w:t>
            </w:r>
            <w:r>
              <w:rPr>
                <w:rFonts w:hint="eastAsia" w:ascii="宋体" w:hAnsi="宋体" w:eastAsia="宋体" w:cs="宋体"/>
                <w:snapToGrid w:val="0"/>
                <w:color w:val="auto"/>
                <w:kern w:val="0"/>
                <w:sz w:val="22"/>
                <w:szCs w:val="22"/>
                <w:highlight w:val="none"/>
                <w:u w:val="single"/>
                <w:lang w:val="en-US" w:eastAsia="zh-CN" w:bidi="ar-SA"/>
              </w:rPr>
              <w:t>5</w:t>
            </w:r>
            <w:r>
              <w:rPr>
                <w:rFonts w:hint="eastAsia" w:ascii="宋体" w:hAnsi="宋体" w:eastAsia="宋体" w:cs="宋体"/>
                <w:snapToGrid w:val="0"/>
                <w:color w:val="auto"/>
                <w:kern w:val="0"/>
                <w:sz w:val="22"/>
                <w:szCs w:val="22"/>
                <w:highlight w:val="none"/>
                <w:lang w:val="en-US" w:eastAsia="zh-CN" w:bidi="ar-SA"/>
              </w:rPr>
              <w:t>分。</w:t>
            </w:r>
          </w:p>
          <w:p w14:paraId="6294D407">
            <w:pPr>
              <w:keepNext w:val="0"/>
              <w:keepLines w:val="0"/>
              <w:widowControl w:val="0"/>
              <w:suppressLineNumbers w:val="0"/>
              <w:wordWrap w:val="0"/>
              <w:adjustRightInd w:val="0"/>
              <w:snapToGrid w:val="0"/>
              <w:spacing w:before="0" w:beforeAutospacing="0" w:after="0" w:afterLines="0" w:afterAutospacing="0" w:line="360" w:lineRule="auto"/>
              <w:ind w:left="0" w:right="0"/>
              <w:jc w:val="both"/>
              <w:rPr>
                <w:rFonts w:hint="eastAsia" w:ascii="宋体" w:hAnsi="宋体" w:eastAsia="宋体" w:cs="宋体"/>
                <w:b/>
                <w:bCs/>
                <w:snapToGrid w:val="0"/>
                <w:color w:val="auto"/>
                <w:kern w:val="0"/>
                <w:sz w:val="22"/>
                <w:szCs w:val="22"/>
                <w:highlight w:val="none"/>
                <w:lang w:val="en-US" w:eastAsia="zh-CN" w:bidi="ar-SA"/>
              </w:rPr>
            </w:pPr>
            <w:r>
              <w:rPr>
                <w:rFonts w:hint="eastAsia" w:ascii="宋体" w:hAnsi="宋体" w:eastAsia="宋体" w:cs="宋体"/>
                <w:b w:val="0"/>
                <w:bCs w:val="0"/>
                <w:snapToGrid w:val="0"/>
                <w:color w:val="auto"/>
                <w:sz w:val="22"/>
                <w:szCs w:val="22"/>
                <w:highlight w:val="none"/>
                <w:lang w:val="en-US" w:eastAsia="zh-CN"/>
              </w:rPr>
              <w:t>注：</w:t>
            </w:r>
            <w:r>
              <w:rPr>
                <w:rFonts w:hint="eastAsia" w:ascii="宋体" w:hAnsi="宋体" w:eastAsia="宋体" w:cs="宋体"/>
                <w:snapToGrid w:val="0"/>
                <w:color w:val="auto"/>
                <w:kern w:val="0"/>
                <w:sz w:val="22"/>
                <w:szCs w:val="22"/>
                <w:highlight w:val="none"/>
                <w:lang w:val="en-US" w:eastAsia="zh-CN" w:bidi="ar-SA"/>
              </w:rPr>
              <w:t>1.需附在有效期内的有关证明扫描件，</w:t>
            </w:r>
            <w:r>
              <w:rPr>
                <w:rFonts w:hint="eastAsia" w:ascii="宋体" w:hAnsi="宋体" w:eastAsia="宋体" w:cs="宋体"/>
                <w:b/>
                <w:bCs/>
                <w:snapToGrid w:val="0"/>
                <w:color w:val="auto"/>
                <w:kern w:val="0"/>
                <w:sz w:val="22"/>
                <w:szCs w:val="22"/>
                <w:highlight w:val="none"/>
                <w:lang w:val="en-US" w:eastAsia="zh-CN" w:bidi="ar-SA"/>
              </w:rPr>
              <w:t>同时提供原件供核对。</w:t>
            </w:r>
          </w:p>
          <w:p w14:paraId="07ADFE62">
            <w:pPr>
              <w:keepNext w:val="0"/>
              <w:keepLines w:val="0"/>
              <w:widowControl w:val="0"/>
              <w:suppressLineNumbers w:val="0"/>
              <w:wordWrap w:val="0"/>
              <w:adjustRightInd w:val="0"/>
              <w:snapToGrid w:val="0"/>
              <w:spacing w:before="0" w:beforeAutospacing="0" w:after="0" w:afterLines="0" w:afterAutospacing="0" w:line="360" w:lineRule="auto"/>
              <w:ind w:left="0" w:right="0"/>
              <w:jc w:val="both"/>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2.存款余额资金流水证明有以下情形之一的，视为无效，不予计分：</w:t>
            </w:r>
          </w:p>
          <w:p w14:paraId="027E6722">
            <w:pPr>
              <w:keepNext w:val="0"/>
              <w:keepLines w:val="0"/>
              <w:widowControl w:val="0"/>
              <w:suppressLineNumbers w:val="0"/>
              <w:wordWrap w:val="0"/>
              <w:adjustRightInd w:val="0"/>
              <w:snapToGrid w:val="0"/>
              <w:spacing w:before="0" w:beforeAutospacing="0" w:after="0" w:afterLines="0" w:afterAutospacing="0" w:line="360" w:lineRule="auto"/>
              <w:ind w:left="0" w:right="0"/>
              <w:jc w:val="both"/>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①未提供存款证明原件的；</w:t>
            </w:r>
          </w:p>
          <w:p w14:paraId="19A619C3">
            <w:pPr>
              <w:keepNext w:val="0"/>
              <w:keepLines w:val="0"/>
              <w:widowControl w:val="0"/>
              <w:suppressLineNumbers w:val="0"/>
              <w:wordWrap w:val="0"/>
              <w:adjustRightInd w:val="0"/>
              <w:snapToGrid w:val="0"/>
              <w:spacing w:before="0" w:beforeAutospacing="0" w:after="0" w:afterLines="0" w:afterAutospacing="0" w:line="360" w:lineRule="auto"/>
              <w:ind w:left="0" w:right="0"/>
              <w:jc w:val="both"/>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②存款账户不是基本账户的；</w:t>
            </w:r>
          </w:p>
          <w:p w14:paraId="66CE7C74">
            <w:pPr>
              <w:keepNext w:val="0"/>
              <w:keepLines w:val="0"/>
              <w:widowControl w:val="0"/>
              <w:suppressLineNumbers w:val="0"/>
              <w:wordWrap w:val="0"/>
              <w:adjustRightInd w:val="0"/>
              <w:snapToGrid w:val="0"/>
              <w:spacing w:before="0" w:beforeAutospacing="0" w:after="0" w:afterLines="0" w:afterAutospacing="0" w:line="360" w:lineRule="auto"/>
              <w:ind w:left="0" w:right="0"/>
              <w:jc w:val="both"/>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③存款时间不符合要求的；</w:t>
            </w:r>
          </w:p>
          <w:p w14:paraId="0F7AE2A7">
            <w:pPr>
              <w:pStyle w:val="40"/>
              <w:keepNext w:val="0"/>
              <w:keepLines w:val="0"/>
              <w:pageBreakBefore w:val="0"/>
              <w:kinsoku/>
              <w:wordWrap/>
              <w:overflowPunct/>
              <w:topLinePunct w:val="0"/>
              <w:autoSpaceDE/>
              <w:autoSpaceDN/>
              <w:bidi w:val="0"/>
              <w:adjustRightInd w:val="0"/>
              <w:snapToGrid w:val="0"/>
              <w:spacing w:beforeAutospacing="0" w:line="360" w:lineRule="auto"/>
              <w:ind w:firstLine="0" w:firstLineChars="0"/>
              <w:textAlignment w:val="auto"/>
              <w:rPr>
                <w:rFonts w:hint="eastAsia" w:ascii="宋体" w:hAnsi="宋体" w:eastAsia="宋体" w:cs="宋体"/>
                <w:b w:val="0"/>
                <w:bCs w:val="0"/>
                <w:snapToGrid w:val="0"/>
                <w:color w:val="auto"/>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bidi="ar-SA"/>
              </w:rPr>
              <w:t>④存款额度不符合要求的。</w:t>
            </w:r>
          </w:p>
        </w:tc>
      </w:tr>
      <w:tr w14:paraId="33357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3" w:type="dxa"/>
            <w:vMerge w:val="continue"/>
            <w:noWrap w:val="0"/>
            <w:vAlign w:val="center"/>
          </w:tcPr>
          <w:p w14:paraId="01EF0D82">
            <w:pPr>
              <w:pageBreakBefore w:val="0"/>
              <w:kinsoku/>
              <w:overflowPunct/>
              <w:topLinePunct w:val="0"/>
              <w:autoSpaceDE/>
              <w:autoSpaceDN/>
              <w:bidi w:val="0"/>
              <w:spacing w:beforeAutospacing="0" w:line="360" w:lineRule="auto"/>
              <w:jc w:val="center"/>
              <w:textAlignment w:val="auto"/>
              <w:rPr>
                <w:rFonts w:hint="eastAsia" w:ascii="宋体" w:hAnsi="宋体" w:eastAsia="宋体" w:cs="宋体"/>
                <w:b/>
                <w:bCs/>
                <w:color w:val="auto"/>
                <w:sz w:val="22"/>
                <w:szCs w:val="22"/>
                <w:highlight w:val="none"/>
              </w:rPr>
            </w:pPr>
          </w:p>
        </w:tc>
        <w:tc>
          <w:tcPr>
            <w:tcW w:w="1129" w:type="dxa"/>
            <w:vMerge w:val="continue"/>
            <w:noWrap w:val="0"/>
            <w:vAlign w:val="center"/>
          </w:tcPr>
          <w:p w14:paraId="1ED0288B">
            <w:pPr>
              <w:pageBreakBefore w:val="0"/>
              <w:kinsoku/>
              <w:wordWrap w:val="0"/>
              <w:overflowPunct/>
              <w:topLinePunct w:val="0"/>
              <w:autoSpaceDE/>
              <w:autoSpaceDN/>
              <w:bidi w:val="0"/>
              <w:adjustRightInd w:val="0"/>
              <w:snapToGrid w:val="0"/>
              <w:spacing w:beforeAutospacing="0" w:line="360" w:lineRule="auto"/>
              <w:jc w:val="center"/>
              <w:textAlignment w:val="auto"/>
              <w:rPr>
                <w:rFonts w:hint="eastAsia" w:ascii="宋体" w:hAnsi="宋体" w:eastAsia="宋体" w:cs="宋体"/>
                <w:snapToGrid w:val="0"/>
                <w:color w:val="auto"/>
                <w:kern w:val="0"/>
                <w:sz w:val="22"/>
                <w:szCs w:val="22"/>
                <w:highlight w:val="none"/>
              </w:rPr>
            </w:pPr>
          </w:p>
        </w:tc>
        <w:tc>
          <w:tcPr>
            <w:tcW w:w="2082" w:type="dxa"/>
            <w:noWrap w:val="0"/>
            <w:vAlign w:val="center"/>
          </w:tcPr>
          <w:p w14:paraId="6B5DDB29">
            <w:pPr>
              <w:keepNext w:val="0"/>
              <w:keepLines w:val="0"/>
              <w:pageBreakBefore w:val="0"/>
              <w:kinsoku/>
              <w:wordWrap/>
              <w:overflowPunct/>
              <w:topLinePunct w:val="0"/>
              <w:autoSpaceDE/>
              <w:autoSpaceDN/>
              <w:bidi w:val="0"/>
              <w:adjustRightInd w:val="0"/>
              <w:snapToGrid w:val="0"/>
              <w:spacing w:beforeAutospacing="0" w:line="360" w:lineRule="auto"/>
              <w:jc w:val="center"/>
              <w:textAlignment w:val="auto"/>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服务便利性</w:t>
            </w:r>
          </w:p>
          <w:p w14:paraId="29A00CF9">
            <w:pPr>
              <w:keepNext w:val="0"/>
              <w:keepLines w:val="0"/>
              <w:pageBreakBefore w:val="0"/>
              <w:kinsoku/>
              <w:wordWrap/>
              <w:overflowPunct/>
              <w:topLinePunct w:val="0"/>
              <w:autoSpaceDE/>
              <w:autoSpaceDN/>
              <w:bidi w:val="0"/>
              <w:adjustRightInd w:val="0"/>
              <w:snapToGrid w:val="0"/>
              <w:spacing w:beforeAutospacing="0" w:line="360" w:lineRule="auto"/>
              <w:jc w:val="center"/>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lang w:val="en-US" w:eastAsia="zh-CN"/>
              </w:rPr>
              <w:t>（15分）</w:t>
            </w:r>
          </w:p>
        </w:tc>
        <w:tc>
          <w:tcPr>
            <w:tcW w:w="6064" w:type="dxa"/>
            <w:noWrap w:val="0"/>
            <w:vAlign w:val="center"/>
          </w:tcPr>
          <w:p w14:paraId="5DC3EBAB">
            <w:pPr>
              <w:keepNext w:val="0"/>
              <w:keepLines w:val="0"/>
              <w:widowControl w:val="0"/>
              <w:suppressLineNumbers w:val="0"/>
              <w:wordWrap w:val="0"/>
              <w:adjustRightInd w:val="0"/>
              <w:snapToGrid w:val="0"/>
              <w:spacing w:before="0" w:beforeAutospacing="0" w:after="0" w:afterAutospacing="0" w:line="360" w:lineRule="auto"/>
              <w:ind w:left="0" w:right="0"/>
              <w:jc w:val="both"/>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对所有投标人的快速服务保障能力综合评审（包括保修期快速服务保障能力）：</w:t>
            </w:r>
          </w:p>
          <w:p w14:paraId="0EA8C2D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1.快速服务保障能力（包括保修期快速服务保障能力）能快速响应（距离30公里内）并到位服务优的得15分；</w:t>
            </w:r>
          </w:p>
          <w:p w14:paraId="183FCE0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2.快速服务保障能力（包括保修期快速服务保障能力）能快速响应（距离100公里内）并到位服务良的得10分；</w:t>
            </w:r>
          </w:p>
          <w:p w14:paraId="6575CED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3.快速服务保障能力（包括保修期快速服务保障能力）能快速响应（距离200公里内）并到位服务一般的得5分。</w:t>
            </w:r>
          </w:p>
          <w:p w14:paraId="0F77ECD7">
            <w:pPr>
              <w:pStyle w:val="40"/>
              <w:keepNext w:val="0"/>
              <w:keepLines w:val="0"/>
              <w:pageBreakBefore w:val="0"/>
              <w:kinsoku/>
              <w:wordWrap/>
              <w:overflowPunct/>
              <w:topLinePunct w:val="0"/>
              <w:autoSpaceDE/>
              <w:autoSpaceDN/>
              <w:bidi w:val="0"/>
              <w:adjustRightInd w:val="0"/>
              <w:snapToGrid w:val="0"/>
              <w:spacing w:beforeAutospacing="0" w:line="360" w:lineRule="auto"/>
              <w:ind w:firstLine="0" w:firstLineChars="0"/>
              <w:textAlignment w:val="auto"/>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4.快速服务保障能力（包括保修期快速服务保障能力）能快速响应（距离200公里外）并到位服务差的得3分。</w:t>
            </w:r>
          </w:p>
          <w:p w14:paraId="25D6FAF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注：1.投标单位须提供快速服务保障能力的承诺函，承诺函中必须包含响应时间的承诺并提供相关佐证材料，承诺函格式自拟。</w:t>
            </w:r>
          </w:p>
          <w:p w14:paraId="4FE0467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2.需附营业执照、百度地图路线网上截图、拟投入本项目的项目部主要施工管理人员在投标单位注册地办理的近3个月（</w:t>
            </w:r>
            <w:r>
              <w:rPr>
                <w:rFonts w:hint="eastAsia" w:ascii="宋体" w:hAnsi="宋体" w:eastAsia="宋体" w:cs="宋体"/>
                <w:i w:val="0"/>
                <w:iCs w:val="0"/>
                <w:color w:val="auto"/>
                <w:kern w:val="0"/>
                <w:sz w:val="22"/>
                <w:szCs w:val="22"/>
                <w:highlight w:val="none"/>
                <w:lang w:eastAsia="zh-CN"/>
              </w:rPr>
              <w:t>其中必须有202</w:t>
            </w:r>
            <w:r>
              <w:rPr>
                <w:rFonts w:hint="eastAsia" w:ascii="宋体" w:hAnsi="宋体" w:eastAsia="宋体" w:cs="宋体"/>
                <w:i w:val="0"/>
                <w:iCs w:val="0"/>
                <w:color w:val="auto"/>
                <w:kern w:val="0"/>
                <w:sz w:val="22"/>
                <w:szCs w:val="22"/>
                <w:highlight w:val="none"/>
                <w:lang w:val="en-US" w:eastAsia="zh-CN"/>
              </w:rPr>
              <w:t>5</w:t>
            </w:r>
            <w:r>
              <w:rPr>
                <w:rFonts w:hint="eastAsia" w:ascii="宋体" w:hAnsi="宋体" w:eastAsia="宋体" w:cs="宋体"/>
                <w:i w:val="0"/>
                <w:iCs w:val="0"/>
                <w:color w:val="auto"/>
                <w:kern w:val="0"/>
                <w:sz w:val="22"/>
                <w:szCs w:val="22"/>
                <w:highlight w:val="none"/>
                <w:lang w:eastAsia="zh-CN"/>
              </w:rPr>
              <w:t>年</w:t>
            </w:r>
            <w:r>
              <w:rPr>
                <w:rFonts w:hint="eastAsia" w:ascii="宋体" w:hAnsi="宋体" w:cs="宋体"/>
                <w:i w:val="0"/>
                <w:iCs w:val="0"/>
                <w:color w:val="auto"/>
                <w:kern w:val="0"/>
                <w:sz w:val="22"/>
                <w:szCs w:val="22"/>
                <w:highlight w:val="none"/>
                <w:lang w:val="en-US" w:eastAsia="zh-CN"/>
              </w:rPr>
              <w:t>10</w:t>
            </w:r>
            <w:r>
              <w:rPr>
                <w:rFonts w:hint="eastAsia" w:ascii="宋体" w:hAnsi="宋体" w:eastAsia="宋体" w:cs="宋体"/>
                <w:i w:val="0"/>
                <w:iCs w:val="0"/>
                <w:color w:val="auto"/>
                <w:kern w:val="0"/>
                <w:sz w:val="22"/>
                <w:szCs w:val="22"/>
                <w:highlight w:val="none"/>
                <w:lang w:eastAsia="zh-CN"/>
              </w:rPr>
              <w:t>月</w:t>
            </w:r>
            <w:r>
              <w:rPr>
                <w:rFonts w:hint="eastAsia" w:ascii="宋体" w:hAnsi="宋体" w:eastAsia="宋体" w:cs="宋体"/>
                <w:snapToGrid w:val="0"/>
                <w:color w:val="auto"/>
                <w:kern w:val="0"/>
                <w:sz w:val="22"/>
                <w:szCs w:val="22"/>
                <w:highlight w:val="none"/>
                <w:lang w:val="en-US" w:eastAsia="zh-CN" w:bidi="ar-SA"/>
              </w:rPr>
              <w:t>）社保佐证材料扫描件，同时提供投标人营业执照和管理人员社保证明文件原件供核对。</w:t>
            </w:r>
          </w:p>
          <w:p w14:paraId="5B0B3AA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3.未提供原件的，不符合评分标准及备注规定的，不予计分。</w:t>
            </w:r>
          </w:p>
          <w:p w14:paraId="16C02E3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备注：以投标人企业法人营业执照（不含分公司及分支机构）的注册地县（市、区）人民政府距离项目所在地县级人民政府为准综合评价，距离越短则快速服务能力越强，同一县（市、区）视为快速服务能力相同，得分一致。</w:t>
            </w:r>
          </w:p>
        </w:tc>
      </w:tr>
      <w:tr w14:paraId="60745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3" w:type="dxa"/>
            <w:vMerge w:val="restart"/>
            <w:noWrap w:val="0"/>
            <w:vAlign w:val="center"/>
          </w:tcPr>
          <w:p w14:paraId="29C81F7C">
            <w:pPr>
              <w:pageBreakBefore w:val="0"/>
              <w:kinsoku/>
              <w:overflowPunct/>
              <w:topLinePunct w:val="0"/>
              <w:autoSpaceDE/>
              <w:autoSpaceDN/>
              <w:bidi w:val="0"/>
              <w:spacing w:beforeAutospacing="0" w:line="360"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2.2.2</w:t>
            </w:r>
          </w:p>
          <w:p w14:paraId="7A58659C">
            <w:pPr>
              <w:pageBreakBefore w:val="0"/>
              <w:kinsoku/>
              <w:overflowPunct/>
              <w:topLinePunct w:val="0"/>
              <w:autoSpaceDE/>
              <w:autoSpaceDN/>
              <w:bidi w:val="0"/>
              <w:spacing w:beforeAutospacing="0" w:line="360"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p>
        </w:tc>
        <w:tc>
          <w:tcPr>
            <w:tcW w:w="1129" w:type="dxa"/>
            <w:vMerge w:val="restart"/>
            <w:noWrap w:val="0"/>
            <w:vAlign w:val="center"/>
          </w:tcPr>
          <w:p w14:paraId="1D405FA9">
            <w:pPr>
              <w:pageBreakBefore w:val="0"/>
              <w:kinsoku/>
              <w:overflowPunct/>
              <w:topLinePunct w:val="0"/>
              <w:autoSpaceDE/>
              <w:autoSpaceDN/>
              <w:bidi w:val="0"/>
              <w:spacing w:beforeAutospacing="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lang w:val="en-US" w:eastAsia="zh-CN"/>
              </w:rPr>
              <w:t>投标报价（10）</w:t>
            </w:r>
          </w:p>
        </w:tc>
        <w:tc>
          <w:tcPr>
            <w:tcW w:w="2082" w:type="dxa"/>
            <w:noWrap w:val="0"/>
            <w:vAlign w:val="center"/>
          </w:tcPr>
          <w:p w14:paraId="628E363D">
            <w:pPr>
              <w:pageBreakBefore w:val="0"/>
              <w:kinsoku/>
              <w:overflowPunct/>
              <w:topLinePunct w:val="0"/>
              <w:autoSpaceDE/>
              <w:autoSpaceDN/>
              <w:bidi w:val="0"/>
              <w:spacing w:beforeAutospacing="0" w:line="360" w:lineRule="auto"/>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有效投标报价下浮率</w:t>
            </w:r>
          </w:p>
        </w:tc>
        <w:tc>
          <w:tcPr>
            <w:tcW w:w="6064" w:type="dxa"/>
            <w:noWrap w:val="0"/>
            <w:vAlign w:val="center"/>
          </w:tcPr>
          <w:p w14:paraId="2F44D581">
            <w:pPr>
              <w:pageBreakBefore w:val="0"/>
              <w:kinsoku/>
              <w:overflowPunct/>
              <w:topLinePunct w:val="0"/>
              <w:autoSpaceDE/>
              <w:autoSpaceDN/>
              <w:bidi w:val="0"/>
              <w:spacing w:beforeAutospacing="0"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2"/>
                <w:kern w:val="0"/>
                <w:sz w:val="22"/>
                <w:szCs w:val="22"/>
                <w:highlight w:val="none"/>
              </w:rPr>
              <w:t>有效投标报价下浮率为≥0.000%（保留小数点后3位），不在此范围内的投标报价均为无效投标报价</w:t>
            </w:r>
            <w:r>
              <w:rPr>
                <w:rFonts w:hint="eastAsia" w:ascii="宋体" w:hAnsi="宋体" w:eastAsia="宋体" w:cs="宋体"/>
                <w:color w:val="auto"/>
                <w:sz w:val="22"/>
                <w:szCs w:val="22"/>
                <w:highlight w:val="none"/>
              </w:rPr>
              <w:t>。</w:t>
            </w:r>
          </w:p>
          <w:p w14:paraId="3A81FBFF">
            <w:pPr>
              <w:pageBreakBefore w:val="0"/>
              <w:kinsoku/>
              <w:overflowPunct/>
              <w:topLinePunct w:val="0"/>
              <w:autoSpaceDE/>
              <w:autoSpaceDN/>
              <w:bidi w:val="0"/>
              <w:spacing w:beforeAutospacing="0" w:line="360" w:lineRule="auto"/>
              <w:ind w:firstLine="221" w:firstLineChars="10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b/>
                <w:bCs/>
                <w:color w:val="auto"/>
                <w:sz w:val="22"/>
                <w:szCs w:val="22"/>
                <w:highlight w:val="none"/>
              </w:rPr>
              <w:t>投标人投标报价下浮率大于15%时，投标人需附说明及证明材料，由评标委员会判断投标人是否以低于成本报价竞标，当认定以低于成本报价竞标时其投标作废标处理；不能提供相应的书面说明及证明材料的，按低于成本报价竞标处理。</w:t>
            </w:r>
          </w:p>
        </w:tc>
      </w:tr>
      <w:tr w14:paraId="1DC34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3" w:type="dxa"/>
            <w:vMerge w:val="continue"/>
            <w:noWrap w:val="0"/>
            <w:vAlign w:val="center"/>
          </w:tcPr>
          <w:p w14:paraId="635297EE">
            <w:pPr>
              <w:pageBreakBefore w:val="0"/>
              <w:kinsoku/>
              <w:overflowPunct/>
              <w:topLinePunct w:val="0"/>
              <w:autoSpaceDE/>
              <w:autoSpaceDN/>
              <w:bidi w:val="0"/>
              <w:spacing w:beforeAutospacing="0" w:line="360" w:lineRule="auto"/>
              <w:jc w:val="center"/>
              <w:textAlignment w:val="auto"/>
              <w:rPr>
                <w:rFonts w:hint="eastAsia" w:ascii="宋体" w:hAnsi="宋体" w:eastAsia="宋体" w:cs="宋体"/>
                <w:color w:val="auto"/>
                <w:sz w:val="22"/>
                <w:szCs w:val="22"/>
                <w:highlight w:val="none"/>
              </w:rPr>
            </w:pPr>
          </w:p>
        </w:tc>
        <w:tc>
          <w:tcPr>
            <w:tcW w:w="1129" w:type="dxa"/>
            <w:vMerge w:val="continue"/>
            <w:noWrap w:val="0"/>
            <w:vAlign w:val="center"/>
          </w:tcPr>
          <w:p w14:paraId="67D25DF5">
            <w:pPr>
              <w:pageBreakBefore w:val="0"/>
              <w:kinsoku/>
              <w:overflowPunct/>
              <w:topLinePunct w:val="0"/>
              <w:autoSpaceDE/>
              <w:autoSpaceDN/>
              <w:bidi w:val="0"/>
              <w:spacing w:beforeAutospacing="0" w:line="360" w:lineRule="auto"/>
              <w:jc w:val="center"/>
              <w:textAlignment w:val="auto"/>
              <w:rPr>
                <w:rFonts w:hint="eastAsia" w:ascii="宋体" w:hAnsi="宋体" w:eastAsia="宋体" w:cs="宋体"/>
                <w:color w:val="auto"/>
                <w:sz w:val="22"/>
                <w:szCs w:val="22"/>
                <w:highlight w:val="none"/>
              </w:rPr>
            </w:pPr>
          </w:p>
        </w:tc>
        <w:tc>
          <w:tcPr>
            <w:tcW w:w="2082" w:type="dxa"/>
            <w:noWrap w:val="0"/>
            <w:vAlign w:val="center"/>
          </w:tcPr>
          <w:p w14:paraId="637768F5">
            <w:pPr>
              <w:pageBreakBefore w:val="0"/>
              <w:kinsoku/>
              <w:overflowPunct/>
              <w:topLinePunct w:val="0"/>
              <w:autoSpaceDE/>
              <w:autoSpaceDN/>
              <w:bidi w:val="0"/>
              <w:spacing w:beforeAutospacing="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评标基准价</w:t>
            </w:r>
          </w:p>
          <w:p w14:paraId="230A56CE">
            <w:pPr>
              <w:pageBreakBefore w:val="0"/>
              <w:kinsoku/>
              <w:overflowPunct/>
              <w:topLinePunct w:val="0"/>
              <w:autoSpaceDE/>
              <w:autoSpaceDN/>
              <w:bidi w:val="0"/>
              <w:spacing w:beforeAutospacing="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计算方法</w:t>
            </w:r>
          </w:p>
        </w:tc>
        <w:tc>
          <w:tcPr>
            <w:tcW w:w="6064" w:type="dxa"/>
            <w:noWrap w:val="0"/>
            <w:vAlign w:val="center"/>
          </w:tcPr>
          <w:p w14:paraId="1566388F">
            <w:pPr>
              <w:pageBreakBefore w:val="0"/>
              <w:kinsoku/>
              <w:overflowPunct/>
              <w:topLinePunct w:val="0"/>
              <w:autoSpaceDE/>
              <w:autoSpaceDN/>
              <w:bidi w:val="0"/>
              <w:spacing w:beforeAutospacing="0" w:line="360" w:lineRule="auto"/>
              <w:ind w:firstLine="220" w:firstLineChars="10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color w:val="auto"/>
                <w:sz w:val="22"/>
                <w:szCs w:val="22"/>
                <w:highlight w:val="none"/>
              </w:rPr>
              <w:t>评标基准下浮率A为：所有有效投标人报价下浮率的算术平均值，计算A时，当有效报价下浮率的个数（n＞5）去掉一个最高值和一个最低值的算术平均值。</w:t>
            </w:r>
          </w:p>
        </w:tc>
      </w:tr>
      <w:tr w14:paraId="1515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3" w:type="dxa"/>
            <w:vMerge w:val="continue"/>
            <w:noWrap w:val="0"/>
            <w:vAlign w:val="center"/>
          </w:tcPr>
          <w:p w14:paraId="0884A62B">
            <w:pPr>
              <w:pageBreakBefore w:val="0"/>
              <w:kinsoku/>
              <w:overflowPunct/>
              <w:topLinePunct w:val="0"/>
              <w:autoSpaceDE/>
              <w:autoSpaceDN/>
              <w:bidi w:val="0"/>
              <w:spacing w:beforeAutospacing="0" w:line="360" w:lineRule="auto"/>
              <w:jc w:val="center"/>
              <w:textAlignment w:val="auto"/>
              <w:rPr>
                <w:rFonts w:hint="eastAsia" w:ascii="宋体" w:hAnsi="宋体" w:eastAsia="宋体" w:cs="宋体"/>
                <w:color w:val="auto"/>
                <w:sz w:val="22"/>
                <w:szCs w:val="22"/>
                <w:highlight w:val="none"/>
              </w:rPr>
            </w:pPr>
          </w:p>
        </w:tc>
        <w:tc>
          <w:tcPr>
            <w:tcW w:w="1129" w:type="dxa"/>
            <w:vMerge w:val="continue"/>
            <w:noWrap w:val="0"/>
            <w:vAlign w:val="center"/>
          </w:tcPr>
          <w:p w14:paraId="7F1D6829">
            <w:pPr>
              <w:pageBreakBefore w:val="0"/>
              <w:kinsoku/>
              <w:overflowPunct/>
              <w:topLinePunct w:val="0"/>
              <w:autoSpaceDE/>
              <w:autoSpaceDN/>
              <w:bidi w:val="0"/>
              <w:spacing w:beforeAutospacing="0" w:line="360" w:lineRule="auto"/>
              <w:jc w:val="center"/>
              <w:textAlignment w:val="auto"/>
              <w:rPr>
                <w:rFonts w:hint="eastAsia" w:ascii="宋体" w:hAnsi="宋体" w:eastAsia="宋体" w:cs="宋体"/>
                <w:color w:val="auto"/>
                <w:kern w:val="0"/>
                <w:sz w:val="22"/>
                <w:szCs w:val="22"/>
                <w:highlight w:val="none"/>
              </w:rPr>
            </w:pPr>
          </w:p>
        </w:tc>
        <w:tc>
          <w:tcPr>
            <w:tcW w:w="2082" w:type="dxa"/>
            <w:noWrap w:val="0"/>
            <w:vAlign w:val="center"/>
          </w:tcPr>
          <w:p w14:paraId="693AB729">
            <w:pPr>
              <w:pageBreakBefore w:val="0"/>
              <w:kinsoku/>
              <w:overflowPunct/>
              <w:topLinePunct w:val="0"/>
              <w:autoSpaceDE/>
              <w:autoSpaceDN/>
              <w:bidi w:val="0"/>
              <w:spacing w:beforeAutospacing="0" w:line="360" w:lineRule="auto"/>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投标报价得分</w:t>
            </w:r>
          </w:p>
          <w:p w14:paraId="08B74055">
            <w:pPr>
              <w:pageBreakBefore w:val="0"/>
              <w:kinsoku/>
              <w:overflowPunct/>
              <w:topLinePunct w:val="0"/>
              <w:autoSpaceDE/>
              <w:autoSpaceDN/>
              <w:bidi w:val="0"/>
              <w:spacing w:beforeAutospacing="0" w:line="360" w:lineRule="auto"/>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计算方法</w:t>
            </w:r>
          </w:p>
        </w:tc>
        <w:tc>
          <w:tcPr>
            <w:tcW w:w="6064" w:type="dxa"/>
            <w:noWrap w:val="0"/>
            <w:vAlign w:val="center"/>
          </w:tcPr>
          <w:p w14:paraId="54F66B7F">
            <w:pPr>
              <w:pageBreakBefore w:val="0"/>
              <w:widowControl/>
              <w:kinsoku/>
              <w:overflowPunct/>
              <w:topLinePunct w:val="0"/>
              <w:autoSpaceDE/>
              <w:autoSpaceDN/>
              <w:bidi w:val="0"/>
              <w:spacing w:beforeAutospacing="0" w:line="360" w:lineRule="auto"/>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评标基准下浮率为A，投标人投标报价下浮率为B；投标报价得分计算系数为C（C取值范围为100）。</w:t>
            </w:r>
          </w:p>
          <w:p w14:paraId="77F3DCC6">
            <w:pPr>
              <w:pageBreakBefore w:val="0"/>
              <w:widowControl/>
              <w:kinsoku/>
              <w:overflowPunct/>
              <w:topLinePunct w:val="0"/>
              <w:autoSpaceDE/>
              <w:autoSpaceDN/>
              <w:bidi w:val="0"/>
              <w:spacing w:beforeAutospacing="0" w:line="360" w:lineRule="auto"/>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投标报价得分=10-∣B-A∣×C（精确到小数点后3位，如最终计算结果为负值，则报价得分为0）</w:t>
            </w:r>
          </w:p>
        </w:tc>
      </w:tr>
    </w:tbl>
    <w:p w14:paraId="14510893">
      <w:pP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3EA95D2A">
      <w:pPr>
        <w:adjustRightInd w:val="0"/>
        <w:snapToGrid w:val="0"/>
        <w:spacing w:line="460" w:lineRule="exact"/>
        <w:rPr>
          <w:rFonts w:ascii="宋体" w:hAnsi="宋体" w:cs="宋体"/>
          <w:b/>
          <w:color w:val="auto"/>
          <w:sz w:val="22"/>
          <w:szCs w:val="22"/>
          <w:highlight w:val="none"/>
        </w:rPr>
      </w:pPr>
      <w:r>
        <w:rPr>
          <w:rFonts w:hint="eastAsia" w:ascii="宋体" w:hAnsi="宋体" w:cs="宋体"/>
          <w:b/>
          <w:color w:val="auto"/>
          <w:sz w:val="22"/>
          <w:szCs w:val="22"/>
          <w:highlight w:val="none"/>
        </w:rPr>
        <w:t>1、评标方法</w:t>
      </w:r>
    </w:p>
    <w:p w14:paraId="7BAF8982">
      <w:pPr>
        <w:adjustRightInd w:val="0"/>
        <w:snapToGrid w:val="0"/>
        <w:spacing w:line="460" w:lineRule="exact"/>
        <w:ind w:firstLine="442" w:firstLineChars="200"/>
        <w:rPr>
          <w:rFonts w:ascii="宋体" w:hAnsi="宋体"/>
          <w:b/>
          <w:bCs/>
          <w:color w:val="auto"/>
          <w:sz w:val="22"/>
          <w:szCs w:val="22"/>
          <w:highlight w:val="none"/>
          <w:u w:val="double"/>
        </w:rPr>
      </w:pPr>
      <w:r>
        <w:rPr>
          <w:rFonts w:hint="eastAsia" w:ascii="宋体" w:hAnsi="宋体"/>
          <w:b/>
          <w:bCs/>
          <w:color w:val="auto"/>
          <w:sz w:val="22"/>
          <w:szCs w:val="22"/>
          <w:highlight w:val="none"/>
          <w:u w:val="double"/>
        </w:rPr>
        <w:t>本次评标采用综合评分法。</w:t>
      </w:r>
    </w:p>
    <w:p w14:paraId="621EB61B">
      <w:pPr>
        <w:spacing w:line="460" w:lineRule="exact"/>
        <w:ind w:firstLine="440" w:firstLineChars="200"/>
        <w:rPr>
          <w:rFonts w:ascii="宋体" w:hAnsi="宋体"/>
          <w:b w:val="0"/>
          <w:bCs w:val="0"/>
          <w:color w:val="auto"/>
          <w:sz w:val="22"/>
          <w:szCs w:val="22"/>
          <w:highlight w:val="none"/>
        </w:rPr>
      </w:pPr>
      <w:r>
        <w:rPr>
          <w:rFonts w:hint="eastAsia" w:ascii="宋体" w:hAnsi="宋体"/>
          <w:b w:val="0"/>
          <w:bCs w:val="0"/>
          <w:color w:val="auto"/>
          <w:sz w:val="22"/>
          <w:szCs w:val="22"/>
          <w:highlight w:val="none"/>
        </w:rPr>
        <w:t>评标委员会对满足招标文件实质性要求的投标文件，按照本章</w:t>
      </w:r>
      <w:r>
        <w:rPr>
          <w:rFonts w:hint="eastAsia" w:ascii="宋体" w:hAnsi="宋体"/>
          <w:b w:val="0"/>
          <w:bCs w:val="0"/>
          <w:color w:val="auto"/>
          <w:sz w:val="22"/>
          <w:szCs w:val="22"/>
          <w:highlight w:val="none"/>
          <w:lang w:val="en-US" w:eastAsia="zh-CN"/>
        </w:rPr>
        <w:t>第</w:t>
      </w:r>
      <w:r>
        <w:rPr>
          <w:rFonts w:hint="eastAsia" w:ascii="宋体" w:hAnsi="宋体"/>
          <w:b w:val="0"/>
          <w:bCs w:val="0"/>
          <w:color w:val="auto"/>
          <w:sz w:val="22"/>
          <w:szCs w:val="22"/>
          <w:highlight w:val="none"/>
        </w:rPr>
        <w:t>2.2款规定的评分标准进行打分，技术标得分分值分别为评标委员会中所有评标专家评分中去掉一个最高分、去掉一个最低分后的算术平均值；除技术标外其他得分分值为评标委员会中所有评标专家的算术平均值。并按得分由高到低顺序推荐三个中标候选人，并标明推荐顺序。综合评分相等时，以投标报价低的优先；投标报价也相等的，则由评标委员会通过记名投票表决（不得弃权），以“少数服从多数”的原则确定排序。</w:t>
      </w:r>
    </w:p>
    <w:p w14:paraId="691C0B68">
      <w:pPr>
        <w:adjustRightInd w:val="0"/>
        <w:snapToGrid w:val="0"/>
        <w:spacing w:line="460" w:lineRule="exact"/>
        <w:rPr>
          <w:rFonts w:ascii="宋体" w:hAnsi="宋体"/>
          <w:b/>
          <w:color w:val="auto"/>
          <w:sz w:val="22"/>
          <w:szCs w:val="22"/>
          <w:highlight w:val="none"/>
        </w:rPr>
      </w:pPr>
    </w:p>
    <w:p w14:paraId="4A7A127D">
      <w:pPr>
        <w:adjustRightInd w:val="0"/>
        <w:snapToGrid w:val="0"/>
        <w:spacing w:line="460" w:lineRule="exact"/>
        <w:rPr>
          <w:rFonts w:ascii="宋体" w:hAnsi="宋体"/>
          <w:b/>
          <w:color w:val="auto"/>
          <w:sz w:val="22"/>
          <w:szCs w:val="22"/>
          <w:highlight w:val="none"/>
        </w:rPr>
      </w:pPr>
      <w:r>
        <w:rPr>
          <w:rFonts w:hint="eastAsia" w:ascii="宋体" w:hAnsi="宋体"/>
          <w:b/>
          <w:color w:val="auto"/>
          <w:sz w:val="22"/>
          <w:szCs w:val="22"/>
          <w:highlight w:val="none"/>
        </w:rPr>
        <w:t>2、评审标准</w:t>
      </w:r>
    </w:p>
    <w:p w14:paraId="3E7529CB">
      <w:pPr>
        <w:adjustRightInd w:val="0"/>
        <w:snapToGrid w:val="0"/>
        <w:spacing w:line="460" w:lineRule="exact"/>
        <w:rPr>
          <w:rFonts w:ascii="宋体" w:hAnsi="宋体"/>
          <w:b/>
          <w:color w:val="auto"/>
          <w:sz w:val="22"/>
          <w:szCs w:val="22"/>
          <w:highlight w:val="none"/>
        </w:rPr>
      </w:pPr>
      <w:r>
        <w:rPr>
          <w:rFonts w:hint="eastAsia" w:ascii="宋体" w:hAnsi="宋体"/>
          <w:b/>
          <w:color w:val="auto"/>
          <w:sz w:val="22"/>
          <w:szCs w:val="22"/>
          <w:highlight w:val="none"/>
        </w:rPr>
        <w:t>2.</w:t>
      </w:r>
      <w:r>
        <w:rPr>
          <w:rFonts w:hint="eastAsia" w:ascii="宋体" w:hAnsi="宋体"/>
          <w:b/>
          <w:color w:val="auto"/>
          <w:sz w:val="22"/>
          <w:szCs w:val="22"/>
          <w:highlight w:val="none"/>
          <w:lang w:val="en-US" w:eastAsia="zh-CN"/>
        </w:rPr>
        <w:t>1</w:t>
      </w:r>
      <w:r>
        <w:rPr>
          <w:rFonts w:ascii="宋体" w:hAnsi="宋体"/>
          <w:b/>
          <w:bCs/>
          <w:color w:val="auto"/>
          <w:sz w:val="22"/>
          <w:szCs w:val="22"/>
          <w:highlight w:val="none"/>
        </w:rPr>
        <w:t>初步评审标准</w:t>
      </w:r>
    </w:p>
    <w:p w14:paraId="3E4A43DB">
      <w:pPr>
        <w:adjustRightInd w:val="0"/>
        <w:snapToGrid w:val="0"/>
        <w:spacing w:line="46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2.</w:t>
      </w:r>
      <w:r>
        <w:rPr>
          <w:rFonts w:hint="eastAsia" w:ascii="宋体" w:hAnsi="宋体"/>
          <w:color w:val="auto"/>
          <w:sz w:val="22"/>
          <w:szCs w:val="22"/>
          <w:highlight w:val="none"/>
          <w:lang w:val="en-US" w:eastAsia="zh-CN"/>
        </w:rPr>
        <w:t>1</w:t>
      </w:r>
      <w:r>
        <w:rPr>
          <w:rFonts w:hint="eastAsia" w:ascii="宋体" w:hAnsi="宋体"/>
          <w:color w:val="auto"/>
          <w:sz w:val="22"/>
          <w:szCs w:val="22"/>
          <w:highlight w:val="none"/>
        </w:rPr>
        <w:t>.1形式评审标准：</w:t>
      </w:r>
      <w:r>
        <w:rPr>
          <w:rFonts w:ascii="宋体" w:hAnsi="宋体"/>
          <w:color w:val="auto"/>
          <w:sz w:val="22"/>
          <w:szCs w:val="22"/>
          <w:highlight w:val="none"/>
        </w:rPr>
        <w:t>见评标办法前附表</w:t>
      </w:r>
      <w:r>
        <w:rPr>
          <w:rFonts w:hint="eastAsia" w:ascii="宋体" w:hAnsi="宋体"/>
          <w:color w:val="auto"/>
          <w:sz w:val="22"/>
          <w:szCs w:val="22"/>
          <w:highlight w:val="none"/>
        </w:rPr>
        <w:t>。</w:t>
      </w:r>
    </w:p>
    <w:p w14:paraId="3DD85063">
      <w:pPr>
        <w:adjustRightInd w:val="0"/>
        <w:snapToGrid w:val="0"/>
        <w:spacing w:line="46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2.</w:t>
      </w:r>
      <w:r>
        <w:rPr>
          <w:rFonts w:hint="eastAsia" w:ascii="宋体" w:hAnsi="宋体"/>
          <w:color w:val="auto"/>
          <w:sz w:val="22"/>
          <w:szCs w:val="22"/>
          <w:highlight w:val="none"/>
          <w:lang w:val="en-US" w:eastAsia="zh-CN"/>
        </w:rPr>
        <w:t>1</w:t>
      </w:r>
      <w:r>
        <w:rPr>
          <w:rFonts w:hint="eastAsia" w:ascii="宋体" w:hAnsi="宋体"/>
          <w:color w:val="auto"/>
          <w:sz w:val="22"/>
          <w:szCs w:val="22"/>
          <w:highlight w:val="none"/>
        </w:rPr>
        <w:t>.2</w:t>
      </w:r>
      <w:r>
        <w:rPr>
          <w:rFonts w:ascii="宋体" w:hAnsi="宋体"/>
          <w:color w:val="auto"/>
          <w:sz w:val="22"/>
          <w:szCs w:val="22"/>
          <w:highlight w:val="none"/>
        </w:rPr>
        <w:t>资格评审标准：见评标办法前附表</w:t>
      </w:r>
      <w:r>
        <w:rPr>
          <w:rFonts w:hint="eastAsia" w:ascii="宋体" w:hAnsi="宋体"/>
          <w:color w:val="auto"/>
          <w:sz w:val="22"/>
          <w:szCs w:val="22"/>
          <w:highlight w:val="none"/>
        </w:rPr>
        <w:t>。</w:t>
      </w:r>
    </w:p>
    <w:p w14:paraId="501619C7">
      <w:pPr>
        <w:pStyle w:val="6"/>
        <w:spacing w:line="460" w:lineRule="exact"/>
        <w:ind w:firstLine="440" w:firstLineChars="200"/>
        <w:rPr>
          <w:color w:val="auto"/>
          <w:sz w:val="22"/>
          <w:szCs w:val="22"/>
          <w:highlight w:val="none"/>
        </w:rPr>
      </w:pPr>
      <w:r>
        <w:rPr>
          <w:rFonts w:hint="eastAsia" w:hAnsi="宋体"/>
          <w:color w:val="auto"/>
          <w:sz w:val="22"/>
          <w:szCs w:val="22"/>
          <w:highlight w:val="none"/>
        </w:rPr>
        <w:t>2.</w:t>
      </w:r>
      <w:r>
        <w:rPr>
          <w:rFonts w:hint="eastAsia" w:hAnsi="宋体"/>
          <w:color w:val="auto"/>
          <w:sz w:val="22"/>
          <w:szCs w:val="22"/>
          <w:highlight w:val="none"/>
          <w:lang w:val="en-US" w:eastAsia="zh-CN"/>
        </w:rPr>
        <w:t>1</w:t>
      </w:r>
      <w:r>
        <w:rPr>
          <w:rFonts w:hint="eastAsia" w:hAnsi="宋体"/>
          <w:color w:val="auto"/>
          <w:sz w:val="22"/>
          <w:szCs w:val="22"/>
          <w:highlight w:val="none"/>
        </w:rPr>
        <w:t>.3</w:t>
      </w:r>
      <w:r>
        <w:rPr>
          <w:rFonts w:hAnsi="宋体"/>
          <w:color w:val="auto"/>
          <w:sz w:val="22"/>
          <w:szCs w:val="22"/>
          <w:highlight w:val="none"/>
        </w:rPr>
        <w:t>响应性评审标准：见评标办法前附表。</w:t>
      </w:r>
    </w:p>
    <w:p w14:paraId="02FCBC8F">
      <w:pPr>
        <w:autoSpaceDE w:val="0"/>
        <w:autoSpaceDN w:val="0"/>
        <w:adjustRightInd w:val="0"/>
        <w:snapToGrid w:val="0"/>
        <w:spacing w:line="460" w:lineRule="exact"/>
        <w:ind w:firstLine="440" w:firstLineChars="200"/>
        <w:jc w:val="left"/>
        <w:rPr>
          <w:rFonts w:ascii="宋体" w:hAnsi="宋体"/>
          <w:color w:val="auto"/>
          <w:sz w:val="22"/>
          <w:szCs w:val="22"/>
          <w:highlight w:val="none"/>
        </w:rPr>
      </w:pPr>
      <w:r>
        <w:rPr>
          <w:rFonts w:hint="eastAsia" w:ascii="宋体" w:hAnsi="宋体"/>
          <w:color w:val="auto"/>
          <w:sz w:val="22"/>
          <w:szCs w:val="22"/>
          <w:highlight w:val="none"/>
        </w:rPr>
        <w:t>评标委员会首先对投标单位的投标文件进行初步评审，在有异议时以“少数服从多数”的原则确定是否合格。</w:t>
      </w:r>
    </w:p>
    <w:p w14:paraId="00C0D91E">
      <w:pPr>
        <w:adjustRightInd w:val="0"/>
        <w:snapToGrid w:val="0"/>
        <w:spacing w:line="460" w:lineRule="exact"/>
        <w:rPr>
          <w:rFonts w:hint="eastAsia" w:ascii="宋体" w:hAnsi="宋体"/>
          <w:b/>
          <w:color w:val="auto"/>
          <w:sz w:val="22"/>
          <w:szCs w:val="22"/>
          <w:highlight w:val="none"/>
        </w:rPr>
      </w:pPr>
      <w:r>
        <w:rPr>
          <w:rFonts w:hint="eastAsia" w:ascii="宋体" w:hAnsi="宋体"/>
          <w:b/>
          <w:color w:val="auto"/>
          <w:sz w:val="22"/>
          <w:szCs w:val="22"/>
          <w:highlight w:val="none"/>
        </w:rPr>
        <w:t>2.2 分值构成与评分标准</w:t>
      </w:r>
    </w:p>
    <w:p w14:paraId="01B2EC95">
      <w:pPr>
        <w:adjustRightInd w:val="0"/>
        <w:snapToGrid w:val="0"/>
        <w:spacing w:line="460" w:lineRule="exact"/>
        <w:ind w:left="0" w:leftChars="0" w:firstLine="385" w:firstLineChars="175"/>
        <w:rPr>
          <w:rFonts w:hint="eastAsia" w:ascii="宋体" w:hAnsi="宋体"/>
          <w:b w:val="0"/>
          <w:bCs/>
          <w:color w:val="auto"/>
          <w:sz w:val="22"/>
          <w:szCs w:val="22"/>
          <w:highlight w:val="none"/>
        </w:rPr>
      </w:pPr>
      <w:r>
        <w:rPr>
          <w:rFonts w:hint="eastAsia" w:ascii="宋体" w:hAnsi="宋体"/>
          <w:b w:val="0"/>
          <w:bCs/>
          <w:color w:val="auto"/>
          <w:sz w:val="22"/>
          <w:szCs w:val="22"/>
          <w:highlight w:val="none"/>
        </w:rPr>
        <w:t>2.2.1 分值构成</w:t>
      </w:r>
    </w:p>
    <w:p w14:paraId="74114E27">
      <w:pPr>
        <w:adjustRightInd w:val="0"/>
        <w:snapToGrid w:val="0"/>
        <w:spacing w:line="460" w:lineRule="exact"/>
        <w:ind w:left="0" w:leftChars="0" w:firstLine="385" w:firstLineChars="175"/>
        <w:rPr>
          <w:rFonts w:hint="eastAsia" w:ascii="宋体" w:hAnsi="宋体"/>
          <w:b w:val="0"/>
          <w:bCs/>
          <w:color w:val="auto"/>
          <w:sz w:val="22"/>
          <w:szCs w:val="22"/>
          <w:highlight w:val="none"/>
        </w:rPr>
      </w:pPr>
      <w:r>
        <w:rPr>
          <w:rFonts w:hint="eastAsia" w:ascii="宋体" w:hAnsi="宋体"/>
          <w:b w:val="0"/>
          <w:bCs/>
          <w:color w:val="auto"/>
          <w:sz w:val="22"/>
          <w:szCs w:val="22"/>
          <w:highlight w:val="none"/>
        </w:rPr>
        <w:t xml:space="preserve">(1) </w:t>
      </w:r>
      <w:r>
        <w:rPr>
          <w:rFonts w:hint="eastAsia" w:ascii="宋体" w:hAnsi="宋体"/>
          <w:b w:val="0"/>
          <w:bCs/>
          <w:color w:val="auto"/>
          <w:sz w:val="22"/>
          <w:szCs w:val="22"/>
          <w:highlight w:val="none"/>
          <w:lang w:val="en-US" w:eastAsia="zh-CN"/>
        </w:rPr>
        <w:t>信用等级分值</w:t>
      </w:r>
      <w:r>
        <w:rPr>
          <w:rFonts w:hint="eastAsia" w:ascii="宋体" w:hAnsi="宋体"/>
          <w:b w:val="0"/>
          <w:bCs/>
          <w:color w:val="auto"/>
          <w:sz w:val="22"/>
          <w:szCs w:val="22"/>
          <w:highlight w:val="none"/>
        </w:rPr>
        <w:t>：见评标办法前附表；</w:t>
      </w:r>
    </w:p>
    <w:p w14:paraId="6CA91413">
      <w:pPr>
        <w:adjustRightInd w:val="0"/>
        <w:snapToGrid w:val="0"/>
        <w:spacing w:line="460" w:lineRule="exact"/>
        <w:ind w:left="0" w:leftChars="0" w:firstLine="385" w:firstLineChars="175"/>
        <w:rPr>
          <w:rFonts w:hint="eastAsia" w:ascii="宋体" w:hAnsi="宋体"/>
          <w:b w:val="0"/>
          <w:bCs/>
          <w:color w:val="auto"/>
          <w:sz w:val="22"/>
          <w:szCs w:val="22"/>
          <w:highlight w:val="none"/>
        </w:rPr>
      </w:pPr>
      <w:r>
        <w:rPr>
          <w:rFonts w:hint="eastAsia" w:ascii="宋体" w:hAnsi="宋体"/>
          <w:b w:val="0"/>
          <w:bCs/>
          <w:color w:val="auto"/>
          <w:sz w:val="22"/>
          <w:szCs w:val="22"/>
          <w:highlight w:val="none"/>
        </w:rPr>
        <w:t>(</w:t>
      </w:r>
      <w:r>
        <w:rPr>
          <w:rFonts w:hint="eastAsia" w:ascii="宋体" w:hAnsi="宋体"/>
          <w:b w:val="0"/>
          <w:bCs/>
          <w:color w:val="auto"/>
          <w:sz w:val="22"/>
          <w:szCs w:val="22"/>
          <w:highlight w:val="none"/>
          <w:lang w:val="en-US" w:eastAsia="zh-CN"/>
        </w:rPr>
        <w:t>2</w:t>
      </w:r>
      <w:r>
        <w:rPr>
          <w:rFonts w:hint="eastAsia" w:ascii="宋体" w:hAnsi="宋体"/>
          <w:b w:val="0"/>
          <w:bCs/>
          <w:color w:val="auto"/>
          <w:sz w:val="22"/>
          <w:szCs w:val="22"/>
          <w:highlight w:val="none"/>
        </w:rPr>
        <w:t xml:space="preserve">) </w:t>
      </w:r>
      <w:r>
        <w:rPr>
          <w:rFonts w:hint="eastAsia" w:ascii="宋体" w:hAnsi="宋体"/>
          <w:b w:val="0"/>
          <w:bCs/>
          <w:color w:val="auto"/>
          <w:sz w:val="22"/>
          <w:szCs w:val="22"/>
          <w:highlight w:val="none"/>
          <w:lang w:val="en-US" w:eastAsia="zh-CN"/>
        </w:rPr>
        <w:t>技术</w:t>
      </w:r>
      <w:r>
        <w:rPr>
          <w:rFonts w:hint="eastAsia" w:ascii="宋体" w:hAnsi="宋体"/>
          <w:b w:val="0"/>
          <w:bCs/>
          <w:color w:val="auto"/>
          <w:sz w:val="22"/>
          <w:szCs w:val="22"/>
          <w:highlight w:val="none"/>
        </w:rPr>
        <w:t>部分</w:t>
      </w:r>
      <w:r>
        <w:rPr>
          <w:rFonts w:hint="eastAsia" w:ascii="宋体" w:hAnsi="宋体"/>
          <w:b w:val="0"/>
          <w:bCs/>
          <w:color w:val="auto"/>
          <w:sz w:val="22"/>
          <w:szCs w:val="22"/>
          <w:highlight w:val="none"/>
          <w:lang w:val="en-US" w:eastAsia="zh-CN"/>
        </w:rPr>
        <w:t>分值</w:t>
      </w:r>
      <w:r>
        <w:rPr>
          <w:rFonts w:hint="eastAsia" w:ascii="宋体" w:hAnsi="宋体"/>
          <w:b w:val="0"/>
          <w:bCs/>
          <w:color w:val="auto"/>
          <w:sz w:val="22"/>
          <w:szCs w:val="22"/>
          <w:highlight w:val="none"/>
        </w:rPr>
        <w:t>：见评标办法前附表；</w:t>
      </w:r>
    </w:p>
    <w:p w14:paraId="17D80488">
      <w:pPr>
        <w:adjustRightInd w:val="0"/>
        <w:snapToGrid w:val="0"/>
        <w:spacing w:line="460" w:lineRule="exact"/>
        <w:ind w:left="0" w:leftChars="0" w:firstLine="385" w:firstLineChars="175"/>
        <w:rPr>
          <w:rFonts w:hint="eastAsia" w:ascii="宋体" w:hAnsi="宋体"/>
          <w:b w:val="0"/>
          <w:bCs/>
          <w:color w:val="auto"/>
          <w:sz w:val="22"/>
          <w:szCs w:val="22"/>
          <w:highlight w:val="none"/>
        </w:rPr>
      </w:pPr>
      <w:r>
        <w:rPr>
          <w:rFonts w:hint="eastAsia" w:ascii="宋体" w:hAnsi="宋体"/>
          <w:b w:val="0"/>
          <w:bCs/>
          <w:color w:val="auto"/>
          <w:sz w:val="22"/>
          <w:szCs w:val="22"/>
          <w:highlight w:val="none"/>
        </w:rPr>
        <w:t>(</w:t>
      </w:r>
      <w:r>
        <w:rPr>
          <w:rFonts w:hint="eastAsia" w:ascii="宋体" w:hAnsi="宋体"/>
          <w:b w:val="0"/>
          <w:bCs/>
          <w:color w:val="auto"/>
          <w:sz w:val="22"/>
          <w:szCs w:val="22"/>
          <w:highlight w:val="none"/>
          <w:lang w:val="en-US" w:eastAsia="zh-CN"/>
        </w:rPr>
        <w:t>3</w:t>
      </w:r>
      <w:r>
        <w:rPr>
          <w:rFonts w:hint="eastAsia" w:ascii="宋体" w:hAnsi="宋体"/>
          <w:b w:val="0"/>
          <w:bCs/>
          <w:color w:val="auto"/>
          <w:sz w:val="22"/>
          <w:szCs w:val="22"/>
          <w:highlight w:val="none"/>
        </w:rPr>
        <w:t xml:space="preserve">) </w:t>
      </w:r>
      <w:r>
        <w:rPr>
          <w:rFonts w:hint="eastAsia" w:ascii="宋体" w:hAnsi="宋体"/>
          <w:b w:val="0"/>
          <w:bCs/>
          <w:color w:val="auto"/>
          <w:sz w:val="22"/>
          <w:szCs w:val="22"/>
          <w:highlight w:val="none"/>
          <w:lang w:val="en-US" w:eastAsia="zh-CN"/>
        </w:rPr>
        <w:t>商务</w:t>
      </w:r>
      <w:r>
        <w:rPr>
          <w:rFonts w:hint="eastAsia" w:ascii="宋体" w:hAnsi="宋体"/>
          <w:b w:val="0"/>
          <w:bCs/>
          <w:color w:val="auto"/>
          <w:sz w:val="22"/>
          <w:szCs w:val="22"/>
          <w:highlight w:val="none"/>
        </w:rPr>
        <w:t>部分</w:t>
      </w:r>
      <w:r>
        <w:rPr>
          <w:rFonts w:hint="eastAsia" w:ascii="宋体" w:hAnsi="宋体"/>
          <w:b w:val="0"/>
          <w:bCs/>
          <w:color w:val="auto"/>
          <w:sz w:val="22"/>
          <w:szCs w:val="22"/>
          <w:highlight w:val="none"/>
          <w:lang w:val="en-US" w:eastAsia="zh-CN"/>
        </w:rPr>
        <w:t>分值</w:t>
      </w:r>
      <w:r>
        <w:rPr>
          <w:rFonts w:hint="eastAsia" w:ascii="宋体" w:hAnsi="宋体"/>
          <w:b w:val="0"/>
          <w:bCs/>
          <w:color w:val="auto"/>
          <w:sz w:val="22"/>
          <w:szCs w:val="22"/>
          <w:highlight w:val="none"/>
        </w:rPr>
        <w:t>：见评标办法前附表；</w:t>
      </w:r>
    </w:p>
    <w:p w14:paraId="374340A7">
      <w:pPr>
        <w:adjustRightInd w:val="0"/>
        <w:snapToGrid w:val="0"/>
        <w:spacing w:line="460" w:lineRule="exact"/>
        <w:ind w:left="0" w:leftChars="0" w:firstLine="385" w:firstLineChars="175"/>
        <w:rPr>
          <w:rFonts w:hint="eastAsia" w:ascii="宋体" w:hAnsi="宋体"/>
          <w:b w:val="0"/>
          <w:bCs/>
          <w:color w:val="auto"/>
          <w:sz w:val="22"/>
          <w:szCs w:val="22"/>
          <w:highlight w:val="none"/>
        </w:rPr>
      </w:pPr>
      <w:r>
        <w:rPr>
          <w:rFonts w:hint="eastAsia" w:ascii="宋体" w:hAnsi="宋体"/>
          <w:b w:val="0"/>
          <w:bCs/>
          <w:color w:val="auto"/>
          <w:sz w:val="22"/>
          <w:szCs w:val="22"/>
          <w:highlight w:val="none"/>
        </w:rPr>
        <w:t>(</w:t>
      </w:r>
      <w:r>
        <w:rPr>
          <w:rFonts w:hint="eastAsia" w:ascii="宋体" w:hAnsi="宋体"/>
          <w:b w:val="0"/>
          <w:bCs/>
          <w:color w:val="auto"/>
          <w:sz w:val="22"/>
          <w:szCs w:val="22"/>
          <w:highlight w:val="none"/>
          <w:lang w:val="en-US" w:eastAsia="zh-CN"/>
        </w:rPr>
        <w:t>4</w:t>
      </w:r>
      <w:r>
        <w:rPr>
          <w:rFonts w:hint="eastAsia" w:ascii="宋体" w:hAnsi="宋体"/>
          <w:b w:val="0"/>
          <w:bCs/>
          <w:color w:val="auto"/>
          <w:sz w:val="22"/>
          <w:szCs w:val="22"/>
          <w:highlight w:val="none"/>
        </w:rPr>
        <w:t xml:space="preserve">) </w:t>
      </w:r>
      <w:r>
        <w:rPr>
          <w:rFonts w:hint="eastAsia" w:ascii="宋体" w:hAnsi="宋体"/>
          <w:b w:val="0"/>
          <w:bCs/>
          <w:color w:val="auto"/>
          <w:sz w:val="22"/>
          <w:szCs w:val="22"/>
          <w:highlight w:val="none"/>
          <w:lang w:val="en-US" w:eastAsia="zh-CN"/>
        </w:rPr>
        <w:t>投标报价分值</w:t>
      </w:r>
      <w:r>
        <w:rPr>
          <w:rFonts w:hint="eastAsia" w:ascii="宋体" w:hAnsi="宋体"/>
          <w:b w:val="0"/>
          <w:bCs/>
          <w:color w:val="auto"/>
          <w:sz w:val="22"/>
          <w:szCs w:val="22"/>
          <w:highlight w:val="none"/>
        </w:rPr>
        <w:t>：见评标办法前附表；</w:t>
      </w:r>
    </w:p>
    <w:p w14:paraId="2141D35B">
      <w:pPr>
        <w:adjustRightInd w:val="0"/>
        <w:snapToGrid w:val="0"/>
        <w:spacing w:line="460" w:lineRule="exact"/>
        <w:ind w:left="0" w:leftChars="0" w:firstLine="385" w:firstLineChars="175"/>
        <w:rPr>
          <w:rFonts w:hint="eastAsia" w:ascii="宋体" w:hAnsi="宋体"/>
          <w:b w:val="0"/>
          <w:bCs/>
          <w:color w:val="auto"/>
          <w:sz w:val="22"/>
          <w:szCs w:val="22"/>
          <w:highlight w:val="none"/>
        </w:rPr>
      </w:pPr>
      <w:r>
        <w:rPr>
          <w:rFonts w:hint="eastAsia" w:ascii="宋体" w:hAnsi="宋体"/>
          <w:b w:val="0"/>
          <w:bCs/>
          <w:color w:val="auto"/>
          <w:sz w:val="22"/>
          <w:szCs w:val="22"/>
          <w:highlight w:val="none"/>
        </w:rPr>
        <w:t>2.2.</w:t>
      </w:r>
      <w:r>
        <w:rPr>
          <w:rFonts w:hint="eastAsia" w:ascii="宋体" w:hAnsi="宋体"/>
          <w:b w:val="0"/>
          <w:bCs/>
          <w:color w:val="auto"/>
          <w:sz w:val="22"/>
          <w:szCs w:val="22"/>
          <w:highlight w:val="none"/>
          <w:lang w:val="en-US" w:eastAsia="zh-CN"/>
        </w:rPr>
        <w:t>2</w:t>
      </w:r>
      <w:r>
        <w:rPr>
          <w:rFonts w:hint="eastAsia" w:ascii="宋体" w:hAnsi="宋体"/>
          <w:b w:val="0"/>
          <w:bCs/>
          <w:color w:val="auto"/>
          <w:sz w:val="22"/>
          <w:szCs w:val="22"/>
          <w:highlight w:val="none"/>
        </w:rPr>
        <w:t xml:space="preserve"> 评分标准</w:t>
      </w:r>
    </w:p>
    <w:p w14:paraId="777A0F20">
      <w:pPr>
        <w:adjustRightInd w:val="0"/>
        <w:snapToGrid w:val="0"/>
        <w:spacing w:line="460" w:lineRule="exact"/>
        <w:ind w:left="0" w:leftChars="0" w:firstLine="385" w:firstLineChars="175"/>
        <w:rPr>
          <w:rFonts w:hint="eastAsia" w:ascii="宋体" w:hAnsi="宋体"/>
          <w:b w:val="0"/>
          <w:bCs/>
          <w:color w:val="auto"/>
          <w:sz w:val="22"/>
          <w:szCs w:val="22"/>
          <w:highlight w:val="none"/>
        </w:rPr>
      </w:pPr>
      <w:r>
        <w:rPr>
          <w:rFonts w:hint="eastAsia" w:ascii="宋体" w:hAnsi="宋体"/>
          <w:b w:val="0"/>
          <w:bCs/>
          <w:color w:val="auto"/>
          <w:sz w:val="22"/>
          <w:szCs w:val="22"/>
          <w:highlight w:val="none"/>
        </w:rPr>
        <w:t xml:space="preserve">(1) </w:t>
      </w:r>
      <w:r>
        <w:rPr>
          <w:rFonts w:hint="eastAsia" w:ascii="宋体" w:hAnsi="宋体"/>
          <w:b w:val="0"/>
          <w:bCs/>
          <w:color w:val="auto"/>
          <w:sz w:val="22"/>
          <w:szCs w:val="22"/>
          <w:highlight w:val="none"/>
          <w:lang w:val="en-US" w:eastAsia="zh-CN"/>
        </w:rPr>
        <w:t>信用等级</w:t>
      </w:r>
      <w:r>
        <w:rPr>
          <w:rFonts w:hint="eastAsia" w:ascii="宋体" w:hAnsi="宋体"/>
          <w:b w:val="0"/>
          <w:bCs/>
          <w:color w:val="auto"/>
          <w:sz w:val="22"/>
          <w:szCs w:val="22"/>
          <w:highlight w:val="none"/>
        </w:rPr>
        <w:t>得分标准：见评标办法前附表；</w:t>
      </w:r>
    </w:p>
    <w:p w14:paraId="200B044D">
      <w:pPr>
        <w:adjustRightInd w:val="0"/>
        <w:snapToGrid w:val="0"/>
        <w:spacing w:line="460" w:lineRule="exact"/>
        <w:ind w:left="0" w:leftChars="0" w:firstLine="385" w:firstLineChars="175"/>
        <w:rPr>
          <w:rFonts w:hint="eastAsia" w:ascii="宋体" w:hAnsi="宋体"/>
          <w:b w:val="0"/>
          <w:bCs/>
          <w:color w:val="auto"/>
          <w:sz w:val="22"/>
          <w:szCs w:val="22"/>
          <w:highlight w:val="none"/>
        </w:rPr>
      </w:pPr>
      <w:r>
        <w:rPr>
          <w:rFonts w:hint="eastAsia" w:ascii="宋体" w:hAnsi="宋体"/>
          <w:b w:val="0"/>
          <w:bCs/>
          <w:color w:val="auto"/>
          <w:sz w:val="22"/>
          <w:szCs w:val="22"/>
          <w:highlight w:val="none"/>
        </w:rPr>
        <w:t>(</w:t>
      </w:r>
      <w:r>
        <w:rPr>
          <w:rFonts w:hint="eastAsia" w:ascii="宋体" w:hAnsi="宋体"/>
          <w:b w:val="0"/>
          <w:bCs/>
          <w:color w:val="auto"/>
          <w:sz w:val="22"/>
          <w:szCs w:val="22"/>
          <w:highlight w:val="none"/>
          <w:lang w:val="en-US" w:eastAsia="zh-CN"/>
        </w:rPr>
        <w:t>2</w:t>
      </w:r>
      <w:r>
        <w:rPr>
          <w:rFonts w:hint="eastAsia" w:ascii="宋体" w:hAnsi="宋体"/>
          <w:b w:val="0"/>
          <w:bCs/>
          <w:color w:val="auto"/>
          <w:sz w:val="22"/>
          <w:szCs w:val="22"/>
          <w:highlight w:val="none"/>
        </w:rPr>
        <w:t xml:space="preserve">) </w:t>
      </w:r>
      <w:r>
        <w:rPr>
          <w:rFonts w:hint="eastAsia" w:ascii="宋体" w:hAnsi="宋体"/>
          <w:b w:val="0"/>
          <w:bCs/>
          <w:color w:val="auto"/>
          <w:sz w:val="22"/>
          <w:szCs w:val="22"/>
          <w:highlight w:val="none"/>
          <w:lang w:val="en-US" w:eastAsia="zh-CN"/>
        </w:rPr>
        <w:t>技术</w:t>
      </w:r>
      <w:r>
        <w:rPr>
          <w:rFonts w:hint="eastAsia" w:ascii="宋体" w:hAnsi="宋体"/>
          <w:b w:val="0"/>
          <w:bCs/>
          <w:color w:val="auto"/>
          <w:sz w:val="22"/>
          <w:szCs w:val="22"/>
          <w:highlight w:val="none"/>
        </w:rPr>
        <w:t>部分得分标准：见评标办法前附表；</w:t>
      </w:r>
    </w:p>
    <w:p w14:paraId="51EF5D95">
      <w:pPr>
        <w:adjustRightInd w:val="0"/>
        <w:snapToGrid w:val="0"/>
        <w:spacing w:line="460" w:lineRule="exact"/>
        <w:ind w:left="0" w:leftChars="0" w:firstLine="385" w:firstLineChars="175"/>
        <w:rPr>
          <w:rFonts w:hint="eastAsia" w:ascii="宋体" w:hAnsi="宋体"/>
          <w:b w:val="0"/>
          <w:bCs/>
          <w:color w:val="auto"/>
          <w:sz w:val="22"/>
          <w:szCs w:val="22"/>
          <w:highlight w:val="none"/>
        </w:rPr>
      </w:pPr>
      <w:r>
        <w:rPr>
          <w:rFonts w:hint="eastAsia" w:ascii="宋体" w:hAnsi="宋体"/>
          <w:b w:val="0"/>
          <w:bCs/>
          <w:color w:val="auto"/>
          <w:sz w:val="22"/>
          <w:szCs w:val="22"/>
          <w:highlight w:val="none"/>
        </w:rPr>
        <w:t>(</w:t>
      </w:r>
      <w:r>
        <w:rPr>
          <w:rFonts w:hint="eastAsia" w:ascii="宋体" w:hAnsi="宋体"/>
          <w:b w:val="0"/>
          <w:bCs/>
          <w:color w:val="auto"/>
          <w:sz w:val="22"/>
          <w:szCs w:val="22"/>
          <w:highlight w:val="none"/>
          <w:lang w:val="en-US" w:eastAsia="zh-CN"/>
        </w:rPr>
        <w:t>3</w:t>
      </w:r>
      <w:r>
        <w:rPr>
          <w:rFonts w:hint="eastAsia" w:ascii="宋体" w:hAnsi="宋体"/>
          <w:b w:val="0"/>
          <w:bCs/>
          <w:color w:val="auto"/>
          <w:sz w:val="22"/>
          <w:szCs w:val="22"/>
          <w:highlight w:val="none"/>
        </w:rPr>
        <w:t xml:space="preserve">) </w:t>
      </w:r>
      <w:r>
        <w:rPr>
          <w:rFonts w:hint="eastAsia" w:ascii="宋体" w:hAnsi="宋体"/>
          <w:b w:val="0"/>
          <w:bCs/>
          <w:color w:val="auto"/>
          <w:sz w:val="22"/>
          <w:szCs w:val="22"/>
          <w:highlight w:val="none"/>
          <w:lang w:val="en-US" w:eastAsia="zh-CN"/>
        </w:rPr>
        <w:t>商务</w:t>
      </w:r>
      <w:r>
        <w:rPr>
          <w:rFonts w:hint="eastAsia" w:ascii="宋体" w:hAnsi="宋体"/>
          <w:b w:val="0"/>
          <w:bCs/>
          <w:color w:val="auto"/>
          <w:sz w:val="22"/>
          <w:szCs w:val="22"/>
          <w:highlight w:val="none"/>
        </w:rPr>
        <w:t>部分得分标准：见评标办法前附表；</w:t>
      </w:r>
    </w:p>
    <w:p w14:paraId="48FA8526">
      <w:pPr>
        <w:adjustRightInd w:val="0"/>
        <w:snapToGrid w:val="0"/>
        <w:spacing w:line="460" w:lineRule="exact"/>
        <w:ind w:left="0" w:leftChars="0" w:firstLine="385" w:firstLineChars="175"/>
        <w:rPr>
          <w:rFonts w:hint="eastAsia" w:ascii="宋体" w:hAnsi="宋体"/>
          <w:b w:val="0"/>
          <w:bCs/>
          <w:color w:val="auto"/>
          <w:sz w:val="22"/>
          <w:szCs w:val="22"/>
          <w:highlight w:val="none"/>
        </w:rPr>
      </w:pPr>
      <w:r>
        <w:rPr>
          <w:rFonts w:hint="eastAsia" w:ascii="宋体" w:hAnsi="宋体"/>
          <w:b w:val="0"/>
          <w:bCs/>
          <w:color w:val="auto"/>
          <w:sz w:val="22"/>
          <w:szCs w:val="22"/>
          <w:highlight w:val="none"/>
        </w:rPr>
        <w:t>(</w:t>
      </w:r>
      <w:r>
        <w:rPr>
          <w:rFonts w:hint="eastAsia" w:ascii="宋体" w:hAnsi="宋体"/>
          <w:b w:val="0"/>
          <w:bCs/>
          <w:color w:val="auto"/>
          <w:sz w:val="22"/>
          <w:szCs w:val="22"/>
          <w:highlight w:val="none"/>
          <w:lang w:val="en-US" w:eastAsia="zh-CN"/>
        </w:rPr>
        <w:t>4</w:t>
      </w:r>
      <w:r>
        <w:rPr>
          <w:rFonts w:hint="eastAsia" w:ascii="宋体" w:hAnsi="宋体"/>
          <w:b w:val="0"/>
          <w:bCs/>
          <w:color w:val="auto"/>
          <w:sz w:val="22"/>
          <w:szCs w:val="22"/>
          <w:highlight w:val="none"/>
        </w:rPr>
        <w:t xml:space="preserve">) </w:t>
      </w:r>
      <w:r>
        <w:rPr>
          <w:rFonts w:hint="eastAsia" w:ascii="宋体" w:hAnsi="宋体"/>
          <w:b w:val="0"/>
          <w:bCs/>
          <w:color w:val="auto"/>
          <w:sz w:val="22"/>
          <w:szCs w:val="22"/>
          <w:highlight w:val="none"/>
          <w:lang w:val="en-US" w:eastAsia="zh-CN"/>
        </w:rPr>
        <w:t>投标报价</w:t>
      </w:r>
      <w:r>
        <w:rPr>
          <w:rFonts w:hint="eastAsia" w:ascii="宋体" w:hAnsi="宋体"/>
          <w:b w:val="0"/>
          <w:bCs/>
          <w:color w:val="auto"/>
          <w:sz w:val="22"/>
          <w:szCs w:val="22"/>
          <w:highlight w:val="none"/>
        </w:rPr>
        <w:t>得分标准：见评标办法前附表；</w:t>
      </w:r>
      <w:bookmarkStart w:id="12" w:name="_Toc10690"/>
      <w:bookmarkStart w:id="13" w:name="_Toc22576"/>
    </w:p>
    <w:p w14:paraId="3BD2A81A">
      <w:pPr>
        <w:adjustRightInd w:val="0"/>
        <w:snapToGrid w:val="0"/>
        <w:spacing w:line="460" w:lineRule="exact"/>
        <w:rPr>
          <w:rFonts w:hint="eastAsia" w:ascii="宋体" w:hAnsi="宋体"/>
          <w:b/>
          <w:color w:val="auto"/>
          <w:sz w:val="22"/>
          <w:szCs w:val="22"/>
          <w:highlight w:val="none"/>
        </w:rPr>
      </w:pPr>
      <w:r>
        <w:rPr>
          <w:rFonts w:hint="eastAsia" w:ascii="宋体" w:hAnsi="宋体"/>
          <w:b/>
          <w:color w:val="auto"/>
          <w:sz w:val="22"/>
          <w:szCs w:val="22"/>
          <w:highlight w:val="none"/>
        </w:rPr>
        <w:t>3. 评标程序</w:t>
      </w:r>
    </w:p>
    <w:p w14:paraId="5C065FC3">
      <w:pPr>
        <w:pStyle w:val="5"/>
        <w:rPr>
          <w:rFonts w:ascii="宋体" w:hAnsi="Times New Roman"/>
          <w:bCs w:val="0"/>
          <w:color w:val="auto"/>
          <w:sz w:val="22"/>
          <w:szCs w:val="22"/>
          <w:highlight w:val="none"/>
        </w:rPr>
      </w:pPr>
      <w:bookmarkStart w:id="14" w:name="_Toc189386098"/>
      <w:bookmarkStart w:id="15" w:name="_Toc48666393"/>
      <w:r>
        <w:rPr>
          <w:rFonts w:hint="eastAsia" w:ascii="宋体" w:hAnsi="Times New Roman"/>
          <w:bCs w:val="0"/>
          <w:color w:val="auto"/>
          <w:sz w:val="22"/>
          <w:szCs w:val="22"/>
          <w:highlight w:val="none"/>
        </w:rPr>
        <w:t>3.</w:t>
      </w:r>
      <w:r>
        <w:rPr>
          <w:rFonts w:hint="eastAsia" w:ascii="宋体" w:hAnsi="Times New Roman"/>
          <w:bCs w:val="0"/>
          <w:color w:val="auto"/>
          <w:sz w:val="22"/>
          <w:szCs w:val="22"/>
          <w:highlight w:val="none"/>
          <w:lang w:val="en-US" w:eastAsia="zh-CN"/>
        </w:rPr>
        <w:t>1</w:t>
      </w:r>
      <w:r>
        <w:rPr>
          <w:rFonts w:hint="eastAsia" w:ascii="宋体" w:hAnsi="Times New Roman"/>
          <w:bCs w:val="0"/>
          <w:color w:val="auto"/>
          <w:sz w:val="22"/>
          <w:szCs w:val="22"/>
          <w:highlight w:val="none"/>
        </w:rPr>
        <w:t xml:space="preserve"> </w:t>
      </w:r>
      <w:bookmarkEnd w:id="14"/>
      <w:bookmarkEnd w:id="15"/>
      <w:r>
        <w:rPr>
          <w:rFonts w:hint="eastAsia" w:ascii="宋体" w:hAnsi="Times New Roman"/>
          <w:bCs w:val="0"/>
          <w:color w:val="auto"/>
          <w:sz w:val="22"/>
          <w:szCs w:val="22"/>
          <w:highlight w:val="none"/>
        </w:rPr>
        <w:t>初步评审</w:t>
      </w:r>
    </w:p>
    <w:p w14:paraId="486E8F8F">
      <w:pPr>
        <w:spacing w:line="360" w:lineRule="auto"/>
        <w:ind w:firstLine="440" w:firstLineChars="200"/>
        <w:rPr>
          <w:color w:val="auto"/>
          <w:sz w:val="22"/>
          <w:szCs w:val="21"/>
          <w:highlight w:val="none"/>
        </w:rPr>
      </w:pPr>
      <w:r>
        <w:rPr>
          <w:rFonts w:hint="eastAsia" w:ascii="宋体" w:hAnsi="宋体" w:eastAsia="宋体" w:cs="Times New Roman"/>
          <w:b w:val="0"/>
          <w:bCs/>
          <w:color w:val="auto"/>
          <w:sz w:val="22"/>
          <w:szCs w:val="22"/>
          <w:highlight w:val="none"/>
        </w:rPr>
        <w:t>3.</w:t>
      </w:r>
      <w:r>
        <w:rPr>
          <w:rFonts w:hint="eastAsia" w:ascii="宋体" w:hAnsi="宋体" w:eastAsia="宋体" w:cs="Times New Roman"/>
          <w:b w:val="0"/>
          <w:bCs/>
          <w:color w:val="auto"/>
          <w:sz w:val="22"/>
          <w:szCs w:val="22"/>
          <w:highlight w:val="none"/>
          <w:lang w:val="en-US" w:eastAsia="zh-CN"/>
        </w:rPr>
        <w:t>1</w:t>
      </w:r>
      <w:r>
        <w:rPr>
          <w:rFonts w:hint="eastAsia" w:ascii="宋体" w:hAnsi="宋体" w:eastAsia="宋体" w:cs="Times New Roman"/>
          <w:b w:val="0"/>
          <w:bCs/>
          <w:color w:val="auto"/>
          <w:sz w:val="22"/>
          <w:szCs w:val="22"/>
          <w:highlight w:val="none"/>
        </w:rPr>
        <w:t>.1</w:t>
      </w:r>
      <w:r>
        <w:rPr>
          <w:color w:val="auto"/>
          <w:sz w:val="22"/>
          <w:szCs w:val="21"/>
          <w:highlight w:val="none"/>
        </w:rPr>
        <w:t>评标委员会依据本章第</w:t>
      </w:r>
      <w:r>
        <w:rPr>
          <w:rFonts w:hint="eastAsia" w:ascii="宋体" w:hAnsi="宋体" w:eastAsia="宋体" w:cs="Times New Roman"/>
          <w:b w:val="0"/>
          <w:bCs/>
          <w:color w:val="auto"/>
          <w:sz w:val="22"/>
          <w:szCs w:val="22"/>
          <w:highlight w:val="none"/>
        </w:rPr>
        <w:t>2.</w:t>
      </w:r>
      <w:r>
        <w:rPr>
          <w:rFonts w:hint="eastAsia" w:ascii="宋体" w:hAnsi="宋体" w:eastAsia="宋体" w:cs="Times New Roman"/>
          <w:b w:val="0"/>
          <w:bCs/>
          <w:color w:val="auto"/>
          <w:sz w:val="22"/>
          <w:szCs w:val="22"/>
          <w:highlight w:val="none"/>
          <w:lang w:val="en-US" w:eastAsia="zh-CN"/>
        </w:rPr>
        <w:t>1</w:t>
      </w:r>
      <w:r>
        <w:rPr>
          <w:color w:val="auto"/>
          <w:sz w:val="22"/>
          <w:szCs w:val="21"/>
          <w:highlight w:val="none"/>
        </w:rPr>
        <w:t>款规定的标准对投标文件进行初步评审。有一项不符合评审标准的，作废标处理。</w:t>
      </w:r>
    </w:p>
    <w:p w14:paraId="6C0018CA">
      <w:pPr>
        <w:spacing w:line="360" w:lineRule="auto"/>
        <w:ind w:firstLine="440" w:firstLineChars="200"/>
        <w:rPr>
          <w:color w:val="auto"/>
          <w:sz w:val="22"/>
          <w:szCs w:val="21"/>
          <w:highlight w:val="none"/>
        </w:rPr>
      </w:pPr>
      <w:r>
        <w:rPr>
          <w:rFonts w:hint="eastAsia" w:ascii="宋体" w:hAnsi="宋体" w:eastAsia="宋体" w:cs="Times New Roman"/>
          <w:b w:val="0"/>
          <w:bCs/>
          <w:color w:val="auto"/>
          <w:sz w:val="22"/>
          <w:szCs w:val="22"/>
          <w:highlight w:val="none"/>
        </w:rPr>
        <w:t>3.</w:t>
      </w:r>
      <w:r>
        <w:rPr>
          <w:rFonts w:hint="eastAsia" w:ascii="宋体" w:hAnsi="宋体" w:eastAsia="宋体" w:cs="Times New Roman"/>
          <w:b w:val="0"/>
          <w:bCs/>
          <w:color w:val="auto"/>
          <w:sz w:val="22"/>
          <w:szCs w:val="22"/>
          <w:highlight w:val="none"/>
          <w:lang w:val="en-US" w:eastAsia="zh-CN"/>
        </w:rPr>
        <w:t>1</w:t>
      </w:r>
      <w:r>
        <w:rPr>
          <w:rFonts w:hint="eastAsia" w:ascii="宋体" w:hAnsi="宋体" w:eastAsia="宋体" w:cs="Times New Roman"/>
          <w:b w:val="0"/>
          <w:bCs/>
          <w:color w:val="auto"/>
          <w:sz w:val="22"/>
          <w:szCs w:val="22"/>
          <w:highlight w:val="none"/>
        </w:rPr>
        <w:t xml:space="preserve">.2 </w:t>
      </w:r>
      <w:r>
        <w:rPr>
          <w:color w:val="auto"/>
          <w:sz w:val="22"/>
          <w:szCs w:val="21"/>
          <w:highlight w:val="none"/>
        </w:rPr>
        <w:t>投标人有以下情形之一的，其投标作废标处理：</w:t>
      </w:r>
    </w:p>
    <w:p w14:paraId="785F36C0">
      <w:pPr>
        <w:spacing w:line="360" w:lineRule="auto"/>
        <w:ind w:firstLine="440" w:firstLineChars="200"/>
        <w:rPr>
          <w:color w:val="auto"/>
          <w:sz w:val="22"/>
          <w:szCs w:val="21"/>
          <w:highlight w:val="none"/>
        </w:rPr>
      </w:pPr>
      <w:r>
        <w:rPr>
          <w:rFonts w:hint="eastAsia" w:ascii="宋体" w:hAnsi="Times New Roman" w:eastAsia="宋体" w:cs="Times New Roman"/>
          <w:color w:val="auto"/>
          <w:kern w:val="0"/>
          <w:sz w:val="22"/>
          <w:szCs w:val="22"/>
          <w:highlight w:val="none"/>
          <w:lang w:val="en-US" w:eastAsia="zh-CN" w:bidi="ar-SA"/>
        </w:rPr>
        <w:t>（1）</w:t>
      </w:r>
      <w:r>
        <w:rPr>
          <w:color w:val="auto"/>
          <w:sz w:val="22"/>
          <w:szCs w:val="21"/>
          <w:highlight w:val="none"/>
        </w:rPr>
        <w:t>第</w:t>
      </w:r>
      <w:r>
        <w:rPr>
          <w:rFonts w:hint="eastAsia"/>
          <w:color w:val="auto"/>
          <w:sz w:val="22"/>
          <w:szCs w:val="21"/>
          <w:highlight w:val="none"/>
        </w:rPr>
        <w:t>二</w:t>
      </w:r>
      <w:r>
        <w:rPr>
          <w:color w:val="auto"/>
          <w:sz w:val="22"/>
          <w:szCs w:val="21"/>
          <w:highlight w:val="none"/>
        </w:rPr>
        <w:t>章</w:t>
      </w:r>
      <w:r>
        <w:rPr>
          <w:rFonts w:hint="eastAsia"/>
          <w:color w:val="auto"/>
          <w:sz w:val="22"/>
          <w:szCs w:val="21"/>
          <w:highlight w:val="none"/>
        </w:rPr>
        <w:t>“</w:t>
      </w:r>
      <w:r>
        <w:rPr>
          <w:color w:val="auto"/>
          <w:sz w:val="22"/>
          <w:szCs w:val="21"/>
          <w:highlight w:val="none"/>
        </w:rPr>
        <w:t>投标人须知</w:t>
      </w:r>
      <w:r>
        <w:rPr>
          <w:rFonts w:hint="eastAsia"/>
          <w:color w:val="auto"/>
          <w:sz w:val="22"/>
          <w:szCs w:val="21"/>
          <w:highlight w:val="none"/>
        </w:rPr>
        <w:t>”</w:t>
      </w:r>
      <w:r>
        <w:rPr>
          <w:color w:val="auto"/>
          <w:sz w:val="22"/>
          <w:szCs w:val="21"/>
          <w:highlight w:val="none"/>
        </w:rPr>
        <w:t>第</w:t>
      </w:r>
      <w:r>
        <w:rPr>
          <w:rFonts w:hint="eastAsia" w:ascii="宋体" w:hAnsi="宋体" w:eastAsia="宋体" w:cs="Times New Roman"/>
          <w:b w:val="0"/>
          <w:bCs/>
          <w:color w:val="auto"/>
          <w:sz w:val="22"/>
          <w:szCs w:val="22"/>
          <w:highlight w:val="none"/>
        </w:rPr>
        <w:t>1.4.</w:t>
      </w:r>
      <w:r>
        <w:rPr>
          <w:rFonts w:hint="eastAsia" w:ascii="宋体" w:hAnsi="宋体" w:eastAsia="宋体" w:cs="Times New Roman"/>
          <w:b w:val="0"/>
          <w:bCs/>
          <w:color w:val="auto"/>
          <w:sz w:val="22"/>
          <w:szCs w:val="22"/>
          <w:highlight w:val="none"/>
          <w:lang w:val="en-US" w:eastAsia="zh-CN"/>
        </w:rPr>
        <w:t>3</w:t>
      </w:r>
      <w:r>
        <w:rPr>
          <w:rFonts w:hint="eastAsia" w:ascii="宋体" w:hAnsi="宋体" w:eastAsia="宋体" w:cs="Times New Roman"/>
          <w:b w:val="0"/>
          <w:bCs/>
          <w:color w:val="auto"/>
          <w:sz w:val="22"/>
          <w:szCs w:val="22"/>
          <w:highlight w:val="none"/>
        </w:rPr>
        <w:t>项</w:t>
      </w:r>
      <w:r>
        <w:rPr>
          <w:rFonts w:hint="eastAsia" w:ascii="宋体" w:hAnsi="宋体" w:eastAsia="宋体" w:cs="Times New Roman"/>
          <w:b w:val="0"/>
          <w:bCs/>
          <w:color w:val="auto"/>
          <w:sz w:val="22"/>
          <w:szCs w:val="22"/>
          <w:highlight w:val="none"/>
          <w:lang w:eastAsia="zh-CN"/>
        </w:rPr>
        <w:t>、</w:t>
      </w:r>
      <w:r>
        <w:rPr>
          <w:rFonts w:hint="eastAsia" w:ascii="宋体" w:hAnsi="宋体" w:eastAsia="宋体" w:cs="Times New Roman"/>
          <w:b w:val="0"/>
          <w:bCs/>
          <w:color w:val="auto"/>
          <w:sz w:val="22"/>
          <w:szCs w:val="22"/>
          <w:highlight w:val="none"/>
        </w:rPr>
        <w:t>第1.4.</w:t>
      </w:r>
      <w:r>
        <w:rPr>
          <w:rFonts w:hint="eastAsia" w:ascii="宋体" w:hAnsi="宋体" w:eastAsia="宋体" w:cs="Times New Roman"/>
          <w:b w:val="0"/>
          <w:bCs/>
          <w:color w:val="auto"/>
          <w:sz w:val="22"/>
          <w:szCs w:val="22"/>
          <w:highlight w:val="none"/>
          <w:lang w:val="en-US" w:eastAsia="zh-CN"/>
        </w:rPr>
        <w:t>4</w:t>
      </w:r>
      <w:r>
        <w:rPr>
          <w:rFonts w:hint="eastAsia" w:ascii="宋体" w:hAnsi="宋体" w:eastAsia="宋体" w:cs="Times New Roman"/>
          <w:b w:val="0"/>
          <w:bCs/>
          <w:color w:val="auto"/>
          <w:sz w:val="22"/>
          <w:szCs w:val="22"/>
          <w:highlight w:val="none"/>
        </w:rPr>
        <w:t>项</w:t>
      </w:r>
      <w:r>
        <w:rPr>
          <w:color w:val="auto"/>
          <w:sz w:val="22"/>
          <w:szCs w:val="21"/>
          <w:highlight w:val="none"/>
        </w:rPr>
        <w:t>规定的任何一种情形的；</w:t>
      </w:r>
    </w:p>
    <w:p w14:paraId="07C2F985">
      <w:pPr>
        <w:spacing w:line="360" w:lineRule="auto"/>
        <w:ind w:firstLine="440" w:firstLineChars="200"/>
        <w:rPr>
          <w:color w:val="auto"/>
          <w:sz w:val="22"/>
          <w:szCs w:val="21"/>
          <w:highlight w:val="none"/>
        </w:rPr>
      </w:pPr>
      <w:r>
        <w:rPr>
          <w:rFonts w:hint="eastAsia" w:ascii="宋体" w:hAnsi="Times New Roman" w:eastAsia="宋体" w:cs="Times New Roman"/>
          <w:color w:val="auto"/>
          <w:kern w:val="0"/>
          <w:sz w:val="22"/>
          <w:szCs w:val="22"/>
          <w:highlight w:val="none"/>
          <w:lang w:val="en-US" w:eastAsia="zh-CN" w:bidi="ar-SA"/>
        </w:rPr>
        <w:t>（2）</w:t>
      </w:r>
      <w:r>
        <w:rPr>
          <w:color w:val="auto"/>
          <w:sz w:val="22"/>
          <w:szCs w:val="21"/>
          <w:highlight w:val="none"/>
        </w:rPr>
        <w:t>串通投标或弄虚作假或有其他违法行为的；</w:t>
      </w:r>
    </w:p>
    <w:p w14:paraId="22D989B1">
      <w:pPr>
        <w:spacing w:line="360" w:lineRule="auto"/>
        <w:ind w:firstLine="440" w:firstLineChars="200"/>
        <w:rPr>
          <w:rFonts w:hint="eastAsia" w:eastAsia="宋体"/>
          <w:color w:val="auto"/>
          <w:sz w:val="22"/>
          <w:szCs w:val="21"/>
          <w:highlight w:val="none"/>
          <w:lang w:eastAsia="zh-CN"/>
        </w:rPr>
      </w:pPr>
      <w:r>
        <w:rPr>
          <w:rFonts w:hint="eastAsia" w:ascii="宋体" w:hAnsi="Times New Roman" w:eastAsia="宋体" w:cs="Times New Roman"/>
          <w:color w:val="auto"/>
          <w:kern w:val="0"/>
          <w:sz w:val="22"/>
          <w:szCs w:val="22"/>
          <w:highlight w:val="none"/>
          <w:lang w:val="en-US" w:eastAsia="zh-CN" w:bidi="ar-SA"/>
        </w:rPr>
        <w:t>（3）</w:t>
      </w:r>
      <w:r>
        <w:rPr>
          <w:color w:val="auto"/>
          <w:sz w:val="22"/>
          <w:szCs w:val="21"/>
          <w:highlight w:val="none"/>
        </w:rPr>
        <w:t>不按评标委员会要求澄清、说明或补正的</w:t>
      </w:r>
      <w:r>
        <w:rPr>
          <w:rFonts w:hint="eastAsia"/>
          <w:color w:val="auto"/>
          <w:sz w:val="22"/>
          <w:szCs w:val="21"/>
          <w:highlight w:val="none"/>
          <w:lang w:eastAsia="zh-CN"/>
        </w:rPr>
        <w:t>。</w:t>
      </w:r>
    </w:p>
    <w:p w14:paraId="63A4AE52">
      <w:pPr>
        <w:pStyle w:val="6"/>
        <w:spacing w:line="360" w:lineRule="auto"/>
        <w:ind w:firstLine="440" w:firstLineChars="200"/>
        <w:rPr>
          <w:rFonts w:hint="eastAsia"/>
          <w:color w:val="auto"/>
          <w:sz w:val="22"/>
          <w:szCs w:val="22"/>
          <w:highlight w:val="none"/>
        </w:rPr>
      </w:pPr>
      <w:r>
        <w:rPr>
          <w:rFonts w:hint="eastAsia"/>
          <w:color w:val="auto"/>
          <w:sz w:val="22"/>
          <w:szCs w:val="22"/>
          <w:highlight w:val="none"/>
        </w:rPr>
        <w:t>3.1.3 投标报价有算术错误的，评标委员会按以下原则对投标报价进行修正，修正的价格经投标人书面确认后具有约束力。投标人不接受修正价格的，评标委员会应当否决其投标。</w:t>
      </w:r>
    </w:p>
    <w:p w14:paraId="3F794A59">
      <w:pPr>
        <w:pStyle w:val="6"/>
        <w:spacing w:line="360" w:lineRule="auto"/>
        <w:ind w:firstLine="440" w:firstLineChars="200"/>
        <w:rPr>
          <w:rFonts w:hint="eastAsia"/>
          <w:color w:val="auto"/>
          <w:sz w:val="22"/>
          <w:szCs w:val="22"/>
          <w:highlight w:val="none"/>
        </w:rPr>
      </w:pPr>
      <w:r>
        <w:rPr>
          <w:rFonts w:hint="eastAsia"/>
          <w:color w:val="auto"/>
          <w:sz w:val="22"/>
          <w:szCs w:val="22"/>
          <w:highlight w:val="none"/>
        </w:rPr>
        <w:t>（1）投标文件中的大写金额与小写金额不一致的，以大写金额为准；</w:t>
      </w:r>
    </w:p>
    <w:p w14:paraId="07E907CC">
      <w:pPr>
        <w:pStyle w:val="6"/>
        <w:spacing w:line="360" w:lineRule="auto"/>
        <w:ind w:firstLine="440" w:firstLineChars="200"/>
        <w:rPr>
          <w:color w:val="auto"/>
          <w:sz w:val="22"/>
          <w:szCs w:val="22"/>
          <w:highlight w:val="none"/>
        </w:rPr>
      </w:pPr>
      <w:r>
        <w:rPr>
          <w:rFonts w:hint="eastAsia"/>
          <w:color w:val="auto"/>
          <w:sz w:val="22"/>
          <w:szCs w:val="22"/>
          <w:highlight w:val="none"/>
        </w:rPr>
        <w:t>（2）总价金额与依据单价计算出的结果不一致的，以单价金额为准修正总价，但单价金额小数点有明显错误的除外。</w:t>
      </w:r>
    </w:p>
    <w:p w14:paraId="76930039">
      <w:pPr>
        <w:pStyle w:val="5"/>
        <w:rPr>
          <w:rFonts w:ascii="宋体" w:hAnsi="Times New Roman"/>
          <w:bCs w:val="0"/>
          <w:color w:val="auto"/>
          <w:sz w:val="22"/>
          <w:szCs w:val="22"/>
          <w:highlight w:val="none"/>
        </w:rPr>
      </w:pPr>
      <w:r>
        <w:rPr>
          <w:rFonts w:hint="eastAsia" w:ascii="宋体" w:hAnsi="Times New Roman"/>
          <w:bCs w:val="0"/>
          <w:color w:val="auto"/>
          <w:sz w:val="22"/>
          <w:szCs w:val="22"/>
          <w:highlight w:val="none"/>
        </w:rPr>
        <w:t>3.</w:t>
      </w:r>
      <w:r>
        <w:rPr>
          <w:rFonts w:hint="eastAsia" w:ascii="宋体" w:hAnsi="Times New Roman"/>
          <w:bCs w:val="0"/>
          <w:color w:val="auto"/>
          <w:sz w:val="22"/>
          <w:szCs w:val="22"/>
          <w:highlight w:val="none"/>
          <w:lang w:val="en-US" w:eastAsia="zh-CN"/>
        </w:rPr>
        <w:t>2</w:t>
      </w:r>
      <w:r>
        <w:rPr>
          <w:rFonts w:hint="eastAsia" w:ascii="宋体" w:hAnsi="Times New Roman"/>
          <w:bCs w:val="0"/>
          <w:color w:val="auto"/>
          <w:sz w:val="22"/>
          <w:szCs w:val="22"/>
          <w:highlight w:val="none"/>
        </w:rPr>
        <w:t xml:space="preserve"> 详细评审</w:t>
      </w:r>
    </w:p>
    <w:p w14:paraId="6946D2B8">
      <w:pPr>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color w:val="auto"/>
          <w:sz w:val="22"/>
          <w:szCs w:val="21"/>
          <w:highlight w:val="none"/>
        </w:rPr>
        <w:t>3.</w:t>
      </w:r>
      <w:r>
        <w:rPr>
          <w:rFonts w:hint="eastAsia" w:ascii="宋体" w:hAnsi="宋体"/>
          <w:color w:val="auto"/>
          <w:sz w:val="22"/>
          <w:szCs w:val="21"/>
          <w:highlight w:val="none"/>
          <w:lang w:val="en-US" w:eastAsia="zh-CN"/>
        </w:rPr>
        <w:t>2</w:t>
      </w:r>
      <w:r>
        <w:rPr>
          <w:rFonts w:hint="eastAsia" w:ascii="宋体" w:hAnsi="宋体"/>
          <w:color w:val="auto"/>
          <w:sz w:val="22"/>
          <w:szCs w:val="21"/>
          <w:highlight w:val="none"/>
        </w:rPr>
        <w:t>.1 评标委员会按本章第2.</w:t>
      </w:r>
      <w:r>
        <w:rPr>
          <w:rFonts w:hint="eastAsia" w:ascii="宋体" w:hAnsi="宋体"/>
          <w:color w:val="auto"/>
          <w:sz w:val="22"/>
          <w:szCs w:val="21"/>
          <w:highlight w:val="none"/>
          <w:lang w:val="en-US" w:eastAsia="zh-CN"/>
        </w:rPr>
        <w:t>2</w:t>
      </w:r>
      <w:r>
        <w:rPr>
          <w:rFonts w:hint="eastAsia" w:ascii="宋体" w:hAnsi="宋体"/>
          <w:color w:val="auto"/>
          <w:sz w:val="22"/>
          <w:szCs w:val="21"/>
          <w:highlight w:val="none"/>
        </w:rPr>
        <w:t>款规定</w:t>
      </w:r>
      <w:r>
        <w:rPr>
          <w:rFonts w:hint="eastAsia" w:ascii="宋体" w:hAnsi="宋体" w:eastAsia="宋体" w:cs="宋体"/>
          <w:color w:val="auto"/>
          <w:sz w:val="22"/>
          <w:szCs w:val="22"/>
          <w:highlight w:val="none"/>
        </w:rPr>
        <w:t>的量化因素和分值进行打分，并计算出综合评估得分</w:t>
      </w:r>
      <w:r>
        <w:rPr>
          <w:rFonts w:hint="eastAsia" w:ascii="宋体" w:hAnsi="宋体" w:cs="宋体"/>
          <w:color w:val="auto"/>
          <w:sz w:val="22"/>
          <w:szCs w:val="22"/>
          <w:highlight w:val="none"/>
          <w:lang w:val="en-US" w:eastAsia="zh-CN"/>
        </w:rPr>
        <w:t>:</w:t>
      </w:r>
    </w:p>
    <w:p w14:paraId="49EE4A02">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（1）按本章第2.2.</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（1）目规定的评分因素及评分标准计算出得分A。</w:t>
      </w:r>
    </w:p>
    <w:p w14:paraId="79CFDF4F">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（2）按本章</w:t>
      </w:r>
      <w:r>
        <w:rPr>
          <w:rFonts w:hint="eastAsia" w:ascii="宋体" w:hAnsi="宋体" w:eastAsia="宋体" w:cs="宋体"/>
          <w:color w:val="auto"/>
          <w:sz w:val="22"/>
          <w:szCs w:val="22"/>
          <w:highlight w:val="none"/>
          <w:lang w:val="en-US" w:eastAsia="zh-CN"/>
        </w:rPr>
        <w:t>第</w:t>
      </w:r>
      <w:r>
        <w:rPr>
          <w:rFonts w:hint="eastAsia" w:ascii="宋体" w:hAnsi="宋体" w:eastAsia="宋体" w:cs="宋体"/>
          <w:color w:val="auto"/>
          <w:sz w:val="22"/>
          <w:szCs w:val="22"/>
          <w:highlight w:val="none"/>
        </w:rPr>
        <w:t>2.2.</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（2）目规定的评分因素及评分标准计算出得分B；</w:t>
      </w:r>
    </w:p>
    <w:p w14:paraId="086CFEB7">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（3）按本章第2.2.</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（3）目规定的评分因素及评分标准计算出得分</w:t>
      </w:r>
      <w:r>
        <w:rPr>
          <w:rFonts w:hint="eastAsia" w:ascii="宋体" w:hAnsi="宋体" w:eastAsia="宋体" w:cs="宋体"/>
          <w:color w:val="auto"/>
          <w:sz w:val="22"/>
          <w:szCs w:val="22"/>
          <w:highlight w:val="none"/>
          <w:lang w:val="en-US" w:eastAsia="zh-CN"/>
        </w:rPr>
        <w:t>C</w:t>
      </w:r>
      <w:r>
        <w:rPr>
          <w:rFonts w:hint="eastAsia" w:ascii="宋体" w:hAnsi="宋体" w:eastAsia="宋体" w:cs="宋体"/>
          <w:color w:val="auto"/>
          <w:sz w:val="22"/>
          <w:szCs w:val="22"/>
          <w:highlight w:val="none"/>
        </w:rPr>
        <w:t>；</w:t>
      </w:r>
    </w:p>
    <w:p w14:paraId="470C70D7">
      <w:pPr>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）按本章第2.2.</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）目规定的评分因素及评分标准计算出得分</w:t>
      </w:r>
      <w:r>
        <w:rPr>
          <w:rFonts w:hint="eastAsia" w:ascii="宋体" w:hAnsi="宋体" w:eastAsia="宋体" w:cs="宋体"/>
          <w:color w:val="auto"/>
          <w:sz w:val="22"/>
          <w:szCs w:val="22"/>
          <w:highlight w:val="none"/>
          <w:lang w:val="en-US" w:eastAsia="zh-CN"/>
        </w:rPr>
        <w:t>D。</w:t>
      </w:r>
    </w:p>
    <w:p w14:paraId="208AEB2D">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3.2.2 评分分值计算保留小数点后两位，小数点后第三位“四舍五入”。 </w:t>
      </w:r>
    </w:p>
    <w:p w14:paraId="43AE2B3F">
      <w:pPr>
        <w:spacing w:line="360" w:lineRule="auto"/>
        <w:ind w:firstLine="440" w:firstLineChars="200"/>
        <w:rPr>
          <w:rFonts w:hint="default"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rPr>
        <w:t>3.2.3 投标人得分=A+B+C</w:t>
      </w:r>
      <w:r>
        <w:rPr>
          <w:rFonts w:hint="eastAsia" w:ascii="宋体" w:hAnsi="宋体" w:cs="宋体"/>
          <w:b w:val="0"/>
          <w:bCs/>
          <w:color w:val="auto"/>
          <w:sz w:val="22"/>
          <w:szCs w:val="22"/>
          <w:highlight w:val="none"/>
          <w:lang w:val="en-US" w:eastAsia="zh-CN"/>
        </w:rPr>
        <w:t>+D</w:t>
      </w:r>
      <w:r>
        <w:rPr>
          <w:rFonts w:hint="eastAsia" w:ascii="宋体" w:hAnsi="宋体" w:eastAsia="宋体" w:cs="宋体"/>
          <w:b w:val="0"/>
          <w:bCs/>
          <w:color w:val="auto"/>
          <w:sz w:val="22"/>
          <w:szCs w:val="22"/>
          <w:highlight w:val="none"/>
        </w:rPr>
        <w:t>（保留小数点后两位，小数点后第三位“四舍五入”）</w:t>
      </w:r>
      <w:r>
        <w:rPr>
          <w:rFonts w:hint="eastAsia" w:ascii="宋体" w:hAnsi="宋体" w:cs="宋体"/>
          <w:b w:val="0"/>
          <w:bCs/>
          <w:color w:val="auto"/>
          <w:sz w:val="22"/>
          <w:szCs w:val="22"/>
          <w:highlight w:val="none"/>
          <w:lang w:val="en-US" w:eastAsia="zh-CN"/>
        </w:rPr>
        <w:t>。</w:t>
      </w:r>
    </w:p>
    <w:p w14:paraId="7E02A6A7">
      <w:pPr>
        <w:spacing w:line="360" w:lineRule="auto"/>
        <w:ind w:firstLine="440" w:firstLineChars="200"/>
        <w:rPr>
          <w:rFonts w:hint="eastAsia"/>
          <w:color w:val="auto"/>
          <w:sz w:val="22"/>
          <w:szCs w:val="22"/>
          <w:highlight w:val="none"/>
        </w:rPr>
      </w:pPr>
      <w:r>
        <w:rPr>
          <w:rFonts w:hint="eastAsia" w:ascii="宋体" w:hAnsi="宋体" w:eastAsia="宋体" w:cs="宋体"/>
          <w:color w:val="auto"/>
          <w:sz w:val="22"/>
          <w:szCs w:val="22"/>
          <w:highlight w:val="none"/>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应予否决。</w:t>
      </w:r>
    </w:p>
    <w:p w14:paraId="674E371A">
      <w:pPr>
        <w:pStyle w:val="5"/>
        <w:rPr>
          <w:rFonts w:ascii="宋体"/>
          <w:color w:val="auto"/>
          <w:sz w:val="22"/>
          <w:szCs w:val="22"/>
          <w:highlight w:val="none"/>
        </w:rPr>
      </w:pPr>
      <w:r>
        <w:rPr>
          <w:rFonts w:hint="eastAsia" w:ascii="宋体" w:hAnsi="宋体"/>
          <w:color w:val="auto"/>
          <w:sz w:val="22"/>
          <w:szCs w:val="22"/>
          <w:highlight w:val="none"/>
        </w:rPr>
        <w:t>3.</w:t>
      </w: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投标文件的澄清和补正</w:t>
      </w:r>
    </w:p>
    <w:p w14:paraId="080A1147">
      <w:pPr>
        <w:adjustRightInd w:val="0"/>
        <w:snapToGrid w:val="0"/>
        <w:spacing w:line="312" w:lineRule="auto"/>
        <w:ind w:firstLine="440" w:firstLineChars="200"/>
        <w:rPr>
          <w:rFonts w:ascii="宋体" w:hAnsi="宋体"/>
          <w:color w:val="auto"/>
          <w:sz w:val="22"/>
          <w:szCs w:val="22"/>
          <w:highlight w:val="none"/>
        </w:rPr>
      </w:pPr>
      <w:bookmarkStart w:id="16" w:name="_Toc48666403"/>
      <w:r>
        <w:rPr>
          <w:rFonts w:hint="eastAsia" w:ascii="宋体" w:hAnsi="宋体"/>
          <w:color w:val="auto"/>
          <w:sz w:val="22"/>
          <w:szCs w:val="22"/>
          <w:highlight w:val="none"/>
        </w:rPr>
        <w:t>3.4.1 在评标过程中，评标委员会可以书面形式要求投标人对所提交投标文件中不明确的内容进行书面澄清或说明，或者对细微偏差进行补正。评标委员会不接受投标人主动提出的澄清、说明或补正。</w:t>
      </w:r>
      <w:bookmarkEnd w:id="16"/>
    </w:p>
    <w:p w14:paraId="6DCAC222">
      <w:pPr>
        <w:adjustRightInd w:val="0"/>
        <w:snapToGrid w:val="0"/>
        <w:spacing w:line="312" w:lineRule="auto"/>
        <w:ind w:firstLine="440" w:firstLineChars="200"/>
        <w:rPr>
          <w:rFonts w:ascii="宋体" w:hAnsi="宋体"/>
          <w:color w:val="auto"/>
          <w:sz w:val="22"/>
          <w:szCs w:val="22"/>
          <w:highlight w:val="none"/>
        </w:rPr>
      </w:pPr>
      <w:bookmarkStart w:id="17" w:name="_Toc48666404"/>
      <w:r>
        <w:rPr>
          <w:rFonts w:hint="eastAsia" w:ascii="宋体" w:hAnsi="宋体"/>
          <w:color w:val="auto"/>
          <w:sz w:val="22"/>
          <w:szCs w:val="22"/>
          <w:highlight w:val="none"/>
        </w:rPr>
        <w:t>3.4.2 澄清、说明和补正不得改变投标文件的实质性内容(算术性错误修正的除外)。投标人的书面澄清、说明和补正属于投标文件的组成部分。</w:t>
      </w:r>
      <w:bookmarkEnd w:id="17"/>
    </w:p>
    <w:p w14:paraId="43F6033E">
      <w:pPr>
        <w:adjustRightInd w:val="0"/>
        <w:snapToGrid w:val="0"/>
        <w:spacing w:line="312" w:lineRule="auto"/>
        <w:ind w:firstLine="440" w:firstLineChars="200"/>
        <w:rPr>
          <w:rFonts w:ascii="宋体" w:hAnsi="宋体"/>
          <w:b/>
          <w:color w:val="auto"/>
          <w:sz w:val="22"/>
          <w:szCs w:val="22"/>
          <w:highlight w:val="none"/>
        </w:rPr>
      </w:pPr>
      <w:bookmarkStart w:id="18" w:name="_Toc48666405"/>
      <w:r>
        <w:rPr>
          <w:rFonts w:hint="eastAsia" w:ascii="宋体" w:hAnsi="宋体"/>
          <w:color w:val="auto"/>
          <w:sz w:val="22"/>
          <w:szCs w:val="22"/>
          <w:highlight w:val="none"/>
        </w:rPr>
        <w:t>3.4.3 评标委员会对投标人提交的澄清、说明或补正有疑问的，可以要求投标人进一步澄清、说明或补正，直至满足评标委员会的要求。</w:t>
      </w:r>
      <w:bookmarkEnd w:id="18"/>
    </w:p>
    <w:p w14:paraId="271497CD">
      <w:pPr>
        <w:adjustRightInd w:val="0"/>
        <w:snapToGrid w:val="0"/>
        <w:spacing w:line="312" w:lineRule="auto"/>
        <w:rPr>
          <w:rFonts w:ascii="宋体" w:hAnsi="宋体"/>
          <w:b/>
          <w:color w:val="auto"/>
          <w:sz w:val="22"/>
          <w:szCs w:val="22"/>
          <w:highlight w:val="none"/>
        </w:rPr>
      </w:pPr>
      <w:r>
        <w:rPr>
          <w:rFonts w:hint="eastAsia" w:ascii="宋体" w:hAnsi="宋体"/>
          <w:b/>
          <w:color w:val="auto"/>
          <w:sz w:val="22"/>
          <w:szCs w:val="22"/>
          <w:highlight w:val="none"/>
          <w:lang w:val="en-US" w:eastAsia="zh-CN"/>
        </w:rPr>
        <w:t>3.</w:t>
      </w:r>
      <w:r>
        <w:rPr>
          <w:rFonts w:hint="eastAsia" w:ascii="宋体" w:hAnsi="宋体"/>
          <w:b/>
          <w:color w:val="auto"/>
          <w:sz w:val="22"/>
          <w:szCs w:val="22"/>
          <w:highlight w:val="none"/>
        </w:rPr>
        <w:t>4评标结果</w:t>
      </w:r>
    </w:p>
    <w:bookmarkEnd w:id="12"/>
    <w:bookmarkEnd w:id="13"/>
    <w:p w14:paraId="7311EF5F">
      <w:pPr>
        <w:adjustRightInd w:val="0"/>
        <w:snapToGrid w:val="0"/>
        <w:spacing w:line="312" w:lineRule="auto"/>
        <w:ind w:firstLine="440" w:firstLineChars="200"/>
        <w:rPr>
          <w:rFonts w:ascii="宋体" w:hAnsi="宋体"/>
          <w:color w:val="auto"/>
          <w:sz w:val="22"/>
          <w:szCs w:val="22"/>
          <w:highlight w:val="none"/>
        </w:rPr>
      </w:pP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4.1 除第</w:t>
      </w:r>
      <w:r>
        <w:rPr>
          <w:rFonts w:hint="eastAsia" w:ascii="宋体" w:hAnsi="宋体"/>
          <w:color w:val="auto"/>
          <w:sz w:val="22"/>
          <w:szCs w:val="22"/>
          <w:highlight w:val="none"/>
          <w:lang w:val="en-US" w:eastAsia="zh-CN"/>
        </w:rPr>
        <w:t>二</w:t>
      </w:r>
      <w:r>
        <w:rPr>
          <w:rFonts w:hint="eastAsia" w:ascii="宋体" w:hAnsi="宋体"/>
          <w:color w:val="auto"/>
          <w:sz w:val="22"/>
          <w:szCs w:val="22"/>
          <w:highlight w:val="none"/>
        </w:rPr>
        <w:t>章“投标须知”前附表授权直接确定中标人外，评标委员会按照评标总得分由高到低的顺序推荐中标候选人。</w:t>
      </w:r>
    </w:p>
    <w:p w14:paraId="36BA85BE">
      <w:pPr>
        <w:adjustRightInd w:val="0"/>
        <w:snapToGrid w:val="0"/>
        <w:spacing w:line="312" w:lineRule="auto"/>
        <w:ind w:firstLine="440" w:firstLineChars="200"/>
        <w:rPr>
          <w:rFonts w:ascii="宋体" w:hAnsi="宋体"/>
          <w:color w:val="auto"/>
          <w:sz w:val="22"/>
          <w:szCs w:val="22"/>
          <w:highlight w:val="none"/>
        </w:rPr>
      </w:pP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4.2评标委员会完成评标后，应当向招标人提交书面评标报告。</w:t>
      </w:r>
    </w:p>
    <w:p w14:paraId="24589A37">
      <w:pPr>
        <w:rPr>
          <w:rFonts w:cs="宋体" w:asciiTheme="majorEastAsia" w:hAnsiTheme="majorEastAsia" w:eastAsiaTheme="majorEastAsia"/>
          <w:b/>
          <w:color w:val="auto"/>
          <w:sz w:val="32"/>
          <w:highlight w:val="none"/>
        </w:rPr>
      </w:pPr>
      <w:r>
        <w:rPr>
          <w:rFonts w:cs="Arial" w:asciiTheme="majorEastAsia" w:hAnsiTheme="majorEastAsia" w:eastAsiaTheme="majorEastAsia"/>
          <w:b/>
          <w:color w:val="auto"/>
          <w:sz w:val="32"/>
          <w:highlight w:val="none"/>
        </w:rPr>
        <w:br w:type="page"/>
      </w:r>
    </w:p>
    <w:p w14:paraId="502FE72C">
      <w:pPr>
        <w:pStyle w:val="18"/>
        <w:pageBreakBefore w:val="0"/>
        <w:widowControl w:val="0"/>
        <w:kinsoku/>
        <w:wordWrap/>
        <w:overflowPunct/>
        <w:topLinePunct w:val="0"/>
        <w:autoSpaceDE/>
        <w:autoSpaceDN/>
        <w:bidi w:val="0"/>
        <w:adjustRightInd w:val="0"/>
        <w:snapToGrid w:val="0"/>
        <w:spacing w:before="0" w:after="0" w:line="360" w:lineRule="auto"/>
        <w:ind w:firstLine="0" w:firstLineChars="0"/>
        <w:textAlignment w:val="auto"/>
        <w:rPr>
          <w:rFonts w:cs="宋体" w:asciiTheme="majorEastAsia" w:hAnsiTheme="majorEastAsia" w:eastAsiaTheme="majorEastAsia"/>
          <w:b w:val="0"/>
          <w:color w:val="auto"/>
          <w:highlight w:val="none"/>
        </w:rPr>
      </w:pPr>
      <w:bookmarkStart w:id="19" w:name="_Toc11367"/>
      <w:r>
        <w:rPr>
          <w:rFonts w:hint="eastAsia" w:cs="宋体" w:asciiTheme="majorEastAsia" w:hAnsiTheme="majorEastAsia" w:eastAsiaTheme="majorEastAsia"/>
          <w:color w:val="auto"/>
          <w:highlight w:val="none"/>
        </w:rPr>
        <w:t>第四章合同条款及格式</w:t>
      </w:r>
      <w:bookmarkEnd w:id="19"/>
    </w:p>
    <w:p w14:paraId="729213AB">
      <w:pPr>
        <w:keepNext/>
        <w:keepLines/>
        <w:pageBreakBefore w:val="0"/>
        <w:widowControl w:val="0"/>
        <w:kinsoku/>
        <w:wordWrap/>
        <w:overflowPunct/>
        <w:topLinePunct w:val="0"/>
        <w:autoSpaceDE/>
        <w:autoSpaceDN/>
        <w:bidi w:val="0"/>
        <w:spacing w:line="360" w:lineRule="auto"/>
        <w:ind w:firstLine="0" w:firstLineChars="0"/>
        <w:jc w:val="center"/>
        <w:textAlignment w:val="auto"/>
        <w:rPr>
          <w:rFonts w:cs="宋体" w:asciiTheme="majorEastAsia" w:hAnsiTheme="majorEastAsia" w:eastAsiaTheme="majorEastAsia"/>
          <w:color w:val="auto"/>
          <w:sz w:val="24"/>
          <w:highlight w:val="none"/>
        </w:rPr>
      </w:pPr>
      <w:r>
        <w:rPr>
          <w:rFonts w:hint="eastAsia" w:cs="宋体" w:asciiTheme="majorEastAsia" w:hAnsiTheme="majorEastAsia" w:eastAsiaTheme="majorEastAsia"/>
          <w:b/>
          <w:color w:val="auto"/>
          <w:sz w:val="32"/>
          <w:highlight w:val="none"/>
        </w:rPr>
        <w:t>第</w:t>
      </w:r>
      <w:r>
        <w:rPr>
          <w:rFonts w:cs="宋体" w:asciiTheme="majorEastAsia" w:hAnsiTheme="majorEastAsia" w:eastAsiaTheme="majorEastAsia"/>
          <w:b/>
          <w:color w:val="auto"/>
          <w:sz w:val="32"/>
          <w:highlight w:val="none"/>
        </w:rPr>
        <w:t>1</w:t>
      </w:r>
      <w:r>
        <w:rPr>
          <w:rFonts w:hint="eastAsia" w:cs="宋体" w:asciiTheme="majorEastAsia" w:hAnsiTheme="majorEastAsia" w:eastAsiaTheme="majorEastAsia"/>
          <w:b/>
          <w:color w:val="auto"/>
          <w:sz w:val="32"/>
          <w:highlight w:val="none"/>
        </w:rPr>
        <w:t>节通用合同条款</w:t>
      </w:r>
    </w:p>
    <w:p w14:paraId="54966DA2">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  一般约定</w:t>
      </w:r>
    </w:p>
    <w:p w14:paraId="785EADE6">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1.1  词语定义</w:t>
      </w:r>
    </w:p>
    <w:p w14:paraId="53E79D01">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通用合同条款、专用合同条款中的下列词语应具有本款所赋予的含义。</w:t>
      </w:r>
    </w:p>
    <w:p w14:paraId="216720F4">
      <w:pPr>
        <w:keepNext w:val="0"/>
        <w:keepLines w:val="0"/>
        <w:pageBreakBefore w:val="0"/>
        <w:widowControl w:val="0"/>
        <w:kinsoku/>
        <w:wordWrap/>
        <w:overflowPunct/>
        <w:topLinePunct w:val="0"/>
        <w:autoSpaceDE/>
        <w:autoSpaceDN/>
        <w:bidi w:val="0"/>
        <w:spacing w:line="312" w:lineRule="auto"/>
        <w:ind w:firstLine="47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1.1.1合同</w:t>
      </w:r>
    </w:p>
    <w:p w14:paraId="5474D572">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1.1.1.1 合同文件（或称合同）：指合同协议书、中标通知书、投标函及投标函附录、专用合同条款、通用合同条款、技术标准和要求、图纸、已标价工程量清单，以及其他合同文件。</w:t>
      </w:r>
    </w:p>
    <w:p w14:paraId="3DA46D4A">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1.1.1.2 合同协议书：指第1.5 款所指的合同协议书。</w:t>
      </w:r>
    </w:p>
    <w:p w14:paraId="6F171DD4">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1.1.1.3 中标通知书：指发包人通知承包人中标的函件。</w:t>
      </w:r>
    </w:p>
    <w:p w14:paraId="789B0D19">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1.1.1.4 投标函：指构成合同文件组成部分的由承包人填写并签署的投标函。</w:t>
      </w:r>
    </w:p>
    <w:p w14:paraId="66BE714B">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1.1.1.5 投标函附录：指附在投标函后构成合同文件的投标函附录。</w:t>
      </w:r>
    </w:p>
    <w:p w14:paraId="63E6FA03">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1.1.1.6 技术标准和要求：指构成合同文件组成部分的名为技术标准和要求（合同技术条款）的文件，包括合同双方当事人约定对其所作的修改或补充。</w:t>
      </w:r>
    </w:p>
    <w:p w14:paraId="143E9CD0">
      <w:pPr>
        <w:keepNext w:val="0"/>
        <w:keepLines w:val="0"/>
        <w:pageBreakBefore w:val="0"/>
        <w:widowControl w:val="0"/>
        <w:kinsoku/>
        <w:wordWrap/>
        <w:overflowPunct/>
        <w:topLinePunct w:val="0"/>
        <w:autoSpaceDE/>
        <w:autoSpaceDN/>
        <w:bidi w:val="0"/>
        <w:spacing w:line="312" w:lineRule="auto"/>
        <w:ind w:firstLine="47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1.1.1.7  图纸：指列入合同的招标图纸、投标图纸和发包人按合同约定向承包人提供的施工图纸和其它图纸（包括配套说明和有关资料）。列入合同的招标图纸已成为合同文件的一部分，具有合同效力，主要用于在履行合同中作为衡量变更的依据，但不能直接用于施工。经发包人确认进入合同的投标图纸亦成为合同文件的一部分，用于在履行合同中检验承包人是否按其投标时承诺的条件进行施工的依据，亦不能直接用于施工。</w:t>
      </w:r>
    </w:p>
    <w:p w14:paraId="44A63D79">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1.1.1.8 已标价工程量清单：指构成合同文件组成部分的由承包人按照规定的格式和要求填写并标明价格的工程量清单。</w:t>
      </w:r>
    </w:p>
    <w:p w14:paraId="54E4377F">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1.1.1.9 其他合同文件：指经合同双方当事人确认构成合同文件的其他文件。</w:t>
      </w:r>
    </w:p>
    <w:p w14:paraId="6E754EAA">
      <w:pPr>
        <w:keepNext w:val="0"/>
        <w:keepLines w:val="0"/>
        <w:pageBreakBefore w:val="0"/>
        <w:widowControl w:val="0"/>
        <w:kinsoku/>
        <w:wordWrap/>
        <w:overflowPunct/>
        <w:topLinePunct w:val="0"/>
        <w:autoSpaceDE/>
        <w:autoSpaceDN/>
        <w:bidi w:val="0"/>
        <w:spacing w:line="312" w:lineRule="auto"/>
        <w:ind w:firstLine="47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1.1.2  合同当事人和人员</w:t>
      </w:r>
    </w:p>
    <w:p w14:paraId="17962BD0">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1.1.2.1 合同当事人：指发包人和（或）承包人。</w:t>
      </w:r>
    </w:p>
    <w:p w14:paraId="5BB92E8B">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1.1.2.2 发包人：指专用合同条款中指明并与承包人在合同协议书中签字的当事人。</w:t>
      </w:r>
    </w:p>
    <w:p w14:paraId="15E86C46">
      <w:pPr>
        <w:keepNext w:val="0"/>
        <w:keepLines w:val="0"/>
        <w:pageBreakBefore w:val="0"/>
        <w:widowControl w:val="0"/>
        <w:kinsoku/>
        <w:wordWrap/>
        <w:overflowPunct/>
        <w:topLinePunct w:val="0"/>
        <w:autoSpaceDE/>
        <w:autoSpaceDN/>
        <w:bidi w:val="0"/>
        <w:spacing w:line="312" w:lineRule="auto"/>
        <w:ind w:firstLine="47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1.1.2.3 承包人：指专用合同条款中指明并与发包人在合同协议书中签字的当事人。</w:t>
      </w:r>
    </w:p>
    <w:p w14:paraId="6DCEE045">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1.1.2.4 承包人项目经理：指承包人派驻施工场地的全权负责人。</w:t>
      </w:r>
    </w:p>
    <w:p w14:paraId="7D9C6DF8">
      <w:pPr>
        <w:keepNext w:val="0"/>
        <w:keepLines w:val="0"/>
        <w:pageBreakBefore w:val="0"/>
        <w:widowControl w:val="0"/>
        <w:kinsoku/>
        <w:wordWrap/>
        <w:overflowPunct/>
        <w:topLinePunct w:val="0"/>
        <w:autoSpaceDE/>
        <w:autoSpaceDN/>
        <w:bidi w:val="0"/>
        <w:spacing w:line="312" w:lineRule="auto"/>
        <w:ind w:firstLine="47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1.1.2.5  分包人：指专用合同条款中指明的，从承包人处分包合同中某一部分工程，并与其签订分包合同的分包人。</w:t>
      </w:r>
    </w:p>
    <w:p w14:paraId="48D32F2B">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1.1.2.6 监理人：指在专用合同条款中指明的，受发包人委托对合同履行实施管理的法人或其他组织。</w:t>
      </w:r>
    </w:p>
    <w:p w14:paraId="1D28F115">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1.1.2.7 总监理工程师（总监）：指由监理人委派常驻施工场地对合同履行实施管理的全权负责人。</w:t>
      </w:r>
    </w:p>
    <w:p w14:paraId="336EAAC1">
      <w:pPr>
        <w:keepNext w:val="0"/>
        <w:keepLines w:val="0"/>
        <w:pageBreakBefore w:val="0"/>
        <w:widowControl w:val="0"/>
        <w:kinsoku/>
        <w:wordWrap/>
        <w:overflowPunct/>
        <w:topLinePunct w:val="0"/>
        <w:autoSpaceDE/>
        <w:autoSpaceDN/>
        <w:bidi w:val="0"/>
        <w:spacing w:line="312" w:lineRule="auto"/>
        <w:ind w:firstLine="47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1.1.3  工程和设备</w:t>
      </w:r>
    </w:p>
    <w:p w14:paraId="1FB69215">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1.1.3.1 工程：指永久工程和（或）临时工程。</w:t>
      </w:r>
    </w:p>
    <w:p w14:paraId="5368BA1A">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1.1.3.2 永久工程：指按合同约定建造并移交给发包人的工程，包括工程设备。</w:t>
      </w:r>
    </w:p>
    <w:p w14:paraId="4922BB03">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1.1.3.3 临时工程：指为完成合同约定的永久工程所修建的各类临时性工程，不包括施工设备。</w:t>
      </w:r>
    </w:p>
    <w:p w14:paraId="31A68086">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1.1.3.4 单位工程：指专用合同条款中指明特定范围的永久工程。</w:t>
      </w:r>
    </w:p>
    <w:p w14:paraId="0732E602">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1.1.3.5 工程设备：指构成或计划构成永久工程一部分的机电设备、金属结构设备、仪器装置及其他类似的设备和装置。</w:t>
      </w:r>
    </w:p>
    <w:p w14:paraId="2C01BC4B">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1.1.3.6 施工设备：指为完成合同约定的各项工作所需的设备、器具和其他物品，不包括临时工程和材料。</w:t>
      </w:r>
    </w:p>
    <w:p w14:paraId="2BA7EC42">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1.1.3.7 临时设施：指为完成合同约定的各项工作所服务的临时性生产和生活设施。</w:t>
      </w:r>
    </w:p>
    <w:p w14:paraId="2F4AFE59">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1.1.3.8 承包人设备：指承包人自带的施工设备。</w:t>
      </w:r>
    </w:p>
    <w:p w14:paraId="477650F8">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1.1.3.9 施工场地（或称工地、现场）：指用于合同工程施工的场所，以及在合同中指定作为施工场地组成部分的其他场所，包括永久占地和临时占地。</w:t>
      </w:r>
    </w:p>
    <w:p w14:paraId="5682BA70">
      <w:pPr>
        <w:keepNext w:val="0"/>
        <w:keepLines w:val="0"/>
        <w:pageBreakBefore w:val="0"/>
        <w:widowControl w:val="0"/>
        <w:kinsoku/>
        <w:wordWrap/>
        <w:overflowPunct/>
        <w:topLinePunct w:val="0"/>
        <w:autoSpaceDE/>
        <w:autoSpaceDN/>
        <w:bidi w:val="0"/>
        <w:spacing w:line="312" w:lineRule="auto"/>
        <w:ind w:firstLine="47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1.1.3.10  永久占地：指发包人为建设本合同工程永久征用的场地。</w:t>
      </w:r>
    </w:p>
    <w:p w14:paraId="05C21B4F">
      <w:pPr>
        <w:keepNext w:val="0"/>
        <w:keepLines w:val="0"/>
        <w:pageBreakBefore w:val="0"/>
        <w:widowControl w:val="0"/>
        <w:kinsoku/>
        <w:wordWrap/>
        <w:overflowPunct/>
        <w:topLinePunct w:val="0"/>
        <w:autoSpaceDE/>
        <w:autoSpaceDN/>
        <w:bidi w:val="0"/>
        <w:spacing w:line="312" w:lineRule="auto"/>
        <w:ind w:firstLine="47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1.1.3.11  临时占地：指发包人为建设本合同工程临时征用，承包人在完工后须按合同要求退还的场地。</w:t>
      </w:r>
    </w:p>
    <w:p w14:paraId="1FBF436A">
      <w:pPr>
        <w:keepNext w:val="0"/>
        <w:keepLines w:val="0"/>
        <w:pageBreakBefore w:val="0"/>
        <w:widowControl w:val="0"/>
        <w:kinsoku/>
        <w:wordWrap/>
        <w:overflowPunct/>
        <w:topLinePunct w:val="0"/>
        <w:autoSpaceDE/>
        <w:autoSpaceDN/>
        <w:bidi w:val="0"/>
        <w:spacing w:line="312" w:lineRule="auto"/>
        <w:ind w:firstLine="47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1.1.4  日期</w:t>
      </w:r>
    </w:p>
    <w:p w14:paraId="0B04028E">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1.1.4.1 开工通知：指监理人按第11.1 款通知承包人开工的函件。</w:t>
      </w:r>
    </w:p>
    <w:p w14:paraId="708A0844">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1.1.4.2 开工日期：指监理人按第11.1 款发出的开工通知中写明的开工日期。</w:t>
      </w:r>
    </w:p>
    <w:p w14:paraId="3820598D">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1.1.4.3 工期：指承包人在投标函中承诺的完成合同工程所需的期限，包括按第11.3 款、第11.4 款和第11.6 款约定所作的变更。</w:t>
      </w:r>
    </w:p>
    <w:p w14:paraId="28B012B4">
      <w:pPr>
        <w:keepNext w:val="0"/>
        <w:keepLines w:val="0"/>
        <w:pageBreakBefore w:val="0"/>
        <w:widowControl w:val="0"/>
        <w:kinsoku/>
        <w:wordWrap/>
        <w:overflowPunct/>
        <w:topLinePunct w:val="0"/>
        <w:autoSpaceDE/>
        <w:autoSpaceDN/>
        <w:bidi w:val="0"/>
        <w:spacing w:line="312" w:lineRule="auto"/>
        <w:ind w:firstLine="47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1.1.4.4 竣工日期：即合同工程完工日期，指第1.1.4.3目约定工期届满时的日期。实际完工日期以合同工程完工证书中写明的日期为准。</w:t>
      </w:r>
    </w:p>
    <w:p w14:paraId="77EEEB41">
      <w:pPr>
        <w:keepNext w:val="0"/>
        <w:keepLines w:val="0"/>
        <w:pageBreakBefore w:val="0"/>
        <w:widowControl w:val="0"/>
        <w:kinsoku/>
        <w:wordWrap/>
        <w:overflowPunct/>
        <w:topLinePunct w:val="0"/>
        <w:autoSpaceDE/>
        <w:autoSpaceDN/>
        <w:bidi w:val="0"/>
        <w:spacing w:line="312" w:lineRule="auto"/>
        <w:ind w:firstLine="47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1.1.4.5 缺陷责任期：即工程质量保修期：指履行第19.2款约定的缺陷责任的期限，包括根据第19.3款约定所作的延长，具体期限由专用合同条款约定。</w:t>
      </w:r>
    </w:p>
    <w:p w14:paraId="42358B8A">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1.1.4.6 基准日期：指投标截止时间前28 天的日期。</w:t>
      </w:r>
    </w:p>
    <w:p w14:paraId="76EEA3ED">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1.1.4.7 天：除特别指明外，指日历天。合同中按天计算时间的，开始当天不计入，从次日开始计算。期限最后一天的截止时间为当天24:00。</w:t>
      </w:r>
    </w:p>
    <w:p w14:paraId="655CA065">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1.1.5 合同价格和费用</w:t>
      </w:r>
    </w:p>
    <w:p w14:paraId="4D17F998">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1.1.5.1 签约合同价：指签定合同时合同协议书中写明的，包括了暂列金额、暂估价的合同总金额。</w:t>
      </w:r>
    </w:p>
    <w:p w14:paraId="45CF3746">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1.1.5.2 合同价格：指承包人按合同约定完成了包括缺陷责任期内的全部承包工作后，发包人应付给承包人的金额，包括在履行合同过程中按合同约定进行的变更和调整。</w:t>
      </w:r>
    </w:p>
    <w:p w14:paraId="50477CB6">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1.1.5.3 费用：指为履行合同所发生的或将要发生的所有合理开支，包括管理费和应分摊的其他费用，但不包括利润。</w:t>
      </w:r>
    </w:p>
    <w:p w14:paraId="07C4971A">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1.1.5.4 暂列金额：指已标价工程量清单中所列的暂列金额，用于在签订协议书时尚未确定或不可预见变更的施工及其所需材料、工程设备、服务等的金额，包括以计日工方式支付的金额。</w:t>
      </w:r>
    </w:p>
    <w:p w14:paraId="0732B885">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1.1.5.5 暂估价：指发包人在工程量清单中给定的用于支付必然发生但暂时不能确定价格的材料、设备以及专业工程的金额。</w:t>
      </w:r>
    </w:p>
    <w:p w14:paraId="52164776">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1.1.5.6 计日工：指对零星工作采取的一种计价方式，按合同中的计日工子目及其单价计价付款。</w:t>
      </w:r>
    </w:p>
    <w:p w14:paraId="65169794">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1.1.5.7 质量保证金（或称保留金）：指按第17.4.1项约定用于保证在缺陷责任期内履行缺陷修复义务的金额。</w:t>
      </w:r>
    </w:p>
    <w:p w14:paraId="091A6F7E">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1.1.6 其他</w:t>
      </w:r>
    </w:p>
    <w:p w14:paraId="010AD3AA">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1.1.6.1 书面形式：指合同文件、信函、电报、传真等可以有形地表现所载内容的形式。</w:t>
      </w:r>
    </w:p>
    <w:p w14:paraId="6457C8F0">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1.2 语言文字</w:t>
      </w:r>
    </w:p>
    <w:p w14:paraId="33F1730A">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除专用术语外，合同使用的语言文字为中文。必要时专用术语应附有中文注释。</w:t>
      </w:r>
    </w:p>
    <w:p w14:paraId="3FE0DD8E">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1.3 法律</w:t>
      </w:r>
    </w:p>
    <w:p w14:paraId="07E5E030">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适用于合同的法律包括中华人民共和国法律、行政法规、部门规章，以及工程所在地的地方法规、自治条例、单行条例和地方政府规章。</w:t>
      </w:r>
    </w:p>
    <w:p w14:paraId="78A1F780">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1.4 合同文件的优先顺序</w:t>
      </w:r>
    </w:p>
    <w:p w14:paraId="16C394FD">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组成合同的各项文件应互相解释，互为说明。除专用合同条款另有约定外，解释合同文件的优先顺序如下：</w:t>
      </w:r>
    </w:p>
    <w:p w14:paraId="3362F768">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（l）合同协议书；</w:t>
      </w:r>
    </w:p>
    <w:p w14:paraId="55E45108">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（2）中标通知书；</w:t>
      </w:r>
    </w:p>
    <w:p w14:paraId="2F4A61E5">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（3）投标函及投标函附录；</w:t>
      </w:r>
    </w:p>
    <w:p w14:paraId="5926C952">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（4）专用合同条款；</w:t>
      </w:r>
    </w:p>
    <w:p w14:paraId="38EF818F">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（5）通用合同条款；</w:t>
      </w:r>
    </w:p>
    <w:p w14:paraId="67943156">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（6）技术标准和要求；</w:t>
      </w:r>
    </w:p>
    <w:p w14:paraId="381FF0DA">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（7）图纸；</w:t>
      </w:r>
    </w:p>
    <w:p w14:paraId="6985BB0C">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（8）已标价工程量清单；</w:t>
      </w:r>
    </w:p>
    <w:p w14:paraId="3312F94E">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（9）其他合同文件。</w:t>
      </w:r>
    </w:p>
    <w:p w14:paraId="68B04855">
      <w:pPr>
        <w:keepNext w:val="0"/>
        <w:keepLines w:val="0"/>
        <w:pageBreakBefore w:val="0"/>
        <w:widowControl w:val="0"/>
        <w:kinsoku/>
        <w:wordWrap/>
        <w:overflowPunct/>
        <w:topLinePunct w:val="0"/>
        <w:autoSpaceDE/>
        <w:autoSpaceDN/>
        <w:bidi w:val="0"/>
        <w:spacing w:line="312" w:lineRule="auto"/>
        <w:jc w:val="left"/>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1.5 合同协议书</w:t>
      </w:r>
    </w:p>
    <w:p w14:paraId="1DC34C6D">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承包人按中标通知书规定的时间与发包人签订合同协议书。除法律另有规定或合同另有约定外，发包人和承包人的法定代表人或其授权委托人在合同协议书上签字并盖单位章后，合同生效。</w:t>
      </w:r>
    </w:p>
    <w:p w14:paraId="5034AF58">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1.6  图纸和承包人文件</w:t>
      </w:r>
    </w:p>
    <w:p w14:paraId="3B988673">
      <w:pPr>
        <w:keepNext w:val="0"/>
        <w:keepLines w:val="0"/>
        <w:pageBreakBefore w:val="0"/>
        <w:widowControl w:val="0"/>
        <w:kinsoku/>
        <w:wordWrap/>
        <w:overflowPunct/>
        <w:topLinePunct w:val="0"/>
        <w:autoSpaceDE/>
        <w:autoSpaceDN/>
        <w:bidi w:val="0"/>
        <w:spacing w:line="312" w:lineRule="auto"/>
        <w:ind w:firstLine="47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1.6.1  图纸的提供</w:t>
      </w:r>
    </w:p>
    <w:p w14:paraId="607EA54C">
      <w:pPr>
        <w:keepNext w:val="0"/>
        <w:keepLines w:val="0"/>
        <w:pageBreakBefore w:val="0"/>
        <w:widowControl w:val="0"/>
        <w:kinsoku/>
        <w:wordWrap/>
        <w:overflowPunct/>
        <w:topLinePunct w:val="0"/>
        <w:autoSpaceDE/>
        <w:autoSpaceDN/>
        <w:bidi w:val="0"/>
        <w:spacing w:line="312" w:lineRule="auto"/>
        <w:ind w:firstLine="47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发包人应按技术标准和要求（合同技术条款）约定的期限和数量将施工图纸以及其它图纸（包括配套说明和有关资料）提供给承包人。由于发包人未按时提供图纸造成工期延误的，按第11.3款的约定办理。</w:t>
      </w:r>
    </w:p>
    <w:p w14:paraId="0E9CC1AE">
      <w:pPr>
        <w:keepNext w:val="0"/>
        <w:keepLines w:val="0"/>
        <w:pageBreakBefore w:val="0"/>
        <w:widowControl w:val="0"/>
        <w:kinsoku/>
        <w:wordWrap/>
        <w:overflowPunct/>
        <w:topLinePunct w:val="0"/>
        <w:autoSpaceDE/>
        <w:autoSpaceDN/>
        <w:bidi w:val="0"/>
        <w:spacing w:line="312" w:lineRule="auto"/>
        <w:ind w:firstLine="47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1.6.2  承包人提供的文件</w:t>
      </w:r>
    </w:p>
    <w:p w14:paraId="00F95FEF">
      <w:pPr>
        <w:keepNext w:val="0"/>
        <w:keepLines w:val="0"/>
        <w:pageBreakBefore w:val="0"/>
        <w:widowControl w:val="0"/>
        <w:kinsoku/>
        <w:wordWrap/>
        <w:overflowPunct/>
        <w:topLinePunct w:val="0"/>
        <w:autoSpaceDE/>
        <w:autoSpaceDN/>
        <w:bidi w:val="0"/>
        <w:spacing w:line="312" w:lineRule="auto"/>
        <w:ind w:firstLine="47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承包人提供的文件应按技术标准和要求（合同技术条款）约定的期限和数量提供给监理人。监理人应按技术标准和要求（合同技术条款）约定的期限批复承包人。</w:t>
      </w:r>
    </w:p>
    <w:p w14:paraId="0E9BD953">
      <w:pPr>
        <w:keepNext w:val="0"/>
        <w:keepLines w:val="0"/>
        <w:pageBreakBefore w:val="0"/>
        <w:widowControl w:val="0"/>
        <w:kinsoku/>
        <w:wordWrap/>
        <w:overflowPunct/>
        <w:topLinePunct w:val="0"/>
        <w:autoSpaceDE/>
        <w:autoSpaceDN/>
        <w:bidi w:val="0"/>
        <w:spacing w:line="312" w:lineRule="auto"/>
        <w:ind w:firstLine="47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1.6.3  图纸的修改</w:t>
      </w:r>
    </w:p>
    <w:p w14:paraId="55BD0843">
      <w:pPr>
        <w:keepNext w:val="0"/>
        <w:keepLines w:val="0"/>
        <w:pageBreakBefore w:val="0"/>
        <w:widowControl w:val="0"/>
        <w:kinsoku/>
        <w:wordWrap/>
        <w:overflowPunct/>
        <w:topLinePunct w:val="0"/>
        <w:autoSpaceDE/>
        <w:autoSpaceDN/>
        <w:bidi w:val="0"/>
        <w:spacing w:line="312" w:lineRule="auto"/>
        <w:ind w:firstLine="47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设计人需要对已发给承包人的施工图纸进行修改时，监理人应在技术标准和要求（合同技术条款）约定的期限内签发施工图纸的修改图给承包人。承包人应按技术标准和要求（合同技术条款）的约定编制一份承包人实施计划提交监理人批准后执行。</w:t>
      </w:r>
    </w:p>
    <w:p w14:paraId="4B292F30">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1.6.4 图纸的错误</w:t>
      </w:r>
    </w:p>
    <w:p w14:paraId="5B3DA645">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承包人发现发包人提供的图纸存在明显错误或疏忽，应及时通知监理人。</w:t>
      </w:r>
    </w:p>
    <w:p w14:paraId="4F4AD423">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1.6.5 图纸和承包人文件的保管</w:t>
      </w:r>
    </w:p>
    <w:p w14:paraId="61C4FE24">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监理人和承包人均应在施工场地各保存一套完整的包含第1.6.1 项、第1.6.2 项、第1.6.3 项约定内容的图纸和承包人文件。</w:t>
      </w:r>
    </w:p>
    <w:p w14:paraId="7C3574AC">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1.7  联络</w:t>
      </w:r>
    </w:p>
    <w:p w14:paraId="10292126">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1.7.1 与合同有关的通知、批准、证明、证书、指示、要求、请求、同意、意见、确定和决定等，均应采用书面形式。</w:t>
      </w:r>
    </w:p>
    <w:p w14:paraId="4B919AB3">
      <w:pPr>
        <w:keepNext w:val="0"/>
        <w:keepLines w:val="0"/>
        <w:pageBreakBefore w:val="0"/>
        <w:widowControl w:val="0"/>
        <w:kinsoku/>
        <w:wordWrap/>
        <w:overflowPunct/>
        <w:topLinePunct w:val="0"/>
        <w:autoSpaceDE/>
        <w:autoSpaceDN/>
        <w:bidi w:val="0"/>
        <w:spacing w:line="312" w:lineRule="auto"/>
        <w:ind w:firstLine="47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1.7.2  第1.7.1项中的通知、批准、证明、证书、指示、要求、请求、同意、意见、确定和决定等来往函件，均应在合同约定的期限内送达指定地点和接收人，并办理签收手续。来往函件的送达期限在技术标准和要求（合同技术条款）中约定，送达地点在专用合同条款中约定。</w:t>
      </w:r>
    </w:p>
    <w:p w14:paraId="4890C556">
      <w:pPr>
        <w:keepNext w:val="0"/>
        <w:keepLines w:val="0"/>
        <w:pageBreakBefore w:val="0"/>
        <w:widowControl w:val="0"/>
        <w:kinsoku/>
        <w:wordWrap/>
        <w:overflowPunct/>
        <w:topLinePunct w:val="0"/>
        <w:autoSpaceDE/>
        <w:autoSpaceDN/>
        <w:bidi w:val="0"/>
        <w:spacing w:line="312" w:lineRule="auto"/>
        <w:ind w:firstLine="47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1.7.3  来往函件均应按合同约定的期限及时发出和答复，不得无故扣压和拖延，亦不得拒收。否则，由此造成的后果由责任方负责。</w:t>
      </w:r>
    </w:p>
    <w:p w14:paraId="6034258D">
      <w:pPr>
        <w:keepNext w:val="0"/>
        <w:keepLines w:val="0"/>
        <w:pageBreakBefore w:val="0"/>
        <w:widowControl w:val="0"/>
        <w:kinsoku/>
        <w:wordWrap/>
        <w:overflowPunct/>
        <w:topLinePunct w:val="0"/>
        <w:autoSpaceDE/>
        <w:autoSpaceDN/>
        <w:bidi w:val="0"/>
        <w:spacing w:line="312" w:lineRule="auto"/>
        <w:jc w:val="left"/>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1.8 转让</w:t>
      </w:r>
    </w:p>
    <w:p w14:paraId="2B76A2C7">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除合同另有约定外，未经对方当事人同意，一方当事人不得将合同权利全部或部分转让给第三人，也不得全部或部分转移合同义务。</w:t>
      </w:r>
    </w:p>
    <w:p w14:paraId="582B4F74">
      <w:pPr>
        <w:keepNext w:val="0"/>
        <w:keepLines w:val="0"/>
        <w:pageBreakBefore w:val="0"/>
        <w:widowControl w:val="0"/>
        <w:kinsoku/>
        <w:wordWrap/>
        <w:overflowPunct/>
        <w:topLinePunct w:val="0"/>
        <w:autoSpaceDE/>
        <w:autoSpaceDN/>
        <w:bidi w:val="0"/>
        <w:spacing w:line="312" w:lineRule="auto"/>
        <w:jc w:val="left"/>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1.9 严禁贿赂</w:t>
      </w:r>
    </w:p>
    <w:p w14:paraId="5BE7370B">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合同双方当事人不得以贿赂或变相贿赂的方式，谋取不当利益或损害对方权益。因贿赂造成对方损失的，行为人应赔偿损失，并承担相应的法律责任。</w:t>
      </w:r>
    </w:p>
    <w:p w14:paraId="0B257446">
      <w:pPr>
        <w:keepNext w:val="0"/>
        <w:keepLines w:val="0"/>
        <w:pageBreakBefore w:val="0"/>
        <w:widowControl w:val="0"/>
        <w:kinsoku/>
        <w:wordWrap/>
        <w:overflowPunct/>
        <w:topLinePunct w:val="0"/>
        <w:autoSpaceDE/>
        <w:autoSpaceDN/>
        <w:bidi w:val="0"/>
        <w:spacing w:line="312" w:lineRule="auto"/>
        <w:jc w:val="left"/>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1.10 化石、文物</w:t>
      </w:r>
    </w:p>
    <w:p w14:paraId="4F236193">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40C287B9">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1.10.2 承包人发现文物后不及时报告或隐瞒不报，致使文物丢失或损坏的，应赔偿损失，并承担相应的法律责任。</w:t>
      </w:r>
    </w:p>
    <w:p w14:paraId="4A550C07">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1.11  专利技术</w:t>
      </w:r>
    </w:p>
    <w:p w14:paraId="58734C85">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1.11.1 承包人在使用任何材料、承包人设备、工程设备或采用施工工艺时，因侵犯专利权或其他知识产权所引起的责任，由承包人承担，但由于遵照发包人提供的设计或技术标准和要求引起的除外。</w:t>
      </w:r>
    </w:p>
    <w:p w14:paraId="24C28B20">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1.11.2 承包人在投标文件中采用专利技术的，专利技术的使用费包含在投标报价内。</w:t>
      </w:r>
    </w:p>
    <w:p w14:paraId="6EAF1064">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1.11.3 承包人的技术秘密和声明需要保密的资料和信息，发包人和监理人不得为合同以外的目的泄露给他人。</w:t>
      </w:r>
    </w:p>
    <w:p w14:paraId="2CD49FA4">
      <w:pPr>
        <w:keepNext w:val="0"/>
        <w:keepLines w:val="0"/>
        <w:pageBreakBefore w:val="0"/>
        <w:widowControl w:val="0"/>
        <w:kinsoku/>
        <w:wordWrap/>
        <w:overflowPunct/>
        <w:topLinePunct w:val="0"/>
        <w:autoSpaceDE/>
        <w:autoSpaceDN/>
        <w:bidi w:val="0"/>
        <w:spacing w:line="312" w:lineRule="auto"/>
        <w:ind w:firstLine="47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1.11.4  合同实施过程中，发包人要求承包人采用专利技术的，发包人应办理相应的使用手续，承包人应按发包。人约定的条件使用，并承担使用专利技术的相关试验工作，所需费用由发包人承担。</w:t>
      </w:r>
    </w:p>
    <w:p w14:paraId="10571F99">
      <w:pPr>
        <w:keepNext w:val="0"/>
        <w:keepLines w:val="0"/>
        <w:pageBreakBefore w:val="0"/>
        <w:widowControl w:val="0"/>
        <w:kinsoku/>
        <w:wordWrap/>
        <w:overflowPunct/>
        <w:topLinePunct w:val="0"/>
        <w:autoSpaceDE/>
        <w:autoSpaceDN/>
        <w:bidi w:val="0"/>
        <w:spacing w:line="312" w:lineRule="auto"/>
        <w:jc w:val="left"/>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1.12 图纸和文件的保密</w:t>
      </w:r>
    </w:p>
    <w:p w14:paraId="5F4F0B0D">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1.12.1 发包人提供的图纸和文件，未经发包人同意，承包人不得为合同以外的目的泄露给他人或公开发表与引用。</w:t>
      </w:r>
    </w:p>
    <w:p w14:paraId="21817E64">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1.12.2 承包人提供的文件，未经承包人同意，发包人和监理人不得为合同以外的目的泄露给他人或公开发表与引用。</w:t>
      </w:r>
    </w:p>
    <w:p w14:paraId="6914BBC1">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2  发包人义务</w:t>
      </w:r>
    </w:p>
    <w:p w14:paraId="18D0741B">
      <w:pPr>
        <w:keepNext w:val="0"/>
        <w:keepLines w:val="0"/>
        <w:pageBreakBefore w:val="0"/>
        <w:widowControl w:val="0"/>
        <w:kinsoku/>
        <w:wordWrap/>
        <w:overflowPunct/>
        <w:topLinePunct w:val="0"/>
        <w:autoSpaceDE/>
        <w:autoSpaceDN/>
        <w:bidi w:val="0"/>
        <w:spacing w:line="312" w:lineRule="auto"/>
        <w:jc w:val="left"/>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2.1 遵守法律</w:t>
      </w:r>
    </w:p>
    <w:p w14:paraId="33F27864">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发包人在履行合同过程中应遵守法律，并保证承包人免于承担因发包人违反法律而引起的任何责任。</w:t>
      </w:r>
    </w:p>
    <w:p w14:paraId="255923A9">
      <w:pPr>
        <w:keepNext w:val="0"/>
        <w:keepLines w:val="0"/>
        <w:pageBreakBefore w:val="0"/>
        <w:widowControl w:val="0"/>
        <w:kinsoku/>
        <w:wordWrap/>
        <w:overflowPunct/>
        <w:topLinePunct w:val="0"/>
        <w:autoSpaceDE/>
        <w:autoSpaceDN/>
        <w:bidi w:val="0"/>
        <w:spacing w:line="312" w:lineRule="auto"/>
        <w:jc w:val="left"/>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2.2 发出开工通知</w:t>
      </w:r>
    </w:p>
    <w:p w14:paraId="0825252F">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发包人应委托监理人按第11.1 款的约定向承包人发出开工通知。</w:t>
      </w:r>
    </w:p>
    <w:p w14:paraId="3F01FC33">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2.3  提供施工场地</w:t>
      </w:r>
    </w:p>
    <w:p w14:paraId="0C456BF3">
      <w:pPr>
        <w:keepNext w:val="0"/>
        <w:keepLines w:val="0"/>
        <w:pageBreakBefore w:val="0"/>
        <w:widowControl w:val="0"/>
        <w:kinsoku/>
        <w:wordWrap/>
        <w:overflowPunct/>
        <w:topLinePunct w:val="0"/>
        <w:autoSpaceDE/>
        <w:autoSpaceDN/>
        <w:bidi w:val="0"/>
        <w:spacing w:line="312" w:lineRule="auto"/>
        <w:ind w:firstLine="47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2.3.1  发包人应在合同双方签订合同协议书后的14天内，将本合同工程的施工场地范围图提交给承包人。发包人提供的施工场地范围图应标明场地范围内永久占地与临时占地的范围和界限，以及指明提供给承包人用于施工场地布置的范围和界限及其有关资料。</w:t>
      </w:r>
    </w:p>
    <w:p w14:paraId="26511959">
      <w:pPr>
        <w:keepNext w:val="0"/>
        <w:keepLines w:val="0"/>
        <w:pageBreakBefore w:val="0"/>
        <w:widowControl w:val="0"/>
        <w:kinsoku/>
        <w:wordWrap/>
        <w:overflowPunct/>
        <w:topLinePunct w:val="0"/>
        <w:autoSpaceDE/>
        <w:autoSpaceDN/>
        <w:bidi w:val="0"/>
        <w:spacing w:line="312" w:lineRule="auto"/>
        <w:ind w:firstLine="47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2.3.2  发包人提供的施工用地范围在专用合同条款中约定。</w:t>
      </w:r>
    </w:p>
    <w:p w14:paraId="672A9E33">
      <w:pPr>
        <w:keepNext w:val="0"/>
        <w:keepLines w:val="0"/>
        <w:pageBreakBefore w:val="0"/>
        <w:widowControl w:val="0"/>
        <w:kinsoku/>
        <w:wordWrap/>
        <w:overflowPunct/>
        <w:topLinePunct w:val="0"/>
        <w:autoSpaceDE/>
        <w:autoSpaceDN/>
        <w:bidi w:val="0"/>
        <w:spacing w:line="312" w:lineRule="auto"/>
        <w:ind w:firstLine="47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2.3.3  除专用合同条款另有约定外，发包人应按技术标准和要求（合同技术条款）的约定，向承包人提供施工场地内的工程地质图纸和报告，以及地下障碍物图纸等施工场地有关资料，并保证资料的真实、准确、完整。</w:t>
      </w:r>
    </w:p>
    <w:p w14:paraId="2BAB0660">
      <w:pPr>
        <w:keepNext w:val="0"/>
        <w:keepLines w:val="0"/>
        <w:pageBreakBefore w:val="0"/>
        <w:widowControl w:val="0"/>
        <w:kinsoku/>
        <w:wordWrap/>
        <w:overflowPunct/>
        <w:topLinePunct w:val="0"/>
        <w:autoSpaceDE/>
        <w:autoSpaceDN/>
        <w:bidi w:val="0"/>
        <w:spacing w:line="312" w:lineRule="auto"/>
        <w:jc w:val="left"/>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2.4 协助承包人办理证件和批件</w:t>
      </w:r>
    </w:p>
    <w:p w14:paraId="5CD109F0">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发包人应协助承包人办理法律规定的有关施工证件和批件。</w:t>
      </w:r>
    </w:p>
    <w:p w14:paraId="53938414">
      <w:pPr>
        <w:keepNext w:val="0"/>
        <w:keepLines w:val="0"/>
        <w:pageBreakBefore w:val="0"/>
        <w:widowControl w:val="0"/>
        <w:kinsoku/>
        <w:wordWrap/>
        <w:overflowPunct/>
        <w:topLinePunct w:val="0"/>
        <w:autoSpaceDE/>
        <w:autoSpaceDN/>
        <w:bidi w:val="0"/>
        <w:spacing w:line="312" w:lineRule="auto"/>
        <w:jc w:val="left"/>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2.5 组织设计交底</w:t>
      </w:r>
    </w:p>
    <w:p w14:paraId="78002193">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发包人应根据合同进度计划，组织设计单位向承包人进行设计交底。</w:t>
      </w:r>
    </w:p>
    <w:p w14:paraId="12C0D8AB">
      <w:pPr>
        <w:keepNext w:val="0"/>
        <w:keepLines w:val="0"/>
        <w:pageBreakBefore w:val="0"/>
        <w:widowControl w:val="0"/>
        <w:kinsoku/>
        <w:wordWrap/>
        <w:overflowPunct/>
        <w:topLinePunct w:val="0"/>
        <w:autoSpaceDE/>
        <w:autoSpaceDN/>
        <w:bidi w:val="0"/>
        <w:spacing w:line="312" w:lineRule="auto"/>
        <w:jc w:val="left"/>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2.6 支付合同价款</w:t>
      </w:r>
    </w:p>
    <w:p w14:paraId="458FA2AC">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发包人应按合同约定向承包人及时支付合同价款。</w:t>
      </w:r>
    </w:p>
    <w:p w14:paraId="5C102E51">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2.7  组织竣工验收（组织法人验收）</w:t>
      </w:r>
    </w:p>
    <w:p w14:paraId="6B81A0D9">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发包人应按合同约定及时组织法人验收。</w:t>
      </w:r>
    </w:p>
    <w:p w14:paraId="1F1EEFD4">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2.8  其它义务</w:t>
      </w:r>
    </w:p>
    <w:p w14:paraId="2CEDF768">
      <w:pPr>
        <w:keepNext w:val="0"/>
        <w:keepLines w:val="0"/>
        <w:pageBreakBefore w:val="0"/>
        <w:widowControl w:val="0"/>
        <w:kinsoku/>
        <w:wordWrap/>
        <w:overflowPunct/>
        <w:topLinePunct w:val="0"/>
        <w:autoSpaceDE/>
        <w:autoSpaceDN/>
        <w:bidi w:val="0"/>
        <w:spacing w:line="312" w:lineRule="auto"/>
        <w:ind w:firstLine="60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其它义务在专用合同条款中补充约定。</w:t>
      </w:r>
    </w:p>
    <w:p w14:paraId="7272C7CB">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3  监理人</w:t>
      </w:r>
    </w:p>
    <w:p w14:paraId="17467887">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3.1  监理人的职责和权力</w:t>
      </w:r>
    </w:p>
    <w:p w14:paraId="290FF543">
      <w:pPr>
        <w:keepNext w:val="0"/>
        <w:keepLines w:val="0"/>
        <w:pageBreakBefore w:val="0"/>
        <w:widowControl w:val="0"/>
        <w:kinsoku/>
        <w:wordWrap/>
        <w:overflowPunct/>
        <w:topLinePunct w:val="0"/>
        <w:autoSpaceDE/>
        <w:autoSpaceDN/>
        <w:bidi w:val="0"/>
        <w:spacing w:line="312" w:lineRule="auto"/>
        <w:ind w:firstLine="465"/>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3.1.1 监理人受发包人的委托，享有合同约定的权力。监理人的权力范围在专用合同条款中明确。当监理人认为出现了危及生命、工程或毗邻财产等安全的紧急事件时，在不免除合同约定的承包人责任的情况下，监理人可以指示承包人实施为消除或减少这种危险所必须进行的工作，即使没有发包人的事先批准，承包人也应立即遵照执行。监理人应按第15条的约定增加相应的费用，并通知承包人。</w:t>
      </w:r>
    </w:p>
    <w:p w14:paraId="4BB1993E">
      <w:pPr>
        <w:keepNext w:val="0"/>
        <w:keepLines w:val="0"/>
        <w:pageBreakBefore w:val="0"/>
        <w:widowControl w:val="0"/>
        <w:kinsoku/>
        <w:wordWrap/>
        <w:overflowPunct/>
        <w:topLinePunct w:val="0"/>
        <w:autoSpaceDE/>
        <w:autoSpaceDN/>
        <w:bidi w:val="0"/>
        <w:spacing w:line="312" w:lineRule="auto"/>
        <w:ind w:firstLine="465"/>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3.1.2 监理人发出的任何指示应视为已得到发包人的批准，但监理人无权免除或变更合同约定的发包人和承包人的权利、义务和责任。</w:t>
      </w:r>
    </w:p>
    <w:p w14:paraId="3A6EF352">
      <w:pPr>
        <w:keepNext w:val="0"/>
        <w:keepLines w:val="0"/>
        <w:pageBreakBefore w:val="0"/>
        <w:widowControl w:val="0"/>
        <w:kinsoku/>
        <w:wordWrap/>
        <w:overflowPunct/>
        <w:topLinePunct w:val="0"/>
        <w:autoSpaceDE/>
        <w:autoSpaceDN/>
        <w:bidi w:val="0"/>
        <w:spacing w:line="312" w:lineRule="auto"/>
        <w:ind w:firstLine="465"/>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3.1.3 合同约定应由承包人承担的义务和责任，不因监理人对承包人提交文件的审查或批准，对工程、材料和设备的检查和检验，以及为实施监理作出的指示等职务行为而减轻或解除。</w:t>
      </w:r>
    </w:p>
    <w:p w14:paraId="0F62789E">
      <w:pPr>
        <w:keepNext w:val="0"/>
        <w:keepLines w:val="0"/>
        <w:pageBreakBefore w:val="0"/>
        <w:widowControl w:val="0"/>
        <w:kinsoku/>
        <w:wordWrap/>
        <w:overflowPunct/>
        <w:topLinePunct w:val="0"/>
        <w:autoSpaceDE/>
        <w:autoSpaceDN/>
        <w:bidi w:val="0"/>
        <w:spacing w:line="312" w:lineRule="auto"/>
        <w:jc w:val="left"/>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3.2 总监理工程师</w:t>
      </w:r>
    </w:p>
    <w:p w14:paraId="1E22B20D">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发包人应在发出开工通知前将总监理工程师的任命通知承包人。总监理工程师更换时，应在调离14 天前通知承包人。总监理工程师短期离开施工场地的，应委派代表代行其职责，并通知承包人。</w:t>
      </w:r>
    </w:p>
    <w:p w14:paraId="753799FC">
      <w:pPr>
        <w:keepNext w:val="0"/>
        <w:keepLines w:val="0"/>
        <w:pageBreakBefore w:val="0"/>
        <w:widowControl w:val="0"/>
        <w:kinsoku/>
        <w:wordWrap/>
        <w:overflowPunct/>
        <w:topLinePunct w:val="0"/>
        <w:autoSpaceDE/>
        <w:autoSpaceDN/>
        <w:bidi w:val="0"/>
        <w:spacing w:line="312" w:lineRule="auto"/>
        <w:jc w:val="left"/>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3.3 监理人员</w:t>
      </w:r>
    </w:p>
    <w:p w14:paraId="008D283C">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3.3.1 总监理工程师可以授权其他监理人员负责执行其指派的一项或多项监理工作。总监理工程师应将被授权监理人员的姓名及其授权范围通知承包人。被授权的监理人员在授权范围内发出的指示视为己得到总监理工程师的同意，与总监理工程师发出的指示具有同等效力。总监理工程师撤销某项授权时，应将撤销授权的决定及时通知承包人。</w:t>
      </w:r>
    </w:p>
    <w:p w14:paraId="7F060445">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3.3.2 监理人员对承包人的任何工作、工程或其采用的材料和工程设备未在约定的或合理的期限内提出否定意见的，视为已获批准，但不影响监理人在以后拒绝该项工作、工程、材料或工程设备的权利。</w:t>
      </w:r>
    </w:p>
    <w:p w14:paraId="281B301F">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3.3.3 承包人对总监理工程师授权的监理人员发出的指示有疑问的，可向总监理工程师提出书面异议，总监理工程师应在48小时内对该指示予以确认、更改或撤销。</w:t>
      </w:r>
    </w:p>
    <w:p w14:paraId="1FCC814F">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3.3.4 除专用合同条款另有约定外，总监理工程师不应将第3.5 款约定应由总监理工程师作出确定的权力授权或委托给其他监理人员。</w:t>
      </w:r>
    </w:p>
    <w:p w14:paraId="35BD02D2">
      <w:pPr>
        <w:keepNext w:val="0"/>
        <w:keepLines w:val="0"/>
        <w:pageBreakBefore w:val="0"/>
        <w:widowControl w:val="0"/>
        <w:kinsoku/>
        <w:wordWrap/>
        <w:overflowPunct/>
        <w:topLinePunct w:val="0"/>
        <w:autoSpaceDE/>
        <w:autoSpaceDN/>
        <w:bidi w:val="0"/>
        <w:spacing w:line="312" w:lineRule="auto"/>
        <w:jc w:val="left"/>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3.4 监理人的指示</w:t>
      </w:r>
    </w:p>
    <w:p w14:paraId="4A4C7596">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3.4.1 监理人应按第3.1 款的约定向承包人发出指示，监理人的指示应盖有监理人授权的施工场地机构章，并由总监理工程师或总监理工程师按第3.3.1 项约定授权的监理人员签字。</w:t>
      </w:r>
    </w:p>
    <w:p w14:paraId="6360845F">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3.4.2 承包人收到监理人按第3.4.1 项作出的指示后应遵照执行。指示构成变更的，应按第巧条处理。</w:t>
      </w:r>
    </w:p>
    <w:p w14:paraId="426BFB2B">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3A34FD15">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3.4.4 除合同另有约定外，承包人只从总监理工程师或按第3.3.1 项被授权的监理人员处取得指示。</w:t>
      </w:r>
    </w:p>
    <w:p w14:paraId="68AD73E1">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3.4.5 由于监理人未能按合同约定发出指示、指示延误或指示错误而导致承包人费用增加和（或）工期延误的，由发包人承担赔偿责任。</w:t>
      </w:r>
    </w:p>
    <w:p w14:paraId="3B14066A">
      <w:pPr>
        <w:keepNext w:val="0"/>
        <w:keepLines w:val="0"/>
        <w:pageBreakBefore w:val="0"/>
        <w:widowControl w:val="0"/>
        <w:kinsoku/>
        <w:wordWrap/>
        <w:overflowPunct/>
        <w:topLinePunct w:val="0"/>
        <w:autoSpaceDE/>
        <w:autoSpaceDN/>
        <w:bidi w:val="0"/>
        <w:spacing w:line="312" w:lineRule="auto"/>
        <w:jc w:val="left"/>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3.5 商定或确定</w:t>
      </w:r>
    </w:p>
    <w:p w14:paraId="485525CC">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3.5.1 合同约定总监理工程师应按照本款对任何事项进行商定或确定时，总监理工程师应与合同当事人协商，尽量达成一致。不能达成一致的，总监理工程师应认真研究后审慎确定。</w:t>
      </w:r>
    </w:p>
    <w:p w14:paraId="3052FFE8">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3.5.2 总监理工程师应将商定或确定的事项通知合同当事人，并附详细依据。对总监理工程师的确定有异议的，构成争议，按照第24 条的约定处理。在争议解决前，双方应暂按总监理工程师的确定执行，按照第24 条的约定对总监理工程师的确定作出修改的，按修改后的结果执行。</w:t>
      </w:r>
    </w:p>
    <w:p w14:paraId="03959059">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4  承包人</w:t>
      </w:r>
    </w:p>
    <w:p w14:paraId="5201EB24">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4.1  承包人的一般义务</w:t>
      </w:r>
    </w:p>
    <w:p w14:paraId="39A7986E">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4.1.1 遵守法律</w:t>
      </w:r>
    </w:p>
    <w:p w14:paraId="09B99F40">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承包人在履行合同过程中应遵守法律，并保证发包人免于承担因承包人违反法律而引起的任何责任。</w:t>
      </w:r>
    </w:p>
    <w:p w14:paraId="4507414C">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4.1.2 依法纳税</w:t>
      </w:r>
    </w:p>
    <w:p w14:paraId="0C4E0A47">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承包人应按有关法律规定纳税，应缴纳的税金包括在合同价格内。</w:t>
      </w:r>
    </w:p>
    <w:p w14:paraId="49D88E44">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4.1.3  完成各项承包工作</w:t>
      </w:r>
    </w:p>
    <w:p w14:paraId="070B974E">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承包人应按合同约定以及监理人根据第3．4款作出的指示，实施、完成全部工程，并修补工程中的任何缺陷。除第5.2款、第6．2款另有约定外，承包人应提供为完成合同工作所需的劳务、材料、施工设备、工程设备和其它物品，并按合同约定负责临时设施的设计、建造、运行、维护、管理和拆除。</w:t>
      </w:r>
    </w:p>
    <w:p w14:paraId="4B611D44">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4.1.4 对施工作业和施工方法的完备性负责</w:t>
      </w:r>
    </w:p>
    <w:p w14:paraId="2F9E3104">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承包人应按合同约定的工作内容和施工进度要求，编制施工组织设计和施工措施计划，并对所有施工作业和施工方法的完备性和安全可靠性负责。</w:t>
      </w:r>
    </w:p>
    <w:p w14:paraId="68ED5758">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4.1.5 保证工程施工和人员的安全</w:t>
      </w:r>
    </w:p>
    <w:p w14:paraId="4877BAD0">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承包人应按第9.2 款约定采取施工安全措施，确保工程及其人员、材料、设备和设施的安全，防止因工程施工造成的人身伤害和财产损失。</w:t>
      </w:r>
    </w:p>
    <w:p w14:paraId="49F2A201">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4.1.6 负责施工场地及其周边环境与生态的保护工作</w:t>
      </w:r>
    </w:p>
    <w:p w14:paraId="4898B650">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承包人应按照第9.4 款约定负责施工场地及其周边环境与生态的保护工作。</w:t>
      </w:r>
    </w:p>
    <w:p w14:paraId="5A5D597E">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4.1.7 避免施工对公众与他人的利益造成损害</w:t>
      </w:r>
    </w:p>
    <w:p w14:paraId="08A000AF">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648473B0">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4.1.8 为他人提供方便</w:t>
      </w:r>
    </w:p>
    <w:p w14:paraId="09B9FA6A">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承包人应按监理人的指示为他人在施工场地或附近实施与工程有关的其他各项工作提供可能的条件。除合同另有约定外，提供有关条件的内容和可能发生的费用，由监理人按第3.5 款商定或确定。</w:t>
      </w:r>
    </w:p>
    <w:p w14:paraId="301D683A">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4.1.9  工程的维护和照管</w:t>
      </w:r>
    </w:p>
    <w:p w14:paraId="4887B540">
      <w:pPr>
        <w:keepNext w:val="0"/>
        <w:keepLines w:val="0"/>
        <w:pageBreakBefore w:val="0"/>
        <w:widowControl w:val="0"/>
        <w:kinsoku/>
        <w:wordWrap/>
        <w:overflowPunct/>
        <w:topLinePunct w:val="0"/>
        <w:autoSpaceDE/>
        <w:autoSpaceDN/>
        <w:bidi w:val="0"/>
        <w:spacing w:line="312" w:lineRule="auto"/>
        <w:ind w:left="0" w:leftChars="0" w:firstLine="385" w:firstLineChars="175"/>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除合同另有约定外，合同工程完工证书颁发前，承包人应负责照管和维护工程。合同工程完工证书颁发时尚有部分未完工程的，承包人还应负责该未完工程的照管和维护工作，直至完工后移交给发包人为止。</w:t>
      </w:r>
    </w:p>
    <w:p w14:paraId="23B8433A">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4.1.10  其它义务</w:t>
      </w:r>
    </w:p>
    <w:p w14:paraId="22F54D14">
      <w:pPr>
        <w:keepNext w:val="0"/>
        <w:keepLines w:val="0"/>
        <w:pageBreakBefore w:val="0"/>
        <w:widowControl w:val="0"/>
        <w:kinsoku/>
        <w:wordWrap/>
        <w:overflowPunct/>
        <w:topLinePunct w:val="0"/>
        <w:autoSpaceDE/>
        <w:autoSpaceDN/>
        <w:bidi w:val="0"/>
        <w:spacing w:line="312" w:lineRule="auto"/>
        <w:ind w:left="0" w:leftChars="0" w:firstLine="385" w:firstLineChars="175"/>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其它义务在专用合同条款中补充约定。</w:t>
      </w:r>
    </w:p>
    <w:p w14:paraId="6548718F">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4.2  履约担保</w:t>
      </w:r>
    </w:p>
    <w:p w14:paraId="643FD149">
      <w:pPr>
        <w:keepNext w:val="0"/>
        <w:keepLines w:val="0"/>
        <w:pageBreakBefore w:val="0"/>
        <w:widowControl w:val="0"/>
        <w:kinsoku/>
        <w:wordWrap/>
        <w:overflowPunct/>
        <w:topLinePunct w:val="0"/>
        <w:autoSpaceDE/>
        <w:autoSpaceDN/>
        <w:bidi w:val="0"/>
        <w:spacing w:line="312" w:lineRule="auto"/>
        <w:ind w:left="0" w:leftChars="0" w:firstLine="385" w:firstLineChars="175"/>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承包人应保证其履约担保在发包人颁发合同工程完工证书前一直有效。发包人应在合同工程完工证书颁发后28天内将履约担保退还给承包人。</w:t>
      </w:r>
    </w:p>
    <w:p w14:paraId="5198B402">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4.3  分包</w:t>
      </w:r>
    </w:p>
    <w:p w14:paraId="68B85535">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4.3.1 承包人不得将其承包的全部工程转包给第三人，或将其承包的全部工程肢解后以分包的名义转包给第三人。</w:t>
      </w:r>
    </w:p>
    <w:p w14:paraId="500CA5AE">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4.3.2 承包人不得将工程主体、关键性工作分包给第三人。除专用合同条款另有约定外，未经发包人同意，承包人不得将工程的其他部分或工作分包给第三人。</w:t>
      </w:r>
    </w:p>
    <w:p w14:paraId="40F03316">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4.3.3 分包人的资格能力应与其分包工程的标准和规模相适应。</w:t>
      </w:r>
    </w:p>
    <w:p w14:paraId="6BB50B4D">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4.3.4 按投标函附录约定分包工程的，承包人应向发包人和监理人提交分包合同副本。</w:t>
      </w:r>
    </w:p>
    <w:p w14:paraId="7EECAEC5">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4.3.5 承包人应与分包人就分包工程向发包人承担连带责任。</w:t>
      </w:r>
    </w:p>
    <w:p w14:paraId="70F90C2F">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4.3.6  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14:paraId="0318F0FC">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4.3.7  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w:t>
      </w:r>
    </w:p>
    <w:p w14:paraId="14F57F4C">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由指定分包人造成的与其分包工作有关的一切索赔、诉讼和损失赔偿由指定分包人直接对发包人负责，承包人不对此承担责任。</w:t>
      </w:r>
    </w:p>
    <w:p w14:paraId="279404BB">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4.3.8  承包人和分包人应当签订分包合同，并履行合同约定的义务。分包合同必须遵循承包合同的各项原则，满足承包合同中相应条款的要求。发包人可以对分包合同实施情况进行监督检查。承包人应将分包合同副本提交发包人和监理人。</w:t>
      </w:r>
    </w:p>
    <w:p w14:paraId="31AA6176">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4.3.9  除第4．3．7项规定的指定分包外，承包人对其分包项目的实施以及分包人的行为向发包人负全部责任。承包人应对分包项目的工程进度、质量、安全、计量和验收等实施监督和管理。</w:t>
      </w:r>
    </w:p>
    <w:p w14:paraId="5E7517EF">
      <w:pPr>
        <w:keepNext w:val="0"/>
        <w:keepLines w:val="0"/>
        <w:pageBreakBefore w:val="0"/>
        <w:widowControl w:val="0"/>
        <w:kinsoku/>
        <w:wordWrap/>
        <w:overflowPunct/>
        <w:topLinePunct w:val="0"/>
        <w:autoSpaceDE/>
        <w:autoSpaceDN/>
        <w:bidi w:val="0"/>
        <w:spacing w:line="312" w:lineRule="auto"/>
        <w:ind w:firstLine="435"/>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4.3.10  分包人应按专用合同条款的约定设立项目管理机构组织管理分包工程的施工活动。</w:t>
      </w:r>
    </w:p>
    <w:p w14:paraId="5F43B118">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4.4  联合体</w:t>
      </w:r>
    </w:p>
    <w:p w14:paraId="13042FAE">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4.4.1 联合体各方应共同与发包人签订合同协议书。联合体各方应为履行合同承担连带责任。</w:t>
      </w:r>
    </w:p>
    <w:p w14:paraId="6539E1D8">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4.4.2 联合体协议经发包人确认后作为合同附件。在履行合同过程中，未经发包人同意，不得修改联合体协议。</w:t>
      </w:r>
    </w:p>
    <w:p w14:paraId="41F555C2">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4.4.3 联合体牵头人负责与发包人和监理人联系，并接受指示，负责组织联合体各成员全面履行合同。</w:t>
      </w:r>
    </w:p>
    <w:p w14:paraId="500F3B1D">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4.5  承包人项目经理</w:t>
      </w:r>
    </w:p>
    <w:p w14:paraId="52F55759">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4.5.1 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3B34A7A0">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4.5.2 承包人项目经理应按合同约定以及监理人按第3 . 4 款作出的指示，负责组织合同工程的实施。在情况紧急且无法与监理人取得联系时，可采取保证工程和人员生命财产安令的紧急措施，并在采取措施后24小时内向监理人提交书面报告。</w:t>
      </w:r>
    </w:p>
    <w:p w14:paraId="7255760A">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4.5.3 承包人为履行合同发出的一切函件均应盖有承包人授权的施工场地管理机构章，并由承包人项目经理或其授权代表签字。</w:t>
      </w:r>
    </w:p>
    <w:p w14:paraId="45FEEADB">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4.5.4 承包人项目经理可以授权其下属人员履行其某项职责，但事先应将这些人员的姓名和授权范围通知监理人。</w:t>
      </w:r>
    </w:p>
    <w:p w14:paraId="54819E4A">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4.6 承包人人员的管理</w:t>
      </w:r>
    </w:p>
    <w:p w14:paraId="67E7E1CD">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655C4534">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4.6.2 为完成合同约定的各项工作，承包人应向施工场地派遣或雇佣足够数量的下列人员：</w:t>
      </w:r>
    </w:p>
    <w:p w14:paraId="63545158">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（1）具有相应资格的专业技工和合格的普工；</w:t>
      </w:r>
    </w:p>
    <w:p w14:paraId="63AE533A">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（2）具有相应施工经验的技术人员；</w:t>
      </w:r>
    </w:p>
    <w:p w14:paraId="22557B28">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（3）具有相应岗位资格的各级管理人员。</w:t>
      </w:r>
    </w:p>
    <w:p w14:paraId="69E58BC4">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4.6.3 承包人安排在施工场地的主要管理人员和技术骨干应相对稳定。承包人更换主要管理人员和技术骨干时，应取得监理人的同意。</w:t>
      </w:r>
    </w:p>
    <w:p w14:paraId="6F7A5509">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4.6.4 特殊岗位的工作人员均应持有相应的资格证明，监理人有权随时检查。监理人认为有必要时，可进行现场考核。</w:t>
      </w:r>
    </w:p>
    <w:p w14:paraId="588A64AE">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4.7 撤换承包人项目经理和其他人员</w:t>
      </w:r>
    </w:p>
    <w:p w14:paraId="3A6D5928">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承包人应对其项目经理和其他人员进行有效管理。监理人要求撤换不能胜任本职工作、行为不端或玩忽职守的承包人项目经理和其他人员的，承包人应予以撤换。</w:t>
      </w:r>
    </w:p>
    <w:p w14:paraId="58C1F76C">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4.8 保障承包人人员的合法权益</w:t>
      </w:r>
    </w:p>
    <w:p w14:paraId="01EAD4E3">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4.8.1 承包人应与其雇佣的人员签订劳动合同，并按时发放工资。</w:t>
      </w:r>
    </w:p>
    <w:p w14:paraId="5580EBD4">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4.8.2 承包人应按劳动法的规定安排工作时间，保证其雇佣人员享有休息和休假的权利。因工程施工的特殊需要占用休假日或延长工作时间的，应不超过法律规定的限度，并按法律规定给予补休或付酬。</w:t>
      </w:r>
    </w:p>
    <w:p w14:paraId="1884A788">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4.8.3 承包人应为其雇佣人员提供必要的食宿条件，以及符合环境保护和卫生要求的生活环境，在远离城镇的施工场地，还应配备必要的伤病防治和急救的医务人员与医疗设施。</w:t>
      </w:r>
    </w:p>
    <w:p w14:paraId="4105F72E">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4EB9213B">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4.8.5 承包人应按有关法律规定和合同约定，为其雇佣人员办理保险。</w:t>
      </w:r>
    </w:p>
    <w:p w14:paraId="0D3B646B">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4.8.6 承包人应负责处理其雇佣人员因工伤亡事故的善后事宜。</w:t>
      </w:r>
    </w:p>
    <w:p w14:paraId="5074365E">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4.9 工程价款应专款专用</w:t>
      </w:r>
    </w:p>
    <w:p w14:paraId="3CAAAFC0">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发包人按合同约定支付给承包人的各项价款应专用于合同工程。</w:t>
      </w:r>
    </w:p>
    <w:p w14:paraId="7A710957">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4.10 承包人现场查勘</w:t>
      </w:r>
    </w:p>
    <w:p w14:paraId="2A376D75">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4.10.1 发包人应将其持有的现场地质勘探资料、水文气象资料提供给承包人，并对其准确胜负责。但承包人应对其阅读上述有关资料后所作出的解释和推断负责。</w:t>
      </w:r>
    </w:p>
    <w:p w14:paraId="59D53011">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4.10.2 承包人应对施工场地和周围环境进行查勘，并收集有关地质、水文、气象条件、交通条件、风俗习惯以及其他为完成合同工作有关的当地资料。在全部合同工作中，应视为承包人己充分估计了应承担的责任和风险。</w:t>
      </w:r>
    </w:p>
    <w:p w14:paraId="621CC208">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b/>
          <w:strike w:val="0"/>
          <w:color w:val="auto"/>
          <w:sz w:val="22"/>
          <w:szCs w:val="22"/>
          <w:highlight w:val="none"/>
        </w:rPr>
        <w:t>4.11  不利物质条件</w:t>
      </w:r>
    </w:p>
    <w:p w14:paraId="033755C8">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4.11.1  除专用合同条款另有约定外，不利物质条件是指在施工中遭遇不可预见的外界障碍或自然条件造成施工受阻。</w:t>
      </w:r>
    </w:p>
    <w:p w14:paraId="6962B95D">
      <w:pPr>
        <w:keepNext w:val="0"/>
        <w:keepLines w:val="0"/>
        <w:pageBreakBefore w:val="0"/>
        <w:widowControl w:val="0"/>
        <w:kinsoku/>
        <w:wordWrap/>
        <w:overflowPunct/>
        <w:topLinePunct w:val="0"/>
        <w:autoSpaceDE/>
        <w:autoSpaceDN/>
        <w:bidi w:val="0"/>
        <w:spacing w:line="312" w:lineRule="auto"/>
        <w:ind w:firstLine="435"/>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4.11.2  承包人遇到不利物质条件时，应采取适应不利物质条件的合理措施继续施工，并及时通知监理人。承包人有权根据第23.1款的约定，要求延长工期及增加费用。监理人收到此类要求后，应在分析上述外界障碍或自然条件是否不可预见及不可预见程度的基础上，按照通用合同条款第15条的约定办理。</w:t>
      </w:r>
    </w:p>
    <w:p w14:paraId="2C1F6B54">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5  材料和工程设备</w:t>
      </w:r>
    </w:p>
    <w:p w14:paraId="0D4483A3">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5.1  承包人提供的材料和工程设备</w:t>
      </w:r>
    </w:p>
    <w:p w14:paraId="372533FD">
      <w:pPr>
        <w:keepNext w:val="0"/>
        <w:keepLines w:val="0"/>
        <w:pageBreakBefore w:val="0"/>
        <w:widowControl w:val="0"/>
        <w:kinsoku/>
        <w:wordWrap/>
        <w:overflowPunct/>
        <w:topLinePunct w:val="0"/>
        <w:autoSpaceDE/>
        <w:autoSpaceDN/>
        <w:bidi w:val="0"/>
        <w:spacing w:line="312" w:lineRule="auto"/>
        <w:ind w:firstLine="435"/>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5.1.1除第5.2款约定由发包人提供的材料和工程设备外，承包人负责采购、运输和保管完成本合同工作所需的材料和工程设备。承包人应对其采购的材料和工程设备负责。</w:t>
      </w:r>
    </w:p>
    <w:p w14:paraId="5B482CC1">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14:paraId="6B4F72FA">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5.1.3 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2309EFE9">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5.2  发包人提供的材料和工程设备</w:t>
      </w:r>
    </w:p>
    <w:p w14:paraId="18373615">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5.2.1 发包人提供的材料和工程设备，应在专用合同条款中写明材料和工程设备的名称、规格、数量、价格、交货方式、交货地点和计划交货日期等。</w:t>
      </w:r>
    </w:p>
    <w:p w14:paraId="576DD04B">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5.2.2 承包人应根据合同进度计划的安排，向监理人报送要求发包人交货的日期计划。发包人应按照监理人与合同双方当事人商定的交货日期，向承包人提交材料和工程设备。</w:t>
      </w:r>
    </w:p>
    <w:p w14:paraId="1B926BB0">
      <w:pPr>
        <w:keepNext w:val="0"/>
        <w:keepLines w:val="0"/>
        <w:pageBreakBefore w:val="0"/>
        <w:widowControl w:val="0"/>
        <w:kinsoku/>
        <w:wordWrap/>
        <w:overflowPunct/>
        <w:topLinePunct w:val="0"/>
        <w:autoSpaceDE/>
        <w:autoSpaceDN/>
        <w:bidi w:val="0"/>
        <w:spacing w:line="312" w:lineRule="auto"/>
        <w:ind w:firstLine="435"/>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5.2.3  发包人应在材料和工程设备到货7天前通知承包人，承包人应会同监理人在约定的时间内，赴交货地点共同进行验收。发包人提供的材料和工程设备运至交货地点验收后，由承包人负责接收、卸货、运输和保管。</w:t>
      </w:r>
    </w:p>
    <w:p w14:paraId="1BD85217">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5.2.4 发包人要求向承包人提前交货的，承包人不得拒绝，但发包人应承担承包人由此增加的费用。</w:t>
      </w:r>
    </w:p>
    <w:p w14:paraId="7655E895">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5.2.5 承包人要求更改交货日期或地点的，应事先报请监理人批准。由于承包人要求更改交货时间或地点所增加的费用和（或）工期延误由承包人承担。</w:t>
      </w:r>
    </w:p>
    <w:p w14:paraId="11CECE6E">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099D7799">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5.3 材料和工程设备专用于合同工程</w:t>
      </w:r>
    </w:p>
    <w:p w14:paraId="704D2938">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5.3.1 运入施工场地的材料、工程设备，包括备品备件、安装专用工器具与随机资料，必须专用于合同工程，未经监理人同意，承包人不得运出施工场地或挪作他用。</w:t>
      </w:r>
    </w:p>
    <w:p w14:paraId="3C15C071">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0783821F">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5.4 禁止使用不合格的材料和工程设备</w:t>
      </w:r>
    </w:p>
    <w:p w14:paraId="27FB3800">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5.4.1 监理人有权拒绝承包人提供的不合格材料或工程设备，并要求承包人立即进行更换。监理人应在更换后再次进行检查和检验，由此增加的费用和（或）工期延误由承包人承担。</w:t>
      </w:r>
    </w:p>
    <w:p w14:paraId="453CFEA8">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5.4.2 监理人发现承包人使用了不合格的材料和工程设备，应即时发出指示要求承包人立即改正，并禁止在工程中继续使用不合格的材料和工程设备。</w:t>
      </w:r>
    </w:p>
    <w:p w14:paraId="0E78822E">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5.4.3 发包人提供的材料或工程设备不符合合同要求的，承包人有权拒绝，并可要求发包人更换，由此增加的费用和（或）工期延误由发包人承担。</w:t>
      </w:r>
    </w:p>
    <w:p w14:paraId="69D76E3E">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6  施工设备和临时设施</w:t>
      </w:r>
    </w:p>
    <w:p w14:paraId="19905406">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6.1 承包人提供的施工设备和临时设施</w:t>
      </w:r>
    </w:p>
    <w:p w14:paraId="1272634F">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6.1.1 承包人应按合同进度计划的要求，及时配置施工设备和修建临时设施。进入施工场地的承包人设备需经监理人核查后才能投入使用。承包人更换合同约定的承包人设备的，应报监理人批准。</w:t>
      </w:r>
    </w:p>
    <w:p w14:paraId="50DA21AD">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6.1.2 除专用合同条款另有约定外，承包人应自行承担修建临时设施的费用，需要临时占地的，应由发包人办理申请手续并承担相应费用。</w:t>
      </w:r>
    </w:p>
    <w:p w14:paraId="7B1B9F40">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6.2 发包人提供的施工设备和临时设施</w:t>
      </w:r>
    </w:p>
    <w:p w14:paraId="5DCC561E">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发包人提供的施工设备或临时设施在专用合同条款中约定。</w:t>
      </w:r>
    </w:p>
    <w:p w14:paraId="1DFA523D">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6.3 要求承包人增加或更换施工设备</w:t>
      </w:r>
    </w:p>
    <w:p w14:paraId="34E7EA98">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承包人使用的施工设备不能满足合同进度计划和（或）质量要求时，监理人有权要求承包人增加或更换施工设备，承包人应及时增加或更换，由此增加的费用和（或）工期延误由承包人承担。</w:t>
      </w:r>
    </w:p>
    <w:p w14:paraId="7D0E6373">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6.4 施工设备和临时设施专用于合同工程</w:t>
      </w:r>
    </w:p>
    <w:p w14:paraId="42237758">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6.4.1 除合同另有约定外，运入施工场地的所有施工设备以及在施工场地建设的临时设施应专用于合同工程。未经监理人同意，不得将上述施工设备和临时设施中的任何部分运出施工场地或挪作他用。</w:t>
      </w:r>
    </w:p>
    <w:p w14:paraId="5536466E">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6.4.2 经监理人同意，承包人可根据合同进度计划撤走闲置的施工设备。</w:t>
      </w:r>
    </w:p>
    <w:p w14:paraId="7CE5F05A">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7  交通运输</w:t>
      </w:r>
    </w:p>
    <w:p w14:paraId="7F182736">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7.1  道路通行权和场外设施</w:t>
      </w:r>
    </w:p>
    <w:p w14:paraId="70FB9BFF">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14:paraId="157EEA10">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7.2  场内施工道路</w:t>
      </w:r>
    </w:p>
    <w:p w14:paraId="4D53E8E9">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7.2.1 除本合同约定由发包人提供的部分道路和交通设施外，承包人应负责修建、维修、养护和管理其施工所需的全部临时道路和交通设施（包括合同约定由发包人提供的部分道路和交通设施的维修、养护和管理），并承担相应费用。</w:t>
      </w:r>
    </w:p>
    <w:p w14:paraId="320D9641">
      <w:pPr>
        <w:keepNext w:val="0"/>
        <w:keepLines w:val="0"/>
        <w:pageBreakBefore w:val="0"/>
        <w:widowControl w:val="0"/>
        <w:kinsoku/>
        <w:wordWrap/>
        <w:overflowPunct/>
        <w:topLinePunct w:val="0"/>
        <w:autoSpaceDE/>
        <w:autoSpaceDN/>
        <w:bidi w:val="0"/>
        <w:spacing w:line="312" w:lineRule="auto"/>
        <w:ind w:firstLine="435"/>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7.2.2  承包人修建的临时道路和交通设施：应免费提供发包人、监理人以及与本合同有关的其他承包人使用。</w:t>
      </w:r>
    </w:p>
    <w:p w14:paraId="27A87491">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7.3 场外交通</w:t>
      </w:r>
    </w:p>
    <w:p w14:paraId="0EC06E53">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7.3.1 承包人车辆外出行驶所需的场外公共道路的通行费、养路费和税款等由承包人承担。</w:t>
      </w:r>
    </w:p>
    <w:p w14:paraId="6B97413A">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7.3.2 承包人应遵守有关交通法规，严格按照道路和桥梁的限制荷重安全行驶，并服从交通管理部门的检查和监督。</w:t>
      </w:r>
    </w:p>
    <w:p w14:paraId="5865156D">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7.4 超大件和超重件的运输</w:t>
      </w:r>
    </w:p>
    <w:p w14:paraId="36D4505A">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1F4B5C6C">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7.5 道路和桥梁的损坏责任</w:t>
      </w:r>
    </w:p>
    <w:p w14:paraId="273937E8">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因承包人运输造成施工场地内外公共道路和桥梁损坏的，由承包人承担修复损坏的全部费用和可能引起的赔偿。</w:t>
      </w:r>
    </w:p>
    <w:p w14:paraId="55607C88">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7.6 水路和航空运输</w:t>
      </w:r>
    </w:p>
    <w:p w14:paraId="61FF8998">
      <w:pPr>
        <w:keepNext w:val="0"/>
        <w:keepLines w:val="0"/>
        <w:pageBreakBefore w:val="0"/>
        <w:widowControl w:val="0"/>
        <w:kinsoku/>
        <w:wordWrap/>
        <w:overflowPunct/>
        <w:topLinePunct w:val="0"/>
        <w:autoSpaceDE/>
        <w:autoSpaceDN/>
        <w:bidi w:val="0"/>
        <w:spacing w:line="312" w:lineRule="auto"/>
        <w:ind w:firstLine="435"/>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本条上述各款的内容适用于水路运输和航空运输，其中“道路”一词的涵义包括河道、航线、船闸、机场、码头、堤防以及水路或航空运输中其他相似结构物；“车辆”一词的涯义包括船舶和飞机等。</w:t>
      </w:r>
    </w:p>
    <w:p w14:paraId="0BFF10D8">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8  测量放线</w:t>
      </w:r>
    </w:p>
    <w:p w14:paraId="28A3BA17">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8.1  施工控制网</w:t>
      </w:r>
    </w:p>
    <w:p w14:paraId="1498FD91">
      <w:pPr>
        <w:keepNext w:val="0"/>
        <w:keepLines w:val="0"/>
        <w:pageBreakBefore w:val="0"/>
        <w:widowControl w:val="0"/>
        <w:kinsoku/>
        <w:wordWrap/>
        <w:overflowPunct/>
        <w:topLinePunct w:val="0"/>
        <w:autoSpaceDE/>
        <w:autoSpaceDN/>
        <w:bidi w:val="0"/>
        <w:spacing w:line="312" w:lineRule="auto"/>
        <w:ind w:firstLine="435"/>
        <w:textAlignment w:val="auto"/>
        <w:rPr>
          <w:rFonts w:hint="eastAsia" w:ascii="宋体" w:hAnsi="宋体" w:eastAsia="宋体" w:cs="宋体"/>
          <w:b/>
          <w:strike w:val="0"/>
          <w:color w:val="auto"/>
          <w:sz w:val="22"/>
          <w:szCs w:val="22"/>
          <w:highlight w:val="none"/>
        </w:rPr>
      </w:pPr>
      <w:r>
        <w:rPr>
          <w:rFonts w:hint="eastAsia" w:ascii="宋体" w:hAnsi="宋体" w:eastAsia="宋体" w:cs="宋体"/>
          <w:strike w:val="0"/>
          <w:color w:val="auto"/>
          <w:sz w:val="22"/>
          <w:szCs w:val="22"/>
          <w:highlight w:val="none"/>
        </w:rPr>
        <w:t>8.1.1  除专用合同条款另有约定外，施工控制网由承包人负责测设，发包人应在本合同协议书签订后的14天内，向承包人提供测量基准点、基准线和水准点及其相关资料。承包人应在收到上述资料后的28天内，将施测的施工控制网资料提交监理人审批。监理人应在收到报批件后的14天内批复承包人。</w:t>
      </w:r>
    </w:p>
    <w:p w14:paraId="0CDE50FE">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8.1.2 承包人应负责管理施工控制网点。施工控制网点丢失或损坏的，承包人应及时修复。承包人应承担施工控制网点的管理与修复费用，并在工程竣工后将施工控制网点移交发包人。</w:t>
      </w:r>
    </w:p>
    <w:p w14:paraId="25FCAAA6">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8.2 施工测量</w:t>
      </w:r>
    </w:p>
    <w:p w14:paraId="3637736C">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8.2.1 承包人应负责施工过程中的全部施工测量放线工作，并配置合格的人员、仪器、设备和其他物品。</w:t>
      </w:r>
    </w:p>
    <w:p w14:paraId="6BBC83D8">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8.2.2 监理人可以指示承包人进行抽样复测，当复测中发现错误或出现超过合同约定的误差时，承包人应按监理人指示进行修正或补测，并承担相应的复测费用。</w:t>
      </w:r>
    </w:p>
    <w:p w14:paraId="7F3E8144">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8.3 基准资料错误的责任</w:t>
      </w:r>
    </w:p>
    <w:p w14:paraId="681AA593">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174E8925">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8.4 监理人使用施工控制网</w:t>
      </w:r>
    </w:p>
    <w:p w14:paraId="558D5282">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监理人需要使用施工控制网的，承包人应提供必要的协助，发包人不再为此支付费用。</w:t>
      </w:r>
    </w:p>
    <w:p w14:paraId="14717FFB">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8.5  补充地质勘探</w:t>
      </w:r>
    </w:p>
    <w:p w14:paraId="34909559">
      <w:pPr>
        <w:keepNext w:val="0"/>
        <w:keepLines w:val="0"/>
        <w:pageBreakBefore w:val="0"/>
        <w:widowControl w:val="0"/>
        <w:kinsoku/>
        <w:wordWrap/>
        <w:overflowPunct/>
        <w:topLinePunct w:val="0"/>
        <w:autoSpaceDE/>
        <w:autoSpaceDN/>
        <w:bidi w:val="0"/>
        <w:spacing w:line="312" w:lineRule="auto"/>
        <w:ind w:firstLine="435"/>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在合同实施期间，监理人可以指示承包人进行必要的补充地质勘探并提供有关资料。承包人为本合同永久工程施工的需要进行补充地质勘探时，须经监理人批准，并应向监理人提交有关资料，上述补充勘探的费用由发包人承担。承包人为其临时工程设计及施工的需要进行的补充地质勘探，其费用由承包人承担。</w:t>
      </w:r>
    </w:p>
    <w:p w14:paraId="3599144E">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9  施工安全、治安保卫和环境保护</w:t>
      </w:r>
    </w:p>
    <w:p w14:paraId="730599E0">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9.1  发包人的施工安全责任</w:t>
      </w:r>
    </w:p>
    <w:p w14:paraId="25612F57">
      <w:pPr>
        <w:keepNext w:val="0"/>
        <w:keepLines w:val="0"/>
        <w:pageBreakBefore w:val="0"/>
        <w:widowControl w:val="0"/>
        <w:kinsoku/>
        <w:wordWrap/>
        <w:overflowPunct/>
        <w:topLinePunct w:val="0"/>
        <w:autoSpaceDE/>
        <w:autoSpaceDN/>
        <w:bidi w:val="0"/>
        <w:spacing w:line="312" w:lineRule="auto"/>
        <w:ind w:firstLine="435"/>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9.1.1  发包人应按合同约定履行安全职责。发包人委托监理人根据国家有关安全的法律、法规、强制性标准以及部门规章，对承包人的安全责任履行情况进行监督和检查。监理人的监督检查不减轻承包人应负的安全责任。</w:t>
      </w:r>
    </w:p>
    <w:p w14:paraId="78F2A2E9">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9.1.2 发包人应对其现场机构雇佣的全部人员的工伤事故承担责任，但由于承包人原因造成发包人人员工伤的，应由承包人承担责任。</w:t>
      </w:r>
    </w:p>
    <w:p w14:paraId="3C85C099">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9.1.3 发包人应负责赔偿以下各种情况造成的第三者人身伤亡和财产损失：</w:t>
      </w:r>
    </w:p>
    <w:p w14:paraId="463D198D">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（l）工程或工程的任何部分对土地的占用所造成的第三者财产损失；</w:t>
      </w:r>
    </w:p>
    <w:p w14:paraId="4D6ABAC1">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（2）由于发包人原因在施工场地及其毗邻地带造成的第三者人身伤亡和财产损失。</w:t>
      </w:r>
    </w:p>
    <w:p w14:paraId="727591D9">
      <w:pPr>
        <w:keepNext w:val="0"/>
        <w:keepLines w:val="0"/>
        <w:pageBreakBefore w:val="0"/>
        <w:widowControl w:val="0"/>
        <w:kinsoku/>
        <w:wordWrap/>
        <w:overflowPunct/>
        <w:topLinePunct w:val="0"/>
        <w:autoSpaceDE/>
        <w:autoSpaceDN/>
        <w:bidi w:val="0"/>
        <w:spacing w:line="312" w:lineRule="auto"/>
        <w:ind w:firstLine="435"/>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9.1.4  除专用合同条款另有约定外，发包人负责向承包人提供施工现场及施工可能影响的毗邻区域内供水、排水、供电、供气、供热、通信、广播电视等地下管线资料，气象和水文观测资料，拟建工程可能影响的相邻建筑物地下工程的有关资料，并保证有关资料的真实、准确、完整，满足有关技术规程的要求。</w:t>
      </w:r>
    </w:p>
    <w:p w14:paraId="77AFC057">
      <w:pPr>
        <w:keepNext w:val="0"/>
        <w:keepLines w:val="0"/>
        <w:pageBreakBefore w:val="0"/>
        <w:widowControl w:val="0"/>
        <w:kinsoku/>
        <w:wordWrap/>
        <w:overflowPunct/>
        <w:topLinePunct w:val="0"/>
        <w:autoSpaceDE/>
        <w:autoSpaceDN/>
        <w:bidi w:val="0"/>
        <w:spacing w:line="312" w:lineRule="auto"/>
        <w:ind w:firstLine="435"/>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9.1.5 发包人按照已标价工程量清单所列金额和合同约定的计量支付规定，支付安全作业环境及安全施工措施所需费用。</w:t>
      </w:r>
    </w:p>
    <w:p w14:paraId="4F724D55">
      <w:pPr>
        <w:keepNext w:val="0"/>
        <w:keepLines w:val="0"/>
        <w:pageBreakBefore w:val="0"/>
        <w:widowControl w:val="0"/>
        <w:kinsoku/>
        <w:wordWrap/>
        <w:overflowPunct/>
        <w:topLinePunct w:val="0"/>
        <w:autoSpaceDE/>
        <w:autoSpaceDN/>
        <w:bidi w:val="0"/>
        <w:spacing w:line="312" w:lineRule="auto"/>
        <w:ind w:firstLine="435"/>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9.1.6发包人负责组织工程参建单位编制保证安全生产的措施方案。工程开工前，就落实保证安全生产的措施进行全面系统的布置，进一步明确承包人的安全生产责任。</w:t>
      </w:r>
    </w:p>
    <w:p w14:paraId="366EBED4">
      <w:pPr>
        <w:keepNext w:val="0"/>
        <w:keepLines w:val="0"/>
        <w:pageBreakBefore w:val="0"/>
        <w:widowControl w:val="0"/>
        <w:kinsoku/>
        <w:wordWrap/>
        <w:overflowPunct/>
        <w:topLinePunct w:val="0"/>
        <w:autoSpaceDE/>
        <w:autoSpaceDN/>
        <w:bidi w:val="0"/>
        <w:spacing w:line="312" w:lineRule="auto"/>
        <w:ind w:firstLine="435"/>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9.1.7发包人负责在拆除工程和爆破工程施工“天前向有关部门或机构报送相关备案资料。</w:t>
      </w:r>
    </w:p>
    <w:p w14:paraId="7E091B4C">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9.2  承包人的施工安全责任</w:t>
      </w:r>
    </w:p>
    <w:p w14:paraId="648A6523">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9.2.1  承包人应按合同约定履行安全职责，执行监理人有关安全工作的指示。承包人应按技术标准和要求（合同技术条款）约定的内容和期限，以及监理人的指示，编制施工安全技术措施提交监理人审批。监理人应在技术标准和要求（合同技术条款）约定的期限内批复承包人。</w:t>
      </w:r>
    </w:p>
    <w:p w14:paraId="4514B7A0">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9.2.2 承包人应加强施工作业安全管理，特别应加强易燃、易爆材料、火工器材、有毒与腐蚀性材料和其他危险品的管理，以及对爆破作业和地下工程施工等危险作业的管理。</w:t>
      </w:r>
    </w:p>
    <w:p w14:paraId="7E9B7676">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9.2.3 承包人应严格按照国家安全标准制定施工安全操作规程，配备必要的安全生产和劳动保护设施，加强对承包人人员的安全教育，并发放安全工作手册和劳动保护用具。</w:t>
      </w:r>
    </w:p>
    <w:p w14:paraId="6D1BDF91">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9.2.4 承包人应按监理人的指示制定应对灾害的紧急预案，报送监理人审批。承包人还应按预案做好安全检查，配置必要的救助物资和器材，切实保护好有关人员的人身和财产安全。</w:t>
      </w:r>
    </w:p>
    <w:p w14:paraId="77D9A422">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9.2.5 合同约定的安全作业环境及安全施工措施所需费用应遵守有关规定，并包括在相关工作的合同价格中。因采取合同未约定的安全作业环境及安全施工措施增加的费用，由监理人按第3.5 款商定或确定。</w:t>
      </w:r>
    </w:p>
    <w:p w14:paraId="449ADD44">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9.2.6 承包人应对其履行合同所雇佣的全部人员，包括分包人人员的工伤事故承担责任，但由于发包人原因造成承包人人员工伤事故的，应由发包人承担责任。</w:t>
      </w:r>
    </w:p>
    <w:p w14:paraId="404A80B1">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9.2.7 由于承包人原因在施工场地内及其毗邻地带造成的第三者人员伤亡和财产损失，由承包人负责赔偿。</w:t>
      </w:r>
    </w:p>
    <w:p w14:paraId="6B4B54A0">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9.2.8  承包人已标价工程量清单应包含工程安全作业环境及安全施工措施所需费用。</w:t>
      </w:r>
    </w:p>
    <w:p w14:paraId="2B918E01">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9.2.9  承包人应建立健全安全生产责任制度和安全生产教育培训制度，制定安全生产规章制度和操作规程，保证本单位建立和完善安全生产条件所需资金的投入，对本工程进行定期和专项安全检查，并做好安全检查记录。</w:t>
      </w:r>
    </w:p>
    <w:p w14:paraId="5B38211B">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9.2.10  承包人应设立安全生产管理机构，施工现场应有专职安全生产管理人员。</w:t>
      </w:r>
    </w:p>
    <w:p w14:paraId="082813F9">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9.2.11  承包人应负责对特种作业人员进行专门的安全作业培训，并保证特种作业人员持证上岗。</w:t>
      </w:r>
    </w:p>
    <w:p w14:paraId="0DD0373A">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9.2.12  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发包人同意。</w:t>
      </w:r>
    </w:p>
    <w:p w14:paraId="48874E7C">
      <w:pPr>
        <w:keepNext w:val="0"/>
        <w:keepLines w:val="0"/>
        <w:pageBreakBefore w:val="0"/>
        <w:widowControl w:val="0"/>
        <w:kinsoku/>
        <w:wordWrap/>
        <w:overflowPunct/>
        <w:topLinePunct w:val="0"/>
        <w:autoSpaceDE/>
        <w:autoSpaceDN/>
        <w:bidi w:val="0"/>
        <w:spacing w:line="312" w:lineRule="auto"/>
        <w:ind w:firstLine="435"/>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9.2.13  承包人在使用施工起重机械和整体提升脚手架、模板等自升式架设设施前组织有关单位进行验收。</w:t>
      </w:r>
    </w:p>
    <w:p w14:paraId="52AD5D98">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9.3 治安保卫</w:t>
      </w:r>
    </w:p>
    <w:p w14:paraId="42B22EF2">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9.3.1 除合同另有约定外，发包人应与当地公安部门协商，在现场建立治安管理机构或联防组织，统一管理施工场地的治安保卫事项，履行合同工程的治安保卫职责。</w:t>
      </w:r>
    </w:p>
    <w:p w14:paraId="7C23A214">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9.3.2 发包人和承包人除应协助现场治安管理机构或联防组织维护施工场地的社会治安外，还应做好包括生活区在内的各自管辖区的治安保卫工作。</w:t>
      </w:r>
    </w:p>
    <w:p w14:paraId="3E530ED1">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09C8AC70">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9.4 环境保护</w:t>
      </w:r>
    </w:p>
    <w:p w14:paraId="000A2D1A">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9.4.1 承包人在施工过程中，应遵守有关环境保护的法律，履行合同约定的环境保护义务，并对违反法律和合同约定义务所造成的环境破坏、人身伤害和财产损失负责。</w:t>
      </w:r>
    </w:p>
    <w:p w14:paraId="0754F195">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9.4.2 承包人应按合同约定的环保工作内容，编制施工环保措施计划，报送监理人审批。</w:t>
      </w:r>
    </w:p>
    <w:p w14:paraId="1E442DD1">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1E7C7918">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9.4.4 承包人应按合同约定采取有效措施，对施工开挖的边坡及时进行支护，维护排水设施，并进行水土保护，避免因施工造成的地质灾害。</w:t>
      </w:r>
    </w:p>
    <w:p w14:paraId="4A7AEC9A">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9.4.5 承包人应按国家饮用水管理标准定期对饮用水源进行监测，防止施工活动污染饮用水源。</w:t>
      </w:r>
    </w:p>
    <w:p w14:paraId="60D4E0A3">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9.4.6 承包人应按合同约定，加强对噪声、粉尘、废气、废水和废油的控制，努力降低噪声，控制粉尘和废气浓度，做好废水和废油的治理和排放。</w:t>
      </w:r>
    </w:p>
    <w:p w14:paraId="2AAB24C7">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9.5  事故处理</w:t>
      </w:r>
    </w:p>
    <w:p w14:paraId="7F69106A">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9.5.1  发包人负责组织参建单位制定本工程的质量与安全事故应急预案，建立质量与安全事故应急处置指挥部。</w:t>
      </w:r>
    </w:p>
    <w:p w14:paraId="3CDE84D3">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9.5.2  承包人应对施工现场易发生重大事故的部位、环节进行监控，配备救援器材、设备，并定期组织演练。</w:t>
      </w:r>
    </w:p>
    <w:p w14:paraId="20CB866D">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9.5.3  工程开工前，承包人应根据本工程的特点制定施工现场施工质量与安全事故应急预案，并报发包人备案。</w:t>
      </w:r>
    </w:p>
    <w:p w14:paraId="6A51FF81">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9.5.4  施工过程中发生事故时，发包人、承包人应立即启动应急预案。</w:t>
      </w:r>
    </w:p>
    <w:p w14:paraId="6E61D929">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9.5.5  事故调查处理由发包人按相关规定履行手续，承包人应配合。</w:t>
      </w:r>
    </w:p>
    <w:p w14:paraId="5EFC3173">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9.6  水土保持</w:t>
      </w:r>
    </w:p>
    <w:p w14:paraId="5A48FF49">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9.6.1  发包人应及时向承包人提供水土保持方案。</w:t>
      </w:r>
    </w:p>
    <w:p w14:paraId="2633B4E3">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9.6.2  承包人在施工过程中，应遵守有关水土保持的法律法规和规章，履行合同约定的水土保持义务，并对其违反法律和合同约定义务所造成的水土流失灾害、人身伤害和财产损失负责。</w:t>
      </w:r>
    </w:p>
    <w:p w14:paraId="75F379D0">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9.6.3  承包人的水土保持措施计划，应满足技术标准和要求（合同技术条款）约定的要求。</w:t>
      </w:r>
    </w:p>
    <w:p w14:paraId="59E968B5">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9.7  文明工地</w:t>
      </w:r>
    </w:p>
    <w:p w14:paraId="40B7AEDC">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9.7.1  发包人应按专用合同条款的约定，负责建立创建文明建设工地的组织机构，制定创建文明建设工地的规划和办法。</w:t>
      </w:r>
    </w:p>
    <w:p w14:paraId="092F25FA">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9.7.2  承包人应按创建文明建设工地的规划和办法，履行职责，承担相应责任。所需费用应含在已标价工程量清单中。</w:t>
      </w:r>
    </w:p>
    <w:p w14:paraId="08ABCE64">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9.8  防汛度汛</w:t>
      </w:r>
    </w:p>
    <w:p w14:paraId="22301B27">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9.8.1  发包人负责组织工程参建单位编制本工程的度汛方案和措施。</w:t>
      </w:r>
    </w:p>
    <w:p w14:paraId="0F340CD6">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9.8.2  承包人应根据发包人编制的本工程度汛方案和措施，制定相应的度汛方案，报发包人批准后实施。</w:t>
      </w:r>
    </w:p>
    <w:p w14:paraId="7A3BDB84">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10  进度计划</w:t>
      </w:r>
    </w:p>
    <w:p w14:paraId="7A36EC9C">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10.1  合同进度计划</w:t>
      </w:r>
    </w:p>
    <w:p w14:paraId="6832E3FF">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承包人应按技术标准和要求（合同技术条款）约定的内容和期限以及监理人的指示，编制详细的施工总进度计划及其说明提交监理人审批。监理人应在技术标准和要求（合同技术条款）约定的期限内批复承包人，否则该进度计划视为已得到批准。经监理人批准的施工进度计划称为合同进度计划，是控制合同工程进度的依据。承包人还应根据合同进度计划，编制更为详细的分阶段或单位工程或分部工程进度计划，报监理人审批。</w:t>
      </w:r>
    </w:p>
    <w:p w14:paraId="307F3004">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10.2  合同进度计划的修订</w:t>
      </w:r>
    </w:p>
    <w:p w14:paraId="298E3804">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不论何种原因造成工程的实际进度与第10.1款的合同进度计划不符时，承包人均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p>
    <w:p w14:paraId="590DF5E9">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不论何种原因造成施工进度延迟，承包人均应按监理人的指示，采取有效措施赶上进度。承包人应在向监理人提交修订合同进度计划的同时，编制一份赶工措施报告提交监理人审批。由于发包人原因造成施工进度延迟，应按第11.3款的约定办理；由于承包人原因造成施工进度延迟，应按第11.5款的约定办理。</w:t>
      </w:r>
    </w:p>
    <w:p w14:paraId="2525AD69">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10.3  单位工程进度计划</w:t>
      </w:r>
    </w:p>
    <w:p w14:paraId="0D4DA7F0">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监理人认为有必要时，承包人应按监理人指示的内容和期限，并根据合同进度计划的进度控制要求，编制单位工程进度计划，提交监理人审批。</w:t>
      </w:r>
    </w:p>
    <w:p w14:paraId="39D0E13F">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b/>
          <w:strike w:val="0"/>
          <w:color w:val="auto"/>
          <w:sz w:val="22"/>
          <w:szCs w:val="22"/>
          <w:highlight w:val="none"/>
        </w:rPr>
        <w:t>10.4  提交资金流估算表</w:t>
      </w:r>
    </w:p>
    <w:p w14:paraId="4F1B2355">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承包人应在按第10.1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14:paraId="14971FD1">
      <w:pPr>
        <w:keepNext w:val="0"/>
        <w:keepLines w:val="0"/>
        <w:pageBreakBefore w:val="0"/>
        <w:widowControl w:val="0"/>
        <w:kinsoku/>
        <w:wordWrap/>
        <w:overflowPunct/>
        <w:topLinePunct w:val="0"/>
        <w:autoSpaceDE/>
        <w:autoSpaceDN/>
        <w:bidi w:val="0"/>
        <w:spacing w:line="312" w:lineRule="auto"/>
        <w:ind w:firstLine="556"/>
        <w:textAlignment w:val="auto"/>
        <w:rPr>
          <w:rFonts w:hint="eastAsia" w:ascii="宋体" w:hAnsi="宋体" w:eastAsia="宋体" w:cs="宋体"/>
          <w:strike w:val="0"/>
          <w:color w:val="auto"/>
          <w:sz w:val="22"/>
          <w:szCs w:val="22"/>
          <w:highlight w:val="none"/>
        </w:rPr>
      </w:pPr>
    </w:p>
    <w:p w14:paraId="7FA8B137">
      <w:pPr>
        <w:keepNext w:val="0"/>
        <w:keepLines w:val="0"/>
        <w:pageBreakBefore w:val="0"/>
        <w:widowControl w:val="0"/>
        <w:kinsoku/>
        <w:wordWrap/>
        <w:overflowPunct/>
        <w:topLinePunct w:val="0"/>
        <w:autoSpaceDE/>
        <w:autoSpaceDN/>
        <w:bidi w:val="0"/>
        <w:spacing w:line="312" w:lineRule="auto"/>
        <w:ind w:firstLine="555"/>
        <w:jc w:val="right"/>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pacing w:val="12"/>
          <w:sz w:val="22"/>
          <w:szCs w:val="22"/>
          <w:highlight w:val="none"/>
        </w:rPr>
        <w:t>资金流估算表（参考格式）金额单位</w:t>
      </w:r>
    </w:p>
    <w:tbl>
      <w:tblPr>
        <w:tblStyle w:val="20"/>
        <w:tblW w:w="0" w:type="auto"/>
        <w:jc w:val="center"/>
        <w:tblLayout w:type="autofit"/>
        <w:tblCellMar>
          <w:top w:w="0" w:type="dxa"/>
          <w:left w:w="10" w:type="dxa"/>
          <w:bottom w:w="0" w:type="dxa"/>
          <w:right w:w="10" w:type="dxa"/>
        </w:tblCellMar>
      </w:tblPr>
      <w:tblGrid>
        <w:gridCol w:w="523"/>
        <w:gridCol w:w="523"/>
        <w:gridCol w:w="1120"/>
        <w:gridCol w:w="1528"/>
        <w:gridCol w:w="1495"/>
        <w:gridCol w:w="1120"/>
        <w:gridCol w:w="1119"/>
        <w:gridCol w:w="560"/>
        <w:gridCol w:w="747"/>
        <w:gridCol w:w="1119"/>
      </w:tblGrid>
      <w:tr w14:paraId="662543BE">
        <w:tblPrEx>
          <w:tblCellMar>
            <w:top w:w="0" w:type="dxa"/>
            <w:left w:w="10" w:type="dxa"/>
            <w:bottom w:w="0" w:type="dxa"/>
            <w:right w:w="10" w:type="dxa"/>
          </w:tblCellMar>
        </w:tblPrEx>
        <w:trPr>
          <w:trHeight w:val="600" w:hRule="atLeast"/>
          <w:jc w:val="center"/>
        </w:trPr>
        <w:tc>
          <w:tcPr>
            <w:tcW w:w="52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745B522">
            <w:pPr>
              <w:keepNext w:val="0"/>
              <w:keepLines w:val="0"/>
              <w:pageBreakBefore w:val="0"/>
              <w:widowControl w:val="0"/>
              <w:kinsoku/>
              <w:wordWrap/>
              <w:overflowPunct/>
              <w:topLinePunct w:val="0"/>
              <w:autoSpaceDE/>
              <w:autoSpaceDN/>
              <w:bidi w:val="0"/>
              <w:spacing w:line="312" w:lineRule="auto"/>
              <w:ind w:left="-90"/>
              <w:jc w:val="center"/>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pacing w:val="2"/>
                <w:sz w:val="22"/>
                <w:szCs w:val="22"/>
                <w:highlight w:val="none"/>
              </w:rPr>
              <w:t>年</w:t>
            </w:r>
          </w:p>
        </w:tc>
        <w:tc>
          <w:tcPr>
            <w:tcW w:w="52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E2C4B95">
            <w:pPr>
              <w:keepNext w:val="0"/>
              <w:keepLines w:val="0"/>
              <w:pageBreakBefore w:val="0"/>
              <w:widowControl w:val="0"/>
              <w:kinsoku/>
              <w:wordWrap/>
              <w:overflowPunct/>
              <w:topLinePunct w:val="0"/>
              <w:autoSpaceDE/>
              <w:autoSpaceDN/>
              <w:bidi w:val="0"/>
              <w:spacing w:line="312" w:lineRule="auto"/>
              <w:ind w:left="-90"/>
              <w:jc w:val="center"/>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pacing w:val="2"/>
                <w:sz w:val="22"/>
                <w:szCs w:val="22"/>
                <w:highlight w:val="none"/>
              </w:rPr>
              <w:t>月</w:t>
            </w:r>
          </w:p>
        </w:tc>
        <w:tc>
          <w:tcPr>
            <w:tcW w:w="112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5834CE3">
            <w:pPr>
              <w:keepNext w:val="0"/>
              <w:keepLines w:val="0"/>
              <w:pageBreakBefore w:val="0"/>
              <w:widowControl w:val="0"/>
              <w:kinsoku/>
              <w:wordWrap/>
              <w:overflowPunct/>
              <w:topLinePunct w:val="0"/>
              <w:autoSpaceDE/>
              <w:autoSpaceDN/>
              <w:bidi w:val="0"/>
              <w:spacing w:line="312" w:lineRule="auto"/>
              <w:ind w:left="-90"/>
              <w:jc w:val="center"/>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pacing w:val="2"/>
                <w:sz w:val="22"/>
                <w:szCs w:val="22"/>
                <w:highlight w:val="none"/>
              </w:rPr>
              <w:t>工程预付款</w:t>
            </w:r>
          </w:p>
        </w:tc>
        <w:tc>
          <w:tcPr>
            <w:tcW w:w="152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7B58AC0">
            <w:pPr>
              <w:keepNext w:val="0"/>
              <w:keepLines w:val="0"/>
              <w:pageBreakBefore w:val="0"/>
              <w:widowControl w:val="0"/>
              <w:kinsoku/>
              <w:wordWrap/>
              <w:overflowPunct/>
              <w:topLinePunct w:val="0"/>
              <w:autoSpaceDE/>
              <w:autoSpaceDN/>
              <w:bidi w:val="0"/>
              <w:spacing w:line="312" w:lineRule="auto"/>
              <w:ind w:left="-90"/>
              <w:jc w:val="center"/>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pacing w:val="2"/>
                <w:sz w:val="22"/>
                <w:szCs w:val="22"/>
                <w:highlight w:val="none"/>
              </w:rPr>
              <w:t>完成工作量付款</w:t>
            </w:r>
          </w:p>
        </w:tc>
        <w:tc>
          <w:tcPr>
            <w:tcW w:w="149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5ED43BF">
            <w:pPr>
              <w:keepNext w:val="0"/>
              <w:keepLines w:val="0"/>
              <w:pageBreakBefore w:val="0"/>
              <w:widowControl w:val="0"/>
              <w:kinsoku/>
              <w:wordWrap/>
              <w:overflowPunct/>
              <w:topLinePunct w:val="0"/>
              <w:autoSpaceDE/>
              <w:autoSpaceDN/>
              <w:bidi w:val="0"/>
              <w:spacing w:line="312" w:lineRule="auto"/>
              <w:ind w:left="-90"/>
              <w:jc w:val="center"/>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pacing w:val="2"/>
                <w:sz w:val="22"/>
                <w:szCs w:val="22"/>
                <w:highlight w:val="none"/>
              </w:rPr>
              <w:t>质量保证金扣留</w:t>
            </w:r>
          </w:p>
        </w:tc>
        <w:tc>
          <w:tcPr>
            <w:tcW w:w="112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6534981">
            <w:pPr>
              <w:keepNext w:val="0"/>
              <w:keepLines w:val="0"/>
              <w:pageBreakBefore w:val="0"/>
              <w:widowControl w:val="0"/>
              <w:kinsoku/>
              <w:wordWrap/>
              <w:overflowPunct/>
              <w:topLinePunct w:val="0"/>
              <w:autoSpaceDE/>
              <w:autoSpaceDN/>
              <w:bidi w:val="0"/>
              <w:spacing w:line="312" w:lineRule="auto"/>
              <w:ind w:left="-90"/>
              <w:jc w:val="center"/>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pacing w:val="2"/>
                <w:sz w:val="22"/>
                <w:szCs w:val="22"/>
                <w:highlight w:val="none"/>
              </w:rPr>
              <w:t>材料款扣除</w:t>
            </w:r>
          </w:p>
        </w:tc>
        <w:tc>
          <w:tcPr>
            <w:tcW w:w="111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3515AC">
            <w:pPr>
              <w:keepNext w:val="0"/>
              <w:keepLines w:val="0"/>
              <w:pageBreakBefore w:val="0"/>
              <w:widowControl w:val="0"/>
              <w:kinsoku/>
              <w:wordWrap/>
              <w:overflowPunct/>
              <w:topLinePunct w:val="0"/>
              <w:autoSpaceDE/>
              <w:autoSpaceDN/>
              <w:bidi w:val="0"/>
              <w:spacing w:line="312" w:lineRule="auto"/>
              <w:ind w:left="-90"/>
              <w:jc w:val="center"/>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pacing w:val="2"/>
                <w:sz w:val="22"/>
                <w:szCs w:val="22"/>
                <w:highlight w:val="none"/>
              </w:rPr>
              <w:t>预付款扣还</w:t>
            </w:r>
          </w:p>
        </w:tc>
        <w:tc>
          <w:tcPr>
            <w:tcW w:w="56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31801B4">
            <w:pPr>
              <w:keepNext w:val="0"/>
              <w:keepLines w:val="0"/>
              <w:pageBreakBefore w:val="0"/>
              <w:widowControl w:val="0"/>
              <w:kinsoku/>
              <w:wordWrap/>
              <w:overflowPunct/>
              <w:topLinePunct w:val="0"/>
              <w:autoSpaceDE/>
              <w:autoSpaceDN/>
              <w:bidi w:val="0"/>
              <w:spacing w:line="312" w:lineRule="auto"/>
              <w:ind w:left="-90"/>
              <w:jc w:val="center"/>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pacing w:val="2"/>
                <w:sz w:val="22"/>
                <w:szCs w:val="22"/>
                <w:highlight w:val="none"/>
              </w:rPr>
              <w:t>其它</w:t>
            </w:r>
          </w:p>
        </w:tc>
        <w:tc>
          <w:tcPr>
            <w:tcW w:w="74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5AEA0E8">
            <w:pPr>
              <w:keepNext w:val="0"/>
              <w:keepLines w:val="0"/>
              <w:pageBreakBefore w:val="0"/>
              <w:widowControl w:val="0"/>
              <w:kinsoku/>
              <w:wordWrap/>
              <w:overflowPunct/>
              <w:topLinePunct w:val="0"/>
              <w:autoSpaceDE/>
              <w:autoSpaceDN/>
              <w:bidi w:val="0"/>
              <w:spacing w:line="312" w:lineRule="auto"/>
              <w:ind w:left="-90"/>
              <w:jc w:val="center"/>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pacing w:val="2"/>
                <w:sz w:val="22"/>
                <w:szCs w:val="22"/>
                <w:highlight w:val="none"/>
              </w:rPr>
              <w:t>应收款</w:t>
            </w:r>
          </w:p>
        </w:tc>
        <w:tc>
          <w:tcPr>
            <w:tcW w:w="111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D650479">
            <w:pPr>
              <w:keepNext w:val="0"/>
              <w:keepLines w:val="0"/>
              <w:pageBreakBefore w:val="0"/>
              <w:widowControl w:val="0"/>
              <w:kinsoku/>
              <w:wordWrap/>
              <w:overflowPunct/>
              <w:topLinePunct w:val="0"/>
              <w:autoSpaceDE/>
              <w:autoSpaceDN/>
              <w:bidi w:val="0"/>
              <w:spacing w:line="312" w:lineRule="auto"/>
              <w:ind w:left="-90"/>
              <w:jc w:val="center"/>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pacing w:val="2"/>
                <w:sz w:val="22"/>
                <w:szCs w:val="22"/>
                <w:highlight w:val="none"/>
              </w:rPr>
              <w:t>累计应收款</w:t>
            </w:r>
          </w:p>
        </w:tc>
      </w:tr>
      <w:tr w14:paraId="47F7F31C">
        <w:tblPrEx>
          <w:tblCellMar>
            <w:top w:w="0" w:type="dxa"/>
            <w:left w:w="10" w:type="dxa"/>
            <w:bottom w:w="0" w:type="dxa"/>
            <w:right w:w="10" w:type="dxa"/>
          </w:tblCellMar>
        </w:tblPrEx>
        <w:trPr>
          <w:trHeight w:val="600" w:hRule="atLeast"/>
          <w:jc w:val="center"/>
        </w:trPr>
        <w:tc>
          <w:tcPr>
            <w:tcW w:w="52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E43B237">
            <w:pPr>
              <w:keepNext w:val="0"/>
              <w:keepLines w:val="0"/>
              <w:pageBreakBefore w:val="0"/>
              <w:widowControl w:val="0"/>
              <w:kinsoku/>
              <w:wordWrap/>
              <w:overflowPunct/>
              <w:topLinePunct w:val="0"/>
              <w:autoSpaceDE/>
              <w:autoSpaceDN/>
              <w:bidi w:val="0"/>
              <w:spacing w:line="312" w:lineRule="auto"/>
              <w:ind w:left="-90"/>
              <w:jc w:val="center"/>
              <w:textAlignment w:val="auto"/>
              <w:rPr>
                <w:rFonts w:hint="eastAsia" w:ascii="宋体" w:hAnsi="宋体" w:eastAsia="宋体" w:cs="宋体"/>
                <w:strike w:val="0"/>
                <w:color w:val="auto"/>
                <w:sz w:val="22"/>
                <w:szCs w:val="22"/>
                <w:highlight w:val="none"/>
              </w:rPr>
            </w:pPr>
          </w:p>
        </w:tc>
        <w:tc>
          <w:tcPr>
            <w:tcW w:w="52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2CD6912">
            <w:pPr>
              <w:keepNext w:val="0"/>
              <w:keepLines w:val="0"/>
              <w:pageBreakBefore w:val="0"/>
              <w:widowControl w:val="0"/>
              <w:kinsoku/>
              <w:wordWrap/>
              <w:overflowPunct/>
              <w:topLinePunct w:val="0"/>
              <w:autoSpaceDE/>
              <w:autoSpaceDN/>
              <w:bidi w:val="0"/>
              <w:spacing w:line="312" w:lineRule="auto"/>
              <w:ind w:left="-90"/>
              <w:jc w:val="center"/>
              <w:textAlignment w:val="auto"/>
              <w:rPr>
                <w:rFonts w:hint="eastAsia" w:ascii="宋体" w:hAnsi="宋体" w:eastAsia="宋体" w:cs="宋体"/>
                <w:strike w:val="0"/>
                <w:color w:val="auto"/>
                <w:sz w:val="22"/>
                <w:szCs w:val="22"/>
                <w:highlight w:val="none"/>
              </w:rPr>
            </w:pPr>
          </w:p>
        </w:tc>
        <w:tc>
          <w:tcPr>
            <w:tcW w:w="112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4DAC6B8">
            <w:pPr>
              <w:keepNext w:val="0"/>
              <w:keepLines w:val="0"/>
              <w:pageBreakBefore w:val="0"/>
              <w:widowControl w:val="0"/>
              <w:kinsoku/>
              <w:wordWrap/>
              <w:overflowPunct/>
              <w:topLinePunct w:val="0"/>
              <w:autoSpaceDE/>
              <w:autoSpaceDN/>
              <w:bidi w:val="0"/>
              <w:spacing w:line="312" w:lineRule="auto"/>
              <w:ind w:left="-90"/>
              <w:jc w:val="center"/>
              <w:textAlignment w:val="auto"/>
              <w:rPr>
                <w:rFonts w:hint="eastAsia" w:ascii="宋体" w:hAnsi="宋体" w:eastAsia="宋体" w:cs="宋体"/>
                <w:strike w:val="0"/>
                <w:color w:val="auto"/>
                <w:sz w:val="22"/>
                <w:szCs w:val="22"/>
                <w:highlight w:val="none"/>
              </w:rPr>
            </w:pPr>
          </w:p>
        </w:tc>
        <w:tc>
          <w:tcPr>
            <w:tcW w:w="152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904847">
            <w:pPr>
              <w:keepNext w:val="0"/>
              <w:keepLines w:val="0"/>
              <w:pageBreakBefore w:val="0"/>
              <w:widowControl w:val="0"/>
              <w:kinsoku/>
              <w:wordWrap/>
              <w:overflowPunct/>
              <w:topLinePunct w:val="0"/>
              <w:autoSpaceDE/>
              <w:autoSpaceDN/>
              <w:bidi w:val="0"/>
              <w:spacing w:line="312" w:lineRule="auto"/>
              <w:ind w:left="-90"/>
              <w:jc w:val="center"/>
              <w:textAlignment w:val="auto"/>
              <w:rPr>
                <w:rFonts w:hint="eastAsia" w:ascii="宋体" w:hAnsi="宋体" w:eastAsia="宋体" w:cs="宋体"/>
                <w:strike w:val="0"/>
                <w:color w:val="auto"/>
                <w:sz w:val="22"/>
                <w:szCs w:val="22"/>
                <w:highlight w:val="none"/>
              </w:rPr>
            </w:pPr>
          </w:p>
        </w:tc>
        <w:tc>
          <w:tcPr>
            <w:tcW w:w="149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B850AB7">
            <w:pPr>
              <w:keepNext w:val="0"/>
              <w:keepLines w:val="0"/>
              <w:pageBreakBefore w:val="0"/>
              <w:widowControl w:val="0"/>
              <w:kinsoku/>
              <w:wordWrap/>
              <w:overflowPunct/>
              <w:topLinePunct w:val="0"/>
              <w:autoSpaceDE/>
              <w:autoSpaceDN/>
              <w:bidi w:val="0"/>
              <w:spacing w:line="312" w:lineRule="auto"/>
              <w:ind w:left="-90"/>
              <w:jc w:val="center"/>
              <w:textAlignment w:val="auto"/>
              <w:rPr>
                <w:rFonts w:hint="eastAsia" w:ascii="宋体" w:hAnsi="宋体" w:eastAsia="宋体" w:cs="宋体"/>
                <w:strike w:val="0"/>
                <w:color w:val="auto"/>
                <w:sz w:val="22"/>
                <w:szCs w:val="22"/>
                <w:highlight w:val="none"/>
              </w:rPr>
            </w:pPr>
          </w:p>
        </w:tc>
        <w:tc>
          <w:tcPr>
            <w:tcW w:w="112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334D535">
            <w:pPr>
              <w:keepNext w:val="0"/>
              <w:keepLines w:val="0"/>
              <w:pageBreakBefore w:val="0"/>
              <w:widowControl w:val="0"/>
              <w:kinsoku/>
              <w:wordWrap/>
              <w:overflowPunct/>
              <w:topLinePunct w:val="0"/>
              <w:autoSpaceDE/>
              <w:autoSpaceDN/>
              <w:bidi w:val="0"/>
              <w:spacing w:line="312" w:lineRule="auto"/>
              <w:ind w:left="-90"/>
              <w:jc w:val="center"/>
              <w:textAlignment w:val="auto"/>
              <w:rPr>
                <w:rFonts w:hint="eastAsia" w:ascii="宋体" w:hAnsi="宋体" w:eastAsia="宋体" w:cs="宋体"/>
                <w:strike w:val="0"/>
                <w:color w:val="auto"/>
                <w:sz w:val="22"/>
                <w:szCs w:val="22"/>
                <w:highlight w:val="none"/>
              </w:rPr>
            </w:pPr>
          </w:p>
        </w:tc>
        <w:tc>
          <w:tcPr>
            <w:tcW w:w="111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FB8AD4B">
            <w:pPr>
              <w:keepNext w:val="0"/>
              <w:keepLines w:val="0"/>
              <w:pageBreakBefore w:val="0"/>
              <w:widowControl w:val="0"/>
              <w:kinsoku/>
              <w:wordWrap/>
              <w:overflowPunct/>
              <w:topLinePunct w:val="0"/>
              <w:autoSpaceDE/>
              <w:autoSpaceDN/>
              <w:bidi w:val="0"/>
              <w:spacing w:line="312" w:lineRule="auto"/>
              <w:ind w:left="-90"/>
              <w:jc w:val="center"/>
              <w:textAlignment w:val="auto"/>
              <w:rPr>
                <w:rFonts w:hint="eastAsia" w:ascii="宋体" w:hAnsi="宋体" w:eastAsia="宋体" w:cs="宋体"/>
                <w:strike w:val="0"/>
                <w:color w:val="auto"/>
                <w:sz w:val="22"/>
                <w:szCs w:val="22"/>
                <w:highlight w:val="none"/>
              </w:rPr>
            </w:pPr>
          </w:p>
        </w:tc>
        <w:tc>
          <w:tcPr>
            <w:tcW w:w="56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ECAE6CF">
            <w:pPr>
              <w:keepNext w:val="0"/>
              <w:keepLines w:val="0"/>
              <w:pageBreakBefore w:val="0"/>
              <w:widowControl w:val="0"/>
              <w:kinsoku/>
              <w:wordWrap/>
              <w:overflowPunct/>
              <w:topLinePunct w:val="0"/>
              <w:autoSpaceDE/>
              <w:autoSpaceDN/>
              <w:bidi w:val="0"/>
              <w:spacing w:line="312" w:lineRule="auto"/>
              <w:ind w:left="-90"/>
              <w:jc w:val="center"/>
              <w:textAlignment w:val="auto"/>
              <w:rPr>
                <w:rFonts w:hint="eastAsia" w:ascii="宋体" w:hAnsi="宋体" w:eastAsia="宋体" w:cs="宋体"/>
                <w:strike w:val="0"/>
                <w:color w:val="auto"/>
                <w:sz w:val="22"/>
                <w:szCs w:val="22"/>
                <w:highlight w:val="none"/>
              </w:rPr>
            </w:pPr>
          </w:p>
        </w:tc>
        <w:tc>
          <w:tcPr>
            <w:tcW w:w="74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A2BE3BA">
            <w:pPr>
              <w:keepNext w:val="0"/>
              <w:keepLines w:val="0"/>
              <w:pageBreakBefore w:val="0"/>
              <w:widowControl w:val="0"/>
              <w:kinsoku/>
              <w:wordWrap/>
              <w:overflowPunct/>
              <w:topLinePunct w:val="0"/>
              <w:autoSpaceDE/>
              <w:autoSpaceDN/>
              <w:bidi w:val="0"/>
              <w:spacing w:line="312" w:lineRule="auto"/>
              <w:ind w:left="-90"/>
              <w:jc w:val="center"/>
              <w:textAlignment w:val="auto"/>
              <w:rPr>
                <w:rFonts w:hint="eastAsia" w:ascii="宋体" w:hAnsi="宋体" w:eastAsia="宋体" w:cs="宋体"/>
                <w:strike w:val="0"/>
                <w:color w:val="auto"/>
                <w:sz w:val="22"/>
                <w:szCs w:val="22"/>
                <w:highlight w:val="none"/>
              </w:rPr>
            </w:pPr>
          </w:p>
        </w:tc>
        <w:tc>
          <w:tcPr>
            <w:tcW w:w="111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39E4297">
            <w:pPr>
              <w:keepNext w:val="0"/>
              <w:keepLines w:val="0"/>
              <w:pageBreakBefore w:val="0"/>
              <w:widowControl w:val="0"/>
              <w:kinsoku/>
              <w:wordWrap/>
              <w:overflowPunct/>
              <w:topLinePunct w:val="0"/>
              <w:autoSpaceDE/>
              <w:autoSpaceDN/>
              <w:bidi w:val="0"/>
              <w:spacing w:line="312" w:lineRule="auto"/>
              <w:ind w:left="-90"/>
              <w:jc w:val="center"/>
              <w:textAlignment w:val="auto"/>
              <w:rPr>
                <w:rFonts w:hint="eastAsia" w:ascii="宋体" w:hAnsi="宋体" w:eastAsia="宋体" w:cs="宋体"/>
                <w:strike w:val="0"/>
                <w:color w:val="auto"/>
                <w:sz w:val="22"/>
                <w:szCs w:val="22"/>
                <w:highlight w:val="none"/>
              </w:rPr>
            </w:pPr>
          </w:p>
        </w:tc>
      </w:tr>
      <w:tr w14:paraId="2F77DCAF">
        <w:tblPrEx>
          <w:tblCellMar>
            <w:top w:w="0" w:type="dxa"/>
            <w:left w:w="10" w:type="dxa"/>
            <w:bottom w:w="0" w:type="dxa"/>
            <w:right w:w="10" w:type="dxa"/>
          </w:tblCellMar>
        </w:tblPrEx>
        <w:trPr>
          <w:trHeight w:val="600" w:hRule="atLeast"/>
          <w:jc w:val="center"/>
        </w:trPr>
        <w:tc>
          <w:tcPr>
            <w:tcW w:w="52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48FAC85">
            <w:pPr>
              <w:keepNext w:val="0"/>
              <w:keepLines w:val="0"/>
              <w:pageBreakBefore w:val="0"/>
              <w:widowControl w:val="0"/>
              <w:kinsoku/>
              <w:wordWrap/>
              <w:overflowPunct/>
              <w:topLinePunct w:val="0"/>
              <w:autoSpaceDE/>
              <w:autoSpaceDN/>
              <w:bidi w:val="0"/>
              <w:spacing w:line="312" w:lineRule="auto"/>
              <w:ind w:left="-90"/>
              <w:jc w:val="center"/>
              <w:textAlignment w:val="auto"/>
              <w:rPr>
                <w:rFonts w:hint="eastAsia" w:ascii="宋体" w:hAnsi="宋体" w:eastAsia="宋体" w:cs="宋体"/>
                <w:strike w:val="0"/>
                <w:color w:val="auto"/>
                <w:sz w:val="22"/>
                <w:szCs w:val="22"/>
                <w:highlight w:val="none"/>
              </w:rPr>
            </w:pPr>
          </w:p>
        </w:tc>
        <w:tc>
          <w:tcPr>
            <w:tcW w:w="52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DE327D">
            <w:pPr>
              <w:keepNext w:val="0"/>
              <w:keepLines w:val="0"/>
              <w:pageBreakBefore w:val="0"/>
              <w:widowControl w:val="0"/>
              <w:kinsoku/>
              <w:wordWrap/>
              <w:overflowPunct/>
              <w:topLinePunct w:val="0"/>
              <w:autoSpaceDE/>
              <w:autoSpaceDN/>
              <w:bidi w:val="0"/>
              <w:spacing w:line="312" w:lineRule="auto"/>
              <w:ind w:left="-90"/>
              <w:jc w:val="center"/>
              <w:textAlignment w:val="auto"/>
              <w:rPr>
                <w:rFonts w:hint="eastAsia" w:ascii="宋体" w:hAnsi="宋体" w:eastAsia="宋体" w:cs="宋体"/>
                <w:strike w:val="0"/>
                <w:color w:val="auto"/>
                <w:sz w:val="22"/>
                <w:szCs w:val="22"/>
                <w:highlight w:val="none"/>
              </w:rPr>
            </w:pPr>
          </w:p>
        </w:tc>
        <w:tc>
          <w:tcPr>
            <w:tcW w:w="112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EC8728">
            <w:pPr>
              <w:keepNext w:val="0"/>
              <w:keepLines w:val="0"/>
              <w:pageBreakBefore w:val="0"/>
              <w:widowControl w:val="0"/>
              <w:kinsoku/>
              <w:wordWrap/>
              <w:overflowPunct/>
              <w:topLinePunct w:val="0"/>
              <w:autoSpaceDE/>
              <w:autoSpaceDN/>
              <w:bidi w:val="0"/>
              <w:spacing w:line="312" w:lineRule="auto"/>
              <w:ind w:left="-90"/>
              <w:jc w:val="center"/>
              <w:textAlignment w:val="auto"/>
              <w:rPr>
                <w:rFonts w:hint="eastAsia" w:ascii="宋体" w:hAnsi="宋体" w:eastAsia="宋体" w:cs="宋体"/>
                <w:strike w:val="0"/>
                <w:color w:val="auto"/>
                <w:sz w:val="22"/>
                <w:szCs w:val="22"/>
                <w:highlight w:val="none"/>
              </w:rPr>
            </w:pPr>
          </w:p>
        </w:tc>
        <w:tc>
          <w:tcPr>
            <w:tcW w:w="152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0223D1">
            <w:pPr>
              <w:keepNext w:val="0"/>
              <w:keepLines w:val="0"/>
              <w:pageBreakBefore w:val="0"/>
              <w:widowControl w:val="0"/>
              <w:kinsoku/>
              <w:wordWrap/>
              <w:overflowPunct/>
              <w:topLinePunct w:val="0"/>
              <w:autoSpaceDE/>
              <w:autoSpaceDN/>
              <w:bidi w:val="0"/>
              <w:spacing w:line="312" w:lineRule="auto"/>
              <w:ind w:left="-90"/>
              <w:jc w:val="center"/>
              <w:textAlignment w:val="auto"/>
              <w:rPr>
                <w:rFonts w:hint="eastAsia" w:ascii="宋体" w:hAnsi="宋体" w:eastAsia="宋体" w:cs="宋体"/>
                <w:strike w:val="0"/>
                <w:color w:val="auto"/>
                <w:sz w:val="22"/>
                <w:szCs w:val="22"/>
                <w:highlight w:val="none"/>
              </w:rPr>
            </w:pPr>
          </w:p>
        </w:tc>
        <w:tc>
          <w:tcPr>
            <w:tcW w:w="149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4011BD6">
            <w:pPr>
              <w:keepNext w:val="0"/>
              <w:keepLines w:val="0"/>
              <w:pageBreakBefore w:val="0"/>
              <w:widowControl w:val="0"/>
              <w:kinsoku/>
              <w:wordWrap/>
              <w:overflowPunct/>
              <w:topLinePunct w:val="0"/>
              <w:autoSpaceDE/>
              <w:autoSpaceDN/>
              <w:bidi w:val="0"/>
              <w:spacing w:line="312" w:lineRule="auto"/>
              <w:ind w:left="-90"/>
              <w:jc w:val="center"/>
              <w:textAlignment w:val="auto"/>
              <w:rPr>
                <w:rFonts w:hint="eastAsia" w:ascii="宋体" w:hAnsi="宋体" w:eastAsia="宋体" w:cs="宋体"/>
                <w:strike w:val="0"/>
                <w:color w:val="auto"/>
                <w:sz w:val="22"/>
                <w:szCs w:val="22"/>
                <w:highlight w:val="none"/>
              </w:rPr>
            </w:pPr>
          </w:p>
        </w:tc>
        <w:tc>
          <w:tcPr>
            <w:tcW w:w="112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B3F9823">
            <w:pPr>
              <w:keepNext w:val="0"/>
              <w:keepLines w:val="0"/>
              <w:pageBreakBefore w:val="0"/>
              <w:widowControl w:val="0"/>
              <w:kinsoku/>
              <w:wordWrap/>
              <w:overflowPunct/>
              <w:topLinePunct w:val="0"/>
              <w:autoSpaceDE/>
              <w:autoSpaceDN/>
              <w:bidi w:val="0"/>
              <w:spacing w:line="312" w:lineRule="auto"/>
              <w:ind w:left="-90"/>
              <w:jc w:val="center"/>
              <w:textAlignment w:val="auto"/>
              <w:rPr>
                <w:rFonts w:hint="eastAsia" w:ascii="宋体" w:hAnsi="宋体" w:eastAsia="宋体" w:cs="宋体"/>
                <w:strike w:val="0"/>
                <w:color w:val="auto"/>
                <w:sz w:val="22"/>
                <w:szCs w:val="22"/>
                <w:highlight w:val="none"/>
              </w:rPr>
            </w:pPr>
          </w:p>
        </w:tc>
        <w:tc>
          <w:tcPr>
            <w:tcW w:w="111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4F45A31">
            <w:pPr>
              <w:keepNext w:val="0"/>
              <w:keepLines w:val="0"/>
              <w:pageBreakBefore w:val="0"/>
              <w:widowControl w:val="0"/>
              <w:kinsoku/>
              <w:wordWrap/>
              <w:overflowPunct/>
              <w:topLinePunct w:val="0"/>
              <w:autoSpaceDE/>
              <w:autoSpaceDN/>
              <w:bidi w:val="0"/>
              <w:spacing w:line="312" w:lineRule="auto"/>
              <w:ind w:left="-90"/>
              <w:jc w:val="center"/>
              <w:textAlignment w:val="auto"/>
              <w:rPr>
                <w:rFonts w:hint="eastAsia" w:ascii="宋体" w:hAnsi="宋体" w:eastAsia="宋体" w:cs="宋体"/>
                <w:strike w:val="0"/>
                <w:color w:val="auto"/>
                <w:sz w:val="22"/>
                <w:szCs w:val="22"/>
                <w:highlight w:val="none"/>
              </w:rPr>
            </w:pPr>
          </w:p>
        </w:tc>
        <w:tc>
          <w:tcPr>
            <w:tcW w:w="56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6A875AE">
            <w:pPr>
              <w:keepNext w:val="0"/>
              <w:keepLines w:val="0"/>
              <w:pageBreakBefore w:val="0"/>
              <w:widowControl w:val="0"/>
              <w:kinsoku/>
              <w:wordWrap/>
              <w:overflowPunct/>
              <w:topLinePunct w:val="0"/>
              <w:autoSpaceDE/>
              <w:autoSpaceDN/>
              <w:bidi w:val="0"/>
              <w:spacing w:line="312" w:lineRule="auto"/>
              <w:ind w:left="-90"/>
              <w:jc w:val="center"/>
              <w:textAlignment w:val="auto"/>
              <w:rPr>
                <w:rFonts w:hint="eastAsia" w:ascii="宋体" w:hAnsi="宋体" w:eastAsia="宋体" w:cs="宋体"/>
                <w:strike w:val="0"/>
                <w:color w:val="auto"/>
                <w:sz w:val="22"/>
                <w:szCs w:val="22"/>
                <w:highlight w:val="none"/>
              </w:rPr>
            </w:pPr>
          </w:p>
        </w:tc>
        <w:tc>
          <w:tcPr>
            <w:tcW w:w="74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A256D94">
            <w:pPr>
              <w:keepNext w:val="0"/>
              <w:keepLines w:val="0"/>
              <w:pageBreakBefore w:val="0"/>
              <w:widowControl w:val="0"/>
              <w:kinsoku/>
              <w:wordWrap/>
              <w:overflowPunct/>
              <w:topLinePunct w:val="0"/>
              <w:autoSpaceDE/>
              <w:autoSpaceDN/>
              <w:bidi w:val="0"/>
              <w:spacing w:line="312" w:lineRule="auto"/>
              <w:ind w:left="-90"/>
              <w:jc w:val="center"/>
              <w:textAlignment w:val="auto"/>
              <w:rPr>
                <w:rFonts w:hint="eastAsia" w:ascii="宋体" w:hAnsi="宋体" w:eastAsia="宋体" w:cs="宋体"/>
                <w:strike w:val="0"/>
                <w:color w:val="auto"/>
                <w:sz w:val="22"/>
                <w:szCs w:val="22"/>
                <w:highlight w:val="none"/>
              </w:rPr>
            </w:pPr>
          </w:p>
        </w:tc>
        <w:tc>
          <w:tcPr>
            <w:tcW w:w="111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D0A2710">
            <w:pPr>
              <w:keepNext w:val="0"/>
              <w:keepLines w:val="0"/>
              <w:pageBreakBefore w:val="0"/>
              <w:widowControl w:val="0"/>
              <w:kinsoku/>
              <w:wordWrap/>
              <w:overflowPunct/>
              <w:topLinePunct w:val="0"/>
              <w:autoSpaceDE/>
              <w:autoSpaceDN/>
              <w:bidi w:val="0"/>
              <w:spacing w:line="312" w:lineRule="auto"/>
              <w:ind w:left="-90"/>
              <w:jc w:val="center"/>
              <w:textAlignment w:val="auto"/>
              <w:rPr>
                <w:rFonts w:hint="eastAsia" w:ascii="宋体" w:hAnsi="宋体" w:eastAsia="宋体" w:cs="宋体"/>
                <w:strike w:val="0"/>
                <w:color w:val="auto"/>
                <w:sz w:val="22"/>
                <w:szCs w:val="22"/>
                <w:highlight w:val="none"/>
              </w:rPr>
            </w:pPr>
          </w:p>
        </w:tc>
      </w:tr>
      <w:tr w14:paraId="716170A3">
        <w:tblPrEx>
          <w:tblCellMar>
            <w:top w:w="0" w:type="dxa"/>
            <w:left w:w="10" w:type="dxa"/>
            <w:bottom w:w="0" w:type="dxa"/>
            <w:right w:w="10" w:type="dxa"/>
          </w:tblCellMar>
        </w:tblPrEx>
        <w:trPr>
          <w:trHeight w:val="600" w:hRule="atLeast"/>
          <w:jc w:val="center"/>
        </w:trPr>
        <w:tc>
          <w:tcPr>
            <w:tcW w:w="52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1E9501">
            <w:pPr>
              <w:keepNext w:val="0"/>
              <w:keepLines w:val="0"/>
              <w:pageBreakBefore w:val="0"/>
              <w:widowControl w:val="0"/>
              <w:kinsoku/>
              <w:wordWrap/>
              <w:overflowPunct/>
              <w:topLinePunct w:val="0"/>
              <w:autoSpaceDE/>
              <w:autoSpaceDN/>
              <w:bidi w:val="0"/>
              <w:spacing w:line="312" w:lineRule="auto"/>
              <w:ind w:left="-90"/>
              <w:jc w:val="center"/>
              <w:textAlignment w:val="auto"/>
              <w:rPr>
                <w:rFonts w:hint="eastAsia" w:ascii="宋体" w:hAnsi="宋体" w:eastAsia="宋体" w:cs="宋体"/>
                <w:strike w:val="0"/>
                <w:color w:val="auto"/>
                <w:sz w:val="22"/>
                <w:szCs w:val="22"/>
                <w:highlight w:val="none"/>
              </w:rPr>
            </w:pPr>
          </w:p>
        </w:tc>
        <w:tc>
          <w:tcPr>
            <w:tcW w:w="52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1E25FA5">
            <w:pPr>
              <w:keepNext w:val="0"/>
              <w:keepLines w:val="0"/>
              <w:pageBreakBefore w:val="0"/>
              <w:widowControl w:val="0"/>
              <w:kinsoku/>
              <w:wordWrap/>
              <w:overflowPunct/>
              <w:topLinePunct w:val="0"/>
              <w:autoSpaceDE/>
              <w:autoSpaceDN/>
              <w:bidi w:val="0"/>
              <w:spacing w:line="312" w:lineRule="auto"/>
              <w:ind w:left="-90"/>
              <w:jc w:val="center"/>
              <w:textAlignment w:val="auto"/>
              <w:rPr>
                <w:rFonts w:hint="eastAsia" w:ascii="宋体" w:hAnsi="宋体" w:eastAsia="宋体" w:cs="宋体"/>
                <w:strike w:val="0"/>
                <w:color w:val="auto"/>
                <w:sz w:val="22"/>
                <w:szCs w:val="22"/>
                <w:highlight w:val="none"/>
              </w:rPr>
            </w:pPr>
          </w:p>
        </w:tc>
        <w:tc>
          <w:tcPr>
            <w:tcW w:w="112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E35F10B">
            <w:pPr>
              <w:keepNext w:val="0"/>
              <w:keepLines w:val="0"/>
              <w:pageBreakBefore w:val="0"/>
              <w:widowControl w:val="0"/>
              <w:kinsoku/>
              <w:wordWrap/>
              <w:overflowPunct/>
              <w:topLinePunct w:val="0"/>
              <w:autoSpaceDE/>
              <w:autoSpaceDN/>
              <w:bidi w:val="0"/>
              <w:spacing w:line="312" w:lineRule="auto"/>
              <w:ind w:left="-90"/>
              <w:jc w:val="center"/>
              <w:textAlignment w:val="auto"/>
              <w:rPr>
                <w:rFonts w:hint="eastAsia" w:ascii="宋体" w:hAnsi="宋体" w:eastAsia="宋体" w:cs="宋体"/>
                <w:strike w:val="0"/>
                <w:color w:val="auto"/>
                <w:sz w:val="22"/>
                <w:szCs w:val="22"/>
                <w:highlight w:val="none"/>
              </w:rPr>
            </w:pPr>
          </w:p>
        </w:tc>
        <w:tc>
          <w:tcPr>
            <w:tcW w:w="152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3E14C34">
            <w:pPr>
              <w:keepNext w:val="0"/>
              <w:keepLines w:val="0"/>
              <w:pageBreakBefore w:val="0"/>
              <w:widowControl w:val="0"/>
              <w:kinsoku/>
              <w:wordWrap/>
              <w:overflowPunct/>
              <w:topLinePunct w:val="0"/>
              <w:autoSpaceDE/>
              <w:autoSpaceDN/>
              <w:bidi w:val="0"/>
              <w:spacing w:line="312" w:lineRule="auto"/>
              <w:ind w:left="-90"/>
              <w:jc w:val="center"/>
              <w:textAlignment w:val="auto"/>
              <w:rPr>
                <w:rFonts w:hint="eastAsia" w:ascii="宋体" w:hAnsi="宋体" w:eastAsia="宋体" w:cs="宋体"/>
                <w:strike w:val="0"/>
                <w:color w:val="auto"/>
                <w:sz w:val="22"/>
                <w:szCs w:val="22"/>
                <w:highlight w:val="none"/>
              </w:rPr>
            </w:pPr>
          </w:p>
        </w:tc>
        <w:tc>
          <w:tcPr>
            <w:tcW w:w="149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A5E4F74">
            <w:pPr>
              <w:keepNext w:val="0"/>
              <w:keepLines w:val="0"/>
              <w:pageBreakBefore w:val="0"/>
              <w:widowControl w:val="0"/>
              <w:kinsoku/>
              <w:wordWrap/>
              <w:overflowPunct/>
              <w:topLinePunct w:val="0"/>
              <w:autoSpaceDE/>
              <w:autoSpaceDN/>
              <w:bidi w:val="0"/>
              <w:spacing w:line="312" w:lineRule="auto"/>
              <w:ind w:left="-90"/>
              <w:jc w:val="center"/>
              <w:textAlignment w:val="auto"/>
              <w:rPr>
                <w:rFonts w:hint="eastAsia" w:ascii="宋体" w:hAnsi="宋体" w:eastAsia="宋体" w:cs="宋体"/>
                <w:strike w:val="0"/>
                <w:color w:val="auto"/>
                <w:sz w:val="22"/>
                <w:szCs w:val="22"/>
                <w:highlight w:val="none"/>
              </w:rPr>
            </w:pPr>
          </w:p>
        </w:tc>
        <w:tc>
          <w:tcPr>
            <w:tcW w:w="112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FA8596D">
            <w:pPr>
              <w:keepNext w:val="0"/>
              <w:keepLines w:val="0"/>
              <w:pageBreakBefore w:val="0"/>
              <w:widowControl w:val="0"/>
              <w:kinsoku/>
              <w:wordWrap/>
              <w:overflowPunct/>
              <w:topLinePunct w:val="0"/>
              <w:autoSpaceDE/>
              <w:autoSpaceDN/>
              <w:bidi w:val="0"/>
              <w:spacing w:line="312" w:lineRule="auto"/>
              <w:ind w:left="-90"/>
              <w:jc w:val="center"/>
              <w:textAlignment w:val="auto"/>
              <w:rPr>
                <w:rFonts w:hint="eastAsia" w:ascii="宋体" w:hAnsi="宋体" w:eastAsia="宋体" w:cs="宋体"/>
                <w:strike w:val="0"/>
                <w:color w:val="auto"/>
                <w:sz w:val="22"/>
                <w:szCs w:val="22"/>
                <w:highlight w:val="none"/>
              </w:rPr>
            </w:pPr>
          </w:p>
        </w:tc>
        <w:tc>
          <w:tcPr>
            <w:tcW w:w="111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F002DF0">
            <w:pPr>
              <w:keepNext w:val="0"/>
              <w:keepLines w:val="0"/>
              <w:pageBreakBefore w:val="0"/>
              <w:widowControl w:val="0"/>
              <w:kinsoku/>
              <w:wordWrap/>
              <w:overflowPunct/>
              <w:topLinePunct w:val="0"/>
              <w:autoSpaceDE/>
              <w:autoSpaceDN/>
              <w:bidi w:val="0"/>
              <w:spacing w:line="312" w:lineRule="auto"/>
              <w:ind w:left="-90"/>
              <w:jc w:val="center"/>
              <w:textAlignment w:val="auto"/>
              <w:rPr>
                <w:rFonts w:hint="eastAsia" w:ascii="宋体" w:hAnsi="宋体" w:eastAsia="宋体" w:cs="宋体"/>
                <w:strike w:val="0"/>
                <w:color w:val="auto"/>
                <w:sz w:val="22"/>
                <w:szCs w:val="22"/>
                <w:highlight w:val="none"/>
              </w:rPr>
            </w:pPr>
          </w:p>
        </w:tc>
        <w:tc>
          <w:tcPr>
            <w:tcW w:w="56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47122FD">
            <w:pPr>
              <w:keepNext w:val="0"/>
              <w:keepLines w:val="0"/>
              <w:pageBreakBefore w:val="0"/>
              <w:widowControl w:val="0"/>
              <w:kinsoku/>
              <w:wordWrap/>
              <w:overflowPunct/>
              <w:topLinePunct w:val="0"/>
              <w:autoSpaceDE/>
              <w:autoSpaceDN/>
              <w:bidi w:val="0"/>
              <w:spacing w:line="312" w:lineRule="auto"/>
              <w:ind w:left="-90"/>
              <w:jc w:val="center"/>
              <w:textAlignment w:val="auto"/>
              <w:rPr>
                <w:rFonts w:hint="eastAsia" w:ascii="宋体" w:hAnsi="宋体" w:eastAsia="宋体" w:cs="宋体"/>
                <w:strike w:val="0"/>
                <w:color w:val="auto"/>
                <w:sz w:val="22"/>
                <w:szCs w:val="22"/>
                <w:highlight w:val="none"/>
              </w:rPr>
            </w:pPr>
          </w:p>
        </w:tc>
        <w:tc>
          <w:tcPr>
            <w:tcW w:w="74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1CB90A2">
            <w:pPr>
              <w:keepNext w:val="0"/>
              <w:keepLines w:val="0"/>
              <w:pageBreakBefore w:val="0"/>
              <w:widowControl w:val="0"/>
              <w:kinsoku/>
              <w:wordWrap/>
              <w:overflowPunct/>
              <w:topLinePunct w:val="0"/>
              <w:autoSpaceDE/>
              <w:autoSpaceDN/>
              <w:bidi w:val="0"/>
              <w:spacing w:line="312" w:lineRule="auto"/>
              <w:ind w:left="-90"/>
              <w:jc w:val="center"/>
              <w:textAlignment w:val="auto"/>
              <w:rPr>
                <w:rFonts w:hint="eastAsia" w:ascii="宋体" w:hAnsi="宋体" w:eastAsia="宋体" w:cs="宋体"/>
                <w:strike w:val="0"/>
                <w:color w:val="auto"/>
                <w:sz w:val="22"/>
                <w:szCs w:val="22"/>
                <w:highlight w:val="none"/>
              </w:rPr>
            </w:pPr>
          </w:p>
        </w:tc>
        <w:tc>
          <w:tcPr>
            <w:tcW w:w="111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E7B0C7">
            <w:pPr>
              <w:keepNext w:val="0"/>
              <w:keepLines w:val="0"/>
              <w:pageBreakBefore w:val="0"/>
              <w:widowControl w:val="0"/>
              <w:kinsoku/>
              <w:wordWrap/>
              <w:overflowPunct/>
              <w:topLinePunct w:val="0"/>
              <w:autoSpaceDE/>
              <w:autoSpaceDN/>
              <w:bidi w:val="0"/>
              <w:spacing w:line="312" w:lineRule="auto"/>
              <w:ind w:left="-90"/>
              <w:jc w:val="center"/>
              <w:textAlignment w:val="auto"/>
              <w:rPr>
                <w:rFonts w:hint="eastAsia" w:ascii="宋体" w:hAnsi="宋体" w:eastAsia="宋体" w:cs="宋体"/>
                <w:strike w:val="0"/>
                <w:color w:val="auto"/>
                <w:sz w:val="22"/>
                <w:szCs w:val="22"/>
                <w:highlight w:val="none"/>
              </w:rPr>
            </w:pPr>
          </w:p>
        </w:tc>
      </w:tr>
    </w:tbl>
    <w:p w14:paraId="04FA075D">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11  开工和竣工（完工）</w:t>
      </w:r>
    </w:p>
    <w:p w14:paraId="25BCD70C">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11.1  开工</w:t>
      </w:r>
    </w:p>
    <w:p w14:paraId="137B21D7">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11.1.1 监理人应在开工日期7 天前向承包人发出开工通知。监理人在发出开工通知前应获得发包人同意。工期自监理人发出的开工通知中载明的开工日期起计算。承包人应在开工日期后尽快施工。</w:t>
      </w:r>
    </w:p>
    <w:p w14:paraId="4B65A471">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11.1.2 承包人应按第10.1 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611A6C69">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11.1.3  若发包人未能按合同约定向承包人提供开工的必要条件，承包人有权要求延长工期。监理人应在收到承包人的书面要求后，按第3.5款的约定，与合同双方商定或确定增加的费用和延长的工期。</w:t>
      </w:r>
    </w:p>
    <w:p w14:paraId="72E61469">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11.1.4  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p>
    <w:p w14:paraId="723A9D3F">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11.2  竣工（完工）</w:t>
      </w:r>
    </w:p>
    <w:p w14:paraId="307CA1F8">
      <w:pPr>
        <w:keepNext w:val="0"/>
        <w:keepLines w:val="0"/>
        <w:pageBreakBefore w:val="0"/>
        <w:widowControl w:val="0"/>
        <w:kinsoku/>
        <w:wordWrap/>
        <w:overflowPunct/>
        <w:topLinePunct w:val="0"/>
        <w:autoSpaceDE/>
        <w:autoSpaceDN/>
        <w:bidi w:val="0"/>
        <w:spacing w:line="312" w:lineRule="auto"/>
        <w:ind w:firstLine="36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承包人应在第1.1.4.3目约定的期限内完成合同工程。合同工程实际完工日期在合同工程完工证书中明确。</w:t>
      </w:r>
    </w:p>
    <w:p w14:paraId="33D8E86E">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11.3 发包人的工期延误</w:t>
      </w:r>
    </w:p>
    <w:p w14:paraId="35E96C38">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在履行合同过程中，由于发包人的下列原因造成工期延误的，承包人有权要求发包人延长工期和（或）增加费用，并支付合理利润。需要修订合同进度计划的，按照第10.2 款的约定办理。</w:t>
      </w:r>
    </w:p>
    <w:p w14:paraId="674200C5">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（l）增加合同工作内容；</w:t>
      </w:r>
    </w:p>
    <w:p w14:paraId="2709533F">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（2）改变合同中任何一项工作的质量要求或其他特性；</w:t>
      </w:r>
    </w:p>
    <w:p w14:paraId="6EAA85F7">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（3）发包人迟延提供材料、工程设备或变更交货地点的；</w:t>
      </w:r>
    </w:p>
    <w:p w14:paraId="6A2D4A88">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（4）因发包人原因导致的暂停施工；</w:t>
      </w:r>
    </w:p>
    <w:p w14:paraId="7C9902C1">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（5）提供图纸延误；</w:t>
      </w:r>
    </w:p>
    <w:p w14:paraId="7B1E3213">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（6）未按合同约定及时支付预付款、进度款；</w:t>
      </w:r>
    </w:p>
    <w:p w14:paraId="553DCB5E">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（7）发包人造成工期延误的其他原因。</w:t>
      </w:r>
    </w:p>
    <w:p w14:paraId="69413F96">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11.4 异常恶劣的气候条件</w:t>
      </w:r>
    </w:p>
    <w:p w14:paraId="48FB41F4">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11.4.1  当工程所在地发生危及施工安全的异常恶劣气候时，发包人和承包人应按本合同通用合同条款第12条的约定，及时采取暂停施工或部分暂停施工措施。异常恶劣气候条件解除后，承包人应及时安排复工。</w:t>
      </w:r>
    </w:p>
    <w:p w14:paraId="6713361A">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11.4.2  异常恶劣气候条件造成的工期延误和工程损坏，应由发包人与承包人参照本合同通用合同条款第21.3款的约定协商处理。</w:t>
      </w:r>
    </w:p>
    <w:p w14:paraId="325BB161">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11.4.3本合同工程界定异常恶劣气候条件的范围在专用合同条款中约定。</w:t>
      </w:r>
    </w:p>
    <w:p w14:paraId="47BB531C">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11.5 承包人的工期延误</w:t>
      </w:r>
    </w:p>
    <w:p w14:paraId="26506EF5">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57E119E7">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11.6  工期提前</w:t>
      </w:r>
    </w:p>
    <w:p w14:paraId="31F3AA50">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发包人要求承包人提前完工，或承包人提出提前完工的建议能够给发包人带来效益的，应由监理人与承包人共同协商采取加快工程进度的措施和修订合同进度计划。发包人应承担承包人由此增加的费用，并向承包人支付专用合同条款约定的相应奖金。</w:t>
      </w:r>
    </w:p>
    <w:p w14:paraId="2CC59FA5">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发包人要求提前完工的，双方协商一致后应签订提前完工协议，协议内容包括：</w:t>
      </w:r>
    </w:p>
    <w:p w14:paraId="486D272B">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（1）提前的时间和修订后的进度计划</w:t>
      </w:r>
    </w:p>
    <w:p w14:paraId="67E89F1B">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（2）承包人的赶工措施；</w:t>
      </w:r>
    </w:p>
    <w:p w14:paraId="426F45B1">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（3）发包人为赶工提供的条件；</w:t>
      </w:r>
    </w:p>
    <w:p w14:paraId="6D9945F0">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（4）赶工费用（包括利润和奖金）。</w:t>
      </w:r>
    </w:p>
    <w:p w14:paraId="3F2AF508">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12  暂停施工</w:t>
      </w:r>
    </w:p>
    <w:p w14:paraId="0FE8C352">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12.1 承包人暂停施工的责任</w:t>
      </w:r>
    </w:p>
    <w:p w14:paraId="2B02EFDA">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因下列暂停施工增加的费用和（或）工期延误由承包人承担：</w:t>
      </w:r>
    </w:p>
    <w:p w14:paraId="69B1EB70">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（1）承包人违约引起的暂停施工；</w:t>
      </w:r>
    </w:p>
    <w:p w14:paraId="6DAA38D7">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（2）由于承包人原因为工程合理施工和安全保障所必需的暂停施工；</w:t>
      </w:r>
    </w:p>
    <w:p w14:paraId="779098BD">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（3）承包人擅自暂停施工；</w:t>
      </w:r>
    </w:p>
    <w:p w14:paraId="3AE0A186">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（4）承包人其他原因引起的暂停施工；</w:t>
      </w:r>
    </w:p>
    <w:p w14:paraId="3F9A4DCF">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（5）专用合同条款约定由承包人承担的其他暂停施工。</w:t>
      </w:r>
    </w:p>
    <w:p w14:paraId="64A7FDB3">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12.2  发包人暂停施工的责任</w:t>
      </w:r>
    </w:p>
    <w:p w14:paraId="26EEAA83">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由于发包人原因引起的暂停施工造成工期延误的，承包人有权要求发包人延长工期和（或）增加费用，并支付合理利润。</w:t>
      </w:r>
    </w:p>
    <w:p w14:paraId="4BEA4913">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属于下列任何一种情况引起的暂停施工，均为发包人的责任：</w:t>
      </w:r>
    </w:p>
    <w:p w14:paraId="7CFAC47C">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（1）由于发包人违约引起的暂停施工；</w:t>
      </w:r>
    </w:p>
    <w:p w14:paraId="4E5F8CE7">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（2）由于不可抗力的自然或社会因素引起的暂停施工；</w:t>
      </w:r>
    </w:p>
    <w:p w14:paraId="6E0011C3">
      <w:pPr>
        <w:keepNext w:val="0"/>
        <w:keepLines w:val="0"/>
        <w:pageBreakBefore w:val="0"/>
        <w:widowControl w:val="0"/>
        <w:kinsoku/>
        <w:wordWrap/>
        <w:overflowPunct/>
        <w:topLinePunct w:val="0"/>
        <w:autoSpaceDE/>
        <w:autoSpaceDN/>
        <w:bidi w:val="0"/>
        <w:spacing w:line="312" w:lineRule="auto"/>
        <w:ind w:firstLine="54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（3）专用合同条款中约定的其它由于发包人原因引起的暂停施工。</w:t>
      </w:r>
    </w:p>
    <w:p w14:paraId="15353D71">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12.3 监理人暂停施工指示</w:t>
      </w:r>
    </w:p>
    <w:p w14:paraId="736EADC4">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12.3.1 监理人认为有必要时，可向承包人作出暂停施工的指示，承包人应按监理人指示暂停施工。不论由于何种原因引起的暂停施工，暂停施工期间承包人应负责妥善保护工程并提供安全保障。</w:t>
      </w:r>
    </w:p>
    <w:p w14:paraId="0AD988AE">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24A2915F">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12.4 暂停施工后的复工</w:t>
      </w:r>
    </w:p>
    <w:p w14:paraId="05D80716">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5FB3EAAD">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12.4.2 承包人无故拖延和拒绝复工的，由此增加的费用和工期延误由承包人承担；因发包人原因无法按时复工的，承包人有权要求发包人延长工期和（或）增加费用，并支付合理利润。</w:t>
      </w:r>
    </w:p>
    <w:p w14:paraId="0FE2EC52">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12.5 暂停施工持续56 天以上</w:t>
      </w:r>
    </w:p>
    <w:p w14:paraId="01B7FD9B">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12.5.1 监理人发出暂停施工指示后56 天内未向承包人发出复工通知，除了该项停工属于第12.1 款的情况外，承包人可向监理人提交书面通知，要求监理人在收到书面通知后28天内准许已暂停施工的工程或其中一部分工程继续施工。如监理人逾期不予批准，则承包人可以通知监理人，将工程受影响的部分视为按第15.1（l）项的可取消工作。如暂停施工影响到整个工程，可视为发包人违约，应按第22.2 款的规定办理。</w:t>
      </w:r>
    </w:p>
    <w:p w14:paraId="38623C42">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12.5.2 由于承包人责任引起的暂停施工，如承包人在收到监理人暂停施工指示后56 天内不认真采取有效的复工措施，造成工期延误，可视为承包人违约，应按第22.1 款的规定办理。</w:t>
      </w:r>
    </w:p>
    <w:p w14:paraId="7445D4F8">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13 工程质量</w:t>
      </w:r>
    </w:p>
    <w:p w14:paraId="17193AAC">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13.1 工程质量要求</w:t>
      </w:r>
    </w:p>
    <w:p w14:paraId="33506FF2">
      <w:pPr>
        <w:keepNext w:val="0"/>
        <w:keepLines w:val="0"/>
        <w:pageBreakBefore w:val="0"/>
        <w:widowControl w:val="0"/>
        <w:kinsoku/>
        <w:wordWrap/>
        <w:overflowPunct/>
        <w:topLinePunct w:val="0"/>
        <w:autoSpaceDE/>
        <w:autoSpaceDN/>
        <w:bidi w:val="0"/>
        <w:spacing w:line="312" w:lineRule="auto"/>
        <w:ind w:firstLine="528"/>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13.1.1 工程质量验收按合同约定验收标准执行。</w:t>
      </w:r>
    </w:p>
    <w:p w14:paraId="050ED7DB">
      <w:pPr>
        <w:keepNext w:val="0"/>
        <w:keepLines w:val="0"/>
        <w:pageBreakBefore w:val="0"/>
        <w:widowControl w:val="0"/>
        <w:kinsoku/>
        <w:wordWrap/>
        <w:overflowPunct/>
        <w:topLinePunct w:val="0"/>
        <w:autoSpaceDE/>
        <w:autoSpaceDN/>
        <w:bidi w:val="0"/>
        <w:spacing w:line="312" w:lineRule="auto"/>
        <w:ind w:firstLine="528"/>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13.1.2 因承包人原因造成工程质量达不到合同约定验收标准的，监理人有权要求承包人返工直至符合合同要求为止，由此造成的费用增加和（或）工期延误由承包人承担。</w:t>
      </w:r>
    </w:p>
    <w:p w14:paraId="706E301D">
      <w:pPr>
        <w:keepNext w:val="0"/>
        <w:keepLines w:val="0"/>
        <w:pageBreakBefore w:val="0"/>
        <w:widowControl w:val="0"/>
        <w:kinsoku/>
        <w:wordWrap/>
        <w:overflowPunct/>
        <w:topLinePunct w:val="0"/>
        <w:autoSpaceDE/>
        <w:autoSpaceDN/>
        <w:bidi w:val="0"/>
        <w:spacing w:line="312" w:lineRule="auto"/>
        <w:ind w:firstLine="528"/>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13.1.3 因发包人原因造成工程质量达不到合同约定验收标准的，发包人应承担由于承包人返工造成的费用增加和（或）工期延误，并支付承包人合理利润。</w:t>
      </w:r>
    </w:p>
    <w:p w14:paraId="105A553A">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13.2  承包人的质量管理</w:t>
      </w:r>
    </w:p>
    <w:p w14:paraId="76063D42">
      <w:pPr>
        <w:keepNext w:val="0"/>
        <w:keepLines w:val="0"/>
        <w:pageBreakBefore w:val="0"/>
        <w:widowControl w:val="0"/>
        <w:kinsoku/>
        <w:wordWrap/>
        <w:overflowPunct/>
        <w:topLinePunct w:val="0"/>
        <w:autoSpaceDE/>
        <w:autoSpaceDN/>
        <w:bidi w:val="0"/>
        <w:spacing w:line="312" w:lineRule="auto"/>
        <w:ind w:firstLine="465"/>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13.2.1 承包人应在施工场地设置专门的质量检查机构，配备专职质量检查人员，建立完善的质量检查制度。承包人应按技术标准和要求（合同技术条款）约定的内容和期限，编制工程质量保证措施文件，包括质量检查机构的组织和岗位责任、质量检查人员的组成、质量检查程序和实施细则等，提交监理人审批。监理人应在技术标准和要求（合同技术条款）约定的期限内批复承包人。</w:t>
      </w:r>
    </w:p>
    <w:p w14:paraId="364ED559">
      <w:pPr>
        <w:keepNext w:val="0"/>
        <w:keepLines w:val="0"/>
        <w:pageBreakBefore w:val="0"/>
        <w:widowControl w:val="0"/>
        <w:kinsoku/>
        <w:wordWrap/>
        <w:overflowPunct/>
        <w:topLinePunct w:val="0"/>
        <w:autoSpaceDE/>
        <w:autoSpaceDN/>
        <w:bidi w:val="0"/>
        <w:spacing w:line="312" w:lineRule="auto"/>
        <w:ind w:firstLine="528"/>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13.2.2 承包人应加强对施工人员的质量教育和技术培训，定期考核施工人员的劳动技能，严格执行规范和操作规程。</w:t>
      </w:r>
    </w:p>
    <w:p w14:paraId="19D20DB0">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13.3 承包人的质量检查</w:t>
      </w:r>
    </w:p>
    <w:p w14:paraId="1C77A9F7">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承包人应按合同约定对材料、工程设备以及工程的所有部位及其施工工艺进行全过程的质量检查和检验，并作详细记录，编制工程质量报表，报送监理人审查。</w:t>
      </w:r>
    </w:p>
    <w:p w14:paraId="54C935A9">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13.4 监理人的质量检查</w:t>
      </w:r>
    </w:p>
    <w:p w14:paraId="3EECA6B2">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3EB6859B">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13.5 工程隐蔽部位覆盖前的检查</w:t>
      </w:r>
    </w:p>
    <w:p w14:paraId="1096987D">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13.5.1 通知监理人检查</w:t>
      </w:r>
    </w:p>
    <w:p w14:paraId="1F51E3FF">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6EBF544B">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13.5.2 监理人未到场检查</w:t>
      </w:r>
    </w:p>
    <w:p w14:paraId="32C0B704">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监理人未按第13.5.l 项约定的时间进行检查的，除监理人另有指示外，承包人可自行完成覆盖工作，并作相应记录报送监理人，监理人应签字确认。监理人事后对检查记录有疑问的，可按第13.5.3 项的约定重新检查。</w:t>
      </w:r>
    </w:p>
    <w:p w14:paraId="0C96E573">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13.5.3 监理人重新检查</w:t>
      </w:r>
    </w:p>
    <w:p w14:paraId="6D52F1FD">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承包人按第13.5.1 项或第13.5.2 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77B30A41">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13.5.4 承包人私自覆盖</w:t>
      </w:r>
    </w:p>
    <w:p w14:paraId="72328828">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承包人未通知监理人到场检查，私自将工程隐蔽部位覆盖的，监理人有权指示承包人钻孔探测或揭开检查，由此增加的费用和（或）工期延误由承包人承担。</w:t>
      </w:r>
    </w:p>
    <w:p w14:paraId="07047263">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13.6 清除不合格工程</w:t>
      </w:r>
    </w:p>
    <w:p w14:paraId="7DFEE8CB">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05E87ED8">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13.6.2 由于发包人提供的材料或工程设备不合格造成的工程不合格，需要承包人采取措施补救的，发包人应承担由此增加的费用和（或）工期延误，并支付承包人合理利润。</w:t>
      </w:r>
    </w:p>
    <w:p w14:paraId="0FB0B0AD">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13.7  质量评定</w:t>
      </w:r>
    </w:p>
    <w:p w14:paraId="2D88EC52">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13.7.1  发包人应组织承包人进行工程划分，并确定单位工程、主要分部工程、重要隐蔽单元工程和关键部位单元工程。</w:t>
      </w:r>
    </w:p>
    <w:p w14:paraId="4E82A83A">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13.7.2  工程实施过程中，单位工程、主要分部工程、重要隐蔽单元工程和关键部位单元工程的项目划分需要调整时，承包人应报发包人确认。</w:t>
      </w:r>
    </w:p>
    <w:p w14:paraId="17875BD8">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13.7.3  承包人应在单元（工序）工程质量自评合格后，报监理人核定质量等级并签证认可。</w:t>
      </w:r>
    </w:p>
    <w:p w14:paraId="50ECD6A9">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13.7.4  除专用合同条款另有约定外，承包人应在重要隐蔽单元工程和关键部位单元工程质量自评合格以及监理。人抽检后，由监理人组织承包。人等单位组成的联合小组，共同检查核定其质量等级并填写签证表。发包人按有关规定完成质量结论报工程质量监督机构核备手续。</w:t>
      </w:r>
    </w:p>
    <w:p w14:paraId="77E5DFF4">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13.7.5  承包人应在分部工程质量自评合格后，报监理人复核和发包人认定。发包人负责按有关规定完成分部工程质量结论报工程质量监督机构核备（核定）手续。</w:t>
      </w:r>
    </w:p>
    <w:p w14:paraId="5BD58EF1">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13.7.6  承包人应在单位工程质量自评合格后，报监理人复核和发包人认定。发包人负责按完成单位工程质量结论报工程质量监督机构核定手续。</w:t>
      </w:r>
    </w:p>
    <w:p w14:paraId="3F4ECEBF">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13.7.7 除专用合同条款另外约定外，工程质量等级分为合格和优良，应分别达到约定的标准。</w:t>
      </w:r>
    </w:p>
    <w:p w14:paraId="226B9353">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13.8  质量事故处理</w:t>
      </w:r>
    </w:p>
    <w:p w14:paraId="12C9587B">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13.8.1  发生质量事故时，承包人应及时向发包人和监理人报告。</w:t>
      </w:r>
    </w:p>
    <w:p w14:paraId="474045C9">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13.8.2  质量事故调查处理由发包人按相关规定履行手续，承包人应配合。</w:t>
      </w:r>
    </w:p>
    <w:p w14:paraId="26853129">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13.8.3  承包人应对质量缺陷进行备案。发包人委托监理人对质量缺陷备案情况进行监督检查并履行相关手续。</w:t>
      </w:r>
    </w:p>
    <w:p w14:paraId="17AB71B0">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13.8.4  除专用合同条款另有约定外，工程竣工验收时，发包人负责向竣工验收委员会汇报并提交历次质量缺陷处理的备案资料。</w:t>
      </w:r>
    </w:p>
    <w:p w14:paraId="0973A531">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14  试验和检验</w:t>
      </w:r>
    </w:p>
    <w:p w14:paraId="695B7D21">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14.1  材料、工程设备和工程的试验和检验</w:t>
      </w:r>
    </w:p>
    <w:p w14:paraId="6368241E">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7580EE11">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14.1.2 监理人未按合同约定派员参加试验和检验的，除监理人另有指示外，承包人可自行试验和检验，并应立即将试验和检验结果报送监理人，监理人应签字确认。</w:t>
      </w:r>
    </w:p>
    <w:p w14:paraId="54B0C713">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042A8811">
      <w:pPr>
        <w:keepNext w:val="0"/>
        <w:keepLines w:val="0"/>
        <w:pageBreakBefore w:val="0"/>
        <w:widowControl w:val="0"/>
        <w:kinsoku/>
        <w:wordWrap/>
        <w:overflowPunct/>
        <w:topLinePunct w:val="0"/>
        <w:autoSpaceDE/>
        <w:autoSpaceDN/>
        <w:bidi w:val="0"/>
        <w:spacing w:line="312" w:lineRule="auto"/>
        <w:ind w:firstLine="352"/>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14.1.4  承包人应按相关规定和标准对水泥、钢材等原材料与中间产品质量进行检验并报监理人复核。</w:t>
      </w:r>
    </w:p>
    <w:p w14:paraId="2915E9F9">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14.1.5  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14:paraId="02FE1A20">
      <w:pPr>
        <w:keepNext w:val="0"/>
        <w:keepLines w:val="0"/>
        <w:pageBreakBefore w:val="0"/>
        <w:widowControl w:val="0"/>
        <w:kinsoku/>
        <w:wordWrap/>
        <w:overflowPunct/>
        <w:topLinePunct w:val="0"/>
        <w:autoSpaceDE/>
        <w:autoSpaceDN/>
        <w:bidi w:val="0"/>
        <w:spacing w:line="312" w:lineRule="auto"/>
        <w:ind w:firstLine="42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14.1.6  对专用合同条款约定的试块、试件及有关材料，监理人实行见证取样。见证取样资料由承包人制备，记录应真实齐全，监理人、承包人等参与见证取样人员均应在相关文件上签字。</w:t>
      </w:r>
    </w:p>
    <w:p w14:paraId="76277F89">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14.2 现场材料试验</w:t>
      </w:r>
    </w:p>
    <w:p w14:paraId="4C1D7661">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14.2.1 承包人根据合同约定或监理人指示进行的现场材料试验，应由承包人提供试验场所、试验人员、试验设备器材以及其他必要的试验条件。</w:t>
      </w:r>
    </w:p>
    <w:p w14:paraId="34CE78A6">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14.2.2 监理人在必要时可以使用承包人的试验场所、试验设备器材以及其他试验条件，进行以工程质量检查为目的的复核性材料试验，承包人应予以协助。</w:t>
      </w:r>
    </w:p>
    <w:p w14:paraId="0F351406">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14.3 现场工艺试验</w:t>
      </w:r>
    </w:p>
    <w:p w14:paraId="209EFBD4">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承包人应按合同约定或监理人指示进行现场工艺试验。对大型的现场工艺试验，监理人认为必要时，应由承包人根据监理人提出的工艺试验要求，编制工艺试验措施计划，报送监理人审批。</w:t>
      </w:r>
    </w:p>
    <w:p w14:paraId="74F2801F">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15  变更</w:t>
      </w:r>
    </w:p>
    <w:p w14:paraId="4A425094">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15.1  变更的范围和内容</w:t>
      </w:r>
    </w:p>
    <w:p w14:paraId="5E8D1168">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在履行合同中发生以下情形之一，应按照本款规定进行变更。</w:t>
      </w:r>
    </w:p>
    <w:p w14:paraId="575E9C7C">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（1）取消合同中任何一项工作，但被取消的工作不能转由发包人或其它人实施；</w:t>
      </w:r>
    </w:p>
    <w:p w14:paraId="340281AD">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（2）改变合同中任何一项工作的质量或其它特性；</w:t>
      </w:r>
    </w:p>
    <w:p w14:paraId="7514861D">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（3）改变合同工程的基线、标高、位置或尺寸；</w:t>
      </w:r>
    </w:p>
    <w:p w14:paraId="2848090C">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（4）改变合同中任何一项工作的施工时间或改变已批准的施工工艺或顺序；</w:t>
      </w:r>
    </w:p>
    <w:p w14:paraId="07472AE2">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（5）为完成工程需要追加的额外工作；</w:t>
      </w:r>
    </w:p>
    <w:p w14:paraId="2B6F23E9">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（6）增加或减少专用合同条款中约定的关键项目工程量超过其工程总量的一定数量百分比。</w:t>
      </w:r>
    </w:p>
    <w:p w14:paraId="073E642F">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上述第（1）～（6）目的变更内容引起工程施工组织和进度计划发生实质性变动和影响其原定的价格时，才调整该项目的单价。第（6）目情形下单价调整方式在专用合同条款中约定。</w:t>
      </w:r>
    </w:p>
    <w:p w14:paraId="56B26FB8">
      <w:pPr>
        <w:keepNext w:val="0"/>
        <w:keepLines w:val="0"/>
        <w:pageBreakBefore w:val="0"/>
        <w:widowControl w:val="0"/>
        <w:kinsoku/>
        <w:wordWrap/>
        <w:overflowPunct/>
        <w:topLinePunct w:val="0"/>
        <w:autoSpaceDE/>
        <w:autoSpaceDN/>
        <w:bidi w:val="0"/>
        <w:spacing w:line="312" w:lineRule="auto"/>
        <w:jc w:val="left"/>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15.2 变更权</w:t>
      </w:r>
    </w:p>
    <w:p w14:paraId="1F1400D7">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在履行合同过程中，经发包人同意，监理人可按第15.3 款约定的变更程序向承包人作出变更指示，承包人应遵照执行。没有监理人的变更指示，承包人不得擅自变更。</w:t>
      </w:r>
    </w:p>
    <w:p w14:paraId="57952A71">
      <w:pPr>
        <w:keepNext w:val="0"/>
        <w:keepLines w:val="0"/>
        <w:pageBreakBefore w:val="0"/>
        <w:widowControl w:val="0"/>
        <w:kinsoku/>
        <w:wordWrap/>
        <w:overflowPunct/>
        <w:topLinePunct w:val="0"/>
        <w:autoSpaceDE/>
        <w:autoSpaceDN/>
        <w:bidi w:val="0"/>
        <w:spacing w:line="312" w:lineRule="auto"/>
        <w:jc w:val="left"/>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15.3 变更程序</w:t>
      </w:r>
    </w:p>
    <w:p w14:paraId="1A698900">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15.3.1变更的提出</w:t>
      </w:r>
    </w:p>
    <w:p w14:paraId="187191F1">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（1）在合同履行过程中，可能发生第15.1 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 项约定发出变更指示。</w:t>
      </w:r>
    </w:p>
    <w:p w14:paraId="2B6CC55D">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（2）在合同履行过程中，发生第15.1 款约定情形的，监理人应按照第15.3.3 项约定向承包人发出变更指示。</w:t>
      </w:r>
    </w:p>
    <w:p w14:paraId="25D16F42">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（3）承包人收到监理人按合同约定发出的图纸和文件，经检查认为其中存在第15.1 款约定情形的，可向监理人提出书面变更建议。变更建议应阐明要求变更的依据，并附必要的图纸和说明。监理人收到承包人书面建议后，应与发包人共同研究，确认存在变更的，应在收到承包人书面建议后的14 天内作出变更指示。经研究后不同意作为变更的，应由监理人书面答复承包人。</w:t>
      </w:r>
    </w:p>
    <w:p w14:paraId="69E7DC4D">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（4）若承包人收到监理人的变更意向书后认为难以实施此项变更，应立即通知监理人，说明原因并附详细依据。监理人与承包人和发包人协商后确定撤销、改变或不改变原变更意向书。</w:t>
      </w:r>
    </w:p>
    <w:p w14:paraId="16BABBA6">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15.3.2 变更估价</w:t>
      </w:r>
    </w:p>
    <w:p w14:paraId="02598EC1">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（l）除专用合同条款对期限另有约定外，承包人应在收到变更指示或变更意向书后的14 天内，向监理人提交变更报价书，报价内容应根据第15.4 款约定的估价原则，详细开列变更工作的价格组成及其依据，并附必要的施工方法说明和有关图纸。</w:t>
      </w:r>
    </w:p>
    <w:p w14:paraId="06D72161">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（2）变更工作影响工期的，承包人应提出调整工期的具体细节。监理人认为有必要时，可要求承包人提交要求提前或延长工期的施工进度计划及相应施工措施等详细资料。</w:t>
      </w:r>
    </w:p>
    <w:p w14:paraId="27503F71">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（3）除专用合同条款对期限另有约定外，监理人收到承包人变更报价书后的14 天内，根据第15.4 款约定的估价原则，按照第3.5 款商定或确定变更价格。</w:t>
      </w:r>
    </w:p>
    <w:p w14:paraId="4E74B5A2">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15.3.3 变更指示</w:t>
      </w:r>
    </w:p>
    <w:p w14:paraId="7917A5ED">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（l）变更指示只能由监理人发出。</w:t>
      </w:r>
    </w:p>
    <w:p w14:paraId="3A85F2AB">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（2）变更指示应说明变更的目的、范围、变更内容以及变更的工程量及其进度和技术要求，并附有关图纸和文件。承包人收到变更指示后，应按变更指示进行变更工作。</w:t>
      </w:r>
    </w:p>
    <w:p w14:paraId="64BDAB5E">
      <w:pPr>
        <w:keepNext w:val="0"/>
        <w:keepLines w:val="0"/>
        <w:pageBreakBefore w:val="0"/>
        <w:widowControl w:val="0"/>
        <w:kinsoku/>
        <w:wordWrap/>
        <w:overflowPunct/>
        <w:topLinePunct w:val="0"/>
        <w:autoSpaceDE/>
        <w:autoSpaceDN/>
        <w:bidi w:val="0"/>
        <w:spacing w:line="312" w:lineRule="auto"/>
        <w:jc w:val="left"/>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15.4 变更的估价原则</w:t>
      </w:r>
    </w:p>
    <w:p w14:paraId="49282B1B">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除专用合同条款另有约定外，因变更引起的价格调整按照本款约定处理。</w:t>
      </w:r>
    </w:p>
    <w:p w14:paraId="0736E9E0">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15.4.1 己标价工程量清单中有适用于变更工作的子目的，采用该子目的单价。</w:t>
      </w:r>
    </w:p>
    <w:p w14:paraId="792674D2">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15.4.2 己标价工程量清单中无适用于变更工作的子目，但有类似子目的，可在合理范围内参照类似子目的单价，由监理人按第3.5 款商定或确定变更工作的单价。</w:t>
      </w:r>
    </w:p>
    <w:p w14:paraId="4054885C">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15.4.3 己标价工程量清单中无适用或类似子目的单价，可按照成本加利润的原则，由监理人按第3. 5 款商定或确定变更工作的单价。</w:t>
      </w:r>
    </w:p>
    <w:p w14:paraId="23B57777">
      <w:pPr>
        <w:keepNext w:val="0"/>
        <w:keepLines w:val="0"/>
        <w:pageBreakBefore w:val="0"/>
        <w:widowControl w:val="0"/>
        <w:kinsoku/>
        <w:wordWrap/>
        <w:overflowPunct/>
        <w:topLinePunct w:val="0"/>
        <w:autoSpaceDE/>
        <w:autoSpaceDN/>
        <w:bidi w:val="0"/>
        <w:spacing w:line="312" w:lineRule="auto"/>
        <w:jc w:val="left"/>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15.5 承包人的合理化建议</w:t>
      </w:r>
    </w:p>
    <w:p w14:paraId="5A618969">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795D914B">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15.5.2 承包人提出的合理化建议降低了合同价格、缩短了工期或者提高了工程经济效益的，发包人可按国家有关规定在专用合同条款中约定给予奖励。</w:t>
      </w:r>
    </w:p>
    <w:p w14:paraId="67BD2E6F">
      <w:pPr>
        <w:keepNext w:val="0"/>
        <w:keepLines w:val="0"/>
        <w:pageBreakBefore w:val="0"/>
        <w:widowControl w:val="0"/>
        <w:kinsoku/>
        <w:wordWrap/>
        <w:overflowPunct/>
        <w:topLinePunct w:val="0"/>
        <w:autoSpaceDE/>
        <w:autoSpaceDN/>
        <w:bidi w:val="0"/>
        <w:spacing w:line="312" w:lineRule="auto"/>
        <w:jc w:val="left"/>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15.6 暂列金额</w:t>
      </w:r>
    </w:p>
    <w:p w14:paraId="303EFFA9">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暂列金额只能按照监理人的指示使用，并对合同价格进行相应调整。</w:t>
      </w:r>
    </w:p>
    <w:p w14:paraId="37EFE379">
      <w:pPr>
        <w:keepNext w:val="0"/>
        <w:keepLines w:val="0"/>
        <w:pageBreakBefore w:val="0"/>
        <w:widowControl w:val="0"/>
        <w:kinsoku/>
        <w:wordWrap/>
        <w:overflowPunct/>
        <w:topLinePunct w:val="0"/>
        <w:autoSpaceDE/>
        <w:autoSpaceDN/>
        <w:bidi w:val="0"/>
        <w:spacing w:line="312" w:lineRule="auto"/>
        <w:jc w:val="left"/>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15.7 计日工</w:t>
      </w:r>
    </w:p>
    <w:p w14:paraId="705A6807">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15.7.1 发包人认为有必要时，由监理人通知承包人以计日工方式实施变更的零星工作。其价款按列入已标价工程量清单中的计日工计价子目及其单价进行计算。</w:t>
      </w:r>
    </w:p>
    <w:p w14:paraId="779ECD6F">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15.7.2 采用计日工计价的任何一项变更工作，应从暂列金额中支付，承包人应在该项变更的实施过程中，每天提交以下报表和有关凭证报送监理人审批：</w:t>
      </w:r>
    </w:p>
    <w:p w14:paraId="46BE7C3F">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（l）工作名称、内容和数量；</w:t>
      </w:r>
    </w:p>
    <w:p w14:paraId="01C07967">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（2）投入该工作所有人员的姓名、工种、级别和耗用工时；</w:t>
      </w:r>
    </w:p>
    <w:p w14:paraId="1475911E">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（3）投入该工作的材料类别和数量；</w:t>
      </w:r>
    </w:p>
    <w:p w14:paraId="3BCAC8FC">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（4）投入该工作的施工设备型号、台数和耗用台时；</w:t>
      </w:r>
    </w:p>
    <w:p w14:paraId="346F6B8E">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（5）监理人要求提交的其他资料和凭证。</w:t>
      </w:r>
    </w:p>
    <w:p w14:paraId="37EFEB5E">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15.7.3 计日工由承包人汇总后，按第17.3 .2 项的约定列入进度付款申请单，由监理人复核并经发包人同意后列入进度付款。</w:t>
      </w:r>
    </w:p>
    <w:p w14:paraId="71E07608">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15.8  暂估价</w:t>
      </w:r>
    </w:p>
    <w:p w14:paraId="4DE1A116">
      <w:pPr>
        <w:keepNext w:val="0"/>
        <w:keepLines w:val="0"/>
        <w:pageBreakBefore w:val="0"/>
        <w:widowControl w:val="0"/>
        <w:kinsoku/>
        <w:wordWrap/>
        <w:overflowPunct/>
        <w:topLinePunct w:val="0"/>
        <w:autoSpaceDE/>
        <w:autoSpaceDN/>
        <w:bidi w:val="0"/>
        <w:spacing w:line="312" w:lineRule="auto"/>
        <w:ind w:firstLine="495"/>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15.8.1  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量清单中所列金额差以及相应的税金等其它费用列入合同价格。必须招标的暂估价项目招标组织形式、发包人和承包人组织招标时双方的权利义务关系在专用合同条款中约定。</w:t>
      </w:r>
    </w:p>
    <w:p w14:paraId="5EC0101C">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15.8.2 发包人在工程量清单中给定暂估价的材料和工程设备不属于依法必须招标的范围或未达到规定的规模标准的，应由承包人按第5.1 款的约定提供。经监理人确认的材料、工程设备的价格与工程量清单中所列的暂估价的金额差以及相应的税金等其他费用列入合同价格。</w:t>
      </w:r>
    </w:p>
    <w:p w14:paraId="45B8CEA6">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15.8.3发包人在工程量清单中给定暂估价的专业工程不属于依法必须招标的范围或未达到规定的规模标准的，由监理人按照第15.4 款进行估价，但专用合同条款另有约定的除外。经估价的专业工程与工程量清单中所列的暂估价的金额差以及相应的税金等其他费用列入合同价格。</w:t>
      </w:r>
    </w:p>
    <w:p w14:paraId="449688C9">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16  价格调整</w:t>
      </w:r>
    </w:p>
    <w:p w14:paraId="072B23F1">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16.1  物价波动引起的价格调整</w:t>
      </w:r>
    </w:p>
    <w:p w14:paraId="070DAA99">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由于物价波动原因引起合同价格需要调整的，其价格调整方式在专用合同条款中约定。</w:t>
      </w:r>
    </w:p>
    <w:p w14:paraId="0F957A75">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16.1.1 采用价格指数调整价格差额</w:t>
      </w:r>
    </w:p>
    <w:p w14:paraId="361E1B37">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16.1.1.1 价格调整公式</w:t>
      </w:r>
    </w:p>
    <w:p w14:paraId="1A641719">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因人工、材料和设备等价格波动影响合同价格时，根据投标函附录中的价格指数和权重表约定的数据，按以下公式计算差额并调整合同价格。</w:t>
      </w:r>
    </w:p>
    <w:p w14:paraId="54828F20">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p>
    <w:p w14:paraId="0CDB865E">
      <w:pPr>
        <w:keepNext w:val="0"/>
        <w:keepLines w:val="0"/>
        <w:pageBreakBefore w:val="0"/>
        <w:widowControl w:val="0"/>
        <w:kinsoku/>
        <w:wordWrap/>
        <w:overflowPunct/>
        <w:topLinePunct w:val="0"/>
        <w:autoSpaceDE/>
        <w:autoSpaceDN/>
        <w:bidi w:val="0"/>
        <w:spacing w:line="312" w:lineRule="auto"/>
        <w:ind w:firstLine="252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F</w:t>
      </w:r>
      <w:r>
        <w:rPr>
          <w:rFonts w:hint="eastAsia" w:ascii="宋体" w:hAnsi="宋体" w:eastAsia="宋体" w:cs="宋体"/>
          <w:strike w:val="0"/>
          <w:color w:val="auto"/>
          <w:sz w:val="22"/>
          <w:szCs w:val="22"/>
          <w:highlight w:val="none"/>
          <w:vertAlign w:val="subscript"/>
        </w:rPr>
        <w:t xml:space="preserve">t1        </w:t>
      </w:r>
      <w:r>
        <w:rPr>
          <w:rFonts w:hint="eastAsia" w:ascii="宋体" w:hAnsi="宋体" w:eastAsia="宋体" w:cs="宋体"/>
          <w:strike w:val="0"/>
          <w:color w:val="auto"/>
          <w:sz w:val="22"/>
          <w:szCs w:val="22"/>
          <w:highlight w:val="none"/>
        </w:rPr>
        <w:t xml:space="preserve"> F</w:t>
      </w:r>
      <w:r>
        <w:rPr>
          <w:rFonts w:hint="eastAsia" w:ascii="宋体" w:hAnsi="宋体" w:eastAsia="宋体" w:cs="宋体"/>
          <w:strike w:val="0"/>
          <w:color w:val="auto"/>
          <w:sz w:val="22"/>
          <w:szCs w:val="22"/>
          <w:highlight w:val="none"/>
          <w:vertAlign w:val="subscript"/>
        </w:rPr>
        <w:t xml:space="preserve">t2         </w:t>
      </w:r>
      <w:r>
        <w:rPr>
          <w:rFonts w:hint="eastAsia" w:ascii="宋体" w:hAnsi="宋体" w:eastAsia="宋体" w:cs="宋体"/>
          <w:strike w:val="0"/>
          <w:color w:val="auto"/>
          <w:sz w:val="22"/>
          <w:szCs w:val="22"/>
          <w:highlight w:val="none"/>
        </w:rPr>
        <w:t>F</w:t>
      </w:r>
      <w:r>
        <w:rPr>
          <w:rFonts w:hint="eastAsia" w:ascii="宋体" w:hAnsi="宋体" w:eastAsia="宋体" w:cs="宋体"/>
          <w:strike w:val="0"/>
          <w:color w:val="auto"/>
          <w:sz w:val="22"/>
          <w:szCs w:val="22"/>
          <w:highlight w:val="none"/>
          <w:vertAlign w:val="subscript"/>
        </w:rPr>
        <w:t xml:space="preserve">t3                 </w:t>
      </w:r>
      <w:r>
        <w:rPr>
          <w:rFonts w:hint="eastAsia" w:ascii="宋体" w:hAnsi="宋体" w:eastAsia="宋体" w:cs="宋体"/>
          <w:strike w:val="0"/>
          <w:color w:val="auto"/>
          <w:sz w:val="22"/>
          <w:szCs w:val="22"/>
          <w:highlight w:val="none"/>
        </w:rPr>
        <w:t>F</w:t>
      </w:r>
      <w:r>
        <w:rPr>
          <w:rFonts w:hint="eastAsia" w:ascii="宋体" w:hAnsi="宋体" w:eastAsia="宋体" w:cs="宋体"/>
          <w:strike w:val="0"/>
          <w:color w:val="auto"/>
          <w:sz w:val="22"/>
          <w:szCs w:val="22"/>
          <w:highlight w:val="none"/>
          <w:vertAlign w:val="subscript"/>
        </w:rPr>
        <w:t>tn</w:t>
      </w:r>
    </w:p>
    <w:p w14:paraId="38721762">
      <w:pPr>
        <w:keepNext w:val="0"/>
        <w:keepLines w:val="0"/>
        <w:pageBreakBefore w:val="0"/>
        <w:widowControl w:val="0"/>
        <w:numPr>
          <w:ilvl w:val="0"/>
          <w:numId w:val="2"/>
        </w:numPr>
        <w:tabs>
          <w:tab w:val="left" w:pos="780"/>
        </w:tabs>
        <w:kinsoku/>
        <w:wordWrap/>
        <w:overflowPunct/>
        <w:topLinePunct w:val="0"/>
        <w:autoSpaceDE/>
        <w:autoSpaceDN/>
        <w:bidi w:val="0"/>
        <w:spacing w:line="312" w:lineRule="auto"/>
        <w:ind w:left="780" w:hanging="36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P=P</w:t>
      </w:r>
      <w:r>
        <w:rPr>
          <w:rFonts w:hint="eastAsia" w:ascii="宋体" w:hAnsi="宋体" w:eastAsia="宋体" w:cs="宋体"/>
          <w:strike w:val="0"/>
          <w:color w:val="auto"/>
          <w:sz w:val="22"/>
          <w:szCs w:val="22"/>
          <w:highlight w:val="none"/>
          <w:vertAlign w:val="subscript"/>
        </w:rPr>
        <w:t>O</w:t>
      </w:r>
      <w:r>
        <w:rPr>
          <w:rFonts w:hint="eastAsia" w:ascii="宋体" w:hAnsi="宋体" w:eastAsia="宋体" w:cs="宋体"/>
          <w:strike w:val="0"/>
          <w:color w:val="auto"/>
          <w:sz w:val="22"/>
          <w:szCs w:val="22"/>
          <w:highlight w:val="none"/>
        </w:rPr>
        <w:t>［A+｛B</w:t>
      </w:r>
      <w:r>
        <w:rPr>
          <w:rFonts w:hint="eastAsia" w:ascii="宋体" w:hAnsi="宋体" w:eastAsia="宋体" w:cs="宋体"/>
          <w:strike w:val="0"/>
          <w:color w:val="auto"/>
          <w:sz w:val="22"/>
          <w:szCs w:val="22"/>
          <w:highlight w:val="none"/>
          <w:vertAlign w:val="subscript"/>
        </w:rPr>
        <w:t>1</w:t>
      </w:r>
      <w:r>
        <w:rPr>
          <w:rFonts w:hint="eastAsia" w:ascii="宋体" w:hAnsi="宋体" w:eastAsia="宋体" w:cs="宋体"/>
          <w:strike w:val="0"/>
          <w:color w:val="auto"/>
          <w:sz w:val="22"/>
          <w:szCs w:val="22"/>
          <w:highlight w:val="none"/>
        </w:rPr>
        <w:t>×—＋B</w:t>
      </w:r>
      <w:r>
        <w:rPr>
          <w:rFonts w:hint="eastAsia" w:ascii="宋体" w:hAnsi="宋体" w:eastAsia="宋体" w:cs="宋体"/>
          <w:strike w:val="0"/>
          <w:color w:val="auto"/>
          <w:sz w:val="22"/>
          <w:szCs w:val="22"/>
          <w:highlight w:val="none"/>
          <w:vertAlign w:val="subscript"/>
        </w:rPr>
        <w:t>2</w:t>
      </w:r>
      <w:r>
        <w:rPr>
          <w:rFonts w:hint="eastAsia" w:ascii="宋体" w:hAnsi="宋体" w:eastAsia="宋体" w:cs="宋体"/>
          <w:strike w:val="0"/>
          <w:color w:val="auto"/>
          <w:sz w:val="22"/>
          <w:szCs w:val="22"/>
          <w:highlight w:val="none"/>
        </w:rPr>
        <w:t>×—＋B</w:t>
      </w:r>
      <w:r>
        <w:rPr>
          <w:rFonts w:hint="eastAsia" w:ascii="宋体" w:hAnsi="宋体" w:eastAsia="宋体" w:cs="宋体"/>
          <w:strike w:val="0"/>
          <w:color w:val="auto"/>
          <w:sz w:val="22"/>
          <w:szCs w:val="22"/>
          <w:highlight w:val="none"/>
          <w:vertAlign w:val="subscript"/>
        </w:rPr>
        <w:t>3</w:t>
      </w:r>
      <w:r>
        <w:rPr>
          <w:rFonts w:hint="eastAsia" w:ascii="宋体" w:hAnsi="宋体" w:eastAsia="宋体" w:cs="宋体"/>
          <w:strike w:val="0"/>
          <w:color w:val="auto"/>
          <w:sz w:val="22"/>
          <w:szCs w:val="22"/>
          <w:highlight w:val="none"/>
        </w:rPr>
        <w:t>×—＋…＋B</w:t>
      </w:r>
      <w:r>
        <w:rPr>
          <w:rFonts w:hint="eastAsia" w:ascii="宋体" w:hAnsi="宋体" w:eastAsia="宋体" w:cs="宋体"/>
          <w:strike w:val="0"/>
          <w:color w:val="auto"/>
          <w:sz w:val="22"/>
          <w:szCs w:val="22"/>
          <w:highlight w:val="none"/>
          <w:vertAlign w:val="subscript"/>
        </w:rPr>
        <w:t>n</w:t>
      </w:r>
      <w:r>
        <w:rPr>
          <w:rFonts w:hint="eastAsia" w:ascii="宋体" w:hAnsi="宋体" w:eastAsia="宋体" w:cs="宋体"/>
          <w:strike w:val="0"/>
          <w:color w:val="auto"/>
          <w:sz w:val="22"/>
          <w:szCs w:val="22"/>
          <w:highlight w:val="none"/>
        </w:rPr>
        <w:t>×—｝－1］</w:t>
      </w:r>
    </w:p>
    <w:p w14:paraId="7E7BA448">
      <w:pPr>
        <w:keepNext w:val="0"/>
        <w:keepLines w:val="0"/>
        <w:pageBreakBefore w:val="0"/>
        <w:widowControl w:val="0"/>
        <w:kinsoku/>
        <w:wordWrap/>
        <w:overflowPunct/>
        <w:topLinePunct w:val="0"/>
        <w:autoSpaceDE/>
        <w:autoSpaceDN/>
        <w:bidi w:val="0"/>
        <w:spacing w:line="312" w:lineRule="auto"/>
        <w:ind w:left="420" w:firstLine="204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F</w:t>
      </w:r>
      <w:r>
        <w:rPr>
          <w:rFonts w:hint="eastAsia" w:ascii="宋体" w:hAnsi="宋体" w:eastAsia="宋体" w:cs="宋体"/>
          <w:strike w:val="0"/>
          <w:color w:val="auto"/>
          <w:sz w:val="22"/>
          <w:szCs w:val="22"/>
          <w:highlight w:val="none"/>
          <w:vertAlign w:val="subscript"/>
        </w:rPr>
        <w:t xml:space="preserve">01        </w:t>
      </w:r>
      <w:r>
        <w:rPr>
          <w:rFonts w:hint="eastAsia" w:ascii="宋体" w:hAnsi="宋体" w:eastAsia="宋体" w:cs="宋体"/>
          <w:strike w:val="0"/>
          <w:color w:val="auto"/>
          <w:sz w:val="22"/>
          <w:szCs w:val="22"/>
          <w:highlight w:val="none"/>
        </w:rPr>
        <w:t>F</w:t>
      </w:r>
      <w:r>
        <w:rPr>
          <w:rFonts w:hint="eastAsia" w:ascii="宋体" w:hAnsi="宋体" w:eastAsia="宋体" w:cs="宋体"/>
          <w:strike w:val="0"/>
          <w:color w:val="auto"/>
          <w:sz w:val="22"/>
          <w:szCs w:val="22"/>
          <w:highlight w:val="none"/>
          <w:vertAlign w:val="subscript"/>
        </w:rPr>
        <w:t xml:space="preserve">02       </w:t>
      </w:r>
      <w:r>
        <w:rPr>
          <w:rFonts w:hint="eastAsia" w:ascii="宋体" w:hAnsi="宋体" w:eastAsia="宋体" w:cs="宋体"/>
          <w:strike w:val="0"/>
          <w:color w:val="auto"/>
          <w:sz w:val="22"/>
          <w:szCs w:val="22"/>
          <w:highlight w:val="none"/>
        </w:rPr>
        <w:t>F</w:t>
      </w:r>
      <w:r>
        <w:rPr>
          <w:rFonts w:hint="eastAsia" w:ascii="宋体" w:hAnsi="宋体" w:eastAsia="宋体" w:cs="宋体"/>
          <w:strike w:val="0"/>
          <w:color w:val="auto"/>
          <w:sz w:val="22"/>
          <w:szCs w:val="22"/>
          <w:highlight w:val="none"/>
          <w:vertAlign w:val="subscript"/>
        </w:rPr>
        <w:t xml:space="preserve">03              </w:t>
      </w:r>
      <w:r>
        <w:rPr>
          <w:rFonts w:hint="eastAsia" w:ascii="宋体" w:hAnsi="宋体" w:eastAsia="宋体" w:cs="宋体"/>
          <w:strike w:val="0"/>
          <w:color w:val="auto"/>
          <w:sz w:val="22"/>
          <w:szCs w:val="22"/>
          <w:highlight w:val="none"/>
        </w:rPr>
        <w:t>F</w:t>
      </w:r>
      <w:r>
        <w:rPr>
          <w:rFonts w:hint="eastAsia" w:ascii="宋体" w:hAnsi="宋体" w:eastAsia="宋体" w:cs="宋体"/>
          <w:strike w:val="0"/>
          <w:color w:val="auto"/>
          <w:sz w:val="22"/>
          <w:szCs w:val="22"/>
          <w:highlight w:val="none"/>
          <w:vertAlign w:val="subscript"/>
        </w:rPr>
        <w:t>04</w:t>
      </w:r>
    </w:p>
    <w:p w14:paraId="6C78A930">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式中：△ P 一需调整的价格差额；</w:t>
      </w:r>
    </w:p>
    <w:p w14:paraId="00CBDF51">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P</w:t>
      </w:r>
      <w:r>
        <w:rPr>
          <w:rFonts w:hint="eastAsia" w:ascii="宋体" w:hAnsi="宋体" w:eastAsia="宋体" w:cs="宋体"/>
          <w:strike w:val="0"/>
          <w:color w:val="auto"/>
          <w:sz w:val="22"/>
          <w:szCs w:val="22"/>
          <w:highlight w:val="none"/>
          <w:vertAlign w:val="subscript"/>
        </w:rPr>
        <w:t>O</w:t>
      </w:r>
      <w:r>
        <w:rPr>
          <w:rFonts w:hint="eastAsia" w:ascii="宋体" w:hAnsi="宋体" w:eastAsia="宋体" w:cs="宋体"/>
          <w:strike w:val="0"/>
          <w:color w:val="auto"/>
          <w:sz w:val="22"/>
          <w:szCs w:val="22"/>
          <w:highlight w:val="none"/>
        </w:rPr>
        <w:t>一第17.3.3 项、第17.5.2 项和第17.6.2 项约定的付款证书中承包人应得到的己完成工程量的金额。此项金额应不包括价格调整、不计质量保证金的扣留和支付、预付款的支付和扣回。第15条约定的变更及其他金额已按现行价格计价的，也不计在内；</w:t>
      </w:r>
    </w:p>
    <w:p w14:paraId="1D681C1E">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A ---定值权重（即不调部分的权重）；</w:t>
      </w:r>
    </w:p>
    <w:p w14:paraId="63319D31">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B</w:t>
      </w:r>
      <w:r>
        <w:rPr>
          <w:rFonts w:hint="eastAsia" w:ascii="宋体" w:hAnsi="宋体" w:eastAsia="宋体" w:cs="宋体"/>
          <w:strike w:val="0"/>
          <w:color w:val="auto"/>
          <w:sz w:val="22"/>
          <w:szCs w:val="22"/>
          <w:highlight w:val="none"/>
          <w:vertAlign w:val="subscript"/>
        </w:rPr>
        <w:t>1</w:t>
      </w:r>
      <w:r>
        <w:rPr>
          <w:rFonts w:hint="eastAsia" w:ascii="宋体" w:hAnsi="宋体" w:eastAsia="宋体" w:cs="宋体"/>
          <w:strike w:val="0"/>
          <w:color w:val="auto"/>
          <w:sz w:val="22"/>
          <w:szCs w:val="22"/>
          <w:highlight w:val="none"/>
        </w:rPr>
        <w:t>；B</w:t>
      </w:r>
      <w:r>
        <w:rPr>
          <w:rFonts w:hint="eastAsia" w:ascii="宋体" w:hAnsi="宋体" w:eastAsia="宋体" w:cs="宋体"/>
          <w:strike w:val="0"/>
          <w:color w:val="auto"/>
          <w:sz w:val="22"/>
          <w:szCs w:val="22"/>
          <w:highlight w:val="none"/>
          <w:vertAlign w:val="subscript"/>
        </w:rPr>
        <w:t>2</w:t>
      </w:r>
      <w:r>
        <w:rPr>
          <w:rFonts w:hint="eastAsia" w:ascii="宋体" w:hAnsi="宋体" w:eastAsia="宋体" w:cs="宋体"/>
          <w:strike w:val="0"/>
          <w:color w:val="auto"/>
          <w:sz w:val="22"/>
          <w:szCs w:val="22"/>
          <w:highlight w:val="none"/>
        </w:rPr>
        <w:t>；B</w:t>
      </w:r>
      <w:r>
        <w:rPr>
          <w:rFonts w:hint="eastAsia" w:ascii="宋体" w:hAnsi="宋体" w:eastAsia="宋体" w:cs="宋体"/>
          <w:strike w:val="0"/>
          <w:color w:val="auto"/>
          <w:sz w:val="22"/>
          <w:szCs w:val="22"/>
          <w:highlight w:val="none"/>
          <w:vertAlign w:val="subscript"/>
        </w:rPr>
        <w:t>3</w:t>
      </w:r>
      <w:r>
        <w:rPr>
          <w:rFonts w:hint="eastAsia" w:ascii="宋体" w:hAnsi="宋体" w:eastAsia="宋体" w:cs="宋体"/>
          <w:strike w:val="0"/>
          <w:color w:val="auto"/>
          <w:sz w:val="22"/>
          <w:szCs w:val="22"/>
          <w:highlight w:val="none"/>
        </w:rPr>
        <w:t>；……B</w:t>
      </w:r>
      <w:r>
        <w:rPr>
          <w:rFonts w:hint="eastAsia" w:ascii="宋体" w:hAnsi="宋体" w:eastAsia="宋体" w:cs="宋体"/>
          <w:strike w:val="0"/>
          <w:color w:val="auto"/>
          <w:sz w:val="22"/>
          <w:szCs w:val="22"/>
          <w:highlight w:val="none"/>
          <w:vertAlign w:val="subscript"/>
        </w:rPr>
        <w:t>n</w:t>
      </w:r>
      <w:r>
        <w:rPr>
          <w:rFonts w:hint="eastAsia" w:ascii="宋体" w:hAnsi="宋体" w:eastAsia="宋体" w:cs="宋体"/>
          <w:strike w:val="0"/>
          <w:color w:val="auto"/>
          <w:sz w:val="22"/>
          <w:szCs w:val="22"/>
          <w:highlight w:val="none"/>
        </w:rPr>
        <w:t>---各可调因子的变值权重（即可调部分的权重）为各可调因子在投标函投标总报价中所占的比例；</w:t>
      </w:r>
    </w:p>
    <w:p w14:paraId="4D45D332">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F</w:t>
      </w:r>
      <w:r>
        <w:rPr>
          <w:rFonts w:hint="eastAsia" w:ascii="宋体" w:hAnsi="宋体" w:eastAsia="宋体" w:cs="宋体"/>
          <w:strike w:val="0"/>
          <w:color w:val="auto"/>
          <w:sz w:val="22"/>
          <w:szCs w:val="22"/>
          <w:highlight w:val="none"/>
          <w:vertAlign w:val="subscript"/>
        </w:rPr>
        <w:t>t1</w:t>
      </w:r>
      <w:r>
        <w:rPr>
          <w:rFonts w:hint="eastAsia" w:ascii="宋体" w:hAnsi="宋体" w:eastAsia="宋体" w:cs="宋体"/>
          <w:strike w:val="0"/>
          <w:color w:val="auto"/>
          <w:sz w:val="22"/>
          <w:szCs w:val="22"/>
          <w:highlight w:val="none"/>
        </w:rPr>
        <w:t>；F</w:t>
      </w:r>
      <w:r>
        <w:rPr>
          <w:rFonts w:hint="eastAsia" w:ascii="宋体" w:hAnsi="宋体" w:eastAsia="宋体" w:cs="宋体"/>
          <w:strike w:val="0"/>
          <w:color w:val="auto"/>
          <w:sz w:val="22"/>
          <w:szCs w:val="22"/>
          <w:highlight w:val="none"/>
          <w:vertAlign w:val="subscript"/>
        </w:rPr>
        <w:t>t2</w:t>
      </w:r>
      <w:r>
        <w:rPr>
          <w:rFonts w:hint="eastAsia" w:ascii="宋体" w:hAnsi="宋体" w:eastAsia="宋体" w:cs="宋体"/>
          <w:strike w:val="0"/>
          <w:color w:val="auto"/>
          <w:sz w:val="22"/>
          <w:szCs w:val="22"/>
          <w:highlight w:val="none"/>
        </w:rPr>
        <w:t>；F</w:t>
      </w:r>
      <w:r>
        <w:rPr>
          <w:rFonts w:hint="eastAsia" w:ascii="宋体" w:hAnsi="宋体" w:eastAsia="宋体" w:cs="宋体"/>
          <w:strike w:val="0"/>
          <w:color w:val="auto"/>
          <w:sz w:val="22"/>
          <w:szCs w:val="22"/>
          <w:highlight w:val="none"/>
          <w:vertAlign w:val="subscript"/>
        </w:rPr>
        <w:t>t3</w:t>
      </w:r>
      <w:r>
        <w:rPr>
          <w:rFonts w:hint="eastAsia" w:ascii="宋体" w:hAnsi="宋体" w:eastAsia="宋体" w:cs="宋体"/>
          <w:strike w:val="0"/>
          <w:color w:val="auto"/>
          <w:sz w:val="22"/>
          <w:szCs w:val="22"/>
          <w:highlight w:val="none"/>
        </w:rPr>
        <w:t>；……F</w:t>
      </w:r>
      <w:r>
        <w:rPr>
          <w:rFonts w:hint="eastAsia" w:ascii="宋体" w:hAnsi="宋体" w:eastAsia="宋体" w:cs="宋体"/>
          <w:strike w:val="0"/>
          <w:color w:val="auto"/>
          <w:sz w:val="22"/>
          <w:szCs w:val="22"/>
          <w:highlight w:val="none"/>
          <w:vertAlign w:val="subscript"/>
        </w:rPr>
        <w:t>tn</w:t>
      </w:r>
      <w:r>
        <w:rPr>
          <w:rFonts w:hint="eastAsia" w:ascii="宋体" w:hAnsi="宋体" w:eastAsia="宋体" w:cs="宋体"/>
          <w:strike w:val="0"/>
          <w:color w:val="auto"/>
          <w:sz w:val="22"/>
          <w:szCs w:val="22"/>
          <w:highlight w:val="none"/>
        </w:rPr>
        <w:t>---各可调因子的现行价格指数，指第17.3.3 项、第17.5.2 项和第17.6.2 项约定的付款证书相关周期最后一天的前42天的各可调因子的价格指数；</w:t>
      </w:r>
    </w:p>
    <w:p w14:paraId="61DF590E">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F</w:t>
      </w:r>
      <w:r>
        <w:rPr>
          <w:rFonts w:hint="eastAsia" w:ascii="宋体" w:hAnsi="宋体" w:eastAsia="宋体" w:cs="宋体"/>
          <w:strike w:val="0"/>
          <w:color w:val="auto"/>
          <w:sz w:val="22"/>
          <w:szCs w:val="22"/>
          <w:highlight w:val="none"/>
          <w:vertAlign w:val="subscript"/>
        </w:rPr>
        <w:t>01</w:t>
      </w:r>
      <w:r>
        <w:rPr>
          <w:rFonts w:hint="eastAsia" w:ascii="宋体" w:hAnsi="宋体" w:eastAsia="宋体" w:cs="宋体"/>
          <w:strike w:val="0"/>
          <w:color w:val="auto"/>
          <w:sz w:val="22"/>
          <w:szCs w:val="22"/>
          <w:highlight w:val="none"/>
        </w:rPr>
        <w:t>；F</w:t>
      </w:r>
      <w:r>
        <w:rPr>
          <w:rFonts w:hint="eastAsia" w:ascii="宋体" w:hAnsi="宋体" w:eastAsia="宋体" w:cs="宋体"/>
          <w:strike w:val="0"/>
          <w:color w:val="auto"/>
          <w:sz w:val="22"/>
          <w:szCs w:val="22"/>
          <w:highlight w:val="none"/>
          <w:vertAlign w:val="subscript"/>
        </w:rPr>
        <w:t>02</w:t>
      </w:r>
      <w:r>
        <w:rPr>
          <w:rFonts w:hint="eastAsia" w:ascii="宋体" w:hAnsi="宋体" w:eastAsia="宋体" w:cs="宋体"/>
          <w:strike w:val="0"/>
          <w:color w:val="auto"/>
          <w:sz w:val="22"/>
          <w:szCs w:val="22"/>
          <w:highlight w:val="none"/>
        </w:rPr>
        <w:t>；F</w:t>
      </w:r>
      <w:r>
        <w:rPr>
          <w:rFonts w:hint="eastAsia" w:ascii="宋体" w:hAnsi="宋体" w:eastAsia="宋体" w:cs="宋体"/>
          <w:strike w:val="0"/>
          <w:color w:val="auto"/>
          <w:sz w:val="22"/>
          <w:szCs w:val="22"/>
          <w:highlight w:val="none"/>
          <w:vertAlign w:val="subscript"/>
        </w:rPr>
        <w:t>03</w:t>
      </w:r>
      <w:r>
        <w:rPr>
          <w:rFonts w:hint="eastAsia" w:ascii="宋体" w:hAnsi="宋体" w:eastAsia="宋体" w:cs="宋体"/>
          <w:strike w:val="0"/>
          <w:color w:val="auto"/>
          <w:sz w:val="22"/>
          <w:szCs w:val="22"/>
          <w:highlight w:val="none"/>
        </w:rPr>
        <w:t>；……F</w:t>
      </w:r>
      <w:r>
        <w:rPr>
          <w:rFonts w:hint="eastAsia" w:ascii="宋体" w:hAnsi="宋体" w:eastAsia="宋体" w:cs="宋体"/>
          <w:strike w:val="0"/>
          <w:color w:val="auto"/>
          <w:sz w:val="22"/>
          <w:szCs w:val="22"/>
          <w:highlight w:val="none"/>
          <w:vertAlign w:val="subscript"/>
        </w:rPr>
        <w:t>0n</w:t>
      </w:r>
      <w:r>
        <w:rPr>
          <w:rFonts w:hint="eastAsia" w:ascii="宋体" w:hAnsi="宋体" w:eastAsia="宋体" w:cs="宋体"/>
          <w:strike w:val="0"/>
          <w:color w:val="auto"/>
          <w:sz w:val="22"/>
          <w:szCs w:val="22"/>
          <w:highlight w:val="none"/>
        </w:rPr>
        <w:t>---各可调因子的基本价格指数，指基准日期的各可调因子的价格指数。</w:t>
      </w:r>
    </w:p>
    <w:p w14:paraId="449CE245">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2DDC6FFB">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16.1.1.2 暂时确定调整差额</w:t>
      </w:r>
    </w:p>
    <w:p w14:paraId="2E05D387">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在计算调整差额时得不到现行价格指数的，可暂用上一次价格指数计算，并在以后的付款中再按实际价格指数进行调整。</w:t>
      </w:r>
    </w:p>
    <w:p w14:paraId="22335AB8">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16.1.1.3 权重的调整</w:t>
      </w:r>
    </w:p>
    <w:p w14:paraId="560B75A2">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按第15.1 款约定的变更导致原定合同中的权重不合理时，由监理人与承包人和发包人协商后进行调整。</w:t>
      </w:r>
    </w:p>
    <w:p w14:paraId="5EFE6ADE">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16.1.1.4 承包人工期延误后的价格调整</w:t>
      </w:r>
    </w:p>
    <w:p w14:paraId="431C6A6B">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由于承包人原因未在约定的工期内竣工的，则对原约定竣工日期后继续施工的工程，在使用第16.1.1. 1目价格调整公式时，应采用原约定竣工日期与实际竣工日期的两个价格指数中较低的一个作为现行价格指数。</w:t>
      </w:r>
    </w:p>
    <w:p w14:paraId="1BAB59C4">
      <w:pPr>
        <w:keepNext w:val="0"/>
        <w:keepLines w:val="0"/>
        <w:pageBreakBefore w:val="0"/>
        <w:widowControl w:val="0"/>
        <w:kinsoku/>
        <w:wordWrap/>
        <w:overflowPunct/>
        <w:topLinePunct w:val="0"/>
        <w:autoSpaceDE/>
        <w:autoSpaceDN/>
        <w:bidi w:val="0"/>
        <w:spacing w:line="312" w:lineRule="auto"/>
        <w:ind w:firstLine="47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16.1.2  采用造价信息调整价格差额</w:t>
      </w:r>
    </w:p>
    <w:p w14:paraId="296DEC4A">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12849859">
      <w:pPr>
        <w:keepNext w:val="0"/>
        <w:keepLines w:val="0"/>
        <w:pageBreakBefore w:val="0"/>
        <w:widowControl w:val="0"/>
        <w:kinsoku/>
        <w:wordWrap/>
        <w:overflowPunct/>
        <w:topLinePunct w:val="0"/>
        <w:autoSpaceDE/>
        <w:autoSpaceDN/>
        <w:bidi w:val="0"/>
        <w:spacing w:line="312" w:lineRule="auto"/>
        <w:ind w:firstLine="42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工程造价信息的来源以及价格调整的项目和系数在专用合同条款中约定。</w:t>
      </w:r>
    </w:p>
    <w:p w14:paraId="5821EB15">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16.2 法律变化引起的价格调整</w:t>
      </w:r>
    </w:p>
    <w:p w14:paraId="0E44DC2D">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在基准日后，因法律变化导致承包人在合同履行中所需要的工程费用发生除第16.1 款约定以外的增减时，监理人应根据法律、国家或省、自治区、直辖市有关部门的规定，按第3.5 款商定或确定需调整的合同价款。</w:t>
      </w:r>
    </w:p>
    <w:p w14:paraId="1A659A18">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17  计量与支付</w:t>
      </w:r>
    </w:p>
    <w:p w14:paraId="36BA025D">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17.1  计量</w:t>
      </w:r>
    </w:p>
    <w:p w14:paraId="47DDBE5E">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17.1.1 计量单位</w:t>
      </w:r>
    </w:p>
    <w:p w14:paraId="6F452BE4">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计量采用国家法定的计量单位。</w:t>
      </w:r>
    </w:p>
    <w:p w14:paraId="19779AF6">
      <w:pPr>
        <w:keepNext w:val="0"/>
        <w:keepLines w:val="0"/>
        <w:pageBreakBefore w:val="0"/>
        <w:widowControl w:val="0"/>
        <w:kinsoku/>
        <w:wordWrap/>
        <w:overflowPunct/>
        <w:topLinePunct w:val="0"/>
        <w:autoSpaceDE/>
        <w:autoSpaceDN/>
        <w:bidi w:val="0"/>
        <w:spacing w:line="312" w:lineRule="auto"/>
        <w:ind w:firstLine="47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17.1.2  计量方法</w:t>
      </w:r>
    </w:p>
    <w:p w14:paraId="6D95B9EB">
      <w:pPr>
        <w:keepNext w:val="0"/>
        <w:keepLines w:val="0"/>
        <w:pageBreakBefore w:val="0"/>
        <w:widowControl w:val="0"/>
        <w:kinsoku/>
        <w:wordWrap/>
        <w:overflowPunct/>
        <w:topLinePunct w:val="0"/>
        <w:autoSpaceDE/>
        <w:autoSpaceDN/>
        <w:bidi w:val="0"/>
        <w:spacing w:line="312" w:lineRule="auto"/>
        <w:ind w:firstLine="47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结算工程量应按工程量清单中约定的方法计量。</w:t>
      </w:r>
    </w:p>
    <w:p w14:paraId="2DA01FCC">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17.1.3 计量周期</w:t>
      </w:r>
    </w:p>
    <w:p w14:paraId="784B6DDD">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除专用合同条款另有约定外，单价子目已完成工程量按月计量，总价子目的计量周期按批准的支付分解报告确定。</w:t>
      </w:r>
    </w:p>
    <w:p w14:paraId="461FD1DB">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17.1.4 单价子目的计量</w:t>
      </w:r>
    </w:p>
    <w:p w14:paraId="5076322E">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（l）已标价工程量清单中的单价子目工程量为估算工程量。结算工程量是承包人实际完成的，并按合同约定的计量方法进行计量的工程量。</w:t>
      </w:r>
    </w:p>
    <w:p w14:paraId="23A9D933">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（2）承包人对己完成的工程进行计量，向监理人提交进度付款申请单、己完成工程量报表和有关计量资料。</w:t>
      </w:r>
    </w:p>
    <w:p w14:paraId="0F8D3203">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（3）监理人对承包人提交的工程量报表进行复核，以确定实际完成的工程量。对数量有异议的，可要求承包人按第8.2 款约定进行共同复核和抽样复测。承包人应协助监理人进行复核并按监理人要求提供补充计量资料。承包人未按监理人要求参加复核，监理人复核或修正的工程量视为承包人实际完成的工程量。</w:t>
      </w:r>
    </w:p>
    <w:p w14:paraId="22E87E93">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（4）监理人认为有必要时，可通知承包人共同进行联合测量、计量，承包人应遵照执行。</w:t>
      </w:r>
    </w:p>
    <w:p w14:paraId="17E0B8E9">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末按监理人要求派员参加的，监理人最终核实的工程量视为承包人完成该子目的准确工程量。</w:t>
      </w:r>
    </w:p>
    <w:p w14:paraId="1954A32F">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（6）监理人应在收到承包人提交的工程量报表后的7 天内进行复核，监理人未在约定时间内复核的，承包人提交的工程量报表中的工程量视为承包人实际完成的工程量，据此计算工程价款。</w:t>
      </w:r>
    </w:p>
    <w:p w14:paraId="6A1D6871">
      <w:pPr>
        <w:keepNext w:val="0"/>
        <w:keepLines w:val="0"/>
        <w:pageBreakBefore w:val="0"/>
        <w:widowControl w:val="0"/>
        <w:kinsoku/>
        <w:wordWrap/>
        <w:overflowPunct/>
        <w:topLinePunct w:val="0"/>
        <w:autoSpaceDE/>
        <w:autoSpaceDN/>
        <w:bidi w:val="0"/>
        <w:spacing w:line="312" w:lineRule="auto"/>
        <w:ind w:firstLine="47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17.1.5  总价子目的计量</w:t>
      </w:r>
    </w:p>
    <w:p w14:paraId="2D3F9589">
      <w:pPr>
        <w:keepNext w:val="0"/>
        <w:keepLines w:val="0"/>
        <w:pageBreakBefore w:val="0"/>
        <w:widowControl w:val="0"/>
        <w:kinsoku/>
        <w:wordWrap/>
        <w:overflowPunct/>
        <w:topLinePunct w:val="0"/>
        <w:autoSpaceDE/>
        <w:autoSpaceDN/>
        <w:bidi w:val="0"/>
        <w:spacing w:line="312" w:lineRule="auto"/>
        <w:ind w:firstLine="47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总价子目的分解和计量按照下述约定进行。</w:t>
      </w:r>
    </w:p>
    <w:p w14:paraId="2246122B">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（1）总价子目的计量和支付应以总价为基础，不因第16.1款中的因素而进行调整。承包人实际完成的工程量，是进行工程目标管理和控制进度支付的依据。</w:t>
      </w:r>
    </w:p>
    <w:p w14:paraId="036C7FBC">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承包人应按工程量清单的要求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14:paraId="2EDF929E">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（3）监理人对承包人提交的上述资料进行复核，以确定分阶段实际完成的工程量和工程形象目标。对其有异议的，可要求承包人按第8.2款约定进行共同复核和抽样复测。</w:t>
      </w:r>
    </w:p>
    <w:p w14:paraId="486E2D12">
      <w:pPr>
        <w:keepNext w:val="0"/>
        <w:keepLines w:val="0"/>
        <w:pageBreakBefore w:val="0"/>
        <w:widowControl w:val="0"/>
        <w:kinsoku/>
        <w:wordWrap/>
        <w:overflowPunct/>
        <w:topLinePunct w:val="0"/>
        <w:autoSpaceDE/>
        <w:autoSpaceDN/>
        <w:bidi w:val="0"/>
        <w:spacing w:line="312" w:lineRule="auto"/>
        <w:ind w:firstLine="47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（4）除按照第15条约定的变更外，总价子目的工程量是承包人用于结算的最终工程量。</w:t>
      </w:r>
    </w:p>
    <w:p w14:paraId="0066BF46">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17.2  预付款</w:t>
      </w:r>
    </w:p>
    <w:p w14:paraId="0875A8E6">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17.2.1  预付款</w:t>
      </w:r>
    </w:p>
    <w:p w14:paraId="2D888A01">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14:paraId="109FBF75">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17.2.2  预付款保函（担保）</w:t>
      </w:r>
    </w:p>
    <w:p w14:paraId="3180E674">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（1）承包人应在收到第一次工程预付款的同时向发包人提交工程预付款担保，担保金额应与第一次工程预付款金额相同，工程预付款担保在第一次工程预付款被发包人扣回前一直有效。</w:t>
      </w:r>
    </w:p>
    <w:p w14:paraId="2DA52020">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（2）工程材料预付款的担保在专用合同条款中约定。</w:t>
      </w:r>
    </w:p>
    <w:p w14:paraId="3CD0F248">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（3）预付款担保的担保金额可根据预付款扣回的金额相应递减</w:t>
      </w:r>
    </w:p>
    <w:p w14:paraId="53BE4138">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17.2.3  预付款的扣回与还清</w:t>
      </w:r>
    </w:p>
    <w:p w14:paraId="7B97F838">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预付款在进度付款中扣回，扣回与还清办法在专用合同条款中约定。在颁发合同工程完工证书前，由于不可抗力或其它原因解除合同时，预付款尚未扣清的，尚未扣清的预付款余额应作为承包人的到期应付款。</w:t>
      </w:r>
    </w:p>
    <w:p w14:paraId="0AA147E9">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17.3 工程进度付款</w:t>
      </w:r>
    </w:p>
    <w:p w14:paraId="7E9EEFB4">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17.3.1 付款周期</w:t>
      </w:r>
    </w:p>
    <w:p w14:paraId="7EB93B33">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付款周期同计量周期。</w:t>
      </w:r>
    </w:p>
    <w:p w14:paraId="5E598860">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17.3.2 进度付款申请单</w:t>
      </w:r>
    </w:p>
    <w:p w14:paraId="3ECB057B">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承包人应在每个付款周期末，按监理人批准的格式和专用合同条款约定的份数，向监理人提交进度付款中请单，并附相应的支持性证明文件。除专用合同条款另有约定外，进度付款申请单应包括下列内容：</w:t>
      </w:r>
    </w:p>
    <w:p w14:paraId="133A43AD">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（l）截至本次付款周期末己实施工程的价款；</w:t>
      </w:r>
    </w:p>
    <w:p w14:paraId="6345E10A">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（2）根据第23条应增加和扣减的变更金额；</w:t>
      </w:r>
    </w:p>
    <w:p w14:paraId="68FB1756">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（3）根据第23 条应增加和扣减的索赔金额；</w:t>
      </w:r>
    </w:p>
    <w:p w14:paraId="57A882EF">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（4）根据第17.2 款约定应支付的预付款和扣减的返还预付款；</w:t>
      </w:r>
    </w:p>
    <w:p w14:paraId="502C3A4F">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（5）根据第17.4.1 项约定应扣减的质量保证金；</w:t>
      </w:r>
    </w:p>
    <w:p w14:paraId="7BE73D89">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（6）根据合同应增加和扣减的其他金额。</w:t>
      </w:r>
    </w:p>
    <w:p w14:paraId="71F3722E">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17.3.3 进度付款证书和支付时间</w:t>
      </w:r>
    </w:p>
    <w:p w14:paraId="2D4D88A2">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41387DAE">
      <w:pPr>
        <w:keepNext w:val="0"/>
        <w:keepLines w:val="0"/>
        <w:pageBreakBefore w:val="0"/>
        <w:widowControl w:val="0"/>
        <w:kinsoku/>
        <w:wordWrap/>
        <w:overflowPunct/>
        <w:topLinePunct w:val="0"/>
        <w:autoSpaceDE/>
        <w:autoSpaceDN/>
        <w:bidi w:val="0"/>
        <w:spacing w:line="312" w:lineRule="auto"/>
        <w:ind w:firstLine="408"/>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（2）发包人应在监理人收到进度付款中请单后的28 天内，将进度应付款支付给承包人。发包人不按期支付的，按专用合同条款的约定支付逾期付款违约金。</w:t>
      </w:r>
    </w:p>
    <w:p w14:paraId="6B300ACC">
      <w:pPr>
        <w:keepNext w:val="0"/>
        <w:keepLines w:val="0"/>
        <w:pageBreakBefore w:val="0"/>
        <w:widowControl w:val="0"/>
        <w:kinsoku/>
        <w:wordWrap/>
        <w:overflowPunct/>
        <w:topLinePunct w:val="0"/>
        <w:autoSpaceDE/>
        <w:autoSpaceDN/>
        <w:bidi w:val="0"/>
        <w:spacing w:line="312" w:lineRule="auto"/>
        <w:ind w:firstLine="408"/>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（3）监理人出具进度付款证书，不应视为监理人己同意、批准或接受了承包人完成的该部分工作。</w:t>
      </w:r>
    </w:p>
    <w:p w14:paraId="10D68068">
      <w:pPr>
        <w:keepNext w:val="0"/>
        <w:keepLines w:val="0"/>
        <w:pageBreakBefore w:val="0"/>
        <w:widowControl w:val="0"/>
        <w:kinsoku/>
        <w:wordWrap/>
        <w:overflowPunct/>
        <w:topLinePunct w:val="0"/>
        <w:autoSpaceDE/>
        <w:autoSpaceDN/>
        <w:bidi w:val="0"/>
        <w:spacing w:line="312" w:lineRule="auto"/>
        <w:ind w:firstLine="408"/>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（4）进度付款涉及政府投资资金的，按照国库集中支付等国家相关规定和专用合同条款的约定办理。</w:t>
      </w:r>
    </w:p>
    <w:p w14:paraId="0FC208DC">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17.3.4 工程进度付款的修正</w:t>
      </w:r>
    </w:p>
    <w:p w14:paraId="4532F884">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在对以往历次已签发的进度付款证书进行汇总和复核中发现错、漏或重复的，监理人有权予以修正，承包人也有权提出修正申请。经双方复核同意的修正，应在本次进度付款中支付或扣除。</w:t>
      </w:r>
    </w:p>
    <w:p w14:paraId="4A848A11">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17.4  质量保证金</w:t>
      </w:r>
    </w:p>
    <w:p w14:paraId="46C2A6CA">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2"/>
          <w:szCs w:val="22"/>
          <w:highlight w:val="none"/>
        </w:rPr>
      </w:pPr>
      <w:r>
        <w:rPr>
          <w:rFonts w:hint="eastAsia" w:ascii="宋体" w:hAnsi="宋体" w:eastAsia="宋体" w:cs="宋体"/>
          <w:strike w:val="0"/>
          <w:color w:val="auto"/>
          <w:sz w:val="22"/>
          <w:szCs w:val="22"/>
          <w:highlight w:val="none"/>
        </w:rPr>
        <w:t xml:space="preserve">    </w:t>
      </w:r>
      <w:r>
        <w:rPr>
          <w:rFonts w:hint="eastAsia" w:ascii="宋体" w:hAnsi="宋体" w:eastAsia="宋体" w:cs="宋体"/>
          <w:color w:val="auto"/>
          <w:sz w:val="22"/>
          <w:szCs w:val="22"/>
          <w:highlight w:val="none"/>
        </w:rPr>
        <w:t>17.4.1 款修改如下：</w:t>
      </w:r>
    </w:p>
    <w:p w14:paraId="360FE5D4">
      <w:pPr>
        <w:keepNext w:val="0"/>
        <w:keepLines w:val="0"/>
        <w:pageBreakBefore w:val="0"/>
        <w:widowControl w:val="0"/>
        <w:kinsoku/>
        <w:wordWrap/>
        <w:overflowPunct/>
        <w:topLinePunct w:val="0"/>
        <w:autoSpaceDE/>
        <w:autoSpaceDN/>
        <w:bidi w:val="0"/>
        <w:adjustRightInd w:val="0"/>
        <w:snapToGrid w:val="0"/>
        <w:spacing w:line="312" w:lineRule="auto"/>
        <w:ind w:left="330" w:leftChars="157"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质量保证金为财政部门最终审定工程结算价款的3%，以有效的银行保函形式代替。</w:t>
      </w:r>
    </w:p>
    <w:p w14:paraId="0012C8AA">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增加：</w:t>
      </w:r>
    </w:p>
    <w:p w14:paraId="5B03E7A4">
      <w:pPr>
        <w:keepNext w:val="0"/>
        <w:keepLines w:val="0"/>
        <w:pageBreakBefore w:val="0"/>
        <w:widowControl w:val="0"/>
        <w:kinsoku/>
        <w:wordWrap/>
        <w:overflowPunct/>
        <w:topLinePunct w:val="0"/>
        <w:autoSpaceDE/>
        <w:autoSpaceDN/>
        <w:bidi w:val="0"/>
        <w:adjustRightInd w:val="0"/>
        <w:snapToGrid w:val="0"/>
        <w:spacing w:line="312"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17.4.2</w:t>
      </w:r>
      <w:r>
        <w:rPr>
          <w:rFonts w:hint="eastAsia" w:ascii="宋体" w:hAnsi="宋体" w:eastAsia="宋体" w:cs="宋体"/>
          <w:color w:val="auto"/>
          <w:sz w:val="22"/>
          <w:szCs w:val="22"/>
          <w:highlight w:val="none"/>
        </w:rPr>
        <w:t>中标单位提交了银行保函、保证保险后，本项目不再扣留工程质量保证金。</w:t>
      </w:r>
    </w:p>
    <w:p w14:paraId="2E7F6EA5">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17.5  竣工结算（完工结算）</w:t>
      </w:r>
    </w:p>
    <w:p w14:paraId="57DED1D3">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17.5.1  竣工（完工）付款申请单</w:t>
      </w:r>
    </w:p>
    <w:p w14:paraId="3B178E81">
      <w:pPr>
        <w:keepNext w:val="0"/>
        <w:keepLines w:val="0"/>
        <w:pageBreakBefore w:val="0"/>
        <w:widowControl w:val="0"/>
        <w:kinsoku/>
        <w:wordWrap/>
        <w:overflowPunct/>
        <w:topLinePunct w:val="0"/>
        <w:autoSpaceDE/>
        <w:autoSpaceDN/>
        <w:bidi w:val="0"/>
        <w:spacing w:line="312" w:lineRule="auto"/>
        <w:ind w:firstLine="42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承包人应在合同工程完工证书颁发后28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14:paraId="11BF5FD4">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（2）监理人对完工付款申请单有异议的，有权要求承包人进行修正和提供补充资料</w:t>
      </w:r>
    </w:p>
    <w:p w14:paraId="08116D70">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监理人和承包人协商后，由承包人向监理人提交修正后的完工付款申请单。</w:t>
      </w:r>
    </w:p>
    <w:p w14:paraId="41336F89">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17.5.2  竣工（完工）付款证书及支付时间</w:t>
      </w:r>
    </w:p>
    <w:p w14:paraId="4368F101">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监理人在收到承包人提交的完工付款申请单后的14天内完成核查，提出发包人到期应支付给承包人的价款送发包人审核并抄送承包人。发包人应在收到后14天内审核完毕，由监理人向承包人出具经发包人签认的完工付款证书。监理人未在约定时间内核查，又未提出具体意见的，视为承包人提交的完工付款申请单已经监理人核查同意。发包人未在约定时内审核又未提出具体意见的，监理人提出发包人到期应支付给承包人的价款视为已经发包人同意。</w:t>
      </w:r>
    </w:p>
    <w:p w14:paraId="226299F5">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（2）发包人应在监理人出具完工付款证书后的14天内，将应支付款支付给承包人。发包人不按期支付的，按第17.3.3（2）目的约定，将逾期付款违约金支付给承包人。</w:t>
      </w:r>
    </w:p>
    <w:p w14:paraId="7BF1B887">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（3）承包人对发包人签认的完工付款证书有异议的，发包人可出具完工付款申请单中承包人已同意部分的临时付款证书。存在争议的部分，按第24条的约定办理。</w:t>
      </w:r>
    </w:p>
    <w:p w14:paraId="57912D02">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（4）完工付款涉及政府投资资金的，按第17.3.3（4）目的约定办理。</w:t>
      </w:r>
    </w:p>
    <w:p w14:paraId="6EF4B60B">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17.6  最终结清</w:t>
      </w:r>
    </w:p>
    <w:p w14:paraId="171E9378">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17.6.1  最终结清申请单</w:t>
      </w:r>
    </w:p>
    <w:p w14:paraId="410D694F">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（1）工程质量保修责任终止证书签发后，承包人应按监理人批准的格式提交最终结清申请单。提交最终结清申请单的份数在专用合同条款中约定。</w:t>
      </w:r>
    </w:p>
    <w:p w14:paraId="7623D93C">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（2）发包人对最终结清申请单内容有异议的，有权要求承包人进行修正和提供补充资料，由承包人向监理人提交修正后的最终结清申请单。</w:t>
      </w:r>
    </w:p>
    <w:p w14:paraId="515F60B9">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17.6.2 最终结清证书和支付时间</w:t>
      </w:r>
    </w:p>
    <w:p w14:paraId="3DE52A96">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己经监理人核查同意；发包人未在约定时间内审核又未提出具体意见的，监理人提出应支付给承包人的价款视为已经发包人同意。</w:t>
      </w:r>
    </w:p>
    <w:p w14:paraId="257F0022">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（2）发包人应在监理人出具最终结清证书后的14 天内，将应支付款支付给承包人。</w:t>
      </w:r>
    </w:p>
    <w:p w14:paraId="69C38CD2">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发包人不按期支付的，按第17.3.3（2）目的约定，将逾期付款违约金支付给承包人。</w:t>
      </w:r>
    </w:p>
    <w:p w14:paraId="6E450063">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（3）承包人对发包人签认的最终结清证书有异议的，按第24条的约定办理。</w:t>
      </w:r>
    </w:p>
    <w:p w14:paraId="6CADCF90">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（4）最终结清付款涉及政府投资资金的，按第17.3.3（4）目的约定办理。</w:t>
      </w:r>
    </w:p>
    <w:p w14:paraId="6660D24C">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17.7  竣工财务决算</w:t>
      </w:r>
    </w:p>
    <w:p w14:paraId="381B9E8B">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发包人负责编制本工程竣工财务决算，承包人应按专用合同条款的约定提供竣工财务决算编制所需的相关材料。</w:t>
      </w:r>
    </w:p>
    <w:p w14:paraId="64E112A7">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17.8  竣工审计</w:t>
      </w:r>
    </w:p>
    <w:p w14:paraId="152553D3">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发包人负责完成本工程竣工审计手续，承包人应完成相关配合工作。</w:t>
      </w:r>
    </w:p>
    <w:p w14:paraId="73D9F4FD">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18  竣工验收（验收）</w:t>
      </w:r>
    </w:p>
    <w:p w14:paraId="410A88D1">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18.1  验收工作分类</w:t>
      </w:r>
    </w:p>
    <w:p w14:paraId="2926A58B">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14:paraId="3C71BD93">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18.2  分部工程验收</w:t>
      </w:r>
    </w:p>
    <w:p w14:paraId="7C4DA961">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18.2.1  分部工程具备验收条件时，承包人应向发包人提交验收申请报告，发包人应在收到验收申请报告之日起10个工作日内决定是否同意进行验收。</w:t>
      </w:r>
    </w:p>
    <w:p w14:paraId="54C1AC2B">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18.2.2  除专用合同条款另有约定外，监理人主持分部工程验收，承包人应派符合条件的代表参加验收工作组。</w:t>
      </w:r>
    </w:p>
    <w:p w14:paraId="47E41C0E">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18.2.3  分部工程验收通过后，发包人向承包人发送分部工程验收鉴定书。承包人应及时完成分部工程验收鉴定书载明应由承包人处理的遗留问题。</w:t>
      </w:r>
    </w:p>
    <w:p w14:paraId="39C8F15F">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18.3  单位工程验收</w:t>
      </w:r>
    </w:p>
    <w:p w14:paraId="65A1C0CE">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18.3.1  单位工程具备验收条件时，承包人应向发包人提交验收申请报告，发包人应在收到验收申请报告之日起10个工作日内决定是否同意进行验收。</w:t>
      </w:r>
    </w:p>
    <w:p w14:paraId="0BF0D393">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18.3.2  发包人主持单位工程验收，承包人应派符合条件的代表参加验收工作组。</w:t>
      </w:r>
    </w:p>
    <w:p w14:paraId="112FD83C">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18.3.3  单位工程验收通过后，发包人向承包人发送单位工程验收鉴定书。承包人应及时完成单位工程验收鉴定书载明应由承包人处理的遗留问题。</w:t>
      </w:r>
    </w:p>
    <w:p w14:paraId="6DF6A7C9">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18.3.4  需提前投入使用的单位工程在专用合同条款中明确。</w:t>
      </w:r>
    </w:p>
    <w:p w14:paraId="0E66BBFA">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b/>
          <w:strike w:val="0"/>
          <w:color w:val="auto"/>
          <w:sz w:val="22"/>
          <w:szCs w:val="22"/>
          <w:highlight w:val="none"/>
        </w:rPr>
        <w:t>18.4  合同工程完工验收</w:t>
      </w:r>
    </w:p>
    <w:p w14:paraId="77A5BB96">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18.4.1  合同工程具备验收条件时，承包人应向发包人提交验收申请报告，发包人应在收到验收申请报告之日起20个工作日内决定是否同意进行验收。</w:t>
      </w:r>
    </w:p>
    <w:p w14:paraId="56F53F70">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18.4.2  发包人主持合同工程完工验收，承包人应派代表参加验收工作组。</w:t>
      </w:r>
    </w:p>
    <w:p w14:paraId="38D0A722">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18.4.3  合同工程完工验收通过后，发包人向承包人发送合同工程完工验收鉴定书。承包人应及时完成合同工程完工验收鉴定书载明应由承包人处理的遗留问题。</w:t>
      </w:r>
    </w:p>
    <w:p w14:paraId="17C9BAC7">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18.4.4  合同工程完工验收通过后，发包人与承包人应在30个工作日内组织专人负责工程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在30个工作日内向承包人颁发合同工程完工证书。</w:t>
      </w:r>
    </w:p>
    <w:p w14:paraId="77D0F7E2">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18.5  阶段验收</w:t>
      </w:r>
    </w:p>
    <w:p w14:paraId="4927696E">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18.5.1工程建设具备阶段验收条件时，发包人负责提出阶段验收申请报告。承包人应派代表参加阶段验收：并作为被验收单位在验收鉴定书上签字。阶段验收的具体类别在专用合同条款中约定。</w:t>
      </w:r>
    </w:p>
    <w:p w14:paraId="4299293D">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18.5.2承包人应及时完成阶段验收鉴定书载明应由承包人处理的遗留问题。</w:t>
      </w:r>
    </w:p>
    <w:p w14:paraId="0B51CA2E">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18.6  专项验收</w:t>
      </w:r>
    </w:p>
    <w:p w14:paraId="7FD7D1DE">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18.6.1发包人负责提出专项验收申请报告。承包人应按专项验收的相关规定参加专项验收。专项验收的具体类别在专用合同条款中约定。</w:t>
      </w:r>
    </w:p>
    <w:p w14:paraId="0E2F1064">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18.6.2承包人应及时完成专项验收成果性文件载明应由承包人处理的遗留问题。</w:t>
      </w:r>
    </w:p>
    <w:p w14:paraId="3BB58F22">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18.7  竣工验收</w:t>
      </w:r>
    </w:p>
    <w:p w14:paraId="2259F4F3">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18.7.1  申请竣工验收前，发包人组织竣工验收自查，承包人应派代表参加。</w:t>
      </w:r>
    </w:p>
    <w:p w14:paraId="5D0F0EE7">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18.7.2  竣工验收分为竣工技术预验收和竣工验收两个阶段。发包人应通知承包人派代表参加技术预验收和竣工验收。</w:t>
      </w:r>
    </w:p>
    <w:p w14:paraId="04BE3DA4">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18.7.3  专用合同条款约定工程需要进行技术鉴定的，承包人应提交有关资料并完成配合工作。</w:t>
      </w:r>
    </w:p>
    <w:p w14:paraId="00B5E665">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18.7.4  竣工验收需要进行质量检测的，所需费用由发包人承担，但因承包人原因造成质量不合格的除外。</w:t>
      </w:r>
    </w:p>
    <w:p w14:paraId="60A2F486">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18.7.5  工程质量保修期满以及竣工验收遗留问题和尾工处理完成并通过验收后，发包人负责将处理情况和验收成果报送竣工验收主持单位，申请领取工程竣工证书，并发送承包人。</w:t>
      </w:r>
    </w:p>
    <w:p w14:paraId="1440D647">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b/>
          <w:strike w:val="0"/>
          <w:color w:val="auto"/>
          <w:sz w:val="22"/>
          <w:szCs w:val="22"/>
          <w:highlight w:val="none"/>
        </w:rPr>
        <w:t>18.8  施工期运行</w:t>
      </w:r>
    </w:p>
    <w:p w14:paraId="7F61BA25">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18.8.1  施工期运行是指合同工程尚未全部完工，其中某单位工程或部分工程已完工，需要投入施工期运行的，经发包人按第18.2款或第18.3款的约定验收合格，证明能确保安全后，才能在施工期投入运行。需要在施工期运行的单位工程或部分工程在专用合同条款中约定。</w:t>
      </w:r>
    </w:p>
    <w:p w14:paraId="77BA4793">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18.8.2  在施工期运行中发现工程或工程设备损坏或存在缺陷的，由承包人按第19.2款约定进行修复。</w:t>
      </w:r>
    </w:p>
    <w:p w14:paraId="2EBA6E59">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b/>
          <w:strike w:val="0"/>
          <w:color w:val="auto"/>
          <w:sz w:val="22"/>
          <w:szCs w:val="22"/>
          <w:highlight w:val="none"/>
        </w:rPr>
        <w:t>18.9  试运行</w:t>
      </w:r>
    </w:p>
    <w:p w14:paraId="73B36510">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18.9.1  除专用合同条款另有约定外，承包人应按规定进行工程及工程设备试运行，负责提供试运行所需的人员、器材和必要的条件，并承担全部试运行费用。</w:t>
      </w:r>
    </w:p>
    <w:p w14:paraId="551BA1E0">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18.9.2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5B87DAE4">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18.10  竣工（完工）清场</w:t>
      </w:r>
    </w:p>
    <w:p w14:paraId="1309F441">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18.10.1  工程竣工（完工）清场的工作范围和内容在技术标准和要求（合同技术条款）中约定。</w:t>
      </w:r>
    </w:p>
    <w:p w14:paraId="7D118C09">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18.10.2  承包人未按监理人的要求恢复临时占地，或者场地清理未达到合同约定的，发包人有权委托其它人恢复或清理，所发生的金额从拟支付给承包人的款项中扣除。</w:t>
      </w:r>
    </w:p>
    <w:p w14:paraId="5B015ABA">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18.11  施工队伍的撤离</w:t>
      </w:r>
    </w:p>
    <w:p w14:paraId="7D450EB5">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合同工程完工证书颁发后的56天内，除了经监理人同意需在缺陷责任期（工程质量保修期）内继续工作和使用的人员、施工设备和临时工程外，其余的人员、施工设备和临时工程均应撤离施工场地或拆除。除合同另有约定外，缺陷责任期（工程质量保修期）满时，承包人的人员和施工设备应全部撤离施工场地。</w:t>
      </w:r>
    </w:p>
    <w:p w14:paraId="2F67EEA4">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19  缺陷责任与保修责任</w:t>
      </w:r>
    </w:p>
    <w:p w14:paraId="5FACA5C3">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19.1  缺陷责任期（工程质量保修期）的起算时间</w:t>
      </w:r>
    </w:p>
    <w:p w14:paraId="4D9AC015">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除专用合同条款另有约定外，缺陷责任期（工程质量保修期）从工程通过合同工程完工验收后开始计算。在合同工程完工验收前，已经发包人提前验收的单位工程或部分工程，若未投入使用，其缺陷责任期（工程质量保修期）亦从工程通过合同工程完工验收后开始计算；若已投入使用，其缺陷责任期（工程质量保修期）从通过单位工程或部分工程投入使用验收后开始计算。缺陷责任期（工程质量保修期）的期限在专用合同条款中约定。</w:t>
      </w:r>
    </w:p>
    <w:p w14:paraId="2FB751AA">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19.2 缺陷责任</w:t>
      </w:r>
    </w:p>
    <w:p w14:paraId="04CA253B">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19.2.1 承包人应在缺陷责任期内对己交付使用的工程承担缺陷责任。</w:t>
      </w:r>
    </w:p>
    <w:p w14:paraId="3E21178D">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19.2.2 缺陷责任期内，发包人对己接收使用的工程负责日常维护工作。发包人在使用过程中，发现己接收的工程存在新的缺陷或已修复的缺陷部位或部件又遭损坏的，承包人应负责修复，直至检验合格为止。</w:t>
      </w:r>
    </w:p>
    <w:p w14:paraId="2775A282">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50A6B8F5">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19.2.4 承包人不能在合理时间内修复缺陷的，发包人可自行修复或委托其他人修复，所需费用和利润的承担，按第19.2.3 项约定办理。</w:t>
      </w:r>
    </w:p>
    <w:p w14:paraId="77463425">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19.3 缺陷责任期的延长</w:t>
      </w:r>
    </w:p>
    <w:p w14:paraId="63BB0AA2">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由于承包人原因造成某项缺陷或损坏使某项工程或工程设备不能按原．定目标使用而需要再次检查、检验和修复的，发包人有权要求承包人相应延长缺陷责任期，但缺陷责任期最长不超过2年。</w:t>
      </w:r>
    </w:p>
    <w:p w14:paraId="43CF108C">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19.4 进一步试验和试运行</w:t>
      </w:r>
    </w:p>
    <w:p w14:paraId="5701FD25">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任何一项缺陷或损坏修复后，经检查证明其影响了工程或工程设备的使用性能，承包人应重新进行合同约定的试验和试运行，试验和试运行的全部费用应由责任方承担。</w:t>
      </w:r>
    </w:p>
    <w:p w14:paraId="46872C84">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19.5 承包人的进入权</w:t>
      </w:r>
    </w:p>
    <w:p w14:paraId="32D62349">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缺陷责任期内承包人为缺陷修复工作需要，有权进入工程现场，但应遵守发包人的保安和保密规定。</w:t>
      </w:r>
    </w:p>
    <w:p w14:paraId="3A0C8F7B">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19.6  缺陷责任期终止证书（工程质量保修责任终止证书）</w:t>
      </w:r>
    </w:p>
    <w:p w14:paraId="0A4AB488">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合同工程完工验收或投入使用验收后，发包人与承包人应办理工程交接手续，承包人应向发包人递交工程质量保修书。</w:t>
      </w:r>
    </w:p>
    <w:p w14:paraId="03C088F9">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缺陷责任期（工程质量保修期）满后30个工作日内，发包人应向承包人颁发工程质量保修责任终止证书，并退还剩余的质量保证金，但保修责任范围内的质量缺陷未处理完成的应除外。</w:t>
      </w:r>
    </w:p>
    <w:p w14:paraId="40D838FE">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19.7 保修责任</w:t>
      </w:r>
    </w:p>
    <w:p w14:paraId="511C0EEA">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6E780ED3">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20  保险</w:t>
      </w:r>
    </w:p>
    <w:p w14:paraId="668E2D6A">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20.1 工程保险</w:t>
      </w:r>
    </w:p>
    <w:p w14:paraId="3ECF8F52">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4B63A96A">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20.2 人员工伤事故的保险</w:t>
      </w:r>
    </w:p>
    <w:p w14:paraId="1FE825BA">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20.2.1 承包人员工伤事故的保险</w:t>
      </w:r>
    </w:p>
    <w:p w14:paraId="2E7622CB">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承包人应依照有关法律规定参加工伤保险，为其履行合同所雇佣的全部人员，缴纳工伤保险费，并要求其分包人也进行此项保险。</w:t>
      </w:r>
    </w:p>
    <w:p w14:paraId="09373DC7">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20.2.2 发包人员工伤事故的保险</w:t>
      </w:r>
    </w:p>
    <w:p w14:paraId="5DE29B84">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发包人应依照有关法律规定参加工伤保险，为其现场机构雇佣的全部人员，缴纳工伤保险费，并要求其监理人也进行此项保险。</w:t>
      </w:r>
    </w:p>
    <w:p w14:paraId="50D0C231">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20.3 人身意外伤害险</w:t>
      </w:r>
    </w:p>
    <w:p w14:paraId="4D714E24">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20.3.1 发包人应在整个施工期间为其现场机构雇用的全部人员，投保人身意外伤害险，缴纳保险费，并要求其监理人也进行此项保险。</w:t>
      </w:r>
    </w:p>
    <w:p w14:paraId="2B7411C6">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20.3.2 承包人应在整个施工期间为其现场机构雇用的全部人员，投保人身意外伤害险，缴纳保险费，并要求其分包人也进行此项保险。</w:t>
      </w:r>
    </w:p>
    <w:p w14:paraId="4BAA26A5">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20.4 第三者责任险</w:t>
      </w:r>
    </w:p>
    <w:p w14:paraId="0EBDE7DE">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38BA1634">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20.4.2 在缺陷责任期终止证书颁发前，承包人应以承包人和发包人的共同名义，投保第20.4.1 项约定的第三者责任险，其保险费率、保险金额等有关内容在专用合同条款中约定。</w:t>
      </w:r>
    </w:p>
    <w:p w14:paraId="03407B7D">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20.5 其他保险</w:t>
      </w:r>
    </w:p>
    <w:p w14:paraId="104C2707">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除专用合同条款另有约定外，承包人应为其施工设备、进场的材料和工程设备等办理保险。</w:t>
      </w:r>
    </w:p>
    <w:p w14:paraId="21DE071C">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20.6  对各项保险的一般要求</w:t>
      </w:r>
    </w:p>
    <w:p w14:paraId="61F948EE">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20.6.1 保险凭证</w:t>
      </w:r>
    </w:p>
    <w:p w14:paraId="4D3C6E9E">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承包人应在专用合同条款约定的期限内向发包人提交各项保险生效的证据和保险单副本，保险单必须与专用合同条款约定的条件保持一致。</w:t>
      </w:r>
    </w:p>
    <w:p w14:paraId="12C7446E">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20.6.2 保险合同条款的变动</w:t>
      </w:r>
    </w:p>
    <w:p w14:paraId="3BBF9ECC">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承包人需要变动保险合同条款时，应事先征得发包人同意，并通知监理人。保险人作出变动的，承包人应在收到保险人通知后立即通知发包人和监理人。</w:t>
      </w:r>
    </w:p>
    <w:p w14:paraId="3494D4FB">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20.6.3 持续保险</w:t>
      </w:r>
    </w:p>
    <w:p w14:paraId="17906262">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承包人应与保险人保持联系，使保险人能够随时了解工程实施中的变动，并确保按保险合同条款要求持续保险。</w:t>
      </w:r>
    </w:p>
    <w:p w14:paraId="7CB4A2F0">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20.6.4  保险金不足以补偿损失时，应由承包人和发包人各自负责补偿的范围和金额在专用合同条款中约定。</w:t>
      </w:r>
    </w:p>
    <w:p w14:paraId="779D1D29">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20.6.5 未按约定投保的补救</w:t>
      </w:r>
    </w:p>
    <w:p w14:paraId="6B190EA4">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（l）由于负有投保义务的一方当事人未按合同约定办理保险，或未能使保险持续有效的，另一方当事人可代为办理，所需费用由对方当事人承担。</w:t>
      </w:r>
    </w:p>
    <w:p w14:paraId="31BFD18C">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（2）由于负有投保义务的一方当事人未按合同约定办理某项保险，导致受益人未能得到保险人的赔偿，原应从该项保险得到的保险金应由负有投保义务的一方当事人支付。</w:t>
      </w:r>
    </w:p>
    <w:p w14:paraId="0EF79A17">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20.6.6 报告义务</w:t>
      </w:r>
    </w:p>
    <w:p w14:paraId="70189192">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当保险事故发生时，投保人应按照保险单规定的条件和期限及时向保险人报告。</w:t>
      </w:r>
    </w:p>
    <w:p w14:paraId="204E7FD4">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20.7  风险责任的转移</w:t>
      </w:r>
    </w:p>
    <w:p w14:paraId="46548BAC">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工程通过合同工程完工验收并移交给发包人后：原由承包人应承担的风险责任，以及保险的责任、权利和义务同时转移给发包人，但承包人在缺陷责任期（工程质量保修期）前造成损失和损坏情形除外。</w:t>
      </w:r>
    </w:p>
    <w:p w14:paraId="4E85686B">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21  不可抗力</w:t>
      </w:r>
    </w:p>
    <w:p w14:paraId="1064191F">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21.1 不可抗力的确认</w:t>
      </w:r>
    </w:p>
    <w:p w14:paraId="121CF07C">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21.1.1 不可抗力是指承包人和发包人在订立合同时不可预见，在工程施工过程中不可避免发生并不能克服的自然灾害和社会性突发事件，如地震、海啸、瘟疫、水灾、骚乱、暴动、战争和专用合同条款约定的其他情形。</w:t>
      </w:r>
    </w:p>
    <w:p w14:paraId="5175658D">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21.1.2 不可抗力发生后，发包人和承包人应及时认真统计所造成的损失，收集不可抗力造成损失的证据。合同双方对是否属于不可抗力或其损失的意见不一致的，由监理人按第3.5 款商定或确定。发生争议时，按第24条的约定办理。</w:t>
      </w:r>
    </w:p>
    <w:p w14:paraId="59D241D2">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21.2 不可抗力的通知</w:t>
      </w:r>
    </w:p>
    <w:p w14:paraId="76AECC84">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21.2.1 合同一方当事人遇到不可抗力事件，使其履行合同义务受到阻碍时，应立即通知合同另一方当事人和监理人，书面说明不可抗力和受阻碍的详细情况，并提供必要的证明。</w:t>
      </w:r>
    </w:p>
    <w:p w14:paraId="55968D3A">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21.2.2 如不可抗力持续发生，合同一方当事人应及时向合同另一方当事人和监理人提交中间报告，说明不可抗力和履行合同受阻的情况，并于不可抗力事件结束后28天内提交最终报告及有关资料。</w:t>
      </w:r>
    </w:p>
    <w:p w14:paraId="64948E08">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21.3 不可抗力后果及其处理</w:t>
      </w:r>
    </w:p>
    <w:p w14:paraId="1DF21C4D">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21.3.1 不可抗力造成损害的责任</w:t>
      </w:r>
    </w:p>
    <w:p w14:paraId="2934B113">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除专用合同条款另有约定外，不可抗力导致的人员伤亡、财产损失、费用增加和（或）工期延误等后果，由合同双方按以下原则承担：</w:t>
      </w:r>
    </w:p>
    <w:p w14:paraId="4506C575">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（1）永久工程，包括己运至施工场地的材料和工程设备的损害，以及因工程损害造成的第三者人员伤亡和财产损失由发包人承担；</w:t>
      </w:r>
    </w:p>
    <w:p w14:paraId="24AB8AA5">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（2）承包人设备的损坏由承包人承担；</w:t>
      </w:r>
    </w:p>
    <w:p w14:paraId="23E516C8">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（3）发包人和承包人各自承担其人员伤亡和其他财产损失及其相关费用；</w:t>
      </w:r>
    </w:p>
    <w:p w14:paraId="1D9FD0D0">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（4）承包人的停工损失由承包人承担，但停工期间应监理人要求照管工程和清理、修复工程的金额由发包人承担；</w:t>
      </w:r>
    </w:p>
    <w:p w14:paraId="37B56081">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（5）不能按期竣工的，应合理延长工期，承包人不需支付逾期竣工违约金。发包人要求赶工的，承包人应采取赶工措施，赶工费用由发包人承担。</w:t>
      </w:r>
    </w:p>
    <w:p w14:paraId="699DEE42">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21.3.2 延迟履行期间发生的不可抗力</w:t>
      </w:r>
    </w:p>
    <w:p w14:paraId="4D6A4618">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合同一方当事人延迟履行，在延迟履行期间发生不可抗力的，不免除其责任。</w:t>
      </w:r>
    </w:p>
    <w:p w14:paraId="26662EFF">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21.3.3 避免和减少不可抗力损失</w:t>
      </w:r>
    </w:p>
    <w:p w14:paraId="3CDF4EB4">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不可抗力发生后，发包人和承包人均应采取措施尽量避免和减少损失的扩大，任何一方没有采取有效措施导致损失扩大的，应对扩大的损失承担责任。</w:t>
      </w:r>
    </w:p>
    <w:p w14:paraId="03CCFB72">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21.3.4 因不可抗力解除合同</w:t>
      </w:r>
    </w:p>
    <w:p w14:paraId="081F08C4">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合同一方当事人因不可抗力不能履行合同的，应当及时通知对方解除合同。合同解除后，承包人应按照第22.2.5 项约定撤离施工场地。已经订货的材料、设备由订货方负责退货或解除订货合同，不能退还的货款和因退货、解除订货合同发生的费用，由发包人承担，因未及时退货造成的损失由责任方承担。合同解除后的付款，参照第22.2.4 项约定，由监理人按第3.5 款商定或确定。</w:t>
      </w:r>
    </w:p>
    <w:p w14:paraId="5BFC4AED">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22  违约</w:t>
      </w:r>
    </w:p>
    <w:p w14:paraId="17A1A0B9">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22.1 承包人违约</w:t>
      </w:r>
    </w:p>
    <w:p w14:paraId="376F1DC9">
      <w:pPr>
        <w:keepNext w:val="0"/>
        <w:keepLines w:val="0"/>
        <w:pageBreakBefore w:val="0"/>
        <w:widowControl w:val="0"/>
        <w:kinsoku/>
        <w:wordWrap/>
        <w:overflowPunct/>
        <w:topLinePunct w:val="0"/>
        <w:autoSpaceDE/>
        <w:autoSpaceDN/>
        <w:bidi w:val="0"/>
        <w:spacing w:line="312" w:lineRule="auto"/>
        <w:ind w:firstLine="352"/>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22.1.1  承包人违约的情形</w:t>
      </w:r>
    </w:p>
    <w:p w14:paraId="748AC6B2">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在履行合同过程中发生的下列情况属承包人违约：</w:t>
      </w:r>
    </w:p>
    <w:p w14:paraId="120F8919">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（1）承包人违反第1.8款或第4.3款的约定，私自将合同的全部或部分权利转让给其他人，或私自将合同的全部或部分义务转移给其他人；</w:t>
      </w:r>
    </w:p>
    <w:p w14:paraId="0FD7A0FE">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（2）承包人违反第5.3款或第6.4款的约定，未经监理人批准，私自将已按合同约定进入施工场地的施工设备、临时设施或材料撤离施工场地；</w:t>
      </w:r>
    </w:p>
    <w:p w14:paraId="266694E5">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（3）承包人违反第5．4款的约定使用了不合格材料或工程设备，工程质量达不到标准要求，又拒绝清除不合格工程；</w:t>
      </w:r>
    </w:p>
    <w:p w14:paraId="31028EEC">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（4）承包人未能按合同进度计划及时完成合同约定的工作，已造成或预期造成工期延误；</w:t>
      </w:r>
    </w:p>
    <w:p w14:paraId="678E92B9">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（5）承包人在缺陷责任期（工程质量保修期）内，未能对合同工程完工验收鉴定书所列的缺陷清单的内容或缺陷责任期（工程质量保修期）内发生的缺陷进行修复，而又拒绝按监理人指示再进行修补；</w:t>
      </w:r>
    </w:p>
    <w:p w14:paraId="43450CF2">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（6）承包人无法继续履行或明确表示不履行或实质上已停止履行合同；</w:t>
      </w:r>
    </w:p>
    <w:p w14:paraId="291C3D2C">
      <w:pPr>
        <w:keepNext w:val="0"/>
        <w:keepLines w:val="0"/>
        <w:pageBreakBefore w:val="0"/>
        <w:widowControl w:val="0"/>
        <w:kinsoku/>
        <w:wordWrap/>
        <w:overflowPunct/>
        <w:topLinePunct w:val="0"/>
        <w:autoSpaceDE/>
        <w:autoSpaceDN/>
        <w:bidi w:val="0"/>
        <w:spacing w:line="312" w:lineRule="auto"/>
        <w:ind w:firstLine="42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（7）承包人不按合同约定履行义务的其它情况。</w:t>
      </w:r>
    </w:p>
    <w:p w14:paraId="57193CBC">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22.1.2 对承包人违约的处理</w:t>
      </w:r>
    </w:p>
    <w:p w14:paraId="1B3E4398">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（l）承包人发生第22.1.1（6）目约定的违约情况时，发包人可通知承包人立即解除合同，并按有关法律处理。</w:t>
      </w:r>
    </w:p>
    <w:p w14:paraId="34F3D0A2">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（2）承包人发生除第22.1.1（6）目约定以外的其他违约情况时，监理人可向承包人发出整改通知，要求其在指定的期限内改正。承包人应承担其违约所引起的费用增加和（或）工期延误。</w:t>
      </w:r>
    </w:p>
    <w:p w14:paraId="75CFC62E">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（3）经检查证明承包人已采取了有效措施纠正违约行为，具备复工条件的，可由监理人签发复工通知复工。</w:t>
      </w:r>
    </w:p>
    <w:p w14:paraId="09EC7F2D">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22.1.3 承包人违约解除合同</w:t>
      </w:r>
    </w:p>
    <w:p w14:paraId="66933827">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0C376B15">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22.1.4 合同解除后的估价、付款和结清</w:t>
      </w:r>
    </w:p>
    <w:p w14:paraId="2149A76A">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（1）合同解除后，监理人按第3.5 款商定或确定承包人实际完成工作的价值，以及承包人己提供的材料、施工设备、工程设备和临时工程等的价值。</w:t>
      </w:r>
    </w:p>
    <w:p w14:paraId="3AA81232">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（2）合同解除后，发包人应暂停对承包人的一切付款，查清各项付款和己扣款金额，包括承包人应支付的违约金。</w:t>
      </w:r>
    </w:p>
    <w:p w14:paraId="3EF5C8BA">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（3）合同解除后，发包人应按第23.4 款的约定向承包人索赔由于解除合同给发包人造成的损失。</w:t>
      </w:r>
    </w:p>
    <w:p w14:paraId="25E8A91F">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（4）合同双方确认上述往来款项后，出具最终结清付款证书，结清全部合同款项。</w:t>
      </w:r>
    </w:p>
    <w:p w14:paraId="1259B335">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（5）发包人和承包人未能就解除合同后的结清达成一致而形成争议的，按第24条的约定办理。</w:t>
      </w:r>
    </w:p>
    <w:p w14:paraId="3944CF28">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22.1.5 协议利益的转让</w:t>
      </w:r>
    </w:p>
    <w:p w14:paraId="23A2B492">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因承包人违约解除合同的，发包人有权要求承包人将其为实施合同而签订的材料和设备的订货协议或任何服务协议利益转让给发包人，并在解除合同后的14天内，依法办理转让手续。</w:t>
      </w:r>
    </w:p>
    <w:p w14:paraId="20569B8E">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22.1.6 紧急情况下无能力或不愿进行抢救</w:t>
      </w:r>
    </w:p>
    <w:p w14:paraId="5959EF48">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28427449">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22.2 发包人违约</w:t>
      </w:r>
    </w:p>
    <w:p w14:paraId="56DDEB86">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22.2.1 发包人违约的情形</w:t>
      </w:r>
    </w:p>
    <w:p w14:paraId="20E480BE">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在履行合同过程中发生的下列情形，属发包人违约：</w:t>
      </w:r>
    </w:p>
    <w:p w14:paraId="7B427A02">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（l）发包人未能按合同约定支付预付款或合同价款，或拖延、拒绝批准付款申请和支付凭证，导致付款延误的；</w:t>
      </w:r>
    </w:p>
    <w:p w14:paraId="33067C61">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（2）发包人原因造成停工的；</w:t>
      </w:r>
    </w:p>
    <w:p w14:paraId="1532BCD4">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（3）监理人无正当理由没有在约定期限内发出复工指示，导致承包人无法复工的；</w:t>
      </w:r>
    </w:p>
    <w:p w14:paraId="63AE48CD">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（4）发包人无法继续履行或明确表示不履行或实质上已停止履行合同的；</w:t>
      </w:r>
    </w:p>
    <w:p w14:paraId="3A161480">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（5）发包人不履行合同约定其他义务的。</w:t>
      </w:r>
    </w:p>
    <w:p w14:paraId="615EE0AC">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22.2.2 承包人有权暂停施工</w:t>
      </w:r>
    </w:p>
    <w:p w14:paraId="18A96E8A">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6601E647">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22.2.3 发包人违约解除合同</w:t>
      </w:r>
    </w:p>
    <w:p w14:paraId="34833394">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（1）发生第22.2.1（4）目的违约情况时，承包人可书面通知发包人解除合同。</w:t>
      </w:r>
    </w:p>
    <w:p w14:paraId="64F86876">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（2）承包人按22.2.2 项暂停施工28天后，发包人仍不纠正违约行为的，承包人可向发包人发出解除合同通知。但承包人的这一行动不免除发包人承担的违约责任，也不影响承包人根据合同约定享有的索赔权利。</w:t>
      </w:r>
    </w:p>
    <w:p w14:paraId="2277D970">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22.2.4 解除合同后的付款</w:t>
      </w:r>
    </w:p>
    <w:p w14:paraId="44FF73E6">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因发包人违约解除合同的，发包人应在解除合同后28天内向承包人支付下列金额，承包人应在此期限内及时向发包人提交要求支付下列金额的有关资料和凭证：</w:t>
      </w:r>
    </w:p>
    <w:p w14:paraId="1E121875">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（l）合同解除日以前所完成工作的价款；</w:t>
      </w:r>
    </w:p>
    <w:p w14:paraId="4F98CF8F">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（2）承包人为该工程施工订购并己付款的材料、工程设备和其他物品的金额。发包人付还后，该材料、工程设备和其他物品归发包人所有；</w:t>
      </w:r>
    </w:p>
    <w:p w14:paraId="66F1CACC">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（3）承包人为完成工程所发生的，而发包人未支付的金额；</w:t>
      </w:r>
    </w:p>
    <w:p w14:paraId="4235C41D">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（4）承包人撤离施工场地以及遣散承包人人员的金额；</w:t>
      </w:r>
    </w:p>
    <w:p w14:paraId="4DC8614C">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（5）由于解除合同应赔偿的承包人损失；</w:t>
      </w:r>
    </w:p>
    <w:p w14:paraId="1270E595">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（6）按合同约定在合同解除日前应支付给承包人的其他金额。</w:t>
      </w:r>
    </w:p>
    <w:p w14:paraId="6A5BA627">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发包人应按本项约定支付上述金额并退还质量保证金和履约担保，但有权要求承包人支付应偿还给发包人的各项金额。</w:t>
      </w:r>
    </w:p>
    <w:p w14:paraId="61CFC46D">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22.2.5 解除合同后的承包人撤离</w:t>
      </w:r>
    </w:p>
    <w:p w14:paraId="26566D10">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因发包人违约而解除合同后，承包人应妥善做好已竣工工程和己购材料、设备的保护和移交工作，按发包人要求将承包人设备和人员撤出施工场地。承包人撤出施工场地应遵守第18.7.1 项的约定，发包人应为承包人撤出提供必要条件。</w:t>
      </w:r>
    </w:p>
    <w:p w14:paraId="798A211B">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22.3 第三人造成的违约</w:t>
      </w:r>
    </w:p>
    <w:p w14:paraId="29F74834">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在履行合同过程中，一方当事人因第三人的原因造成违约的，应当向对方当事人承担违约责任。一方当事人和第三人之间的纠纷，依照法律规定或者按照约定解决。</w:t>
      </w:r>
    </w:p>
    <w:p w14:paraId="19CA3F6F">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23  索赔</w:t>
      </w:r>
    </w:p>
    <w:p w14:paraId="7FC7B7C1">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23.1 承包人索赔的提出</w:t>
      </w:r>
    </w:p>
    <w:p w14:paraId="22D584C9">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根据合同约定，承包人认为有权得到追加付款和（或）延长工期的，应按以下程序向发包人提出索赔：</w:t>
      </w:r>
    </w:p>
    <w:p w14:paraId="5578C598">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（l）承包人应在知道或应当知道索赔事件发生后28 天内，向监理人递交索赔意向通知书，并说明发生索赔事件的事由。承包人未在前述28天内发出索赔意向通知书的，丧失要求追加付款和（或）延长工期的权利：</w:t>
      </w:r>
    </w:p>
    <w:p w14:paraId="57F7ECDA">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（2）承包人应在发出索赔意向通知书后28天内，向监理人正式递交索赔通知书。索赔通知书应详细说明索赔理由以及要求追加的付款金额和（或）延长的工期，并附必要的记录和证明材料；</w:t>
      </w:r>
    </w:p>
    <w:p w14:paraId="2628263B">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（3）索赔事件具有连续影响的，承包人应按合理时间间隔继续递交延续索赔通知，说明连续影响的实际情况和记录，列出累计的追加付款金额和（或）工期延长天数；</w:t>
      </w:r>
    </w:p>
    <w:p w14:paraId="65E9A014">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（4）在索赔事件影响结束后的28 天内，承包人应向监理人递交最终索赔通知书，说明最终要求索赔的追加付款金额和延长的工期，并附必要的记录和证明材料。</w:t>
      </w:r>
    </w:p>
    <w:p w14:paraId="44F6BA6E">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23.2 承包人索赔处理程序</w:t>
      </w:r>
    </w:p>
    <w:p w14:paraId="2E9F4DC1">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（1）监理人收到承包人提交的索赔通知书后，应及时审查索赔通知书的内容、杳验承包人的记录和证明材料，必要时监理人可要求承包人提交全部原始记录副本。</w:t>
      </w:r>
    </w:p>
    <w:p w14:paraId="527D628B">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（2）监理人应按第3.5 款商定或确定追加的付款和（或）延长的工期，并在收到上述索赔通知书或有关索赔的进一步证明材料后的42天内，将索赔处理结果答复承包人。</w:t>
      </w:r>
    </w:p>
    <w:p w14:paraId="793E8F43">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（3）承包人接受索赔处理结果的，发包人应在作出索赔处理结果答复后28 天内完成赔付。承包人不接受索赔处理结果的，按第24条的约定办理。</w:t>
      </w:r>
    </w:p>
    <w:p w14:paraId="0BFFEB1A">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23.3  承包人提出索赔的期限</w:t>
      </w:r>
    </w:p>
    <w:p w14:paraId="6270B390">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23.3.1  承包人按第17.5款的约定接受了完工付款证书后，应被认为已无权再提出在合同工程完工证书颁发前所发生的任何索赔。</w:t>
      </w:r>
    </w:p>
    <w:p w14:paraId="4F4CBEC8">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 xml:space="preserve">    23.3.2  承包人按第17.6款的约定提交的最终结清申请单中，只限于提出合同工程完工证书颁发后发生的索赔。提出索赔的期限自接受最终结清证书时终止。</w:t>
      </w:r>
    </w:p>
    <w:p w14:paraId="4AABFA6A">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23.4  发包人的索赔</w:t>
      </w:r>
    </w:p>
    <w:p w14:paraId="02B960F2">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23.4.1 发生索赔事件后，监理人应及时书面通知承包人，详细说明发包人有权得到的索赔金额和（或）延长缺陷责任期的细节和依据。发包人提出索赔的期限和要求与第23.3 款的约定相同，延长缺陷责任期的通知应在缺陷责任期届满前发出。</w:t>
      </w:r>
    </w:p>
    <w:p w14:paraId="5CC93B11">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23.4.2 监理人按第3.5 款商定或确定发包人从承包人处得到赔付的金额和（或）缺陷责任期的延长期。承包人应付给发包人的金额可从拟支付给承包人的合同价款中扣除，或由承包人以其他方式支付给发包人。</w:t>
      </w:r>
    </w:p>
    <w:p w14:paraId="0BF00151">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23.4.3  承包人对监理人按第23.4.1项发出的索赔书面通知内容持异议时，应在收到书面通知后的14天内，将持有异议的书面报告及其证明材料提交监理人。监理人应在收到承包人书面报告后的14天内，将异议的处理意见通知承包人，并按第23.4.2项的约定执行赔付。若承包人不接受监理人的索赔处理意见，可按本合同第24条的规定办理。</w:t>
      </w:r>
    </w:p>
    <w:p w14:paraId="7BADB5F9">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24  争议的解决</w:t>
      </w:r>
    </w:p>
    <w:p w14:paraId="4A61DF63">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24.1 争议的解决方式</w:t>
      </w:r>
    </w:p>
    <w:p w14:paraId="0526E828">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15225338">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（l）向约定的仲裁委员会申请仲裁；</w:t>
      </w:r>
    </w:p>
    <w:p w14:paraId="04B1200D">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（2）向有管辖权的人民法院提起诉讼。</w:t>
      </w:r>
    </w:p>
    <w:p w14:paraId="0EA0FA68">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24.2 友好解决</w:t>
      </w:r>
    </w:p>
    <w:p w14:paraId="12731688">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在提请争议评审、仲裁或者诉讼前，以及在争议评审、仲裁或诉讼过程中，发包人和承包人均可共同努力友好协商解决争议。</w:t>
      </w:r>
    </w:p>
    <w:p w14:paraId="431F2435">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24.3 争议评审</w:t>
      </w:r>
    </w:p>
    <w:p w14:paraId="6C3680A1">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24.3.1 采用争议评审的，发包人和承包人应在开工日后的28天内或在争议发生后，协商成立争议评审组。争议评审组由有合同管理和工程实践经验的专家组成。</w:t>
      </w:r>
    </w:p>
    <w:p w14:paraId="21A26E42">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24.3.2 合同双方的争议，应首先由申请人向争议评审组提交一份详细的评审申请报告，并附必要的文件、图纸和证明材料，申请人还应将上述报告的副本同时提交给被申请人和监理人。</w:t>
      </w:r>
    </w:p>
    <w:p w14:paraId="023C4676">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24.3.3 被申请人在收到申请人评审申请报告副本后的28 天内，向争议评审组提交一份答辩报告，并附证明材料。被申请人应将答辩报告的副本同时提交给申请人和监理人。</w:t>
      </w:r>
    </w:p>
    <w:p w14:paraId="5457AB60">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24.3.4 除专用合同条款另有约定外，争议评审组在收到合同双方报告后的14天内，邀请双方代表和有关人员举行调查会，向双方调查争议细节；必要时争议评审组可要求双方进一步提供补充材料。</w:t>
      </w:r>
    </w:p>
    <w:p w14:paraId="2DAB563B">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14:paraId="60EBE06C">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24.3.6 发包人和承包人接受评审意见的，由监理人根据评审意见拟定执行协议，经争议双方签字后作为合同的补充文件，并遵照执行。</w:t>
      </w:r>
    </w:p>
    <w:p w14:paraId="0B7ADD58">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24.3.7 发包人或承包人不接受评审意见，并要求提交仲裁或提起诉讼的，应在收到评审意见后的14 天内将仲裁或起诉意向书面通知另一方，并抄送监理人，但在仲裁或诉讼结束前应暂按总监理工程师的确定执行。</w:t>
      </w:r>
    </w:p>
    <w:p w14:paraId="6C0657BC">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b/>
          <w:strike w:val="0"/>
          <w:color w:val="auto"/>
          <w:sz w:val="22"/>
          <w:szCs w:val="22"/>
          <w:highlight w:val="none"/>
        </w:rPr>
      </w:pPr>
      <w:r>
        <w:rPr>
          <w:rFonts w:hint="eastAsia" w:ascii="宋体" w:hAnsi="宋体" w:eastAsia="宋体" w:cs="宋体"/>
          <w:b/>
          <w:strike w:val="0"/>
          <w:color w:val="auto"/>
          <w:sz w:val="22"/>
          <w:szCs w:val="22"/>
          <w:highlight w:val="none"/>
        </w:rPr>
        <w:t>24.4  仲裁</w:t>
      </w:r>
    </w:p>
    <w:p w14:paraId="0E444EB8">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trike w:val="0"/>
          <w:color w:val="auto"/>
          <w:sz w:val="22"/>
          <w:szCs w:val="22"/>
          <w:highlight w:val="none"/>
        </w:rPr>
      </w:pPr>
      <w:r>
        <w:rPr>
          <w:rFonts w:hint="eastAsia" w:ascii="宋体" w:hAnsi="宋体" w:eastAsia="宋体" w:cs="宋体"/>
          <w:strike w:val="0"/>
          <w:color w:val="auto"/>
          <w:sz w:val="22"/>
          <w:szCs w:val="22"/>
          <w:highlight w:val="none"/>
        </w:rPr>
        <w:t>24.4.1  若合同双方商定直接向仲裁机构申请仲裁，应签订仲裁协议并约定仲裁机构。</w:t>
      </w:r>
    </w:p>
    <w:p w14:paraId="48D35C07">
      <w:pPr>
        <w:keepNext w:val="0"/>
        <w:keepLines w:val="0"/>
        <w:pageBreakBefore w:val="0"/>
        <w:widowControl w:val="0"/>
        <w:kinsoku/>
        <w:wordWrap/>
        <w:overflowPunct/>
        <w:topLinePunct w:val="0"/>
        <w:autoSpaceDE/>
        <w:autoSpaceDN/>
        <w:bidi w:val="0"/>
        <w:spacing w:line="312" w:lineRule="auto"/>
        <w:ind w:firstLine="440" w:firstLineChars="200"/>
        <w:textAlignment w:val="auto"/>
        <w:rPr>
          <w:rFonts w:cs="宋体" w:asciiTheme="majorEastAsia" w:hAnsiTheme="majorEastAsia" w:eastAsiaTheme="majorEastAsia"/>
          <w:strike w:val="0"/>
          <w:color w:val="auto"/>
          <w:sz w:val="24"/>
          <w:highlight w:val="none"/>
        </w:rPr>
      </w:pPr>
      <w:r>
        <w:rPr>
          <w:rFonts w:hint="eastAsia" w:ascii="宋体" w:hAnsi="宋体" w:eastAsia="宋体" w:cs="宋体"/>
          <w:strike w:val="0"/>
          <w:color w:val="auto"/>
          <w:sz w:val="22"/>
          <w:szCs w:val="22"/>
          <w:highlight w:val="none"/>
        </w:rPr>
        <w:t>24.4.2  若合同双方未能达成仲裁协议，则本合同的仲裁条款无效，任一方均有权向人民法院提起诉讼。</w:t>
      </w:r>
    </w:p>
    <w:p w14:paraId="03C3FDDE">
      <w:pPr>
        <w:spacing w:line="400" w:lineRule="exact"/>
        <w:rPr>
          <w:rFonts w:cs="宋体" w:asciiTheme="majorEastAsia" w:hAnsiTheme="majorEastAsia" w:eastAsiaTheme="majorEastAsia"/>
          <w:color w:val="auto"/>
          <w:sz w:val="24"/>
          <w:highlight w:val="none"/>
        </w:rPr>
      </w:pPr>
    </w:p>
    <w:p w14:paraId="2EAC27E9">
      <w:pPr>
        <w:spacing w:line="400" w:lineRule="exact"/>
        <w:rPr>
          <w:rFonts w:cs="宋体" w:asciiTheme="majorEastAsia" w:hAnsiTheme="majorEastAsia" w:eastAsiaTheme="majorEastAsia"/>
          <w:color w:val="auto"/>
          <w:sz w:val="24"/>
          <w:highlight w:val="none"/>
        </w:rPr>
      </w:pPr>
    </w:p>
    <w:p w14:paraId="45D1CE1E">
      <w:pPr>
        <w:spacing w:line="400" w:lineRule="exact"/>
        <w:rPr>
          <w:rFonts w:cs="宋体" w:asciiTheme="majorEastAsia" w:hAnsiTheme="majorEastAsia" w:eastAsiaTheme="majorEastAsia"/>
          <w:color w:val="auto"/>
          <w:sz w:val="24"/>
          <w:highlight w:val="none"/>
        </w:rPr>
      </w:pPr>
      <w:r>
        <w:rPr>
          <w:rFonts w:cs="宋体" w:asciiTheme="majorEastAsia" w:hAnsiTheme="majorEastAsia" w:eastAsiaTheme="majorEastAsia"/>
          <w:color w:val="auto"/>
          <w:sz w:val="24"/>
          <w:highlight w:val="none"/>
        </w:rPr>
        <w:br w:type="page"/>
      </w:r>
    </w:p>
    <w:p w14:paraId="1896DEAA">
      <w:pPr>
        <w:keepNext/>
        <w:keepLines/>
        <w:pageBreakBefore w:val="0"/>
        <w:widowControl w:val="0"/>
        <w:kinsoku/>
        <w:wordWrap/>
        <w:overflowPunct/>
        <w:topLinePunct w:val="0"/>
        <w:autoSpaceDE/>
        <w:autoSpaceDN/>
        <w:bidi w:val="0"/>
        <w:adjustRightInd/>
        <w:snapToGrid/>
        <w:spacing w:line="360" w:lineRule="auto"/>
        <w:jc w:val="center"/>
        <w:textAlignment w:val="auto"/>
        <w:rPr>
          <w:rFonts w:cs="宋体" w:asciiTheme="majorEastAsia" w:hAnsiTheme="majorEastAsia" w:eastAsiaTheme="majorEastAsia"/>
          <w:b/>
          <w:color w:val="auto"/>
          <w:sz w:val="32"/>
          <w:highlight w:val="none"/>
        </w:rPr>
      </w:pPr>
      <w:r>
        <w:rPr>
          <w:rFonts w:hint="eastAsia" w:cs="宋体" w:asciiTheme="majorEastAsia" w:hAnsiTheme="majorEastAsia" w:eastAsiaTheme="majorEastAsia"/>
          <w:b/>
          <w:color w:val="auto"/>
          <w:sz w:val="32"/>
          <w:highlight w:val="none"/>
        </w:rPr>
        <w:t>第</w:t>
      </w:r>
      <w:r>
        <w:rPr>
          <w:rFonts w:cs="宋体" w:asciiTheme="majorEastAsia" w:hAnsiTheme="majorEastAsia" w:eastAsiaTheme="majorEastAsia"/>
          <w:b/>
          <w:color w:val="auto"/>
          <w:sz w:val="32"/>
          <w:highlight w:val="none"/>
        </w:rPr>
        <w:t>2</w:t>
      </w:r>
      <w:r>
        <w:rPr>
          <w:rFonts w:hint="eastAsia" w:cs="宋体" w:asciiTheme="majorEastAsia" w:hAnsiTheme="majorEastAsia" w:eastAsiaTheme="majorEastAsia"/>
          <w:b/>
          <w:color w:val="auto"/>
          <w:sz w:val="32"/>
          <w:highlight w:val="none"/>
        </w:rPr>
        <w:t>节专用合同条款</w:t>
      </w:r>
    </w:p>
    <w:p w14:paraId="6391AC77">
      <w:pPr>
        <w:keepNext w:val="0"/>
        <w:keepLines w:val="0"/>
        <w:pageBreakBefore w:val="0"/>
        <w:widowControl w:val="0"/>
        <w:kinsoku/>
        <w:wordWrap/>
        <w:topLinePunct w:val="0"/>
        <w:autoSpaceDE w:val="0"/>
        <w:autoSpaceDN w:val="0"/>
        <w:bidi w:val="0"/>
        <w:adjustRightInd w:val="0"/>
        <w:snapToGrid w:val="0"/>
        <w:spacing w:line="360" w:lineRule="auto"/>
        <w:ind w:left="0" w:leftChars="0"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专用合同条款中的各条款是补充和修改通用合同条款号相同的条款或当需要时增加新的条款，两者应对照阅读。一旦出现矛盾或不一致，则以专用合同条款为准，通用合同条款中未补充和修改的部分仍有效。</w:t>
      </w:r>
    </w:p>
    <w:p w14:paraId="1B68CAF2">
      <w:pPr>
        <w:keepNext w:val="0"/>
        <w:keepLines w:val="0"/>
        <w:pageBreakBefore w:val="0"/>
        <w:widowControl w:val="0"/>
        <w:kinsoku/>
        <w:wordWrap/>
        <w:topLinePunct w:val="0"/>
        <w:bidi w:val="0"/>
        <w:adjustRightInd w:val="0"/>
        <w:snapToGrid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  一般约定</w:t>
      </w:r>
    </w:p>
    <w:p w14:paraId="4937BFA5">
      <w:pPr>
        <w:keepNext w:val="0"/>
        <w:keepLines w:val="0"/>
        <w:pageBreakBefore w:val="0"/>
        <w:widowControl w:val="0"/>
        <w:kinsoku/>
        <w:wordWrap/>
        <w:topLinePunct w:val="0"/>
        <w:bidi w:val="0"/>
        <w:adjustRightInd w:val="0"/>
        <w:snapToGrid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1.1 词语定义</w:t>
      </w:r>
    </w:p>
    <w:p w14:paraId="7B687AFE">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1.1.2 合同当事人和人员</w:t>
      </w:r>
    </w:p>
    <w:p w14:paraId="307D5986">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1.1.2.2 发包人：</w:t>
      </w:r>
      <w:r>
        <w:rPr>
          <w:rFonts w:hint="eastAsia" w:ascii="宋体" w:hAnsi="宋体" w:eastAsia="宋体" w:cs="宋体"/>
          <w:bCs/>
          <w:color w:val="auto"/>
          <w:sz w:val="22"/>
          <w:szCs w:val="22"/>
          <w:highlight w:val="none"/>
          <w:u w:val="single"/>
          <w:lang w:eastAsia="zh-CN"/>
        </w:rPr>
        <w:t>新丰县产业转移工业园管理委员会</w:t>
      </w:r>
      <w:r>
        <w:rPr>
          <w:rFonts w:hint="eastAsia" w:ascii="宋体" w:hAnsi="宋体" w:eastAsia="宋体" w:cs="宋体"/>
          <w:color w:val="auto"/>
          <w:sz w:val="22"/>
          <w:szCs w:val="22"/>
          <w:highlight w:val="none"/>
        </w:rPr>
        <w:t>。</w:t>
      </w:r>
    </w:p>
    <w:p w14:paraId="7EA2B0CB">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1.1.2.3 承包人：</w:t>
      </w:r>
      <w:r>
        <w:rPr>
          <w:rFonts w:hint="eastAsia" w:ascii="宋体" w:hAnsi="宋体" w:eastAsia="宋体" w:cs="宋体"/>
          <w:bCs/>
          <w:color w:val="auto"/>
          <w:sz w:val="22"/>
          <w:szCs w:val="22"/>
          <w:highlight w:val="none"/>
          <w:u w:val="single"/>
        </w:rPr>
        <w:t xml:space="preserve">   待定                 </w:t>
      </w:r>
      <w:r>
        <w:rPr>
          <w:rFonts w:hint="eastAsia" w:ascii="宋体" w:hAnsi="宋体" w:eastAsia="宋体" w:cs="宋体"/>
          <w:color w:val="auto"/>
          <w:sz w:val="22"/>
          <w:szCs w:val="22"/>
          <w:highlight w:val="none"/>
        </w:rPr>
        <w:t>。</w:t>
      </w:r>
    </w:p>
    <w:p w14:paraId="2594C0B0">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1.1.2.5 分包人：</w:t>
      </w:r>
      <w:r>
        <w:rPr>
          <w:rFonts w:hint="eastAsia" w:ascii="宋体" w:hAnsi="宋体" w:eastAsia="宋体" w:cs="宋体"/>
          <w:color w:val="auto"/>
          <w:sz w:val="22"/>
          <w:szCs w:val="22"/>
          <w:highlight w:val="none"/>
          <w:u w:val="single"/>
        </w:rPr>
        <w:t>无</w:t>
      </w:r>
      <w:r>
        <w:rPr>
          <w:rFonts w:hint="eastAsia" w:ascii="宋体" w:hAnsi="宋体" w:eastAsia="宋体" w:cs="宋体"/>
          <w:color w:val="auto"/>
          <w:sz w:val="22"/>
          <w:szCs w:val="22"/>
          <w:highlight w:val="none"/>
        </w:rPr>
        <w:t>。</w:t>
      </w:r>
    </w:p>
    <w:p w14:paraId="421BBEAA">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1.1.2.6 监理人：</w:t>
      </w:r>
      <w:r>
        <w:rPr>
          <w:rFonts w:hint="eastAsia" w:ascii="宋体" w:hAnsi="宋体" w:eastAsia="宋体" w:cs="宋体"/>
          <w:color w:val="auto"/>
          <w:sz w:val="22"/>
          <w:szCs w:val="22"/>
          <w:highlight w:val="none"/>
          <w:u w:val="single"/>
        </w:rPr>
        <w:t xml:space="preserve">   待定                 </w:t>
      </w:r>
      <w:r>
        <w:rPr>
          <w:rFonts w:hint="eastAsia" w:ascii="宋体" w:hAnsi="宋体" w:eastAsia="宋体" w:cs="宋体"/>
          <w:color w:val="auto"/>
          <w:sz w:val="22"/>
          <w:szCs w:val="22"/>
          <w:highlight w:val="none"/>
        </w:rPr>
        <w:t>。</w:t>
      </w:r>
    </w:p>
    <w:p w14:paraId="66D548EC">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增1.1.2.8</w:t>
      </w:r>
      <w:r>
        <w:rPr>
          <w:rFonts w:hint="eastAsia" w:ascii="宋体" w:hAnsi="宋体" w:eastAsia="宋体" w:cs="宋体"/>
          <w:color w:val="auto"/>
          <w:kern w:val="0"/>
          <w:sz w:val="22"/>
          <w:szCs w:val="22"/>
          <w:highlight w:val="none"/>
        </w:rPr>
        <w:t>工程质量监督部门：</w:t>
      </w:r>
      <w:r>
        <w:rPr>
          <w:rFonts w:hint="eastAsia" w:ascii="宋体" w:hAnsi="宋体" w:eastAsia="宋体" w:cs="宋体"/>
          <w:color w:val="auto"/>
          <w:kern w:val="0"/>
          <w:sz w:val="22"/>
          <w:szCs w:val="22"/>
          <w:highlight w:val="none"/>
          <w:u w:val="single"/>
        </w:rPr>
        <w:t>新丰县水务局</w:t>
      </w:r>
      <w:r>
        <w:rPr>
          <w:rFonts w:hint="eastAsia" w:ascii="宋体" w:hAnsi="宋体" w:eastAsia="宋体" w:cs="宋体"/>
          <w:color w:val="auto"/>
          <w:kern w:val="0"/>
          <w:sz w:val="22"/>
          <w:szCs w:val="22"/>
          <w:highlight w:val="none"/>
        </w:rPr>
        <w:t>。</w:t>
      </w:r>
    </w:p>
    <w:p w14:paraId="2558F2A9">
      <w:pPr>
        <w:keepNext w:val="0"/>
        <w:keepLines w:val="0"/>
        <w:pageBreakBefore w:val="0"/>
        <w:widowControl w:val="0"/>
        <w:tabs>
          <w:tab w:val="left" w:pos="4140"/>
        </w:tabs>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1.1.4 日期</w:t>
      </w:r>
    </w:p>
    <w:p w14:paraId="3C23BC0D">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1.1.4.3 工期：</w:t>
      </w:r>
      <w:r>
        <w:rPr>
          <w:rFonts w:hint="eastAsia" w:ascii="宋体" w:hAnsi="宋体" w:eastAsia="宋体" w:cs="宋体"/>
          <w:color w:val="auto"/>
          <w:sz w:val="22"/>
          <w:szCs w:val="22"/>
          <w:highlight w:val="none"/>
          <w:u w:val="single"/>
          <w:lang w:eastAsia="zh-CN"/>
        </w:rPr>
        <w:t>150日历天</w:t>
      </w:r>
      <w:r>
        <w:rPr>
          <w:rFonts w:hint="eastAsia" w:ascii="宋体" w:hAnsi="宋体" w:eastAsia="宋体" w:cs="宋体"/>
          <w:color w:val="auto"/>
          <w:sz w:val="22"/>
          <w:szCs w:val="22"/>
          <w:highlight w:val="none"/>
        </w:rPr>
        <w:t>。</w:t>
      </w:r>
    </w:p>
    <w:p w14:paraId="7D3ABF54">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1.1.4.5 缺陷责任期（工程质量保修期）：</w:t>
      </w:r>
      <w:r>
        <w:rPr>
          <w:rFonts w:hint="eastAsia" w:ascii="宋体" w:hAnsi="宋体" w:eastAsia="宋体" w:cs="宋体"/>
          <w:color w:val="auto"/>
          <w:sz w:val="22"/>
          <w:szCs w:val="22"/>
          <w:highlight w:val="none"/>
          <w:u w:val="single"/>
        </w:rPr>
        <w:t>合同工程完工验收后满</w:t>
      </w:r>
      <w:r>
        <w:rPr>
          <w:rFonts w:hint="eastAsia" w:ascii="宋体" w:hAnsi="宋体" w:eastAsia="宋体" w:cs="宋体"/>
          <w:color w:val="auto"/>
          <w:sz w:val="22"/>
          <w:szCs w:val="22"/>
          <w:highlight w:val="none"/>
          <w:u w:val="single"/>
          <w:lang w:eastAsia="zh-CN"/>
        </w:rPr>
        <w:t>2年</w:t>
      </w:r>
      <w:r>
        <w:rPr>
          <w:rFonts w:hint="eastAsia" w:ascii="宋体" w:hAnsi="宋体" w:eastAsia="宋体" w:cs="宋体"/>
          <w:color w:val="auto"/>
          <w:sz w:val="22"/>
          <w:szCs w:val="22"/>
          <w:highlight w:val="none"/>
        </w:rPr>
        <w:t>。</w:t>
      </w:r>
    </w:p>
    <w:p w14:paraId="4CE81233">
      <w:pPr>
        <w:keepNext w:val="0"/>
        <w:keepLines w:val="0"/>
        <w:pageBreakBefore w:val="0"/>
        <w:widowControl w:val="0"/>
        <w:kinsoku/>
        <w:wordWrap/>
        <w:topLinePunct w:val="0"/>
        <w:bidi w:val="0"/>
        <w:adjustRightInd w:val="0"/>
        <w:snapToGrid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1.4 合同文件的优先顺序</w:t>
      </w:r>
    </w:p>
    <w:p w14:paraId="64A85902">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进入合同文件的各项文件及其优先顺序是：</w:t>
      </w:r>
    </w:p>
    <w:p w14:paraId="30F65D1C">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（l）合同协议书（包括协议书备忘录、补充协议书）；</w:t>
      </w:r>
    </w:p>
    <w:p w14:paraId="0C7DF87B">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（2）中标通知书；</w:t>
      </w:r>
    </w:p>
    <w:p w14:paraId="5A572341">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（3）投标函及投标函附录；</w:t>
      </w:r>
    </w:p>
    <w:p w14:paraId="2F83ED93">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（4）专用合同条款；</w:t>
      </w:r>
    </w:p>
    <w:p w14:paraId="2885646A">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（5）通用合同条款；</w:t>
      </w:r>
    </w:p>
    <w:p w14:paraId="27AF73A4">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（6）技术标准和要求；</w:t>
      </w:r>
    </w:p>
    <w:p w14:paraId="520451B6">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（7）图纸；</w:t>
      </w:r>
    </w:p>
    <w:p w14:paraId="0AA68FB4">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（8）已标价的工程量清单；</w:t>
      </w:r>
    </w:p>
    <w:p w14:paraId="7535A29C">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（9）其他合同文件。</w:t>
      </w:r>
    </w:p>
    <w:p w14:paraId="1CB68A4E">
      <w:pPr>
        <w:keepNext w:val="0"/>
        <w:keepLines w:val="0"/>
        <w:pageBreakBefore w:val="0"/>
        <w:widowControl w:val="0"/>
        <w:kinsoku/>
        <w:wordWrap/>
        <w:topLinePunct w:val="0"/>
        <w:bidi w:val="0"/>
        <w:spacing w:line="360" w:lineRule="auto"/>
        <w:ind w:left="0" w:leftChars="0"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以下几项经业主批准进入合同的补充资料：</w:t>
      </w:r>
    </w:p>
    <w:p w14:paraId="2B64C2C1">
      <w:pPr>
        <w:keepNext w:val="0"/>
        <w:keepLines w:val="0"/>
        <w:pageBreakBefore w:val="0"/>
        <w:widowControl w:val="0"/>
        <w:kinsoku/>
        <w:wordWrap/>
        <w:topLinePunct w:val="0"/>
        <w:bidi w:val="0"/>
        <w:spacing w:line="360" w:lineRule="auto"/>
        <w:ind w:left="0" w:leftChars="0"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 招标人经批准的有效招标文件及在招标期内发布的所有有效补充通知；</w:t>
      </w:r>
    </w:p>
    <w:p w14:paraId="5646208F">
      <w:pPr>
        <w:keepNext w:val="0"/>
        <w:keepLines w:val="0"/>
        <w:pageBreakBefore w:val="0"/>
        <w:widowControl w:val="0"/>
        <w:kinsoku/>
        <w:wordWrap/>
        <w:topLinePunct w:val="0"/>
        <w:bidi w:val="0"/>
        <w:spacing w:line="360" w:lineRule="auto"/>
        <w:ind w:left="0" w:leftChars="0"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b） 投标人在投标有效期内补充的所有书面文件；</w:t>
      </w:r>
    </w:p>
    <w:p w14:paraId="084478FD">
      <w:pPr>
        <w:keepNext w:val="0"/>
        <w:keepLines w:val="0"/>
        <w:pageBreakBefore w:val="0"/>
        <w:widowControl w:val="0"/>
        <w:kinsoku/>
        <w:wordWrap/>
        <w:topLinePunct w:val="0"/>
        <w:bidi w:val="0"/>
        <w:spacing w:line="360" w:lineRule="auto"/>
        <w:ind w:left="0" w:leftChars="0"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 承包人在投标时随同投标文件一起递送的资料与附图。</w:t>
      </w:r>
    </w:p>
    <w:p w14:paraId="71C0AF50">
      <w:pPr>
        <w:keepNext w:val="0"/>
        <w:keepLines w:val="0"/>
        <w:pageBreakBefore w:val="0"/>
        <w:widowControl w:val="0"/>
        <w:kinsoku/>
        <w:wordWrap/>
        <w:topLinePunct w:val="0"/>
        <w:bidi w:val="0"/>
        <w:adjustRightInd w:val="0"/>
        <w:snapToGrid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1.7 联络</w:t>
      </w:r>
    </w:p>
    <w:p w14:paraId="3E9BFAEE">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1.7.2 来往函件均应按技术标准和要求（合同技术条款）约定的期限送达 </w:t>
      </w:r>
      <w:r>
        <w:rPr>
          <w:rFonts w:hint="eastAsia" w:ascii="宋体" w:hAnsi="宋体" w:eastAsia="宋体" w:cs="宋体"/>
          <w:color w:val="auto"/>
          <w:sz w:val="22"/>
          <w:szCs w:val="22"/>
          <w:highlight w:val="none"/>
          <w:u w:val="single"/>
          <w:lang w:eastAsia="zh-CN"/>
        </w:rPr>
        <w:t>新丰县产业转移工业园管理委员会</w:t>
      </w:r>
      <w:r>
        <w:rPr>
          <w:rFonts w:hint="eastAsia" w:ascii="宋体" w:hAnsi="宋体" w:eastAsia="宋体" w:cs="宋体"/>
          <w:color w:val="auto"/>
          <w:sz w:val="22"/>
          <w:szCs w:val="22"/>
          <w:highlight w:val="none"/>
        </w:rPr>
        <w:t>。</w:t>
      </w:r>
    </w:p>
    <w:p w14:paraId="0C013D0F">
      <w:pPr>
        <w:keepNext w:val="0"/>
        <w:keepLines w:val="0"/>
        <w:pageBreakBefore w:val="0"/>
        <w:widowControl w:val="0"/>
        <w:kinsoku/>
        <w:wordWrap/>
        <w:topLinePunct w:val="0"/>
        <w:bidi w:val="0"/>
        <w:adjustRightInd w:val="0"/>
        <w:snapToGrid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 发包人义务</w:t>
      </w:r>
    </w:p>
    <w:p w14:paraId="72128A51">
      <w:pPr>
        <w:keepNext w:val="0"/>
        <w:keepLines w:val="0"/>
        <w:pageBreakBefore w:val="0"/>
        <w:widowControl w:val="0"/>
        <w:kinsoku/>
        <w:wordWrap/>
        <w:topLinePunct w:val="0"/>
        <w:bidi w:val="0"/>
        <w:adjustRightInd w:val="0"/>
        <w:snapToGrid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2.3 提供施工场地</w:t>
      </w:r>
    </w:p>
    <w:p w14:paraId="735AF8C6">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2.3.2发包人提供的施工场地范围为：发包人负责向承包人提供施工用地范围。承包人只能在指定用地范围内安排施工。施工场地范围为：</w:t>
      </w:r>
      <w:r>
        <w:rPr>
          <w:rFonts w:hint="eastAsia" w:ascii="宋体" w:hAnsi="宋体" w:eastAsia="宋体" w:cs="宋体"/>
          <w:color w:val="auto"/>
          <w:sz w:val="22"/>
          <w:szCs w:val="22"/>
          <w:highlight w:val="none"/>
          <w:u w:val="single"/>
        </w:rPr>
        <w:t>见工程总体平面布置图</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如发包方因未能及时移交施工用地，造成工期延误，仅负责工期顺延，不给予经济补偿。</w:t>
      </w:r>
    </w:p>
    <w:p w14:paraId="2F68EBA8">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bookmarkStart w:id="20" w:name="_Toc48667232"/>
      <w:r>
        <w:rPr>
          <w:rFonts w:hint="eastAsia" w:ascii="宋体" w:hAnsi="宋体" w:eastAsia="宋体" w:cs="宋体"/>
          <w:color w:val="auto"/>
          <w:sz w:val="22"/>
          <w:szCs w:val="22"/>
          <w:highlight w:val="none"/>
        </w:rPr>
        <w:t>承包人自行勘察的施工场地范围为：</w:t>
      </w:r>
      <w:r>
        <w:rPr>
          <w:rFonts w:hint="eastAsia" w:ascii="宋体" w:hAnsi="宋体" w:eastAsia="宋体" w:cs="宋体"/>
          <w:color w:val="auto"/>
          <w:sz w:val="22"/>
          <w:szCs w:val="22"/>
          <w:highlight w:val="none"/>
          <w:u w:val="single"/>
        </w:rPr>
        <w:t xml:space="preserve">          /            </w:t>
      </w:r>
      <w:r>
        <w:rPr>
          <w:rFonts w:hint="eastAsia" w:ascii="宋体" w:hAnsi="宋体" w:eastAsia="宋体" w:cs="宋体"/>
          <w:color w:val="auto"/>
          <w:sz w:val="22"/>
          <w:szCs w:val="22"/>
          <w:highlight w:val="none"/>
        </w:rPr>
        <w:t>。</w:t>
      </w:r>
      <w:bookmarkEnd w:id="20"/>
    </w:p>
    <w:p w14:paraId="21505EC0">
      <w:pPr>
        <w:keepNext w:val="0"/>
        <w:keepLines w:val="0"/>
        <w:pageBreakBefore w:val="0"/>
        <w:widowControl w:val="0"/>
        <w:kinsoku/>
        <w:wordWrap/>
        <w:topLinePunct w:val="0"/>
        <w:bidi w:val="0"/>
        <w:adjustRightInd w:val="0"/>
        <w:snapToGrid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2.8 其他义务</w:t>
      </w:r>
    </w:p>
    <w:p w14:paraId="6DC74DA4">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（根据发包人的合同管理要求补充）</w:t>
      </w:r>
    </w:p>
    <w:p w14:paraId="3C0926FD">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bCs/>
          <w:color w:val="auto"/>
          <w:kern w:val="0"/>
          <w:sz w:val="22"/>
          <w:szCs w:val="22"/>
          <w:highlight w:val="none"/>
        </w:rPr>
        <w:t>负责本工程施工期间安全渡汛的统一协调、指挥。</w:t>
      </w:r>
    </w:p>
    <w:p w14:paraId="350E331C">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bCs/>
          <w:color w:val="auto"/>
          <w:kern w:val="0"/>
          <w:sz w:val="22"/>
          <w:szCs w:val="22"/>
          <w:highlight w:val="none"/>
        </w:rPr>
        <w:t>定期或不定期检查工程施工安全、质量、进度等。</w:t>
      </w:r>
    </w:p>
    <w:p w14:paraId="563D2667">
      <w:pPr>
        <w:keepNext w:val="0"/>
        <w:keepLines w:val="0"/>
        <w:pageBreakBefore w:val="0"/>
        <w:widowControl w:val="0"/>
        <w:kinsoku/>
        <w:wordWrap/>
        <w:topLinePunct w:val="0"/>
        <w:bidi w:val="0"/>
        <w:adjustRightInd w:val="0"/>
        <w:snapToGrid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  监理人</w:t>
      </w:r>
    </w:p>
    <w:p w14:paraId="01EF17F0">
      <w:pPr>
        <w:keepNext w:val="0"/>
        <w:keepLines w:val="0"/>
        <w:pageBreakBefore w:val="0"/>
        <w:widowControl w:val="0"/>
        <w:kinsoku/>
        <w:wordWrap/>
        <w:topLinePunct w:val="0"/>
        <w:bidi w:val="0"/>
        <w:adjustRightInd w:val="0"/>
        <w:snapToGrid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3.1 监理人的职责和权力</w:t>
      </w:r>
    </w:p>
    <w:p w14:paraId="30EF4A82">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3.1.1 监理人须根据发包人事先批准的权力范围行使权力，发包人批准的权力范围：</w:t>
      </w:r>
    </w:p>
    <w:p w14:paraId="4DE047A7">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按照本工程《监理合同》中的相关约定执行。</w:t>
      </w:r>
    </w:p>
    <w:p w14:paraId="6DE24F62">
      <w:pPr>
        <w:keepNext w:val="0"/>
        <w:keepLines w:val="0"/>
        <w:pageBreakBefore w:val="0"/>
        <w:widowControl w:val="0"/>
        <w:kinsoku/>
        <w:wordWrap/>
        <w:topLinePunct w:val="0"/>
        <w:bidi w:val="0"/>
        <w:adjustRightInd w:val="0"/>
        <w:snapToGrid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  承包人</w:t>
      </w:r>
    </w:p>
    <w:p w14:paraId="3992A883">
      <w:pPr>
        <w:keepNext w:val="0"/>
        <w:keepLines w:val="0"/>
        <w:pageBreakBefore w:val="0"/>
        <w:widowControl w:val="0"/>
        <w:kinsoku/>
        <w:wordWrap/>
        <w:topLinePunct w:val="0"/>
        <w:bidi w:val="0"/>
        <w:adjustRightInd w:val="0"/>
        <w:snapToGrid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4.1 承包人的一般义务</w:t>
      </w:r>
    </w:p>
    <w:p w14:paraId="2E3A8CF0">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4.1.10 其他义务</w:t>
      </w:r>
    </w:p>
    <w:p w14:paraId="1D9810E4">
      <w:pPr>
        <w:keepNext w:val="0"/>
        <w:keepLines w:val="0"/>
        <w:pageBreakBefore w:val="0"/>
        <w:widowControl w:val="0"/>
        <w:kinsoku/>
        <w:wordWrap/>
        <w:topLinePunct w:val="0"/>
        <w:autoSpaceDE w:val="0"/>
        <w:autoSpaceDN w:val="0"/>
        <w:bidi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（1）承包人与发包人签订合同一周内未按要求进场施工的，发包人有权终止合同并没收其履约保证金，由此所造成的一切后果及损失承包人承担。</w:t>
      </w:r>
    </w:p>
    <w:p w14:paraId="612D0566">
      <w:pPr>
        <w:keepNext w:val="0"/>
        <w:keepLines w:val="0"/>
        <w:pageBreakBefore w:val="0"/>
        <w:widowControl w:val="0"/>
        <w:kinsoku/>
        <w:wordWrap/>
        <w:topLinePunct w:val="0"/>
        <w:autoSpaceDE w:val="0"/>
        <w:autoSpaceDN w:val="0"/>
        <w:bidi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（2）承包人在施工期间应注意保护原有地下设施和公用设施,如发生损坏，应负责修复并承担与此有关的一切费用。</w:t>
      </w:r>
    </w:p>
    <w:p w14:paraId="5F65820B">
      <w:pPr>
        <w:keepNext w:val="0"/>
        <w:keepLines w:val="0"/>
        <w:pageBreakBefore w:val="0"/>
        <w:widowControl w:val="0"/>
        <w:kinsoku/>
        <w:wordWrap/>
        <w:topLinePunct w:val="0"/>
        <w:autoSpaceDE w:val="0"/>
        <w:autoSpaceDN w:val="0"/>
        <w:bidi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（3）承包人在施工过程中要自行做好多方面的协调工作，保证农民的合法权益不受侵害，如有损坏农作物或侵害农民的利益，一切责任及损失由承包人承担。</w:t>
      </w:r>
    </w:p>
    <w:p w14:paraId="401C945A">
      <w:pPr>
        <w:keepNext w:val="0"/>
        <w:keepLines w:val="0"/>
        <w:pageBreakBefore w:val="0"/>
        <w:widowControl w:val="0"/>
        <w:kinsoku/>
        <w:wordWrap/>
        <w:topLinePunct w:val="0"/>
        <w:autoSpaceDE w:val="0"/>
        <w:autoSpaceDN w:val="0"/>
        <w:bidi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（4）按发包方提供的年度施工计划组织工程施工，服从发包方的年度施工计划按排。</w:t>
      </w:r>
    </w:p>
    <w:p w14:paraId="26F32B4E">
      <w:pPr>
        <w:keepNext w:val="0"/>
        <w:keepLines w:val="0"/>
        <w:pageBreakBefore w:val="0"/>
        <w:widowControl w:val="0"/>
        <w:kinsoku/>
        <w:wordWrap/>
        <w:topLinePunct w:val="0"/>
        <w:autoSpaceDE w:val="0"/>
        <w:autoSpaceDN w:val="0"/>
        <w:bidi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（5）承包人在施工过程中必须服从发包人的管理，如有违约行为并经教育未能在规定时间内未能按要求整改完毕时，招标人有权终止合约，并将其列入黑名单上报市</w:t>
      </w:r>
      <w:r>
        <w:rPr>
          <w:rFonts w:hint="eastAsia" w:ascii="宋体" w:hAnsi="宋体" w:eastAsia="宋体" w:cs="宋体"/>
          <w:color w:val="auto"/>
          <w:sz w:val="22"/>
          <w:szCs w:val="22"/>
          <w:highlight w:val="none"/>
          <w:lang w:eastAsia="zh-CN"/>
        </w:rPr>
        <w:t>水利行政主管部门</w:t>
      </w:r>
      <w:r>
        <w:rPr>
          <w:rFonts w:hint="eastAsia" w:ascii="宋体" w:hAnsi="宋体" w:eastAsia="宋体" w:cs="宋体"/>
          <w:color w:val="auto"/>
          <w:sz w:val="22"/>
          <w:szCs w:val="22"/>
          <w:highlight w:val="none"/>
        </w:rPr>
        <w:t>，禁止其进入本市区水利建设市场。</w:t>
      </w:r>
    </w:p>
    <w:p w14:paraId="5311CA04">
      <w:pPr>
        <w:keepNext w:val="0"/>
        <w:keepLines w:val="0"/>
        <w:pageBreakBefore w:val="0"/>
        <w:widowControl w:val="0"/>
        <w:kinsoku/>
        <w:wordWrap/>
        <w:topLinePunct w:val="0"/>
        <w:autoSpaceDE w:val="0"/>
        <w:autoSpaceDN w:val="0"/>
        <w:bidi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 承包人必须听从发包人在安全度汛期间的统一指挥。</w:t>
      </w:r>
    </w:p>
    <w:p w14:paraId="0B950C1D">
      <w:pPr>
        <w:keepNext w:val="0"/>
        <w:keepLines w:val="0"/>
        <w:pageBreakBefore w:val="0"/>
        <w:widowControl w:val="0"/>
        <w:kinsoku/>
        <w:wordWrap/>
        <w:topLinePunct w:val="0"/>
        <w:autoSpaceDE w:val="0"/>
        <w:autoSpaceDN w:val="0"/>
        <w:bidi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 自行负责施工用水用电，并承担其费用。负责为发包方一人及监理方二人提供合理的交通便利条件。</w:t>
      </w:r>
    </w:p>
    <w:p w14:paraId="09BFF564">
      <w:pPr>
        <w:keepNext w:val="0"/>
        <w:keepLines w:val="0"/>
        <w:pageBreakBefore w:val="0"/>
        <w:widowControl w:val="0"/>
        <w:kinsoku/>
        <w:wordWrap/>
        <w:topLinePunct w:val="0"/>
        <w:autoSpaceDE w:val="0"/>
        <w:autoSpaceDN w:val="0"/>
        <w:bidi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配合发包方定期或不定期检查工程的安全生产、施工质量、施工进度等，并做好相应工作。承包方应在工程开工当月的下一个月开始，在每月的29日至31日以书面形式向发包方和监理方上报工程进度情况。每缺一次罚款人民币2000元。</w:t>
      </w:r>
    </w:p>
    <w:p w14:paraId="35DD8900">
      <w:pPr>
        <w:keepNext w:val="0"/>
        <w:keepLines w:val="0"/>
        <w:pageBreakBefore w:val="0"/>
        <w:widowControl w:val="0"/>
        <w:kinsoku/>
        <w:wordWrap/>
        <w:topLinePunct w:val="0"/>
        <w:autoSpaceDE w:val="0"/>
        <w:autoSpaceDN w:val="0"/>
        <w:bidi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承包人进驻本工程的项目经理及技术负责人必须与投标文件中承诺的相同，若有特殊情况需换人时必须征得监理人和发包人的同意，否则每更换一人发包人将罚款人民币2000元/人。项目经理与技术负责人不能同时离开工地。其中一位离开工地时必须征得监理人和发包人同意，否则将被罚款人民币2000元/天；两人同时离开工地，将被罚款2000元/人/天。</w:t>
      </w:r>
    </w:p>
    <w:p w14:paraId="1EADA7EC">
      <w:pPr>
        <w:keepNext w:val="0"/>
        <w:keepLines w:val="0"/>
        <w:pageBreakBefore w:val="0"/>
        <w:widowControl w:val="0"/>
        <w:kinsoku/>
        <w:wordWrap/>
        <w:topLinePunct w:val="0"/>
        <w:autoSpaceDE w:val="0"/>
        <w:autoSpaceDN w:val="0"/>
        <w:bidi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（10）工地主要管理人员和专业技术骨干在工地施工现场必须挂牌上岗。</w:t>
      </w:r>
    </w:p>
    <w:p w14:paraId="2BA6C13E">
      <w:pPr>
        <w:keepNext w:val="0"/>
        <w:keepLines w:val="0"/>
        <w:pageBreakBefore w:val="0"/>
        <w:widowControl w:val="0"/>
        <w:kinsoku/>
        <w:wordWrap/>
        <w:topLinePunct w:val="0"/>
        <w:autoSpaceDE w:val="0"/>
        <w:autoSpaceDN w:val="0"/>
        <w:bidi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施工单位在施工中偷工减料、以次充好、使用不合格的建筑材料、建筑构配件或设备、不按照工程设计图纸、施工技术标准施工，应负责无偿修理或返工，每发现一处应支付合同价款千分之三的违约金给建设单位（代建单位）。</w:t>
      </w:r>
    </w:p>
    <w:p w14:paraId="5AE0F3F9">
      <w:pPr>
        <w:keepNext w:val="0"/>
        <w:keepLines w:val="0"/>
        <w:pageBreakBefore w:val="0"/>
        <w:widowControl w:val="0"/>
        <w:kinsoku/>
        <w:wordWrap/>
        <w:topLinePunct w:val="0"/>
        <w:autoSpaceDE w:val="0"/>
        <w:autoSpaceDN w:val="0"/>
        <w:bidi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（12）隐蔽工程未经建设单位（代建单位）、设计单位、质量中心、全过程造价咨询单位进行现场验收而擅自隐蔽的，需重新挖开并无条件修复。</w:t>
      </w:r>
    </w:p>
    <w:p w14:paraId="1709EEE3">
      <w:pPr>
        <w:keepNext w:val="0"/>
        <w:keepLines w:val="0"/>
        <w:pageBreakBefore w:val="0"/>
        <w:widowControl w:val="0"/>
        <w:kinsoku/>
        <w:wordWrap/>
        <w:topLinePunct w:val="0"/>
        <w:autoSpaceDE w:val="0"/>
        <w:autoSpaceDN w:val="0"/>
        <w:bidi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（13）除提供工程建设纸质档案外，还须在合同完工的同时提供二套工程建设电子档案（光盘）。</w:t>
      </w:r>
    </w:p>
    <w:p w14:paraId="1880D1F7">
      <w:pPr>
        <w:keepNext w:val="0"/>
        <w:keepLines w:val="0"/>
        <w:pageBreakBefore w:val="0"/>
        <w:widowControl w:val="0"/>
        <w:kinsoku/>
        <w:wordWrap/>
        <w:topLinePunct w:val="0"/>
        <w:autoSpaceDE w:val="0"/>
        <w:autoSpaceDN w:val="0"/>
        <w:bidi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4.3分包</w:t>
      </w:r>
    </w:p>
    <w:p w14:paraId="5F61F089">
      <w:pPr>
        <w:keepNext w:val="0"/>
        <w:keepLines w:val="0"/>
        <w:pageBreakBefore w:val="0"/>
        <w:widowControl w:val="0"/>
        <w:kinsoku/>
        <w:wordWrap/>
        <w:topLinePunct w:val="0"/>
        <w:autoSpaceDE w:val="0"/>
        <w:autoSpaceDN w:val="0"/>
        <w:bidi w:val="0"/>
        <w:spacing w:line="360" w:lineRule="auto"/>
        <w:ind w:left="0" w:leftChars="0" w:firstLine="442" w:firstLineChars="20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本工程不允许分包</w:t>
      </w:r>
      <w:r>
        <w:rPr>
          <w:rFonts w:hint="eastAsia" w:ascii="宋体" w:hAnsi="宋体" w:eastAsia="宋体" w:cs="宋体"/>
          <w:color w:val="auto"/>
          <w:sz w:val="22"/>
          <w:szCs w:val="22"/>
          <w:highlight w:val="none"/>
        </w:rPr>
        <w:t>。</w:t>
      </w:r>
    </w:p>
    <w:p w14:paraId="5C665F60">
      <w:pPr>
        <w:keepNext w:val="0"/>
        <w:keepLines w:val="0"/>
        <w:pageBreakBefore w:val="0"/>
        <w:widowControl w:val="0"/>
        <w:kinsoku/>
        <w:wordWrap/>
        <w:topLinePunct w:val="0"/>
        <w:autoSpaceDE w:val="0"/>
        <w:autoSpaceDN w:val="0"/>
        <w:bidi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4.4联合体</w:t>
      </w:r>
    </w:p>
    <w:p w14:paraId="782543FB">
      <w:pPr>
        <w:keepNext w:val="0"/>
        <w:keepLines w:val="0"/>
        <w:pageBreakBefore w:val="0"/>
        <w:widowControl w:val="0"/>
        <w:kinsoku/>
        <w:wordWrap/>
        <w:topLinePunct w:val="0"/>
        <w:autoSpaceDE w:val="0"/>
        <w:autoSpaceDN w:val="0"/>
        <w:bidi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删去通用合同条款4.4.1、4.4.2、4.4.3全文，并以下文代替：</w:t>
      </w:r>
    </w:p>
    <w:p w14:paraId="57E9DD8B">
      <w:pPr>
        <w:keepNext w:val="0"/>
        <w:keepLines w:val="0"/>
        <w:pageBreakBefore w:val="0"/>
        <w:widowControl w:val="0"/>
        <w:kinsoku/>
        <w:wordWrap/>
        <w:topLinePunct w:val="0"/>
        <w:autoSpaceDE w:val="0"/>
        <w:autoSpaceDN w:val="0"/>
        <w:bidi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本工程不允许联合体承包。</w:t>
      </w:r>
    </w:p>
    <w:p w14:paraId="1269F982">
      <w:pPr>
        <w:keepNext w:val="0"/>
        <w:keepLines w:val="0"/>
        <w:pageBreakBefore w:val="0"/>
        <w:widowControl w:val="0"/>
        <w:kinsoku/>
        <w:wordWrap/>
        <w:topLinePunct w:val="0"/>
        <w:bidi w:val="0"/>
        <w:snapToGrid w:val="0"/>
        <w:spacing w:line="360" w:lineRule="auto"/>
        <w:ind w:left="0" w:leftChars="0" w:firstLine="442" w:firstLineChars="200"/>
        <w:rPr>
          <w:rFonts w:hint="eastAsia" w:ascii="宋体" w:hAnsi="宋体" w:eastAsia="宋体" w:cs="宋体"/>
          <w:b/>
          <w:bCs/>
          <w:color w:val="auto"/>
          <w:sz w:val="22"/>
          <w:szCs w:val="22"/>
          <w:highlight w:val="none"/>
        </w:rPr>
      </w:pPr>
      <w:bookmarkStart w:id="21" w:name="_Toc48667251"/>
      <w:r>
        <w:rPr>
          <w:rFonts w:hint="eastAsia" w:ascii="宋体" w:hAnsi="宋体" w:eastAsia="宋体" w:cs="宋体"/>
          <w:b/>
          <w:bCs/>
          <w:color w:val="auto"/>
          <w:sz w:val="22"/>
          <w:szCs w:val="22"/>
          <w:highlight w:val="none"/>
        </w:rPr>
        <w:t>4.5承包人项目经理</w:t>
      </w:r>
      <w:bookmarkEnd w:id="21"/>
    </w:p>
    <w:p w14:paraId="6A5BFEEA">
      <w:pPr>
        <w:keepNext w:val="0"/>
        <w:keepLines w:val="0"/>
        <w:pageBreakBefore w:val="0"/>
        <w:widowControl w:val="0"/>
        <w:kinsoku/>
        <w:wordWrap/>
        <w:overflowPunct w:val="0"/>
        <w:topLinePunct w:val="0"/>
        <w:autoSpaceDE w:val="0"/>
        <w:autoSpaceDN w:val="0"/>
        <w:bidi w:val="0"/>
        <w:adjustRightInd w:val="0"/>
        <w:snapToGrid w:val="0"/>
        <w:spacing w:line="360" w:lineRule="auto"/>
        <w:ind w:left="0" w:leftChars="0" w:firstLine="442" w:firstLineChars="200"/>
        <w:rPr>
          <w:rFonts w:hint="eastAsia" w:ascii="宋体" w:hAnsi="宋体" w:eastAsia="宋体" w:cs="宋体"/>
          <w:color w:val="auto"/>
          <w:sz w:val="22"/>
          <w:szCs w:val="22"/>
          <w:highlight w:val="none"/>
        </w:rPr>
      </w:pPr>
      <w:bookmarkStart w:id="22" w:name="_Toc48667252"/>
      <w:r>
        <w:rPr>
          <w:rFonts w:hint="eastAsia" w:ascii="宋体" w:hAnsi="宋体" w:eastAsia="宋体" w:cs="宋体"/>
          <w:b/>
          <w:color w:val="auto"/>
          <w:sz w:val="22"/>
          <w:szCs w:val="22"/>
          <w:highlight w:val="none"/>
        </w:rPr>
        <w:t>4.5.1</w:t>
      </w:r>
      <w:r>
        <w:rPr>
          <w:rFonts w:hint="eastAsia" w:ascii="宋体" w:hAnsi="宋体" w:eastAsia="宋体" w:cs="宋体"/>
          <w:color w:val="auto"/>
          <w:sz w:val="22"/>
          <w:szCs w:val="22"/>
          <w:highlight w:val="none"/>
        </w:rPr>
        <w:t>本款修改为“承包人应按合同约定指派项目经理，并在监理人发出开工通知后5天内到职。合同履行期间，项目经理无特殊原因不得更换，特殊原因更换项目经理，须经发包人同意，可用资历相同并与承包人有正式的劳动合同关系(以社保证明为准)的项目经理更换，只能更换一次；如第二次及以后再要求更换，视为承包人违约，每更换一次的违约金为20000元，在当期进度款中扣除。</w:t>
      </w:r>
      <w:bookmarkEnd w:id="22"/>
    </w:p>
    <w:p w14:paraId="38698198">
      <w:pPr>
        <w:keepNext w:val="0"/>
        <w:keepLines w:val="0"/>
        <w:pageBreakBefore w:val="0"/>
        <w:widowControl w:val="0"/>
        <w:kinsoku/>
        <w:wordWrap/>
        <w:topLinePunct w:val="0"/>
        <w:bidi w:val="0"/>
        <w:snapToGrid w:val="0"/>
        <w:spacing w:line="360" w:lineRule="auto"/>
        <w:ind w:left="0" w:leftChars="0" w:firstLine="442" w:firstLineChars="200"/>
        <w:rPr>
          <w:rFonts w:hint="eastAsia" w:ascii="宋体" w:hAnsi="宋体" w:eastAsia="宋体" w:cs="宋体"/>
          <w:b/>
          <w:bCs/>
          <w:color w:val="auto"/>
          <w:sz w:val="22"/>
          <w:szCs w:val="22"/>
          <w:highlight w:val="none"/>
        </w:rPr>
      </w:pPr>
      <w:bookmarkStart w:id="23" w:name="_Toc48667253"/>
      <w:r>
        <w:rPr>
          <w:rFonts w:hint="eastAsia" w:ascii="宋体" w:hAnsi="宋体" w:eastAsia="宋体" w:cs="宋体"/>
          <w:b/>
          <w:bCs/>
          <w:color w:val="auto"/>
          <w:sz w:val="22"/>
          <w:szCs w:val="22"/>
          <w:highlight w:val="none"/>
        </w:rPr>
        <w:t>4.6承包人人员的管理</w:t>
      </w:r>
      <w:bookmarkEnd w:id="23"/>
    </w:p>
    <w:p w14:paraId="6B8777E5">
      <w:pPr>
        <w:keepNext w:val="0"/>
        <w:keepLines w:val="0"/>
        <w:pageBreakBefore w:val="0"/>
        <w:widowControl w:val="0"/>
        <w:kinsoku/>
        <w:wordWrap/>
        <w:overflowPunct w:val="0"/>
        <w:topLinePunct w:val="0"/>
        <w:autoSpaceDE w:val="0"/>
        <w:autoSpaceDN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bookmarkStart w:id="24" w:name="_Toc48667254"/>
      <w:r>
        <w:rPr>
          <w:rFonts w:hint="eastAsia" w:ascii="宋体" w:hAnsi="宋体" w:eastAsia="宋体" w:cs="宋体"/>
          <w:color w:val="auto"/>
          <w:sz w:val="22"/>
          <w:szCs w:val="22"/>
          <w:highlight w:val="none"/>
        </w:rPr>
        <w:t>4.6.1 本款中的“28天内”修改为“7天内”。</w:t>
      </w:r>
      <w:bookmarkEnd w:id="24"/>
    </w:p>
    <w:p w14:paraId="45B5EF5C">
      <w:pPr>
        <w:keepNext w:val="0"/>
        <w:keepLines w:val="0"/>
        <w:pageBreakBefore w:val="0"/>
        <w:widowControl w:val="0"/>
        <w:kinsoku/>
        <w:wordWrap/>
        <w:overflowPunct w:val="0"/>
        <w:topLinePunct w:val="0"/>
        <w:autoSpaceDE w:val="0"/>
        <w:autoSpaceDN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bookmarkStart w:id="25" w:name="_Toc48667255"/>
      <w:r>
        <w:rPr>
          <w:rFonts w:hint="eastAsia" w:ascii="宋体" w:hAnsi="宋体" w:eastAsia="宋体" w:cs="宋体"/>
          <w:color w:val="auto"/>
          <w:sz w:val="22"/>
          <w:szCs w:val="22"/>
          <w:highlight w:val="none"/>
        </w:rPr>
        <w:t>4.6.3 本款的内容修改为：“承包人安排在施工场地的主要管理人员(指项目经理、技术负责人、安全管理人员(专职安全生产管理人员)、质量管理人员、财务负责人)和技术骨干应相对稳定，上述人员的调动应经监理人和发包人同意。</w:t>
      </w:r>
      <w:bookmarkEnd w:id="25"/>
    </w:p>
    <w:p w14:paraId="27E563AA">
      <w:pPr>
        <w:keepNext w:val="0"/>
        <w:keepLines w:val="0"/>
        <w:pageBreakBefore w:val="0"/>
        <w:widowControl w:val="0"/>
        <w:kinsoku/>
        <w:wordWrap/>
        <w:overflowPunct w:val="0"/>
        <w:topLinePunct w:val="0"/>
        <w:autoSpaceDE w:val="0"/>
        <w:autoSpaceDN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bookmarkStart w:id="26" w:name="_Toc48667256"/>
      <w:r>
        <w:rPr>
          <w:rFonts w:hint="eastAsia" w:ascii="宋体" w:hAnsi="宋体" w:eastAsia="宋体" w:cs="宋体"/>
          <w:color w:val="auto"/>
          <w:sz w:val="22"/>
          <w:szCs w:val="22"/>
          <w:highlight w:val="none"/>
        </w:rPr>
        <w:t>增加4.6.5、4.6.6</w:t>
      </w:r>
      <w:bookmarkEnd w:id="26"/>
      <w:r>
        <w:rPr>
          <w:rFonts w:hint="eastAsia" w:ascii="宋体" w:hAnsi="宋体" w:eastAsia="宋体" w:cs="宋体"/>
          <w:color w:val="auto"/>
          <w:sz w:val="22"/>
          <w:szCs w:val="22"/>
          <w:highlight w:val="none"/>
        </w:rPr>
        <w:t>、4.6.7款</w:t>
      </w:r>
    </w:p>
    <w:p w14:paraId="61D9EE32">
      <w:pPr>
        <w:keepNext w:val="0"/>
        <w:keepLines w:val="0"/>
        <w:pageBreakBefore w:val="0"/>
        <w:widowControl w:val="0"/>
        <w:kinsoku/>
        <w:wordWrap/>
        <w:overflowPunct w:val="0"/>
        <w:topLinePunct w:val="0"/>
        <w:autoSpaceDE w:val="0"/>
        <w:autoSpaceDN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bookmarkStart w:id="27" w:name="_Toc48667257"/>
      <w:r>
        <w:rPr>
          <w:rFonts w:hint="eastAsia" w:ascii="宋体" w:hAnsi="宋体" w:eastAsia="宋体" w:cs="宋体"/>
          <w:color w:val="auto"/>
          <w:sz w:val="22"/>
          <w:szCs w:val="22"/>
          <w:highlight w:val="none"/>
        </w:rPr>
        <w:t>4.6.5 承包人在投标文件中所列的投入本工程的主要管理人员必须在监理人发出开工通知后5天内全部进驻施工现场开展工作，个别确因特殊情况不能进场或中途退出的，须经发包人同意，并更换与原人员具有相同资历条件的并与承包人有正式的劳动合同关系(以社保证明为准)的人员，同时提供相关证明，否则视为承包人违约。</w:t>
      </w:r>
      <w:bookmarkEnd w:id="27"/>
    </w:p>
    <w:p w14:paraId="73A91976">
      <w:pPr>
        <w:keepNext w:val="0"/>
        <w:keepLines w:val="0"/>
        <w:pageBreakBefore w:val="0"/>
        <w:widowControl w:val="0"/>
        <w:kinsoku/>
        <w:wordWrap/>
        <w:overflowPunct w:val="0"/>
        <w:topLinePunct w:val="0"/>
        <w:autoSpaceDE w:val="0"/>
        <w:autoSpaceDN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bookmarkStart w:id="28" w:name="_Toc48667258"/>
      <w:r>
        <w:rPr>
          <w:rFonts w:hint="eastAsia" w:ascii="宋体" w:hAnsi="宋体" w:eastAsia="宋体" w:cs="宋体"/>
          <w:color w:val="auto"/>
          <w:sz w:val="22"/>
          <w:szCs w:val="22"/>
          <w:highlight w:val="none"/>
        </w:rPr>
        <w:t>4.6.6 如果在监理人发出开工通知后30天内，承包人的主要管理人员未能全部进驻现场，则发包人认定承包人合同履行严重不到位，并将根据《广东省水利工程建设市场不良行为认定标准(修订)》和《广东省水利建设市场主体信用信息管理办法(试行)》的规定，作为不良行为记录信息上报上级</w:t>
      </w:r>
      <w:r>
        <w:rPr>
          <w:rFonts w:hint="eastAsia" w:ascii="宋体" w:hAnsi="宋体" w:eastAsia="宋体" w:cs="宋体"/>
          <w:color w:val="auto"/>
          <w:sz w:val="22"/>
          <w:szCs w:val="22"/>
          <w:highlight w:val="none"/>
          <w:lang w:eastAsia="zh-CN"/>
        </w:rPr>
        <w:t>水利行政主管部门</w:t>
      </w:r>
      <w:r>
        <w:rPr>
          <w:rFonts w:hint="eastAsia" w:ascii="宋体" w:hAnsi="宋体" w:eastAsia="宋体" w:cs="宋体"/>
          <w:color w:val="auto"/>
          <w:sz w:val="22"/>
          <w:szCs w:val="22"/>
          <w:highlight w:val="none"/>
        </w:rPr>
        <w:t xml:space="preserve"> 。</w:t>
      </w:r>
    </w:p>
    <w:p w14:paraId="714F18F7">
      <w:pPr>
        <w:keepNext w:val="0"/>
        <w:keepLines w:val="0"/>
        <w:pageBreakBefore w:val="0"/>
        <w:widowControl w:val="0"/>
        <w:kinsoku/>
        <w:wordWrap/>
        <w:topLinePunct w:val="0"/>
        <w:autoSpaceDE w:val="0"/>
        <w:autoSpaceDN w:val="0"/>
        <w:bidi w:val="0"/>
        <w:spacing w:line="360" w:lineRule="auto"/>
        <w:ind w:left="0" w:leftChars="0" w:firstLine="440" w:firstLineChars="2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4.6.7 承包人须严格按照投标文件中拟投入人员进驻施工现场，合同履行期间人员更换须经发包人同意，且承包人应提供相应的岗位证书及单位社保证明。各岗位人员总数只能更换一人次，如第二次及以后再要求更换，视为承包人违约，项目经理每更换一次罚款20000元，其他岗位人员每更换一次的违约金为5000元，在当期进度款中扣除。</w:t>
      </w:r>
      <w:bookmarkEnd w:id="28"/>
    </w:p>
    <w:p w14:paraId="3454F334">
      <w:pPr>
        <w:keepNext w:val="0"/>
        <w:keepLines w:val="0"/>
        <w:pageBreakBefore w:val="0"/>
        <w:widowControl w:val="0"/>
        <w:kinsoku/>
        <w:wordWrap/>
        <w:topLinePunct w:val="0"/>
        <w:autoSpaceDE w:val="0"/>
        <w:autoSpaceDN w:val="0"/>
        <w:bidi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4.8 保障承包人人员的合法权益</w:t>
      </w:r>
    </w:p>
    <w:p w14:paraId="5050B7CC">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b/>
          <w:color w:val="auto"/>
          <w:sz w:val="22"/>
          <w:szCs w:val="22"/>
          <w:highlight w:val="none"/>
        </w:rPr>
      </w:pPr>
      <w:bookmarkStart w:id="29" w:name="_Toc48667260"/>
      <w:r>
        <w:rPr>
          <w:rFonts w:hint="eastAsia" w:ascii="宋体" w:hAnsi="宋体" w:eastAsia="宋体" w:cs="宋体"/>
          <w:color w:val="auto"/>
          <w:sz w:val="22"/>
          <w:szCs w:val="22"/>
          <w:highlight w:val="none"/>
        </w:rPr>
        <w:t>4.8.1 将通用合同条款4.8.1条修改为：承包人应与其雇用的人员(含民工)签订劳动合同，并按时发放工资，工资标准不能低于政府发布的最低工资标准，并不得拖欠或克扣雇佣人员的工资，否则发包人有权扣留相应数额的工程款支付雇佣人员(含民工)工资。</w:t>
      </w:r>
      <w:bookmarkEnd w:id="29"/>
      <w:r>
        <w:rPr>
          <w:rFonts w:hint="eastAsia" w:ascii="宋体" w:hAnsi="宋体" w:eastAsia="宋体" w:cs="宋体"/>
          <w:color w:val="auto"/>
          <w:sz w:val="22"/>
          <w:szCs w:val="22"/>
          <w:highlight w:val="none"/>
        </w:rPr>
        <w:t>承包人如未履行本项约定，应当赔偿发包人因此受到的全部经济损失。</w:t>
      </w:r>
    </w:p>
    <w:p w14:paraId="0AF793FC">
      <w:pPr>
        <w:keepNext w:val="0"/>
        <w:keepLines w:val="0"/>
        <w:pageBreakBefore w:val="0"/>
        <w:widowControl w:val="0"/>
        <w:kinsoku/>
        <w:wordWrap/>
        <w:topLinePunct w:val="0"/>
        <w:bidi w:val="0"/>
        <w:spacing w:line="360" w:lineRule="auto"/>
        <w:ind w:left="0" w:leftChars="0" w:firstLine="442" w:firstLineChars="200"/>
        <w:rPr>
          <w:rFonts w:hint="eastAsia" w:ascii="宋体" w:hAnsi="宋体" w:eastAsia="宋体" w:cs="宋体"/>
          <w:b/>
          <w:color w:val="auto"/>
          <w:sz w:val="22"/>
          <w:szCs w:val="22"/>
          <w:highlight w:val="none"/>
        </w:rPr>
      </w:pPr>
      <w:bookmarkStart w:id="30" w:name="_Toc48667261"/>
      <w:r>
        <w:rPr>
          <w:rFonts w:hint="eastAsia" w:ascii="宋体" w:hAnsi="宋体" w:eastAsia="宋体" w:cs="宋体"/>
          <w:b/>
          <w:color w:val="auto"/>
          <w:sz w:val="22"/>
          <w:szCs w:val="22"/>
          <w:highlight w:val="none"/>
        </w:rPr>
        <w:t>4.11 不利物质条件</w:t>
      </w:r>
      <w:bookmarkEnd w:id="30"/>
    </w:p>
    <w:p w14:paraId="3474397A">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b/>
          <w:color w:val="auto"/>
          <w:sz w:val="22"/>
          <w:szCs w:val="22"/>
          <w:highlight w:val="none"/>
        </w:rPr>
      </w:pPr>
      <w:bookmarkStart w:id="31" w:name="_Toc48667262"/>
      <w:r>
        <w:rPr>
          <w:rFonts w:hint="eastAsia" w:ascii="宋体" w:hAnsi="宋体" w:eastAsia="宋体" w:cs="宋体"/>
          <w:color w:val="auto"/>
          <w:sz w:val="22"/>
          <w:szCs w:val="22"/>
          <w:highlight w:val="none"/>
        </w:rPr>
        <w:t>4.11.1不利物质条件的范围：</w:t>
      </w:r>
      <w:r>
        <w:rPr>
          <w:rFonts w:hint="eastAsia" w:ascii="宋体" w:hAnsi="宋体" w:eastAsia="宋体" w:cs="宋体"/>
          <w:color w:val="auto"/>
          <w:sz w:val="22"/>
          <w:szCs w:val="22"/>
          <w:highlight w:val="none"/>
          <w:u w:val="single"/>
        </w:rPr>
        <w:t>无</w:t>
      </w:r>
      <w:r>
        <w:rPr>
          <w:rFonts w:hint="eastAsia" w:ascii="宋体" w:hAnsi="宋体" w:eastAsia="宋体" w:cs="宋体"/>
          <w:color w:val="auto"/>
          <w:sz w:val="22"/>
          <w:szCs w:val="22"/>
          <w:highlight w:val="none"/>
        </w:rPr>
        <w:t>。</w:t>
      </w:r>
      <w:bookmarkEnd w:id="31"/>
    </w:p>
    <w:p w14:paraId="74003908">
      <w:pPr>
        <w:keepNext w:val="0"/>
        <w:keepLines w:val="0"/>
        <w:pageBreakBefore w:val="0"/>
        <w:widowControl w:val="0"/>
        <w:kinsoku/>
        <w:wordWrap/>
        <w:topLinePunct w:val="0"/>
        <w:bidi w:val="0"/>
        <w:adjustRightInd w:val="0"/>
        <w:snapToGrid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5．材料和工程设备</w:t>
      </w:r>
    </w:p>
    <w:p w14:paraId="79F314DF">
      <w:pPr>
        <w:keepNext w:val="0"/>
        <w:keepLines w:val="0"/>
        <w:pageBreakBefore w:val="0"/>
        <w:widowControl w:val="0"/>
        <w:kinsoku/>
        <w:wordWrap/>
        <w:topLinePunct w:val="0"/>
        <w:bidi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5.1 承包人提供的材料和工程设备</w:t>
      </w:r>
    </w:p>
    <w:p w14:paraId="2120DDD3">
      <w:pPr>
        <w:keepNext w:val="0"/>
        <w:keepLines w:val="0"/>
        <w:pageBreakBefore w:val="0"/>
        <w:widowControl w:val="0"/>
        <w:kinsoku/>
        <w:wordWrap/>
        <w:topLinePunct w:val="0"/>
        <w:autoSpaceDE w:val="0"/>
        <w:autoSpaceDN w:val="0"/>
        <w:bidi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5.1.1 删除通用合同条款5.1.1条全文，并以下文代替：为完成本合同各项工作所需的材料和工程设备均由承包人负责采购、验收、运输和保管。工程用砂必须使用具有河砂开采资质单位提供的合格产品，并索取正式发票。</w:t>
      </w:r>
    </w:p>
    <w:p w14:paraId="01943465">
      <w:pPr>
        <w:keepNext w:val="0"/>
        <w:keepLines w:val="0"/>
        <w:pageBreakBefore w:val="0"/>
        <w:widowControl w:val="0"/>
        <w:kinsoku/>
        <w:wordWrap/>
        <w:topLinePunct w:val="0"/>
        <w:autoSpaceDE w:val="0"/>
        <w:autoSpaceDN w:val="0"/>
        <w:bidi w:val="0"/>
        <w:spacing w:line="360" w:lineRule="auto"/>
        <w:ind w:left="0" w:leftChars="0" w:firstLine="440" w:firstLineChars="200"/>
        <w:rPr>
          <w:rFonts w:hint="eastAsia" w:ascii="宋体" w:hAnsi="宋体" w:eastAsia="宋体" w:cs="宋体"/>
          <w:b/>
          <w:color w:val="auto"/>
          <w:sz w:val="22"/>
          <w:szCs w:val="22"/>
          <w:highlight w:val="none"/>
        </w:rPr>
      </w:pPr>
      <w:bookmarkStart w:id="32" w:name="_Toc48667266"/>
      <w:bookmarkStart w:id="33" w:name="_Toc199155905"/>
      <w:r>
        <w:rPr>
          <w:rFonts w:hint="eastAsia" w:ascii="宋体" w:hAnsi="宋体" w:eastAsia="宋体" w:cs="宋体"/>
          <w:color w:val="auto"/>
          <w:sz w:val="22"/>
          <w:szCs w:val="22"/>
          <w:highlight w:val="none"/>
        </w:rPr>
        <w:t>5.1.2 删除通用合同条款5.1.2条全文，并以下文代替：承包人应将各项材料和工程设备的供货人及品种、规格、数量、质量等级和供货时间等报送业主和监理人审批。承包人应向监理人提交其负责提供的材料和工程设备的质量证明文件及供货人资质证明材料，并满足合同约定的质量标准。</w:t>
      </w:r>
      <w:bookmarkEnd w:id="32"/>
      <w:r>
        <w:rPr>
          <w:rFonts w:hint="eastAsia" w:ascii="宋体" w:hAnsi="宋体" w:eastAsia="宋体" w:cs="宋体"/>
          <w:color w:val="auto"/>
          <w:sz w:val="22"/>
          <w:szCs w:val="22"/>
          <w:highlight w:val="none"/>
        </w:rPr>
        <w:t>承包人应对其采购的材料和设备负责。</w:t>
      </w:r>
    </w:p>
    <w:p w14:paraId="4B5AC797">
      <w:pPr>
        <w:keepNext w:val="0"/>
        <w:keepLines w:val="0"/>
        <w:pageBreakBefore w:val="0"/>
        <w:widowControl w:val="0"/>
        <w:kinsoku/>
        <w:wordWrap/>
        <w:topLinePunct w:val="0"/>
        <w:bidi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5.2 发包人提供的材料和工程设备</w:t>
      </w:r>
      <w:bookmarkEnd w:id="33"/>
    </w:p>
    <w:p w14:paraId="6F462D18">
      <w:pPr>
        <w:keepNext w:val="0"/>
        <w:keepLines w:val="0"/>
        <w:pageBreakBefore w:val="0"/>
        <w:widowControl w:val="0"/>
        <w:kinsoku/>
        <w:wordWrap/>
        <w:topLinePunct w:val="0"/>
        <w:autoSpaceDE w:val="0"/>
        <w:autoSpaceDN w:val="0"/>
        <w:bidi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发包人不提供材料和工程设备。</w:t>
      </w:r>
    </w:p>
    <w:p w14:paraId="18554E48">
      <w:pPr>
        <w:keepNext w:val="0"/>
        <w:keepLines w:val="0"/>
        <w:pageBreakBefore w:val="0"/>
        <w:widowControl w:val="0"/>
        <w:kinsoku/>
        <w:wordWrap/>
        <w:topLinePunct w:val="0"/>
        <w:bidi w:val="0"/>
        <w:adjustRightInd w:val="0"/>
        <w:snapToGrid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6  施工设备和临时设施</w:t>
      </w:r>
    </w:p>
    <w:p w14:paraId="201CE0BD">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发包人提供的临时设施：</w:t>
      </w:r>
      <w:r>
        <w:rPr>
          <w:rFonts w:hint="eastAsia" w:ascii="宋体" w:hAnsi="宋体" w:eastAsia="宋体" w:cs="宋体"/>
          <w:color w:val="auto"/>
          <w:sz w:val="22"/>
          <w:szCs w:val="22"/>
          <w:highlight w:val="none"/>
          <w:u w:val="single"/>
        </w:rPr>
        <w:t xml:space="preserve">  无   </w:t>
      </w:r>
      <w:r>
        <w:rPr>
          <w:rFonts w:hint="eastAsia" w:ascii="宋体" w:hAnsi="宋体" w:eastAsia="宋体" w:cs="宋体"/>
          <w:color w:val="auto"/>
          <w:sz w:val="22"/>
          <w:szCs w:val="22"/>
          <w:highlight w:val="none"/>
        </w:rPr>
        <w:t>。</w:t>
      </w:r>
    </w:p>
    <w:p w14:paraId="2C0D1C02">
      <w:pPr>
        <w:pStyle w:val="6"/>
        <w:keepNext w:val="0"/>
        <w:keepLines w:val="0"/>
        <w:pageBreakBefore w:val="0"/>
        <w:widowControl w:val="0"/>
        <w:kinsoku/>
        <w:wordWrap/>
        <w:topLinePunct w:val="0"/>
        <w:bidi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增加：禁止使用冒黑烟高排放的工程机械，落实扬尘污染控制措施。</w:t>
      </w:r>
    </w:p>
    <w:p w14:paraId="090D938A">
      <w:pPr>
        <w:keepNext w:val="0"/>
        <w:keepLines w:val="0"/>
        <w:pageBreakBefore w:val="0"/>
        <w:widowControl w:val="0"/>
        <w:kinsoku/>
        <w:wordWrap/>
        <w:topLinePunct w:val="0"/>
        <w:bidi w:val="0"/>
        <w:adjustRightInd w:val="0"/>
        <w:snapToGrid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7．交通运输</w:t>
      </w:r>
    </w:p>
    <w:p w14:paraId="0204EBA5">
      <w:pPr>
        <w:keepNext w:val="0"/>
        <w:keepLines w:val="0"/>
        <w:pageBreakBefore w:val="0"/>
        <w:widowControl w:val="0"/>
        <w:kinsoku/>
        <w:wordWrap/>
        <w:topLinePunct w:val="0"/>
        <w:bidi w:val="0"/>
        <w:adjustRightInd w:val="0"/>
        <w:snapToGrid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 xml:space="preserve">7.1 道路通行权和场外设施 </w:t>
      </w:r>
    </w:p>
    <w:p w14:paraId="7730E961">
      <w:pPr>
        <w:keepNext w:val="0"/>
        <w:keepLines w:val="0"/>
        <w:pageBreakBefore w:val="0"/>
        <w:widowControl w:val="0"/>
        <w:kinsoku/>
        <w:wordWrap/>
        <w:topLinePunct w:val="0"/>
        <w:bidi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道路通行权和场外设施的约定：按相关管理规定。 </w:t>
      </w:r>
    </w:p>
    <w:p w14:paraId="04894BAB">
      <w:pPr>
        <w:keepNext w:val="0"/>
        <w:keepLines w:val="0"/>
        <w:pageBreakBefore w:val="0"/>
        <w:widowControl w:val="0"/>
        <w:kinsoku/>
        <w:wordWrap/>
        <w:topLinePunct w:val="0"/>
        <w:bidi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增加</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我市在建的水利工程材料及机械运输</w:t>
      </w:r>
      <w:r>
        <w:rPr>
          <w:rFonts w:hint="eastAsia" w:ascii="宋体" w:hAnsi="宋体" w:eastAsia="宋体" w:cs="宋体"/>
          <w:color w:val="auto"/>
          <w:sz w:val="22"/>
          <w:szCs w:val="22"/>
          <w:highlight w:val="none"/>
        </w:rPr>
        <w:t>规定：</w:t>
      </w:r>
      <w:r>
        <w:rPr>
          <w:rFonts w:hint="eastAsia" w:ascii="宋体" w:hAnsi="宋体" w:eastAsia="宋体" w:cs="宋体"/>
          <w:color w:val="auto"/>
          <w:sz w:val="22"/>
          <w:szCs w:val="22"/>
          <w:highlight w:val="none"/>
          <w:lang w:val="zh-CN"/>
        </w:rPr>
        <w:t>材料及机械运输车辆在我市</w:t>
      </w:r>
      <w:r>
        <w:rPr>
          <w:rFonts w:hint="eastAsia" w:ascii="宋体" w:hAnsi="宋体" w:eastAsia="宋体" w:cs="宋体"/>
          <w:color w:val="auto"/>
          <w:sz w:val="22"/>
          <w:szCs w:val="22"/>
          <w:highlight w:val="none"/>
        </w:rPr>
        <w:t>县道和乡道必须遵守交通部门相关管理规定，禁止超载；施工单位若损坏路道必须自行修复，费用自理，否则从工程保质金中扣留修复款项。</w:t>
      </w:r>
    </w:p>
    <w:p w14:paraId="261A8C91">
      <w:pPr>
        <w:keepNext w:val="0"/>
        <w:keepLines w:val="0"/>
        <w:pageBreakBefore w:val="0"/>
        <w:widowControl w:val="0"/>
        <w:kinsoku/>
        <w:wordWrap/>
        <w:topLinePunct w:val="0"/>
        <w:bidi w:val="0"/>
        <w:spacing w:line="360" w:lineRule="auto"/>
        <w:ind w:left="0" w:leftChars="0" w:firstLine="442" w:firstLineChars="200"/>
        <w:outlineLvl w:val="1"/>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8  测量放线　</w:t>
      </w:r>
    </w:p>
    <w:p w14:paraId="297757BF">
      <w:pPr>
        <w:keepNext w:val="0"/>
        <w:keepLines w:val="0"/>
        <w:pageBreakBefore w:val="0"/>
        <w:widowControl w:val="0"/>
        <w:kinsoku/>
        <w:wordWrap/>
        <w:topLinePunct w:val="0"/>
        <w:bidi w:val="0"/>
        <w:spacing w:line="360" w:lineRule="auto"/>
        <w:ind w:left="0" w:leftChars="0" w:firstLine="442" w:firstLineChars="200"/>
        <w:rPr>
          <w:rFonts w:hint="eastAsia" w:ascii="宋体" w:hAnsi="宋体" w:eastAsia="宋体" w:cs="宋体"/>
          <w:color w:val="auto"/>
          <w:sz w:val="22"/>
          <w:szCs w:val="22"/>
          <w:highlight w:val="none"/>
        </w:rPr>
      </w:pPr>
      <w:bookmarkStart w:id="34" w:name="_Toc48667276"/>
      <w:r>
        <w:rPr>
          <w:rFonts w:hint="eastAsia" w:ascii="宋体" w:hAnsi="宋体" w:eastAsia="宋体" w:cs="宋体"/>
          <w:b/>
          <w:color w:val="auto"/>
          <w:sz w:val="22"/>
          <w:szCs w:val="22"/>
          <w:highlight w:val="none"/>
        </w:rPr>
        <w:t>8.1  施工控制网</w:t>
      </w:r>
      <w:bookmarkEnd w:id="34"/>
      <w:r>
        <w:rPr>
          <w:rFonts w:hint="eastAsia" w:ascii="宋体" w:hAnsi="宋体" w:eastAsia="宋体" w:cs="宋体"/>
          <w:color w:val="auto"/>
          <w:sz w:val="22"/>
          <w:szCs w:val="22"/>
          <w:highlight w:val="none"/>
        </w:rPr>
        <w:t>　</w:t>
      </w:r>
    </w:p>
    <w:p w14:paraId="1572D858">
      <w:pPr>
        <w:keepNext w:val="0"/>
        <w:keepLines w:val="0"/>
        <w:pageBreakBefore w:val="0"/>
        <w:widowControl w:val="0"/>
        <w:kinsoku/>
        <w:wordWrap/>
        <w:topLinePunct w:val="0"/>
        <w:bidi w:val="0"/>
        <w:spacing w:line="360" w:lineRule="auto"/>
        <w:ind w:left="0" w:leftChars="0" w:firstLine="440" w:firstLineChars="200"/>
        <w:rPr>
          <w:rFonts w:hint="eastAsia" w:ascii="宋体" w:hAnsi="宋体" w:eastAsia="宋体" w:cs="宋体"/>
          <w:color w:val="auto"/>
          <w:sz w:val="22"/>
          <w:szCs w:val="22"/>
          <w:highlight w:val="none"/>
        </w:rPr>
      </w:pPr>
      <w:bookmarkStart w:id="35" w:name="_Toc48667277"/>
      <w:r>
        <w:rPr>
          <w:rFonts w:hint="eastAsia" w:ascii="宋体" w:hAnsi="宋体" w:eastAsia="宋体" w:cs="宋体"/>
          <w:color w:val="auto"/>
          <w:sz w:val="22"/>
          <w:szCs w:val="22"/>
          <w:highlight w:val="none"/>
        </w:rPr>
        <w:t>8.1.1 施工控制网的约定：</w:t>
      </w:r>
      <w:r>
        <w:rPr>
          <w:rFonts w:hint="eastAsia" w:ascii="宋体" w:hAnsi="宋体" w:eastAsia="宋体" w:cs="宋体"/>
          <w:color w:val="auto"/>
          <w:sz w:val="22"/>
          <w:szCs w:val="22"/>
          <w:highlight w:val="none"/>
          <w:u w:val="single"/>
        </w:rPr>
        <w:t>用导线控制</w:t>
      </w:r>
      <w:r>
        <w:rPr>
          <w:rFonts w:hint="eastAsia" w:ascii="宋体" w:hAnsi="宋体" w:eastAsia="宋体" w:cs="宋体"/>
          <w:color w:val="auto"/>
          <w:sz w:val="22"/>
          <w:szCs w:val="22"/>
          <w:highlight w:val="none"/>
        </w:rPr>
        <w:t>。</w:t>
      </w:r>
      <w:bookmarkEnd w:id="35"/>
      <w:r>
        <w:rPr>
          <w:rFonts w:hint="eastAsia" w:ascii="宋体" w:hAnsi="宋体" w:eastAsia="宋体" w:cs="宋体"/>
          <w:color w:val="auto"/>
          <w:sz w:val="22"/>
          <w:szCs w:val="22"/>
          <w:highlight w:val="none"/>
        </w:rPr>
        <w:t>　</w:t>
      </w:r>
    </w:p>
    <w:p w14:paraId="5C17508F">
      <w:pPr>
        <w:keepNext w:val="0"/>
        <w:keepLines w:val="0"/>
        <w:pageBreakBefore w:val="0"/>
        <w:widowControl w:val="0"/>
        <w:kinsoku/>
        <w:wordWrap/>
        <w:topLinePunct w:val="0"/>
        <w:bidi w:val="0"/>
        <w:adjustRightInd w:val="0"/>
        <w:snapToGrid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9  施工安全、治安保卫和环境保护</w:t>
      </w:r>
    </w:p>
    <w:p w14:paraId="195FC33E">
      <w:pPr>
        <w:keepNext w:val="0"/>
        <w:keepLines w:val="0"/>
        <w:pageBreakBefore w:val="0"/>
        <w:widowControl w:val="0"/>
        <w:kinsoku/>
        <w:wordWrap/>
        <w:topLinePunct w:val="0"/>
        <w:bidi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9.1.5承包人自行承担完成本工程安全生产、安全作业环境及安全施工措施所需的费用。</w:t>
      </w:r>
    </w:p>
    <w:p w14:paraId="0CCC5EC5">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9.2承包人的施工安全责任增加：</w:t>
      </w:r>
    </w:p>
    <w:p w14:paraId="41D0710C">
      <w:pPr>
        <w:keepNext w:val="0"/>
        <w:keepLines w:val="0"/>
        <w:pageBreakBefore w:val="0"/>
        <w:widowControl w:val="0"/>
        <w:tabs>
          <w:tab w:val="left" w:pos="2340"/>
        </w:tabs>
        <w:kinsoku/>
        <w:wordWrap/>
        <w:topLinePunct w:val="0"/>
        <w:autoSpaceDE w:val="0"/>
        <w:autoSpaceDN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（1）承包人应在工地配备必要的消防设备和救助设施，所需费用由承包人承担。</w:t>
      </w:r>
    </w:p>
    <w:p w14:paraId="227B16E9">
      <w:pPr>
        <w:keepNext w:val="0"/>
        <w:keepLines w:val="0"/>
        <w:pageBreakBefore w:val="0"/>
        <w:widowControl w:val="0"/>
        <w:tabs>
          <w:tab w:val="left" w:pos="2340"/>
        </w:tabs>
        <w:kinsoku/>
        <w:wordWrap/>
        <w:topLinePunct w:val="0"/>
        <w:autoSpaceDE w:val="0"/>
        <w:autoSpaceDN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承包人负责施工范围内的施工安全及相应防护设施，如防护栏、防护网、警示牌及警示标语等，相关的设施费用由承包人承担，承包人应加强安全管理及安全教育，按有关施工规范规程施工，否则在施工工地范围内出现安全事故，由承包人承担相应责任。</w:t>
      </w:r>
    </w:p>
    <w:p w14:paraId="1417EC68">
      <w:pPr>
        <w:keepNext w:val="0"/>
        <w:keepLines w:val="0"/>
        <w:pageBreakBefore w:val="0"/>
        <w:widowControl w:val="0"/>
        <w:tabs>
          <w:tab w:val="left" w:pos="2340"/>
        </w:tabs>
        <w:kinsoku/>
        <w:wordWrap/>
        <w:topLinePunct w:val="0"/>
        <w:autoSpaceDE w:val="0"/>
        <w:autoSpaceDN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（3）施工工地范围必须加强管理，禁止与工程无关人员进入施工现场。否则在施工工地范围导致第三方出现安全事故，概由承包人承担相应责任。</w:t>
      </w:r>
    </w:p>
    <w:p w14:paraId="752FB1BB">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（4）承包人必须按照&lt;&lt;中华人民共和国安全生产法&gt;&gt;的相关规定,采取相关措施，确保安全生产。</w:t>
      </w:r>
    </w:p>
    <w:p w14:paraId="068ADB08">
      <w:pPr>
        <w:keepNext w:val="0"/>
        <w:keepLines w:val="0"/>
        <w:pageBreakBefore w:val="0"/>
        <w:widowControl w:val="0"/>
        <w:kinsoku/>
        <w:wordWrap/>
        <w:topLinePunct w:val="0"/>
        <w:bidi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增加条款9.2.14</w:t>
      </w:r>
    </w:p>
    <w:p w14:paraId="57EFCCDD">
      <w:pPr>
        <w:keepNext w:val="0"/>
        <w:keepLines w:val="0"/>
        <w:pageBreakBefore w:val="0"/>
        <w:widowControl w:val="0"/>
        <w:kinsoku/>
        <w:wordWrap/>
        <w:topLinePunct w:val="0"/>
        <w:bidi w:val="0"/>
        <w:spacing w:line="360" w:lineRule="auto"/>
        <w:ind w:left="0" w:leftChars="0"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 承包人项目经理对承包人的安全生产工作全面负责，为第一责任人；安全生产负责人为安全生产直接责任人。承包人必须严格执行国家、广东省及行业的安全法规、规章，承包人在工地应建立专业或业余消防队伍。达不到安全要求，发包人将对承包人进行处罚。发生重大或以上安全事故，按有关法律法规对承包人进行处罚。</w:t>
      </w:r>
    </w:p>
    <w:p w14:paraId="44C93FA0">
      <w:pPr>
        <w:keepNext w:val="0"/>
        <w:keepLines w:val="0"/>
        <w:pageBreakBefore w:val="0"/>
        <w:widowControl w:val="0"/>
        <w:kinsoku/>
        <w:wordWrap/>
        <w:topLinePunct w:val="0"/>
        <w:bidi w:val="0"/>
        <w:spacing w:line="360" w:lineRule="auto"/>
        <w:ind w:left="0" w:leftChars="0"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 xml:space="preserve"> (2) 进入施工现场的各类人员应当戴好安全帽，系好帽带；临空和高空作业的人员应当系好安全带；各类洞口和脚手架应当设置安全网。安全帽、安全带、安全网应当符合技术安全标准；设置带安全护拦的行走通道往每个施工工作面；不符合安全要求的，除责令立即停止工作外，每人次按100元</w:t>
      </w:r>
      <w:r>
        <w:rPr>
          <w:rFonts w:hint="eastAsia" w:ascii="宋体" w:hAnsi="宋体" w:eastAsia="宋体" w:cs="宋体"/>
          <w:color w:val="auto"/>
          <w:sz w:val="22"/>
          <w:szCs w:val="22"/>
          <w:highlight w:val="none"/>
        </w:rPr>
        <w:t>的违约金计</w:t>
      </w:r>
      <w:r>
        <w:rPr>
          <w:rFonts w:hint="eastAsia" w:ascii="宋体" w:hAnsi="宋体" w:eastAsia="宋体" w:cs="宋体"/>
          <w:color w:val="auto"/>
          <w:sz w:val="22"/>
          <w:szCs w:val="22"/>
          <w:highlight w:val="none"/>
          <w:lang w:val="zh-CN"/>
        </w:rPr>
        <w:t>，并累计计算。</w:t>
      </w:r>
    </w:p>
    <w:p w14:paraId="3A567DCC">
      <w:pPr>
        <w:keepNext w:val="0"/>
        <w:keepLines w:val="0"/>
        <w:pageBreakBefore w:val="0"/>
        <w:widowControl w:val="0"/>
        <w:kinsoku/>
        <w:wordWrap/>
        <w:topLinePunct w:val="0"/>
        <w:bidi w:val="0"/>
        <w:spacing w:line="360" w:lineRule="auto"/>
        <w:ind w:left="0" w:leftChars="0"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 施工现场的用电线路、用电设施的安装和使用应当符合安装规范和安全操作规程，并按照施工组织设计进行架设，禁止任意拉线接电。施工现场应当设有保证施工安全要求的夜间照明、危险潮湿场所照明以及手持照明灯具，应当采用符合安全要求的电压；</w:t>
      </w:r>
    </w:p>
    <w:p w14:paraId="7346EC76">
      <w:pPr>
        <w:keepNext w:val="0"/>
        <w:keepLines w:val="0"/>
        <w:pageBreakBefore w:val="0"/>
        <w:widowControl w:val="0"/>
        <w:kinsoku/>
        <w:wordWrap/>
        <w:topLinePunct w:val="0"/>
        <w:bidi w:val="0"/>
        <w:spacing w:line="360" w:lineRule="auto"/>
        <w:ind w:left="0" w:leftChars="0"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(4) 施工现场内木材加工间、易爆、易燃仓库禁止烟火。危险作业场所禁止吸烟。各类易爆易燃的化学物品、建材、油料必须入库存放，不得露天堆积。乙炔和氧气使用时地、两瓶间距必须大于5米以上，存放时必须封闭隔离。运用明火必须由项目经理和安全负责人在现场核验签字后方可进行，操作人员必须持证上岗，现场按规定配备足够的各类有效防火器材，并经常检查。</w:t>
      </w:r>
    </w:p>
    <w:p w14:paraId="4CD57536">
      <w:pPr>
        <w:keepNext w:val="0"/>
        <w:keepLines w:val="0"/>
        <w:pageBreakBefore w:val="0"/>
        <w:widowControl w:val="0"/>
        <w:kinsoku/>
        <w:wordWrap/>
        <w:topLinePunct w:val="0"/>
        <w:bidi w:val="0"/>
        <w:spacing w:line="360" w:lineRule="auto"/>
        <w:ind w:left="0" w:leftChars="0"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(5) 施工现场内宿舍、办公室、仓库禁止使用电热器具取暖和煮饭，宿舍仓库不得混用。</w:t>
      </w:r>
    </w:p>
    <w:p w14:paraId="7334FC85">
      <w:pPr>
        <w:keepNext w:val="0"/>
        <w:keepLines w:val="0"/>
        <w:pageBreakBefore w:val="0"/>
        <w:widowControl w:val="0"/>
        <w:kinsoku/>
        <w:wordWrap/>
        <w:topLinePunct w:val="0"/>
        <w:bidi w:val="0"/>
        <w:spacing w:line="360" w:lineRule="auto"/>
        <w:ind w:left="0" w:leftChars="0"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(6) 特种作业人员必须按照国家有关规定经过专门的安全作业培训，并取得特种作业操作资格证书后，方可上岗作业，并把证件影印件报监理人备查。</w:t>
      </w:r>
    </w:p>
    <w:p w14:paraId="4ECD0672">
      <w:pPr>
        <w:keepNext w:val="0"/>
        <w:keepLines w:val="0"/>
        <w:pageBreakBefore w:val="0"/>
        <w:widowControl w:val="0"/>
        <w:kinsoku/>
        <w:wordWrap/>
        <w:topLinePunct w:val="0"/>
        <w:bidi w:val="0"/>
        <w:spacing w:line="360" w:lineRule="auto"/>
        <w:ind w:left="0" w:leftChars="0"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(7) 危险地段作业，必须将《安全施工防护措施》在施工前5天送监理工程师审批，经采取有效防护措施并经监理工程师检查合格后，方可作业。</w:t>
      </w:r>
    </w:p>
    <w:p w14:paraId="545090DA">
      <w:pPr>
        <w:keepNext w:val="0"/>
        <w:keepLines w:val="0"/>
        <w:pageBreakBefore w:val="0"/>
        <w:widowControl w:val="0"/>
        <w:kinsoku/>
        <w:wordWrap/>
        <w:topLinePunct w:val="0"/>
        <w:bidi w:val="0"/>
        <w:spacing w:line="360" w:lineRule="auto"/>
        <w:ind w:left="0" w:leftChars="0"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(8) 施工区爆破作业时间应报监理工程师，由监理工程师根据整个工程的实际情况报发包人批准后统一安排时间，任何单位和个人，未经监理工程师同意，不得在规定时间之外进行爆破。</w:t>
      </w:r>
    </w:p>
    <w:p w14:paraId="10D77812">
      <w:pPr>
        <w:keepNext w:val="0"/>
        <w:keepLines w:val="0"/>
        <w:pageBreakBefore w:val="0"/>
        <w:widowControl w:val="0"/>
        <w:kinsoku/>
        <w:wordWrap/>
        <w:topLinePunct w:val="0"/>
        <w:bidi w:val="0"/>
        <w:spacing w:line="360" w:lineRule="auto"/>
        <w:ind w:left="0" w:leftChars="0"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(9) 施工区爆破作业，必须设置安全警戒哨。并按统一的信号进行爆破。对爆破作业可能影响到的作业面，必须在爆破前通知到位。统一信号由监理工程师监管。</w:t>
      </w:r>
    </w:p>
    <w:p w14:paraId="39AACFA0">
      <w:pPr>
        <w:keepNext w:val="0"/>
        <w:keepLines w:val="0"/>
        <w:pageBreakBefore w:val="0"/>
        <w:widowControl w:val="0"/>
        <w:kinsoku/>
        <w:wordWrap/>
        <w:topLinePunct w:val="0"/>
        <w:bidi w:val="0"/>
        <w:spacing w:line="360" w:lineRule="auto"/>
        <w:ind w:left="0" w:leftChars="0"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(10) 施工作业面使用的防护设施不符合要求，经监理认定后，必须立即整改，五天内整改完毕，每延迟一天，按500元</w:t>
      </w:r>
      <w:r>
        <w:rPr>
          <w:rFonts w:hint="eastAsia" w:ascii="宋体" w:hAnsi="宋体" w:eastAsia="宋体" w:cs="宋体"/>
          <w:color w:val="auto"/>
          <w:sz w:val="22"/>
          <w:szCs w:val="22"/>
          <w:highlight w:val="none"/>
        </w:rPr>
        <w:t>的违约金计</w:t>
      </w:r>
      <w:r>
        <w:rPr>
          <w:rFonts w:hint="eastAsia" w:ascii="宋体" w:hAnsi="宋体" w:eastAsia="宋体" w:cs="宋体"/>
          <w:color w:val="auto"/>
          <w:sz w:val="22"/>
          <w:szCs w:val="22"/>
          <w:highlight w:val="none"/>
          <w:lang w:val="zh-CN"/>
        </w:rPr>
        <w:t>；拒不整改的，监理有权责令其停止工作。</w:t>
      </w:r>
    </w:p>
    <w:p w14:paraId="18FC3BF2">
      <w:pPr>
        <w:keepNext w:val="0"/>
        <w:keepLines w:val="0"/>
        <w:pageBreakBefore w:val="0"/>
        <w:widowControl w:val="0"/>
        <w:kinsoku/>
        <w:wordWrap/>
        <w:topLinePunct w:val="0"/>
        <w:bidi w:val="0"/>
        <w:spacing w:line="360" w:lineRule="auto"/>
        <w:ind w:left="0" w:leftChars="0"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(11) 施工作业面无安全警示牌、标语的，自整改通知书下达之日起十天内完成。每延迟一天处以500元罚款；十天后，由监理派人强制实施，费用由被整改方负责，并追究该单位责任。</w:t>
      </w:r>
    </w:p>
    <w:p w14:paraId="31B58806">
      <w:pPr>
        <w:keepNext w:val="0"/>
        <w:keepLines w:val="0"/>
        <w:pageBreakBefore w:val="0"/>
        <w:widowControl w:val="0"/>
        <w:kinsoku/>
        <w:wordWrap/>
        <w:topLinePunct w:val="0"/>
        <w:bidi w:val="0"/>
        <w:spacing w:line="360" w:lineRule="auto"/>
        <w:ind w:left="0" w:leftChars="0"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(12) 道路、水上作业人员必须穿带相应警示标识及防护用具。</w:t>
      </w:r>
    </w:p>
    <w:p w14:paraId="0B588E46">
      <w:pPr>
        <w:keepNext w:val="0"/>
        <w:keepLines w:val="0"/>
        <w:pageBreakBefore w:val="0"/>
        <w:widowControl w:val="0"/>
        <w:kinsoku/>
        <w:wordWrap/>
        <w:topLinePunct w:val="0"/>
        <w:bidi w:val="0"/>
        <w:spacing w:line="360" w:lineRule="auto"/>
        <w:ind w:left="0" w:leftChars="0"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(13) 承包人应及时整改安全生产隐患，未按整改期限要求完成的视情节轻重按</w:t>
      </w:r>
      <w:r>
        <w:rPr>
          <w:rFonts w:hint="eastAsia" w:ascii="宋体" w:hAnsi="宋体" w:eastAsia="宋体" w:cs="宋体"/>
          <w:color w:val="auto"/>
          <w:sz w:val="22"/>
          <w:szCs w:val="22"/>
          <w:highlight w:val="none"/>
        </w:rPr>
        <w:t>违约金</w:t>
      </w:r>
      <w:r>
        <w:rPr>
          <w:rFonts w:hint="eastAsia" w:ascii="宋体" w:hAnsi="宋体" w:eastAsia="宋体" w:cs="宋体"/>
          <w:color w:val="auto"/>
          <w:sz w:val="22"/>
          <w:szCs w:val="22"/>
          <w:highlight w:val="none"/>
          <w:lang w:val="zh-CN"/>
        </w:rPr>
        <w:t>2000到5000元</w:t>
      </w:r>
      <w:r>
        <w:rPr>
          <w:rFonts w:hint="eastAsia" w:ascii="宋体" w:hAnsi="宋体" w:eastAsia="宋体" w:cs="宋体"/>
          <w:color w:val="auto"/>
          <w:sz w:val="22"/>
          <w:szCs w:val="22"/>
          <w:highlight w:val="none"/>
        </w:rPr>
        <w:t>计</w:t>
      </w:r>
      <w:r>
        <w:rPr>
          <w:rFonts w:hint="eastAsia" w:ascii="宋体" w:hAnsi="宋体" w:eastAsia="宋体" w:cs="宋体"/>
          <w:color w:val="auto"/>
          <w:sz w:val="22"/>
          <w:szCs w:val="22"/>
          <w:highlight w:val="none"/>
          <w:lang w:val="zh-CN"/>
        </w:rPr>
        <w:t>。</w:t>
      </w:r>
    </w:p>
    <w:p w14:paraId="2FC36F7B">
      <w:pPr>
        <w:keepNext w:val="0"/>
        <w:keepLines w:val="0"/>
        <w:pageBreakBefore w:val="0"/>
        <w:widowControl w:val="0"/>
        <w:kinsoku/>
        <w:wordWrap/>
        <w:topLinePunct w:val="0"/>
        <w:bidi w:val="0"/>
        <w:spacing w:line="360" w:lineRule="auto"/>
        <w:ind w:left="0" w:leftChars="0"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(14) 工程发生重大及以上安全生产事故，该承包人将被列入全省施工企业诚信管理系统黑名单，并通报全省。</w:t>
      </w:r>
    </w:p>
    <w:p w14:paraId="6C50C09E">
      <w:pPr>
        <w:keepNext w:val="0"/>
        <w:keepLines w:val="0"/>
        <w:pageBreakBefore w:val="0"/>
        <w:widowControl w:val="0"/>
        <w:kinsoku/>
        <w:wordWrap/>
        <w:topLinePunct w:val="0"/>
        <w:bidi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9.7  文明工地</w:t>
      </w:r>
    </w:p>
    <w:p w14:paraId="6C167513">
      <w:pPr>
        <w:keepNext w:val="0"/>
        <w:keepLines w:val="0"/>
        <w:pageBreakBefore w:val="0"/>
        <w:widowControl w:val="0"/>
        <w:kinsoku/>
        <w:wordWrap/>
        <w:topLinePunct w:val="0"/>
        <w:bidi w:val="0"/>
        <w:spacing w:line="360" w:lineRule="auto"/>
        <w:ind w:left="0" w:leftChars="0" w:firstLine="440" w:firstLineChars="200"/>
        <w:rPr>
          <w:rFonts w:hint="eastAsia" w:ascii="宋体" w:hAnsi="宋体" w:eastAsia="宋体" w:cs="宋体"/>
          <w:strike/>
          <w:color w:val="auto"/>
          <w:sz w:val="22"/>
          <w:szCs w:val="22"/>
          <w:highlight w:val="none"/>
        </w:rPr>
      </w:pPr>
      <w:r>
        <w:rPr>
          <w:rFonts w:hint="eastAsia" w:ascii="宋体" w:hAnsi="宋体" w:eastAsia="宋体" w:cs="宋体"/>
          <w:color w:val="auto"/>
          <w:sz w:val="22"/>
          <w:szCs w:val="22"/>
          <w:highlight w:val="none"/>
        </w:rPr>
        <w:t>9.7.1 本合同文明工地的约定：</w:t>
      </w:r>
    </w:p>
    <w:p w14:paraId="313D19B2">
      <w:pPr>
        <w:keepNext w:val="0"/>
        <w:keepLines w:val="0"/>
        <w:pageBreakBefore w:val="0"/>
        <w:widowControl w:val="0"/>
        <w:kinsoku/>
        <w:wordWrap/>
        <w:topLinePunct w:val="0"/>
        <w:bidi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承包人应按创建文明建设工地的规划和办法，履行职责，承担相应责任。所需费用应含在投标报价中。</w:t>
      </w:r>
    </w:p>
    <w:p w14:paraId="7B8DCE12">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bookmarkStart w:id="36" w:name="_Toc48667285"/>
      <w:r>
        <w:rPr>
          <w:rFonts w:hint="eastAsia" w:ascii="宋体" w:hAnsi="宋体" w:eastAsia="宋体" w:cs="宋体"/>
          <w:color w:val="auto"/>
          <w:sz w:val="22"/>
          <w:szCs w:val="22"/>
          <w:highlight w:val="none"/>
        </w:rPr>
        <w:t xml:space="preserve">(1) </w:t>
      </w:r>
      <w:r>
        <w:rPr>
          <w:rFonts w:hint="eastAsia" w:ascii="宋体" w:hAnsi="宋体" w:eastAsia="宋体" w:cs="宋体"/>
          <w:color w:val="auto"/>
          <w:sz w:val="22"/>
          <w:szCs w:val="22"/>
          <w:highlight w:val="none"/>
          <w:lang w:val="zh-CN"/>
        </w:rPr>
        <w:t>工程开工前承包人应编制文明施工专项方案，报监理人批准，并报发包人备案后实施。</w:t>
      </w:r>
      <w:bookmarkEnd w:id="36"/>
    </w:p>
    <w:p w14:paraId="4D318939">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bookmarkStart w:id="37" w:name="_Toc48667286"/>
      <w:r>
        <w:rPr>
          <w:rFonts w:hint="eastAsia" w:ascii="宋体" w:hAnsi="宋体" w:eastAsia="宋体" w:cs="宋体"/>
          <w:color w:val="auto"/>
          <w:sz w:val="22"/>
          <w:szCs w:val="22"/>
          <w:highlight w:val="none"/>
        </w:rPr>
        <w:t xml:space="preserve">(2) </w:t>
      </w:r>
      <w:r>
        <w:rPr>
          <w:rFonts w:hint="eastAsia" w:ascii="宋体" w:hAnsi="宋体" w:eastAsia="宋体" w:cs="宋体"/>
          <w:color w:val="auto"/>
          <w:sz w:val="22"/>
          <w:szCs w:val="22"/>
          <w:highlight w:val="none"/>
          <w:lang w:val="zh-CN"/>
        </w:rPr>
        <w:t>本工程施工实行施工封闭化、围挡标准化、现场临时施工道路采用泥结石路面、保持经常洒水、清扫和养护施工道路、现场硬地化、厨房和厕所卫生化、宿舍和办公室规范化。鼓励美化建筑工地周围环境；</w:t>
      </w:r>
      <w:bookmarkEnd w:id="37"/>
    </w:p>
    <w:p w14:paraId="5853B4CF">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bookmarkStart w:id="38" w:name="_Toc48667287"/>
      <w:r>
        <w:rPr>
          <w:rFonts w:hint="eastAsia" w:ascii="宋体" w:hAnsi="宋体" w:eastAsia="宋体" w:cs="宋体"/>
          <w:color w:val="auto"/>
          <w:sz w:val="22"/>
          <w:szCs w:val="22"/>
          <w:highlight w:val="none"/>
        </w:rPr>
        <w:t xml:space="preserve">(3) </w:t>
      </w:r>
      <w:r>
        <w:rPr>
          <w:rFonts w:hint="eastAsia" w:ascii="宋体" w:hAnsi="宋体" w:eastAsia="宋体" w:cs="宋体"/>
          <w:color w:val="auto"/>
          <w:sz w:val="22"/>
          <w:szCs w:val="22"/>
          <w:highlight w:val="none"/>
          <w:lang w:val="zh-CN"/>
        </w:rPr>
        <w:t>承包人应对施工现场的设备、材料堆放、场地道路、临时生产和生活设施进行统一合理布局，并纳入施工组织设计，报监理人审核同意后执行；</w:t>
      </w:r>
      <w:bookmarkEnd w:id="38"/>
    </w:p>
    <w:p w14:paraId="7596B652">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bookmarkStart w:id="39" w:name="_Toc48667288"/>
      <w:r>
        <w:rPr>
          <w:rFonts w:hint="eastAsia" w:ascii="宋体" w:hAnsi="宋体" w:eastAsia="宋体" w:cs="宋体"/>
          <w:color w:val="auto"/>
          <w:sz w:val="22"/>
          <w:szCs w:val="22"/>
          <w:highlight w:val="none"/>
        </w:rPr>
        <w:t xml:space="preserve">(4) </w:t>
      </w:r>
      <w:r>
        <w:rPr>
          <w:rFonts w:hint="eastAsia" w:ascii="宋体" w:hAnsi="宋体" w:eastAsia="宋体" w:cs="宋体"/>
          <w:color w:val="auto"/>
          <w:sz w:val="22"/>
          <w:szCs w:val="22"/>
          <w:highlight w:val="none"/>
          <w:lang w:val="zh-CN"/>
        </w:rPr>
        <w:t>生活区（办公室、宿舍、厨房、厕所、临时水电设施、仓库）统一采用预制板房或砖房，临设布置符合文明施工标准，生活污水经处理后再排放，职工宿舍及周围环境要求卫生、整洁、安全，每间宿舍居住人数不得超过</w:t>
      </w:r>
      <w:r>
        <w:rPr>
          <w:rFonts w:hint="eastAsia" w:ascii="宋体" w:hAnsi="宋体" w:eastAsia="宋体" w:cs="宋体"/>
          <w:color w:val="auto"/>
          <w:sz w:val="22"/>
          <w:szCs w:val="22"/>
          <w:highlight w:val="none"/>
        </w:rPr>
        <w:t>16</w:t>
      </w:r>
      <w:r>
        <w:rPr>
          <w:rFonts w:hint="eastAsia" w:ascii="宋体" w:hAnsi="宋体" w:eastAsia="宋体" w:cs="宋体"/>
          <w:color w:val="auto"/>
          <w:sz w:val="22"/>
          <w:szCs w:val="22"/>
          <w:highlight w:val="none"/>
          <w:lang w:val="zh-CN"/>
        </w:rPr>
        <w:t>人，消防通道宽不小于</w:t>
      </w:r>
      <w:r>
        <w:rPr>
          <w:rFonts w:hint="eastAsia" w:ascii="宋体" w:hAnsi="宋体" w:eastAsia="宋体" w:cs="宋体"/>
          <w:color w:val="auto"/>
          <w:sz w:val="22"/>
          <w:szCs w:val="22"/>
          <w:highlight w:val="none"/>
        </w:rPr>
        <w:t>1.2m</w:t>
      </w:r>
      <w:r>
        <w:rPr>
          <w:rFonts w:hint="eastAsia" w:ascii="宋体" w:hAnsi="宋体" w:eastAsia="宋体" w:cs="宋体"/>
          <w:color w:val="auto"/>
          <w:sz w:val="22"/>
          <w:szCs w:val="22"/>
          <w:highlight w:val="none"/>
          <w:lang w:val="zh-CN"/>
        </w:rPr>
        <w:t>并保持畅通，宿舍内空气要保持流通。宿舍内应当使用双层铁架床或其他合格的床铺，严禁设置通铺，禁止男女混居。宿舍内应设置封闭式餐具柜，个人物品应摆放整齐，保持卫生整洁。宿舍用电应设置独立的漏电、短路保护器和安全插座，电线必须套管，禁止电线乱拉乱接。宿舍要有管理制度，并落实治安、防火和卫生管理责任人。</w:t>
      </w:r>
      <w:bookmarkEnd w:id="39"/>
    </w:p>
    <w:p w14:paraId="24BA2E41">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bookmarkStart w:id="40" w:name="_Toc48667289"/>
      <w:r>
        <w:rPr>
          <w:rFonts w:hint="eastAsia" w:ascii="宋体" w:hAnsi="宋体" w:eastAsia="宋体" w:cs="宋体"/>
          <w:color w:val="auto"/>
          <w:sz w:val="22"/>
          <w:szCs w:val="22"/>
          <w:highlight w:val="none"/>
        </w:rPr>
        <w:t xml:space="preserve">(5) </w:t>
      </w:r>
      <w:r>
        <w:rPr>
          <w:rFonts w:hint="eastAsia" w:ascii="宋体" w:hAnsi="宋体" w:eastAsia="宋体" w:cs="宋体"/>
          <w:color w:val="auto"/>
          <w:sz w:val="22"/>
          <w:szCs w:val="22"/>
          <w:highlight w:val="none"/>
          <w:lang w:val="zh-CN"/>
        </w:rPr>
        <w:t>生产区临设布置合理，修理厂污水应设隔油池处理后再排放，拌和站污水经三级沉淀池处理后再排放，施工道路采用泥结石路面并定期洒水保证空气质量；</w:t>
      </w:r>
      <w:bookmarkEnd w:id="40"/>
    </w:p>
    <w:p w14:paraId="32E06F36">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bookmarkStart w:id="41" w:name="_Toc48667290"/>
      <w:r>
        <w:rPr>
          <w:rFonts w:hint="eastAsia" w:ascii="宋体" w:hAnsi="宋体" w:eastAsia="宋体" w:cs="宋体"/>
          <w:color w:val="auto"/>
          <w:sz w:val="22"/>
          <w:szCs w:val="22"/>
          <w:highlight w:val="none"/>
        </w:rPr>
        <w:t xml:space="preserve">(6) </w:t>
      </w:r>
      <w:r>
        <w:rPr>
          <w:rFonts w:hint="eastAsia" w:ascii="宋体" w:hAnsi="宋体" w:eastAsia="宋体" w:cs="宋体"/>
          <w:color w:val="auto"/>
          <w:sz w:val="22"/>
          <w:szCs w:val="22"/>
          <w:highlight w:val="none"/>
          <w:lang w:val="zh-CN"/>
        </w:rPr>
        <w:t>无审批手续，不应乱搭乱建生产、生活、临时建筑设施、或擅自改变用途，除处罚款外，并责令拆除。</w:t>
      </w:r>
      <w:bookmarkEnd w:id="41"/>
    </w:p>
    <w:p w14:paraId="09495C0E">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bookmarkStart w:id="42" w:name="_Toc48667291"/>
      <w:r>
        <w:rPr>
          <w:rFonts w:hint="eastAsia" w:ascii="宋体" w:hAnsi="宋体" w:eastAsia="宋体" w:cs="宋体"/>
          <w:color w:val="auto"/>
          <w:sz w:val="22"/>
          <w:szCs w:val="22"/>
          <w:highlight w:val="none"/>
        </w:rPr>
        <w:t xml:space="preserve">(7) </w:t>
      </w:r>
      <w:r>
        <w:rPr>
          <w:rFonts w:hint="eastAsia" w:ascii="宋体" w:hAnsi="宋体" w:eastAsia="宋体" w:cs="宋体"/>
          <w:color w:val="auto"/>
          <w:sz w:val="22"/>
          <w:szCs w:val="22"/>
          <w:highlight w:val="none"/>
          <w:lang w:val="zh-CN"/>
        </w:rPr>
        <w:t>施工现场的建设材料和设施，不得堆放在围墙和围板外，如确需要占用堆放的，必须按有关规定办理手续，并设置临时围栏，房屋工程的首层建好后（其他工程的一旦条件许可），材料要移入围墙内。材料堆放应当离开围墙地，与生活设施分隔，分类堆放整齐，标识清楚，散料要砌池围筑、杆料要立杆设栏、块料要起堆又叠又放，堆放高度不得高于</w:t>
      </w:r>
      <w:r>
        <w:rPr>
          <w:rFonts w:hint="eastAsia" w:ascii="宋体" w:hAnsi="宋体" w:eastAsia="宋体" w:cs="宋体"/>
          <w:color w:val="auto"/>
          <w:sz w:val="22"/>
          <w:szCs w:val="22"/>
          <w:highlight w:val="none"/>
        </w:rPr>
        <w:t>1.6</w:t>
      </w:r>
      <w:r>
        <w:rPr>
          <w:rFonts w:hint="eastAsia" w:ascii="宋体" w:hAnsi="宋体" w:eastAsia="宋体" w:cs="宋体"/>
          <w:color w:val="auto"/>
          <w:sz w:val="22"/>
          <w:szCs w:val="22"/>
          <w:highlight w:val="none"/>
          <w:lang w:val="zh-CN"/>
        </w:rPr>
        <w:t>米。</w:t>
      </w:r>
      <w:bookmarkEnd w:id="42"/>
    </w:p>
    <w:p w14:paraId="0FD2D46D">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bookmarkStart w:id="43" w:name="_Toc48667292"/>
      <w:r>
        <w:rPr>
          <w:rFonts w:hint="eastAsia" w:ascii="宋体" w:hAnsi="宋体" w:eastAsia="宋体" w:cs="宋体"/>
          <w:color w:val="auto"/>
          <w:sz w:val="22"/>
          <w:szCs w:val="22"/>
          <w:highlight w:val="none"/>
        </w:rPr>
        <w:t xml:space="preserve">(8) </w:t>
      </w:r>
      <w:r>
        <w:rPr>
          <w:rFonts w:hint="eastAsia" w:ascii="宋体" w:hAnsi="宋体" w:eastAsia="宋体" w:cs="宋体"/>
          <w:color w:val="auto"/>
          <w:sz w:val="22"/>
          <w:szCs w:val="22"/>
          <w:highlight w:val="none"/>
          <w:lang w:val="zh-CN"/>
        </w:rPr>
        <w:t>施工区公路沿线，禁止停放大型机械、车辆，特别是主要道路交叉口禁止停放闲置设备，任何单位和个人的运输及机械设备，不得占用有效路面。</w:t>
      </w:r>
      <w:bookmarkEnd w:id="43"/>
    </w:p>
    <w:p w14:paraId="5B2F9FC3">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lang w:val="zh-CN"/>
        </w:rPr>
      </w:pPr>
      <w:bookmarkStart w:id="44" w:name="_Toc48667293"/>
      <w:r>
        <w:rPr>
          <w:rFonts w:hint="eastAsia" w:ascii="宋体" w:hAnsi="宋体" w:eastAsia="宋体" w:cs="宋体"/>
          <w:color w:val="auto"/>
          <w:sz w:val="22"/>
          <w:szCs w:val="22"/>
          <w:highlight w:val="none"/>
          <w:lang w:val="zh-CN"/>
        </w:rPr>
        <w:t>(9) 各承包人参与工程建设的车辆，必须车况良好，其中混凝土、砂、石料场外运输必须覆盖，并由承包人统一上报车型、编号，办理场内机动车辆通行证。</w:t>
      </w:r>
      <w:bookmarkEnd w:id="44"/>
    </w:p>
    <w:p w14:paraId="4B788A25">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lang w:val="zh-CN"/>
        </w:rPr>
      </w:pPr>
      <w:bookmarkStart w:id="45" w:name="_Toc48667294"/>
      <w:r>
        <w:rPr>
          <w:rFonts w:hint="eastAsia" w:ascii="宋体" w:hAnsi="宋体" w:eastAsia="宋体" w:cs="宋体"/>
          <w:color w:val="auto"/>
          <w:sz w:val="22"/>
          <w:szCs w:val="22"/>
          <w:highlight w:val="none"/>
          <w:lang w:val="zh-CN"/>
        </w:rPr>
        <w:t>(10) 承包人有责任处理好与当地居民及其他承包人之间的关系，服从发包人及当地政府的管理，避免产生矛盾和冲突，严禁打架斗殴。</w:t>
      </w:r>
      <w:bookmarkEnd w:id="45"/>
    </w:p>
    <w:p w14:paraId="11BE34EC">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lang w:val="zh-CN"/>
        </w:rPr>
      </w:pPr>
      <w:bookmarkStart w:id="46" w:name="_Toc48667295"/>
      <w:r>
        <w:rPr>
          <w:rFonts w:hint="eastAsia" w:ascii="宋体" w:hAnsi="宋体" w:eastAsia="宋体" w:cs="宋体"/>
          <w:color w:val="auto"/>
          <w:sz w:val="22"/>
          <w:szCs w:val="22"/>
          <w:highlight w:val="none"/>
          <w:lang w:val="zh-CN"/>
        </w:rPr>
        <w:t>(11) 承包人应在工地营造文明、和谐的建设氛围。</w:t>
      </w:r>
      <w:bookmarkEnd w:id="46"/>
    </w:p>
    <w:p w14:paraId="23B8C478">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(12)  承包人违反文明施工管理规定，发包人将视其情节的轻重处以200-5000元的罚款，罚款在每月进度支付中扣除。</w:t>
      </w:r>
    </w:p>
    <w:p w14:paraId="6D4AF6DB">
      <w:pPr>
        <w:keepNext w:val="0"/>
        <w:keepLines w:val="0"/>
        <w:pageBreakBefore w:val="0"/>
        <w:widowControl w:val="0"/>
        <w:kinsoku/>
        <w:wordWrap/>
        <w:topLinePunct w:val="0"/>
        <w:bidi w:val="0"/>
        <w:adjustRightInd w:val="0"/>
        <w:snapToGrid w:val="0"/>
        <w:spacing w:line="360" w:lineRule="auto"/>
        <w:ind w:left="0" w:leftChars="0" w:firstLine="442" w:firstLineChars="200"/>
        <w:outlineLvl w:val="1"/>
        <w:rPr>
          <w:rFonts w:hint="eastAsia" w:ascii="宋体" w:hAnsi="宋体" w:eastAsia="宋体" w:cs="宋体"/>
          <w:b/>
          <w:color w:val="auto"/>
          <w:sz w:val="22"/>
          <w:szCs w:val="22"/>
          <w:highlight w:val="none"/>
        </w:rPr>
      </w:pPr>
      <w:bookmarkStart w:id="47" w:name="_Toc48667296"/>
      <w:r>
        <w:rPr>
          <w:rFonts w:hint="eastAsia" w:ascii="宋体" w:hAnsi="宋体" w:eastAsia="宋体" w:cs="宋体"/>
          <w:b/>
          <w:color w:val="auto"/>
          <w:sz w:val="22"/>
          <w:szCs w:val="22"/>
          <w:highlight w:val="none"/>
        </w:rPr>
        <w:t>10  进度计划</w:t>
      </w:r>
      <w:bookmarkEnd w:id="47"/>
    </w:p>
    <w:p w14:paraId="00B1BA3B">
      <w:pPr>
        <w:keepNext w:val="0"/>
        <w:keepLines w:val="0"/>
        <w:pageBreakBefore w:val="0"/>
        <w:widowControl w:val="0"/>
        <w:kinsoku/>
        <w:wordWrap/>
        <w:topLinePunct w:val="0"/>
        <w:bidi w:val="0"/>
        <w:adjustRightInd w:val="0"/>
        <w:snapToGrid w:val="0"/>
        <w:spacing w:line="360" w:lineRule="auto"/>
        <w:ind w:left="0" w:leftChars="0" w:firstLine="442" w:firstLineChars="200"/>
        <w:rPr>
          <w:rFonts w:hint="eastAsia" w:ascii="宋体" w:hAnsi="宋体" w:eastAsia="宋体" w:cs="宋体"/>
          <w:b/>
          <w:color w:val="auto"/>
          <w:sz w:val="22"/>
          <w:szCs w:val="22"/>
          <w:highlight w:val="none"/>
        </w:rPr>
      </w:pPr>
      <w:bookmarkStart w:id="48" w:name="_Toc48667297"/>
      <w:r>
        <w:rPr>
          <w:rFonts w:hint="eastAsia" w:ascii="宋体" w:hAnsi="宋体" w:eastAsia="宋体" w:cs="宋体"/>
          <w:b/>
          <w:color w:val="auto"/>
          <w:sz w:val="22"/>
          <w:szCs w:val="22"/>
          <w:highlight w:val="none"/>
        </w:rPr>
        <w:t>10.1  合同进度计划</w:t>
      </w:r>
      <w:bookmarkEnd w:id="48"/>
    </w:p>
    <w:p w14:paraId="2BE9E67A">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bookmarkStart w:id="49" w:name="_Toc48667298"/>
      <w:r>
        <w:rPr>
          <w:rFonts w:hint="eastAsia" w:ascii="宋体" w:hAnsi="宋体" w:eastAsia="宋体" w:cs="宋体"/>
          <w:color w:val="auto"/>
          <w:sz w:val="22"/>
          <w:szCs w:val="22"/>
          <w:highlight w:val="none"/>
        </w:rPr>
        <w:t>本款增加：</w:t>
      </w:r>
      <w:bookmarkEnd w:id="49"/>
    </w:p>
    <w:p w14:paraId="1297DF29">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bCs/>
          <w:color w:val="auto"/>
          <w:sz w:val="22"/>
          <w:szCs w:val="22"/>
          <w:highlight w:val="none"/>
          <w:lang w:val="zh-CN"/>
        </w:rPr>
      </w:pPr>
      <w:bookmarkStart w:id="50" w:name="_Toc48667302"/>
      <w:r>
        <w:rPr>
          <w:rFonts w:hint="eastAsia" w:ascii="宋体" w:hAnsi="宋体" w:eastAsia="宋体" w:cs="宋体"/>
          <w:bCs/>
          <w:color w:val="auto"/>
          <w:sz w:val="22"/>
          <w:szCs w:val="22"/>
          <w:highlight w:val="none"/>
          <w:lang w:val="zh-CN"/>
        </w:rPr>
        <w:t>(1)  第一次技术交底后，承包人一周内提交一份施工总进度计划（用P3软件编制，以下同）报监理人审批，其格式和细节应符合监理工程师的合理要求；</w:t>
      </w:r>
    </w:p>
    <w:p w14:paraId="283E9E00">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zh-CN"/>
        </w:rPr>
        <w:t>(2)  承包人向监理人每季度（及年度）末提供下季度（年度）施工进度计划，每月25日前提供下个月施工进度计划及相关施工投入的人员、设备表;</w:t>
      </w:r>
    </w:p>
    <w:p w14:paraId="0C6881C9">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zh-CN"/>
        </w:rPr>
        <w:t>(3)  每周（月、季、年）例会及重要协调会议，承包人必须由项目经理和项目总工（技术负责人）参加，汇报材料要有项目经理签字的纸质文件和做ppt文件汇报，其中要有现场进度相片。</w:t>
      </w:r>
    </w:p>
    <w:p w14:paraId="7F2AD5A4">
      <w:pPr>
        <w:keepNext w:val="0"/>
        <w:keepLines w:val="0"/>
        <w:pageBreakBefore w:val="0"/>
        <w:widowControl w:val="0"/>
        <w:kinsoku/>
        <w:wordWrap/>
        <w:topLinePunct w:val="0"/>
        <w:bidi w:val="0"/>
        <w:adjustRightInd w:val="0"/>
        <w:snapToGrid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10.2  合同进度计划的修订</w:t>
      </w:r>
      <w:bookmarkEnd w:id="50"/>
    </w:p>
    <w:p w14:paraId="5A634A8E">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b/>
          <w:color w:val="auto"/>
          <w:sz w:val="22"/>
          <w:szCs w:val="22"/>
          <w:highlight w:val="none"/>
        </w:rPr>
      </w:pPr>
      <w:bookmarkStart w:id="51" w:name="_Toc48667303"/>
      <w:r>
        <w:rPr>
          <w:rFonts w:hint="eastAsia" w:ascii="宋体" w:hAnsi="宋体" w:eastAsia="宋体" w:cs="宋体"/>
          <w:color w:val="auto"/>
          <w:sz w:val="22"/>
          <w:szCs w:val="22"/>
          <w:highlight w:val="none"/>
          <w:lang w:val="zh-CN"/>
        </w:rPr>
        <w:t>本款增加：为了达到工期目标，经监理人批准的工程进度计划，承包人必须采取一切措施保证工期，不允许延误。如监理人认为月进度计划不能满足确保关键工期的要求，监理人可指示承包人修改原施工计划并提供施工保证措施。承包人应无条件服从并不得向发包人提出任何的补偿要求。</w:t>
      </w:r>
      <w:bookmarkEnd w:id="51"/>
    </w:p>
    <w:p w14:paraId="505D9956">
      <w:pPr>
        <w:keepNext w:val="0"/>
        <w:keepLines w:val="0"/>
        <w:pageBreakBefore w:val="0"/>
        <w:widowControl w:val="0"/>
        <w:kinsoku/>
        <w:wordWrap/>
        <w:topLinePunct w:val="0"/>
        <w:bidi w:val="0"/>
        <w:adjustRightInd w:val="0"/>
        <w:snapToGrid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11  开工和竣工（完工）</w:t>
      </w:r>
    </w:p>
    <w:p w14:paraId="360F8B03">
      <w:pPr>
        <w:keepNext w:val="0"/>
        <w:keepLines w:val="0"/>
        <w:pageBreakBefore w:val="0"/>
        <w:widowControl w:val="0"/>
        <w:kinsoku/>
        <w:wordWrap/>
        <w:topLinePunct w:val="0"/>
        <w:bidi w:val="0"/>
        <w:adjustRightInd w:val="0"/>
        <w:snapToGrid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11.4 异常恶劣的气候条件</w:t>
      </w:r>
    </w:p>
    <w:p w14:paraId="741F74C6">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11.4.3 本合同工程界定异常恶劣气候条件的范围为：</w:t>
      </w:r>
    </w:p>
    <w:p w14:paraId="7BDB99ED">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（1）日降雨量大于</w:t>
      </w:r>
      <w:r>
        <w:rPr>
          <w:rFonts w:hint="eastAsia" w:ascii="宋体" w:hAnsi="宋体" w:eastAsia="宋体" w:cs="宋体"/>
          <w:color w:val="auto"/>
          <w:sz w:val="22"/>
          <w:szCs w:val="22"/>
          <w:highlight w:val="none"/>
          <w:u w:val="single"/>
        </w:rPr>
        <w:t xml:space="preserve">  50 </w:t>
      </w:r>
      <w:r>
        <w:rPr>
          <w:rFonts w:hint="eastAsia" w:ascii="宋体" w:hAnsi="宋体" w:eastAsia="宋体" w:cs="宋体"/>
          <w:color w:val="auto"/>
          <w:sz w:val="22"/>
          <w:szCs w:val="22"/>
          <w:highlight w:val="none"/>
        </w:rPr>
        <w:t>mm的雨日超过</w:t>
      </w:r>
      <w:r>
        <w:rPr>
          <w:rFonts w:hint="eastAsia" w:ascii="宋体" w:hAnsi="宋体" w:eastAsia="宋体" w:cs="宋体"/>
          <w:color w:val="auto"/>
          <w:sz w:val="22"/>
          <w:szCs w:val="22"/>
          <w:highlight w:val="none"/>
          <w:u w:val="single"/>
          <w:lang w:val="en-US" w:eastAsia="zh-CN"/>
        </w:rPr>
        <w:t>3</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天；</w:t>
      </w:r>
    </w:p>
    <w:p w14:paraId="3ADC746C">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（2）风速大于</w:t>
      </w:r>
      <w:r>
        <w:rPr>
          <w:rFonts w:hint="eastAsia" w:ascii="宋体" w:hAnsi="宋体" w:eastAsia="宋体" w:cs="宋体"/>
          <w:color w:val="auto"/>
          <w:sz w:val="22"/>
          <w:szCs w:val="22"/>
          <w:highlight w:val="none"/>
          <w:u w:val="single"/>
        </w:rPr>
        <w:t xml:space="preserve"> \ </w:t>
      </w:r>
      <w:r>
        <w:rPr>
          <w:rFonts w:hint="eastAsia" w:ascii="宋体" w:hAnsi="宋体" w:eastAsia="宋体" w:cs="宋体"/>
          <w:color w:val="auto"/>
          <w:sz w:val="22"/>
          <w:szCs w:val="22"/>
          <w:highlight w:val="none"/>
        </w:rPr>
        <w:t>m/s的</w:t>
      </w:r>
      <w:r>
        <w:rPr>
          <w:rFonts w:hint="eastAsia" w:ascii="宋体" w:hAnsi="宋体" w:eastAsia="宋体" w:cs="宋体"/>
          <w:color w:val="auto"/>
          <w:sz w:val="22"/>
          <w:szCs w:val="22"/>
          <w:highlight w:val="none"/>
          <w:u w:val="single"/>
        </w:rPr>
        <w:t xml:space="preserve">  6  </w:t>
      </w:r>
      <w:r>
        <w:rPr>
          <w:rFonts w:hint="eastAsia" w:ascii="宋体" w:hAnsi="宋体" w:eastAsia="宋体" w:cs="宋体"/>
          <w:color w:val="auto"/>
          <w:sz w:val="22"/>
          <w:szCs w:val="22"/>
          <w:highlight w:val="none"/>
        </w:rPr>
        <w:t>级以上台风灾害；</w:t>
      </w:r>
    </w:p>
    <w:p w14:paraId="18F02538">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（3）日气温超过</w:t>
      </w:r>
      <w:r>
        <w:rPr>
          <w:rFonts w:hint="eastAsia" w:ascii="宋体" w:hAnsi="宋体" w:eastAsia="宋体" w:cs="宋体"/>
          <w:color w:val="auto"/>
          <w:sz w:val="22"/>
          <w:szCs w:val="22"/>
          <w:highlight w:val="none"/>
          <w:u w:val="single"/>
        </w:rPr>
        <w:t xml:space="preserve">38 </w:t>
      </w:r>
      <w:r>
        <w:rPr>
          <w:rFonts w:hint="eastAsia" w:ascii="宋体" w:hAnsi="宋体" w:eastAsia="宋体" w:cs="宋体"/>
          <w:color w:val="auto"/>
          <w:sz w:val="22"/>
          <w:szCs w:val="22"/>
          <w:highlight w:val="none"/>
        </w:rPr>
        <w:t>℃的高温大于</w:t>
      </w:r>
      <w:r>
        <w:rPr>
          <w:rFonts w:hint="eastAsia" w:ascii="宋体" w:hAnsi="宋体" w:eastAsia="宋体" w:cs="宋体"/>
          <w:color w:val="auto"/>
          <w:sz w:val="22"/>
          <w:szCs w:val="22"/>
          <w:highlight w:val="none"/>
          <w:u w:val="single"/>
        </w:rPr>
        <w:t xml:space="preserve"> 3  </w:t>
      </w:r>
      <w:r>
        <w:rPr>
          <w:rFonts w:hint="eastAsia" w:ascii="宋体" w:hAnsi="宋体" w:eastAsia="宋体" w:cs="宋体"/>
          <w:color w:val="auto"/>
          <w:sz w:val="22"/>
          <w:szCs w:val="22"/>
          <w:highlight w:val="none"/>
        </w:rPr>
        <w:t>天；</w:t>
      </w:r>
    </w:p>
    <w:p w14:paraId="0185880B">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（4）日气温低于</w:t>
      </w:r>
      <w:r>
        <w:rPr>
          <w:rFonts w:hint="eastAsia" w:ascii="宋体" w:hAnsi="宋体" w:eastAsia="宋体" w:cs="宋体"/>
          <w:color w:val="auto"/>
          <w:sz w:val="22"/>
          <w:szCs w:val="22"/>
          <w:highlight w:val="none"/>
          <w:u w:val="single"/>
        </w:rPr>
        <w:t>0</w:t>
      </w:r>
      <w:r>
        <w:rPr>
          <w:rFonts w:hint="eastAsia" w:ascii="宋体" w:hAnsi="宋体" w:eastAsia="宋体" w:cs="宋体"/>
          <w:color w:val="auto"/>
          <w:sz w:val="22"/>
          <w:szCs w:val="22"/>
          <w:highlight w:val="none"/>
        </w:rPr>
        <w:t>℃的严寒大于</w:t>
      </w:r>
      <w:r>
        <w:rPr>
          <w:rFonts w:hint="eastAsia" w:ascii="宋体" w:hAnsi="宋体" w:eastAsia="宋体" w:cs="宋体"/>
          <w:color w:val="auto"/>
          <w:sz w:val="22"/>
          <w:szCs w:val="22"/>
          <w:highlight w:val="none"/>
          <w:u w:val="single"/>
        </w:rPr>
        <w:t xml:space="preserve"> 3 </w:t>
      </w:r>
      <w:r>
        <w:rPr>
          <w:rFonts w:hint="eastAsia" w:ascii="宋体" w:hAnsi="宋体" w:eastAsia="宋体" w:cs="宋体"/>
          <w:color w:val="auto"/>
          <w:sz w:val="22"/>
          <w:szCs w:val="22"/>
          <w:highlight w:val="none"/>
        </w:rPr>
        <w:t>天；</w:t>
      </w:r>
    </w:p>
    <w:p w14:paraId="2CE218A2">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（5）造成工程损坏的冰雹和大雪灾害：</w:t>
      </w:r>
      <w:r>
        <w:rPr>
          <w:rFonts w:hint="eastAsia" w:ascii="宋体" w:hAnsi="宋体" w:eastAsia="宋体" w:cs="宋体"/>
          <w:color w:val="auto"/>
          <w:sz w:val="22"/>
          <w:szCs w:val="22"/>
          <w:highlight w:val="none"/>
          <w:u w:val="single"/>
        </w:rPr>
        <w:t xml:space="preserve"> 日降雪量10mm及以上  </w:t>
      </w:r>
      <w:r>
        <w:rPr>
          <w:rFonts w:hint="eastAsia" w:ascii="宋体" w:hAnsi="宋体" w:eastAsia="宋体" w:cs="宋体"/>
          <w:color w:val="auto"/>
          <w:sz w:val="22"/>
          <w:szCs w:val="22"/>
          <w:highlight w:val="none"/>
        </w:rPr>
        <w:t>；</w:t>
      </w:r>
    </w:p>
    <w:p w14:paraId="0BE7E5FD">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（6）其他异常恶劣气候灾害</w:t>
      </w:r>
      <w:r>
        <w:rPr>
          <w:rFonts w:hint="eastAsia" w:ascii="宋体" w:hAnsi="宋体" w:eastAsia="宋体" w:cs="宋体"/>
          <w:color w:val="auto"/>
          <w:sz w:val="22"/>
          <w:szCs w:val="22"/>
          <w:highlight w:val="none"/>
          <w:lang w:eastAsia="zh-CN"/>
        </w:rPr>
        <w:t>；</w:t>
      </w:r>
    </w:p>
    <w:p w14:paraId="0CA54CC4">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因天气原因，当地政府或应急部门要求停工的</w:t>
      </w:r>
      <w:r>
        <w:rPr>
          <w:rFonts w:hint="eastAsia" w:ascii="宋体" w:hAnsi="宋体" w:eastAsia="宋体" w:cs="宋体"/>
          <w:color w:val="auto"/>
          <w:sz w:val="22"/>
          <w:szCs w:val="22"/>
          <w:highlight w:val="none"/>
        </w:rPr>
        <w:t>。</w:t>
      </w:r>
    </w:p>
    <w:p w14:paraId="6A292A51">
      <w:pPr>
        <w:keepNext w:val="0"/>
        <w:keepLines w:val="0"/>
        <w:pageBreakBefore w:val="0"/>
        <w:widowControl w:val="0"/>
        <w:kinsoku/>
        <w:wordWrap/>
        <w:topLinePunct w:val="0"/>
        <w:bidi w:val="0"/>
        <w:adjustRightInd w:val="0"/>
        <w:snapToGrid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11.5承包人工期延误</w:t>
      </w:r>
    </w:p>
    <w:p w14:paraId="68FE3476">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（1）逾期完工违约金表：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3456"/>
        <w:gridCol w:w="2146"/>
        <w:gridCol w:w="2146"/>
      </w:tblGrid>
      <w:tr w14:paraId="1061F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34" w:type="dxa"/>
            <w:vAlign w:val="center"/>
          </w:tcPr>
          <w:p w14:paraId="3CD0FADC">
            <w:pPr>
              <w:keepNext w:val="0"/>
              <w:keepLines w:val="0"/>
              <w:pageBreakBefore w:val="0"/>
              <w:widowControl w:val="0"/>
              <w:kinsoku/>
              <w:wordWrap/>
              <w:topLinePunct w:val="0"/>
              <w:bidi w:val="0"/>
              <w:adjustRightInd w:val="0"/>
              <w:snapToGrid w:val="0"/>
              <w:spacing w:line="360" w:lineRule="auto"/>
              <w:ind w:left="0" w:leftChars="0" w:firstLine="440" w:firstLineChars="20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3456" w:type="dxa"/>
            <w:vAlign w:val="center"/>
          </w:tcPr>
          <w:p w14:paraId="0F23AC79">
            <w:pPr>
              <w:keepNext w:val="0"/>
              <w:keepLines w:val="0"/>
              <w:pageBreakBefore w:val="0"/>
              <w:widowControl w:val="0"/>
              <w:kinsoku/>
              <w:wordWrap/>
              <w:topLinePunct w:val="0"/>
              <w:bidi w:val="0"/>
              <w:adjustRightInd w:val="0"/>
              <w:snapToGrid w:val="0"/>
              <w:spacing w:line="360" w:lineRule="auto"/>
              <w:ind w:left="0" w:leftChars="0" w:firstLine="440" w:firstLineChars="20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项目及其说明</w:t>
            </w:r>
          </w:p>
        </w:tc>
        <w:tc>
          <w:tcPr>
            <w:tcW w:w="2146" w:type="dxa"/>
            <w:vAlign w:val="center"/>
          </w:tcPr>
          <w:p w14:paraId="2755FA84">
            <w:pPr>
              <w:keepNext w:val="0"/>
              <w:keepLines w:val="0"/>
              <w:pageBreakBefore w:val="0"/>
              <w:widowControl w:val="0"/>
              <w:kinsoku/>
              <w:wordWrap/>
              <w:topLinePunct w:val="0"/>
              <w:bidi w:val="0"/>
              <w:adjustRightInd w:val="0"/>
              <w:snapToGrid w:val="0"/>
              <w:spacing w:line="360" w:lineRule="auto"/>
              <w:ind w:left="0" w:leftChars="0" w:firstLine="440" w:firstLineChars="20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要求完工期</w:t>
            </w:r>
          </w:p>
        </w:tc>
        <w:tc>
          <w:tcPr>
            <w:tcW w:w="2146" w:type="dxa"/>
            <w:vAlign w:val="center"/>
          </w:tcPr>
          <w:p w14:paraId="00E20860">
            <w:pPr>
              <w:keepNext w:val="0"/>
              <w:keepLines w:val="0"/>
              <w:pageBreakBefore w:val="0"/>
              <w:widowControl w:val="0"/>
              <w:kinsoku/>
              <w:wordWrap/>
              <w:topLinePunct w:val="0"/>
              <w:bidi w:val="0"/>
              <w:adjustRightInd w:val="0"/>
              <w:snapToGrid w:val="0"/>
              <w:spacing w:line="360" w:lineRule="auto"/>
              <w:ind w:left="0" w:leftChars="0" w:firstLine="440" w:firstLineChars="20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违约金（元/天）</w:t>
            </w:r>
          </w:p>
        </w:tc>
      </w:tr>
      <w:tr w14:paraId="7DFB4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34" w:type="dxa"/>
            <w:vAlign w:val="center"/>
          </w:tcPr>
          <w:p w14:paraId="395D3D3F">
            <w:pPr>
              <w:keepNext w:val="0"/>
              <w:keepLines w:val="0"/>
              <w:pageBreakBefore w:val="0"/>
              <w:widowControl w:val="0"/>
              <w:kinsoku/>
              <w:wordWrap/>
              <w:topLinePunct w:val="0"/>
              <w:bidi w:val="0"/>
              <w:adjustRightInd w:val="0"/>
              <w:snapToGrid w:val="0"/>
              <w:spacing w:line="360" w:lineRule="auto"/>
              <w:ind w:left="0" w:leftChars="0" w:firstLine="440" w:firstLineChars="20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456" w:type="dxa"/>
            <w:vAlign w:val="center"/>
          </w:tcPr>
          <w:p w14:paraId="16759604">
            <w:pPr>
              <w:keepNext w:val="0"/>
              <w:keepLines w:val="0"/>
              <w:pageBreakBefore w:val="0"/>
              <w:widowControl w:val="0"/>
              <w:kinsoku/>
              <w:wordWrap/>
              <w:topLinePunct w:val="0"/>
              <w:bidi w:val="0"/>
              <w:adjustRightInd w:val="0"/>
              <w:snapToGrid w:val="0"/>
              <w:spacing w:line="360" w:lineRule="auto"/>
              <w:ind w:left="0" w:leftChars="0" w:firstLine="440" w:firstLineChars="20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全部工程（按图纸内容）</w:t>
            </w:r>
          </w:p>
        </w:tc>
        <w:tc>
          <w:tcPr>
            <w:tcW w:w="2146" w:type="dxa"/>
            <w:vAlign w:val="center"/>
          </w:tcPr>
          <w:p w14:paraId="3897463D">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150日历天</w:t>
            </w:r>
          </w:p>
        </w:tc>
        <w:tc>
          <w:tcPr>
            <w:tcW w:w="2146" w:type="dxa"/>
            <w:vAlign w:val="center"/>
          </w:tcPr>
          <w:p w14:paraId="710B4BB2">
            <w:pPr>
              <w:keepNext w:val="0"/>
              <w:keepLines w:val="0"/>
              <w:pageBreakBefore w:val="0"/>
              <w:widowControl w:val="0"/>
              <w:kinsoku/>
              <w:wordWrap/>
              <w:topLinePunct w:val="0"/>
              <w:bidi w:val="0"/>
              <w:adjustRightInd w:val="0"/>
              <w:snapToGrid w:val="0"/>
              <w:spacing w:line="360" w:lineRule="auto"/>
              <w:ind w:left="0" w:leftChars="0" w:firstLine="440" w:firstLineChars="20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000</w:t>
            </w:r>
          </w:p>
        </w:tc>
      </w:tr>
    </w:tbl>
    <w:p w14:paraId="012D4BA5">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（2）全部逾期完工违约金的总额为</w:t>
      </w:r>
      <w:r>
        <w:rPr>
          <w:rFonts w:hint="eastAsia" w:ascii="宋体" w:hAnsi="宋体" w:eastAsia="宋体" w:cs="宋体"/>
          <w:color w:val="auto"/>
          <w:sz w:val="22"/>
          <w:szCs w:val="22"/>
          <w:highlight w:val="none"/>
          <w:u w:val="single"/>
        </w:rPr>
        <w:t xml:space="preserve">  不超过签约合同价的10 %  </w:t>
      </w:r>
      <w:r>
        <w:rPr>
          <w:rFonts w:hint="eastAsia" w:ascii="宋体" w:hAnsi="宋体" w:eastAsia="宋体" w:cs="宋体"/>
          <w:color w:val="auto"/>
          <w:sz w:val="22"/>
          <w:szCs w:val="22"/>
          <w:highlight w:val="none"/>
        </w:rPr>
        <w:t>。</w:t>
      </w:r>
    </w:p>
    <w:p w14:paraId="498AB0D7">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zh-CN"/>
        </w:rPr>
        <w:t>如因发包人原因造成的工期延误（如征地、拆迁等）及自然灾害（如</w:t>
      </w:r>
      <w:r>
        <w:rPr>
          <w:rFonts w:hint="eastAsia" w:ascii="宋体" w:hAnsi="宋体" w:eastAsia="宋体" w:cs="宋体"/>
          <w:color w:val="auto"/>
          <w:sz w:val="22"/>
          <w:szCs w:val="22"/>
          <w:highlight w:val="none"/>
        </w:rPr>
        <w:t>常恶劣气候条件</w:t>
      </w:r>
      <w:r>
        <w:rPr>
          <w:rFonts w:hint="eastAsia" w:ascii="宋体" w:hAnsi="宋体" w:eastAsia="宋体" w:cs="宋体"/>
          <w:color w:val="auto"/>
          <w:sz w:val="22"/>
          <w:szCs w:val="22"/>
          <w:highlight w:val="none"/>
          <w:lang w:val="zh-CN"/>
        </w:rPr>
        <w:t>等无法正常开工的），工期顺延。</w:t>
      </w:r>
    </w:p>
    <w:p w14:paraId="382CD5D0">
      <w:pPr>
        <w:keepNext w:val="0"/>
        <w:keepLines w:val="0"/>
        <w:pageBreakBefore w:val="0"/>
        <w:widowControl w:val="0"/>
        <w:kinsoku/>
        <w:wordWrap/>
        <w:topLinePunct w:val="0"/>
        <w:bidi w:val="0"/>
        <w:adjustRightInd w:val="0"/>
        <w:snapToGrid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11.6 工期提前</w:t>
      </w:r>
    </w:p>
    <w:p w14:paraId="7AC6CBBD">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工期提前的奖金约定：</w:t>
      </w:r>
      <w:r>
        <w:rPr>
          <w:rFonts w:hint="eastAsia" w:ascii="宋体" w:hAnsi="宋体" w:eastAsia="宋体" w:cs="宋体"/>
          <w:color w:val="auto"/>
          <w:sz w:val="22"/>
          <w:szCs w:val="22"/>
          <w:highlight w:val="none"/>
          <w:u w:val="single"/>
        </w:rPr>
        <w:t xml:space="preserve">  无  </w:t>
      </w:r>
      <w:r>
        <w:rPr>
          <w:rFonts w:hint="eastAsia" w:ascii="宋体" w:hAnsi="宋体" w:eastAsia="宋体" w:cs="宋体"/>
          <w:color w:val="auto"/>
          <w:sz w:val="22"/>
          <w:szCs w:val="22"/>
          <w:highlight w:val="none"/>
        </w:rPr>
        <w:t>。</w:t>
      </w:r>
    </w:p>
    <w:p w14:paraId="2D5890FF">
      <w:pPr>
        <w:keepNext w:val="0"/>
        <w:keepLines w:val="0"/>
        <w:pageBreakBefore w:val="0"/>
        <w:widowControl w:val="0"/>
        <w:kinsoku/>
        <w:wordWrap/>
        <w:topLinePunct w:val="0"/>
        <w:bidi w:val="0"/>
        <w:adjustRightInd w:val="0"/>
        <w:snapToGrid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12  暂停施工</w:t>
      </w:r>
    </w:p>
    <w:p w14:paraId="11CF483B">
      <w:pPr>
        <w:keepNext w:val="0"/>
        <w:keepLines w:val="0"/>
        <w:pageBreakBefore w:val="0"/>
        <w:widowControl w:val="0"/>
        <w:kinsoku/>
        <w:wordWrap/>
        <w:topLinePunct w:val="0"/>
        <w:bidi w:val="0"/>
        <w:adjustRightInd w:val="0"/>
        <w:snapToGrid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12.1 承包人暂停施工的责任</w:t>
      </w:r>
    </w:p>
    <w:p w14:paraId="5920566F">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（5）承包人承担暂停施工责任的其他情形：</w:t>
      </w:r>
      <w:r>
        <w:rPr>
          <w:rFonts w:hint="eastAsia" w:ascii="宋体" w:hAnsi="宋体" w:eastAsia="宋体" w:cs="宋体"/>
          <w:color w:val="auto"/>
          <w:sz w:val="22"/>
          <w:szCs w:val="22"/>
          <w:highlight w:val="none"/>
          <w:u w:val="single"/>
        </w:rPr>
        <w:t xml:space="preserve"> 无   </w:t>
      </w:r>
      <w:r>
        <w:rPr>
          <w:rFonts w:hint="eastAsia" w:ascii="宋体" w:hAnsi="宋体" w:eastAsia="宋体" w:cs="宋体"/>
          <w:color w:val="auto"/>
          <w:sz w:val="22"/>
          <w:szCs w:val="22"/>
          <w:highlight w:val="none"/>
        </w:rPr>
        <w:t>。</w:t>
      </w:r>
    </w:p>
    <w:p w14:paraId="71E49FB4">
      <w:pPr>
        <w:keepNext w:val="0"/>
        <w:keepLines w:val="0"/>
        <w:pageBreakBefore w:val="0"/>
        <w:widowControl w:val="0"/>
        <w:kinsoku/>
        <w:wordWrap/>
        <w:topLinePunct w:val="0"/>
        <w:bidi w:val="0"/>
        <w:adjustRightInd w:val="0"/>
        <w:snapToGrid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12.2 发包人暂停施工的责任</w:t>
      </w:r>
    </w:p>
    <w:p w14:paraId="164EC663">
      <w:pPr>
        <w:keepNext w:val="0"/>
        <w:keepLines w:val="0"/>
        <w:pageBreakBefore w:val="0"/>
        <w:widowControl w:val="0"/>
        <w:kinsoku/>
        <w:wordWrap/>
        <w:topLinePunct w:val="0"/>
        <w:bidi w:val="0"/>
        <w:snapToGrid w:val="0"/>
        <w:spacing w:line="360" w:lineRule="auto"/>
        <w:ind w:left="0" w:leftChars="0" w:firstLine="440" w:firstLineChars="200"/>
        <w:rPr>
          <w:rFonts w:hint="eastAsia" w:ascii="宋体" w:hAnsi="宋体" w:eastAsia="宋体" w:cs="宋体"/>
          <w:color w:val="auto"/>
          <w:sz w:val="22"/>
          <w:szCs w:val="22"/>
          <w:highlight w:val="none"/>
        </w:rPr>
      </w:pPr>
      <w:bookmarkStart w:id="52" w:name="_Toc48667321"/>
      <w:r>
        <w:rPr>
          <w:rFonts w:hint="eastAsia" w:ascii="宋体" w:hAnsi="宋体" w:eastAsia="宋体" w:cs="宋体"/>
          <w:color w:val="auto"/>
          <w:sz w:val="22"/>
          <w:szCs w:val="22"/>
          <w:highlight w:val="none"/>
        </w:rPr>
        <w:t>将通用条款中的“由于发包人原因引起的暂停施工造成工期延误的，承包人有权要求发包人延长工期和(或)增加费用，并支付合理利润。”更改为“由于发包人原因引起的暂停施工造成工期延误的，承包人有权要求发包人延长工期，但发包人不向承包人补偿任何费用。”</w:t>
      </w:r>
      <w:bookmarkEnd w:id="52"/>
    </w:p>
    <w:p w14:paraId="509AEF89">
      <w:pPr>
        <w:keepNext w:val="0"/>
        <w:keepLines w:val="0"/>
        <w:pageBreakBefore w:val="0"/>
        <w:widowControl w:val="0"/>
        <w:kinsoku/>
        <w:wordWrap/>
        <w:topLinePunct w:val="0"/>
        <w:bidi w:val="0"/>
        <w:adjustRightInd w:val="0"/>
        <w:snapToGrid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13  工程质量</w:t>
      </w:r>
    </w:p>
    <w:p w14:paraId="17D67566">
      <w:pPr>
        <w:keepNext w:val="0"/>
        <w:keepLines w:val="0"/>
        <w:pageBreakBefore w:val="0"/>
        <w:widowControl w:val="0"/>
        <w:kinsoku/>
        <w:wordWrap/>
        <w:topLinePunct w:val="0"/>
        <w:bidi w:val="0"/>
        <w:spacing w:line="360" w:lineRule="auto"/>
        <w:ind w:left="0" w:leftChars="0" w:firstLine="440" w:firstLineChars="200"/>
        <w:rPr>
          <w:rFonts w:hint="eastAsia" w:ascii="宋体" w:hAnsi="宋体" w:eastAsia="宋体" w:cs="宋体"/>
          <w:color w:val="auto"/>
          <w:sz w:val="22"/>
          <w:szCs w:val="22"/>
          <w:highlight w:val="none"/>
        </w:rPr>
      </w:pPr>
      <w:bookmarkStart w:id="53" w:name="_Toc48667324"/>
      <w:r>
        <w:rPr>
          <w:rFonts w:hint="eastAsia" w:ascii="宋体" w:hAnsi="宋体" w:eastAsia="宋体" w:cs="宋体"/>
          <w:color w:val="auto"/>
          <w:sz w:val="22"/>
          <w:szCs w:val="22"/>
          <w:highlight w:val="none"/>
          <w:lang w:val="zh-CN"/>
        </w:rPr>
        <w:t>(1) 本工程质量目标：工程的单元工程全部质量合格且较大及以上质量事故为零。</w:t>
      </w:r>
      <w:bookmarkEnd w:id="53"/>
    </w:p>
    <w:p w14:paraId="14A385E3">
      <w:pPr>
        <w:keepNext w:val="0"/>
        <w:keepLines w:val="0"/>
        <w:pageBreakBefore w:val="0"/>
        <w:widowControl w:val="0"/>
        <w:kinsoku/>
        <w:wordWrap/>
        <w:topLinePunct w:val="0"/>
        <w:bidi w:val="0"/>
        <w:spacing w:line="360" w:lineRule="auto"/>
        <w:ind w:left="0" w:leftChars="0" w:firstLine="440" w:firstLineChars="200"/>
        <w:rPr>
          <w:rFonts w:hint="eastAsia" w:ascii="宋体" w:hAnsi="宋体" w:eastAsia="宋体" w:cs="宋体"/>
          <w:color w:val="auto"/>
          <w:sz w:val="22"/>
          <w:szCs w:val="22"/>
          <w:highlight w:val="none"/>
        </w:rPr>
      </w:pPr>
      <w:bookmarkStart w:id="54" w:name="_Toc48667325"/>
      <w:r>
        <w:rPr>
          <w:rFonts w:hint="eastAsia" w:ascii="宋体" w:hAnsi="宋体" w:eastAsia="宋体" w:cs="宋体"/>
          <w:color w:val="auto"/>
          <w:sz w:val="22"/>
          <w:szCs w:val="22"/>
          <w:highlight w:val="none"/>
          <w:lang w:val="zh-CN"/>
        </w:rPr>
        <w:t>(2)承包人必须接受相关部门的监督检查。</w:t>
      </w:r>
      <w:bookmarkEnd w:id="54"/>
    </w:p>
    <w:p w14:paraId="007BA74C">
      <w:pPr>
        <w:keepNext w:val="0"/>
        <w:keepLines w:val="0"/>
        <w:pageBreakBefore w:val="0"/>
        <w:widowControl w:val="0"/>
        <w:kinsoku/>
        <w:wordWrap/>
        <w:topLinePunct w:val="0"/>
        <w:bidi w:val="0"/>
        <w:spacing w:line="360" w:lineRule="auto"/>
        <w:ind w:left="0" w:leftChars="0" w:firstLine="440" w:firstLineChars="200"/>
        <w:rPr>
          <w:rFonts w:hint="eastAsia" w:ascii="宋体" w:hAnsi="宋体" w:eastAsia="宋体" w:cs="宋体"/>
          <w:color w:val="auto"/>
          <w:sz w:val="22"/>
          <w:szCs w:val="22"/>
          <w:highlight w:val="none"/>
          <w:lang w:val="zh-CN"/>
        </w:rPr>
      </w:pPr>
      <w:bookmarkStart w:id="55" w:name="_Toc48667326"/>
      <w:r>
        <w:rPr>
          <w:rFonts w:hint="eastAsia" w:ascii="宋体" w:hAnsi="宋体" w:eastAsia="宋体" w:cs="宋体"/>
          <w:color w:val="auto"/>
          <w:sz w:val="22"/>
          <w:szCs w:val="22"/>
          <w:highlight w:val="none"/>
          <w:lang w:val="zh-CN"/>
        </w:rPr>
        <w:t>(3) 承包人应在各单位工程和重要分部工程开工前，向监理人报送施工组织设计，经发包人同意后，由监理人批准实施。施工组织设计应符合设计文件的要求，施工方案和具体措施要确保工程质量和安全。</w:t>
      </w:r>
      <w:bookmarkEnd w:id="55"/>
    </w:p>
    <w:p w14:paraId="7664D4C3">
      <w:pPr>
        <w:keepNext w:val="0"/>
        <w:keepLines w:val="0"/>
        <w:pageBreakBefore w:val="0"/>
        <w:widowControl w:val="0"/>
        <w:kinsoku/>
        <w:wordWrap/>
        <w:topLinePunct w:val="0"/>
        <w:bidi w:val="0"/>
        <w:spacing w:line="360" w:lineRule="auto"/>
        <w:ind w:left="0" w:leftChars="0" w:firstLine="440" w:firstLineChars="200"/>
        <w:rPr>
          <w:rFonts w:hint="eastAsia" w:ascii="宋体" w:hAnsi="宋体" w:eastAsia="宋体" w:cs="宋体"/>
          <w:color w:val="auto"/>
          <w:sz w:val="22"/>
          <w:szCs w:val="22"/>
          <w:highlight w:val="none"/>
          <w:lang w:val="zh-CN"/>
        </w:rPr>
      </w:pPr>
      <w:bookmarkStart w:id="56" w:name="_Toc48667327"/>
      <w:r>
        <w:rPr>
          <w:rFonts w:hint="eastAsia" w:ascii="宋体" w:hAnsi="宋体" w:eastAsia="宋体" w:cs="宋体"/>
          <w:color w:val="auto"/>
          <w:sz w:val="22"/>
          <w:szCs w:val="22"/>
          <w:highlight w:val="none"/>
          <w:lang w:val="zh-CN"/>
        </w:rPr>
        <w:t>(4) 承包人必须建立健全《工程质量和安全岗位责任制度》、《质量管理制度》、《原材料、中间产品设备质量检验制度》、《施工质量检验制度》、《工序及单元工程验收制度》、《工程质量等级自评制度》、《质量缺陷检查及处理制度》、《质量事故及重大质量问题责任追究制度》等质量管理规章制度。并在工地设立专门的质量检查机构，配备专职的质量检查人员。</w:t>
      </w:r>
      <w:bookmarkEnd w:id="56"/>
    </w:p>
    <w:p w14:paraId="1F38D943">
      <w:pPr>
        <w:keepNext w:val="0"/>
        <w:keepLines w:val="0"/>
        <w:pageBreakBefore w:val="0"/>
        <w:widowControl w:val="0"/>
        <w:kinsoku/>
        <w:wordWrap/>
        <w:topLinePunct w:val="0"/>
        <w:bidi w:val="0"/>
        <w:spacing w:line="360" w:lineRule="auto"/>
        <w:ind w:left="0" w:leftChars="0" w:firstLine="440" w:firstLineChars="200"/>
        <w:rPr>
          <w:rFonts w:hint="eastAsia" w:ascii="宋体" w:hAnsi="宋体" w:eastAsia="宋体" w:cs="宋体"/>
          <w:color w:val="auto"/>
          <w:sz w:val="22"/>
          <w:szCs w:val="22"/>
          <w:highlight w:val="none"/>
          <w:lang w:val="zh-CN"/>
        </w:rPr>
      </w:pPr>
      <w:bookmarkStart w:id="57" w:name="_Toc48667328"/>
      <w:r>
        <w:rPr>
          <w:rFonts w:hint="eastAsia" w:ascii="宋体" w:hAnsi="宋体" w:eastAsia="宋体" w:cs="宋体"/>
          <w:color w:val="auto"/>
          <w:sz w:val="22"/>
          <w:szCs w:val="22"/>
          <w:highlight w:val="none"/>
          <w:lang w:val="zh-CN"/>
        </w:rPr>
        <w:t>(5) 严禁承包人擅自掩盖或处理工程质量缺陷。工程施工中如出现质量缺陷，应根据实际情况制定处理方案，并报经监理、设计和发包人等单位同意后，方可实施。</w:t>
      </w:r>
      <w:bookmarkEnd w:id="57"/>
    </w:p>
    <w:p w14:paraId="3012608B">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b/>
          <w:color w:val="auto"/>
          <w:sz w:val="22"/>
          <w:szCs w:val="22"/>
          <w:highlight w:val="none"/>
        </w:rPr>
      </w:pPr>
      <w:bookmarkStart w:id="58" w:name="_Toc48667329"/>
      <w:r>
        <w:rPr>
          <w:rFonts w:hint="eastAsia" w:ascii="宋体" w:hAnsi="宋体" w:eastAsia="宋体" w:cs="宋体"/>
          <w:color w:val="auto"/>
          <w:sz w:val="22"/>
          <w:szCs w:val="22"/>
          <w:highlight w:val="none"/>
          <w:lang w:val="zh-CN"/>
        </w:rPr>
        <w:t>(6) 承包人必须建立工程技术档案，及时、准确、完整地记录、提供施工过程中的质量、技术控制情况和试验成果等资料，作为工程质量等级核定和工程验收的依据。及时根据工程进展和完成情况，及时向发包人提交阶段（中间）验收和完工验收申请报告。</w:t>
      </w:r>
      <w:bookmarkEnd w:id="58"/>
    </w:p>
    <w:p w14:paraId="4B76B714">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增加：</w:t>
      </w:r>
      <w:r>
        <w:rPr>
          <w:rFonts w:hint="eastAsia" w:ascii="宋体" w:hAnsi="宋体" w:eastAsia="宋体" w:cs="宋体"/>
          <w:color w:val="auto"/>
          <w:sz w:val="22"/>
          <w:szCs w:val="22"/>
          <w:highlight w:val="none"/>
          <w:lang w:val="zh-CN"/>
        </w:rPr>
        <w:t>承包人必须建立工程技术档案，及时、准确、完整地记录、提供施工过程中的质量、技术控制情况和试验成果等资料，作为工程质量等级核定和工程验收的依据。及时根据工程进展和完成情况，及时向发包人提交阶段（中间）验收和完工验收申请报告。在合同工程完工验收后一个月内，提交工程技术档案资料，每延误一天罚款2000元。</w:t>
      </w:r>
    </w:p>
    <w:p w14:paraId="7C346D7E">
      <w:pPr>
        <w:keepNext w:val="0"/>
        <w:keepLines w:val="0"/>
        <w:pageBreakBefore w:val="0"/>
        <w:widowControl w:val="0"/>
        <w:kinsoku/>
        <w:wordWrap/>
        <w:topLinePunct w:val="0"/>
        <w:bidi w:val="0"/>
        <w:adjustRightInd w:val="0"/>
        <w:snapToGrid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13.7 质量评定</w:t>
      </w:r>
    </w:p>
    <w:p w14:paraId="6CB19CAE">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13.7.7 工程合格标准为：</w:t>
      </w:r>
      <w:r>
        <w:rPr>
          <w:rFonts w:hint="eastAsia" w:ascii="宋体" w:hAnsi="宋体" w:eastAsia="宋体" w:cs="宋体"/>
          <w:color w:val="auto"/>
          <w:sz w:val="22"/>
          <w:szCs w:val="22"/>
          <w:highlight w:val="none"/>
          <w:u w:val="single"/>
        </w:rPr>
        <w:t xml:space="preserve">合格 </w:t>
      </w:r>
      <w:r>
        <w:rPr>
          <w:rFonts w:hint="eastAsia" w:ascii="宋体" w:hAnsi="宋体" w:eastAsia="宋体" w:cs="宋体"/>
          <w:color w:val="auto"/>
          <w:sz w:val="22"/>
          <w:szCs w:val="22"/>
          <w:highlight w:val="none"/>
        </w:rPr>
        <w:t>；优良标准为：</w:t>
      </w:r>
      <w:r>
        <w:rPr>
          <w:rFonts w:hint="eastAsia" w:ascii="宋体" w:hAnsi="宋体" w:eastAsia="宋体" w:cs="宋体"/>
          <w:color w:val="auto"/>
          <w:sz w:val="22"/>
          <w:szCs w:val="22"/>
          <w:highlight w:val="none"/>
          <w:u w:val="single"/>
        </w:rPr>
        <w:t>优良</w:t>
      </w:r>
      <w:r>
        <w:rPr>
          <w:rFonts w:hint="eastAsia" w:ascii="宋体" w:hAnsi="宋体" w:eastAsia="宋体" w:cs="宋体"/>
          <w:color w:val="auto"/>
          <w:sz w:val="22"/>
          <w:szCs w:val="22"/>
          <w:highlight w:val="none"/>
        </w:rPr>
        <w:t>。达到优良的奖金为：</w:t>
      </w:r>
      <w:r>
        <w:rPr>
          <w:rFonts w:hint="eastAsia" w:ascii="宋体" w:hAnsi="宋体" w:eastAsia="宋体" w:cs="宋体"/>
          <w:color w:val="auto"/>
          <w:sz w:val="22"/>
          <w:szCs w:val="22"/>
          <w:highlight w:val="none"/>
          <w:u w:val="single"/>
        </w:rPr>
        <w:t>无</w:t>
      </w:r>
      <w:r>
        <w:rPr>
          <w:rFonts w:hint="eastAsia" w:ascii="宋体" w:hAnsi="宋体" w:eastAsia="宋体" w:cs="宋体"/>
          <w:color w:val="auto"/>
          <w:sz w:val="22"/>
          <w:szCs w:val="22"/>
          <w:highlight w:val="none"/>
        </w:rPr>
        <w:t>。</w:t>
      </w:r>
    </w:p>
    <w:p w14:paraId="732706CA">
      <w:pPr>
        <w:keepNext w:val="0"/>
        <w:keepLines w:val="0"/>
        <w:pageBreakBefore w:val="0"/>
        <w:widowControl w:val="0"/>
        <w:kinsoku/>
        <w:wordWrap/>
        <w:topLinePunct w:val="0"/>
        <w:bidi w:val="0"/>
        <w:adjustRightInd w:val="0"/>
        <w:snapToGrid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13.8 质量事故处理</w:t>
      </w:r>
    </w:p>
    <w:p w14:paraId="1882BA0F">
      <w:pPr>
        <w:keepNext w:val="0"/>
        <w:keepLines w:val="0"/>
        <w:pageBreakBefore w:val="0"/>
        <w:widowControl w:val="0"/>
        <w:kinsoku/>
        <w:wordWrap/>
        <w:topLinePunct w:val="0"/>
        <w:bidi w:val="0"/>
        <w:spacing w:line="360" w:lineRule="auto"/>
        <w:ind w:left="0" w:leftChars="0"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(1)若工程项目验收质量等级评定达不到上述13.7款要求，发包人有权扣留工程款的1%作为工程施工质量未达质量目标的罚金。</w:t>
      </w:r>
    </w:p>
    <w:p w14:paraId="73C1240E">
      <w:pPr>
        <w:keepNext w:val="0"/>
        <w:keepLines w:val="0"/>
        <w:pageBreakBefore w:val="0"/>
        <w:widowControl w:val="0"/>
        <w:kinsoku/>
        <w:wordWrap/>
        <w:topLinePunct w:val="0"/>
        <w:bidi w:val="0"/>
        <w:spacing w:line="360" w:lineRule="auto"/>
        <w:ind w:left="0" w:leftChars="0"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根据监理工程师日常质量检查情况，施工时违反工艺技术要求和经审核批准的施工组织设计，同一分部分项工程收到监理工程师下发的《施工违规警告通知单》，除按要求负责处理外，从第二次起，每次罚款1000元；</w:t>
      </w:r>
    </w:p>
    <w:p w14:paraId="04791D15">
      <w:pPr>
        <w:keepNext w:val="0"/>
        <w:keepLines w:val="0"/>
        <w:pageBreakBefore w:val="0"/>
        <w:widowControl w:val="0"/>
        <w:kinsoku/>
        <w:wordWrap/>
        <w:topLinePunct w:val="0"/>
        <w:bidi w:val="0"/>
        <w:spacing w:line="360" w:lineRule="auto"/>
        <w:ind w:left="0" w:leftChars="0"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(3)违反施工验收程序，上道工序未经验收或验收通不过即进行下道工序施工，同一分部分项工程从第二次收到《监理工程师通知》起，除按合同相关规定进行处理外，每次罚款1000元。</w:t>
      </w:r>
    </w:p>
    <w:p w14:paraId="6D682B26">
      <w:pPr>
        <w:keepNext w:val="0"/>
        <w:keepLines w:val="0"/>
        <w:pageBreakBefore w:val="0"/>
        <w:widowControl w:val="0"/>
        <w:kinsoku/>
        <w:wordWrap/>
        <w:topLinePunct w:val="0"/>
        <w:bidi w:val="0"/>
        <w:spacing w:line="360" w:lineRule="auto"/>
        <w:ind w:left="0" w:leftChars="0"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(4)使用未经检验或检验不合格的工程材料，除按合同相关规定进行处理外，每次罚款2000元。</w:t>
      </w:r>
    </w:p>
    <w:p w14:paraId="3B6D6D76">
      <w:pPr>
        <w:keepNext w:val="0"/>
        <w:keepLines w:val="0"/>
        <w:pageBreakBefore w:val="0"/>
        <w:widowControl w:val="0"/>
        <w:kinsoku/>
        <w:wordWrap/>
        <w:topLinePunct w:val="0"/>
        <w:bidi w:val="0"/>
        <w:spacing w:line="360" w:lineRule="auto"/>
        <w:ind w:left="0" w:leftChars="0"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(5)根据工程监理工序验收月度统计情况，验收“一次合格率”低于80%，当月罚款2000元。</w:t>
      </w:r>
    </w:p>
    <w:p w14:paraId="567BC207">
      <w:pPr>
        <w:keepNext w:val="0"/>
        <w:keepLines w:val="0"/>
        <w:pageBreakBefore w:val="0"/>
        <w:widowControl w:val="0"/>
        <w:kinsoku/>
        <w:wordWrap/>
        <w:topLinePunct w:val="0"/>
        <w:bidi w:val="0"/>
        <w:spacing w:line="360" w:lineRule="auto"/>
        <w:ind w:left="0" w:leftChars="0"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(6)由承包人负主要责任的质量事故，承包人除按设计要求自费返工外，直接经济损失5万元以下的一般质量事故，每次罚款5000元；直接经济损失5万元以上20万元以下的重大质量事故，每次罚款3～5万元；直接经济损失20万元以上的特大质量事故，每次罚款10万元或以上，直至追究单位和个人责任。</w:t>
      </w:r>
    </w:p>
    <w:p w14:paraId="3384EB1C">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lang w:val="zh-CN"/>
        </w:rPr>
        <w:t>(7)工程发生重大及以上质量事故，该承包人将被列入全省施工企业诚信管理系统黑名单，并通报全省。</w:t>
      </w:r>
    </w:p>
    <w:p w14:paraId="748B5939">
      <w:pPr>
        <w:keepNext w:val="0"/>
        <w:keepLines w:val="0"/>
        <w:pageBreakBefore w:val="0"/>
        <w:widowControl w:val="0"/>
        <w:kinsoku/>
        <w:wordWrap/>
        <w:topLinePunct w:val="0"/>
        <w:bidi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13.9质量检测</w:t>
      </w:r>
    </w:p>
    <w:p w14:paraId="1DAA34B4">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b/>
          <w:color w:val="auto"/>
          <w:sz w:val="22"/>
          <w:szCs w:val="22"/>
          <w:highlight w:val="none"/>
        </w:rPr>
      </w:pPr>
      <w:bookmarkStart w:id="59" w:name="_Toc48667332"/>
      <w:r>
        <w:rPr>
          <w:rFonts w:hint="eastAsia" w:ascii="宋体" w:hAnsi="宋体" w:eastAsia="宋体" w:cs="宋体"/>
          <w:color w:val="auto"/>
          <w:sz w:val="22"/>
          <w:szCs w:val="22"/>
          <w:highlight w:val="none"/>
          <w:lang w:val="zh-CN"/>
        </w:rPr>
        <w:t>具有相应资质的质量检测机构对本工程的原材料、中间产品和工程实体质量等按现行的规范规程进行材料试验和工程试验等检测工作，用于统计、分析、评定和验收的工程质量数据。检测的内容和数量由发、承包人及设计和监理人共同确定。第三方质量检测不能免除承包人在质量保证体系中的质量自控检测及工程质量责任。</w:t>
      </w:r>
      <w:bookmarkEnd w:id="59"/>
    </w:p>
    <w:p w14:paraId="7D9B72C6">
      <w:pPr>
        <w:keepNext w:val="0"/>
        <w:keepLines w:val="0"/>
        <w:pageBreakBefore w:val="0"/>
        <w:widowControl w:val="0"/>
        <w:kinsoku/>
        <w:wordWrap/>
        <w:topLinePunct w:val="0"/>
        <w:bidi w:val="0"/>
        <w:adjustRightInd w:val="0"/>
        <w:snapToGrid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14  试验和检验</w:t>
      </w:r>
    </w:p>
    <w:p w14:paraId="0E61A5C6">
      <w:pPr>
        <w:keepNext w:val="0"/>
        <w:keepLines w:val="0"/>
        <w:pageBreakBefore w:val="0"/>
        <w:widowControl w:val="0"/>
        <w:kinsoku/>
        <w:wordWrap/>
        <w:topLinePunct w:val="0"/>
        <w:bidi w:val="0"/>
        <w:adjustRightInd w:val="0"/>
        <w:snapToGrid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14.1 材料、工程设备和工程的试验和检验</w:t>
      </w:r>
    </w:p>
    <w:p w14:paraId="69126B5B">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14.1.6 本工程实行见证取样的试块、试件及有关材料：</w:t>
      </w:r>
      <w:r>
        <w:rPr>
          <w:rFonts w:hint="eastAsia" w:ascii="宋体" w:hAnsi="宋体" w:eastAsia="宋体" w:cs="宋体"/>
          <w:color w:val="auto"/>
          <w:sz w:val="22"/>
          <w:szCs w:val="22"/>
          <w:highlight w:val="none"/>
          <w:u w:val="single"/>
        </w:rPr>
        <w:t xml:space="preserve"> 按有关规范、规程  </w:t>
      </w:r>
      <w:r>
        <w:rPr>
          <w:rFonts w:hint="eastAsia" w:ascii="宋体" w:hAnsi="宋体" w:eastAsia="宋体" w:cs="宋体"/>
          <w:color w:val="auto"/>
          <w:sz w:val="22"/>
          <w:szCs w:val="22"/>
          <w:highlight w:val="none"/>
        </w:rPr>
        <w:t>。</w:t>
      </w:r>
    </w:p>
    <w:p w14:paraId="3B79A3CF">
      <w:pPr>
        <w:keepNext w:val="0"/>
        <w:keepLines w:val="0"/>
        <w:pageBreakBefore w:val="0"/>
        <w:widowControl w:val="0"/>
        <w:kinsoku/>
        <w:wordWrap/>
        <w:topLinePunct w:val="0"/>
        <w:bidi w:val="0"/>
        <w:adjustRightInd w:val="0"/>
        <w:snapToGrid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15  变更</w:t>
      </w:r>
    </w:p>
    <w:p w14:paraId="0F0A83A2">
      <w:pPr>
        <w:keepNext w:val="0"/>
        <w:keepLines w:val="0"/>
        <w:pageBreakBefore w:val="0"/>
        <w:widowControl w:val="0"/>
        <w:kinsoku/>
        <w:wordWrap/>
        <w:topLinePunct w:val="0"/>
        <w:bidi w:val="0"/>
        <w:adjustRightInd w:val="0"/>
        <w:snapToGrid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15.1 变更的范围和内容</w:t>
      </w:r>
    </w:p>
    <w:p w14:paraId="582DC738">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单价调整方式：</w:t>
      </w:r>
      <w:r>
        <w:rPr>
          <w:rFonts w:hint="eastAsia" w:ascii="宋体" w:hAnsi="宋体" w:eastAsia="宋体" w:cs="宋体"/>
          <w:color w:val="auto"/>
          <w:sz w:val="22"/>
          <w:szCs w:val="22"/>
          <w:highlight w:val="none"/>
          <w:u w:val="single"/>
        </w:rPr>
        <w:t xml:space="preserve"> 单价不作调整 </w:t>
      </w:r>
      <w:r>
        <w:rPr>
          <w:rFonts w:hint="eastAsia" w:ascii="宋体" w:hAnsi="宋体" w:eastAsia="宋体" w:cs="宋体"/>
          <w:color w:val="auto"/>
          <w:sz w:val="22"/>
          <w:szCs w:val="22"/>
          <w:highlight w:val="none"/>
        </w:rPr>
        <w:t>。</w:t>
      </w:r>
    </w:p>
    <w:p w14:paraId="4F93F1D0">
      <w:pPr>
        <w:keepNext w:val="0"/>
        <w:keepLines w:val="0"/>
        <w:pageBreakBefore w:val="0"/>
        <w:widowControl w:val="0"/>
        <w:kinsoku/>
        <w:wordWrap/>
        <w:topLinePunct w:val="0"/>
        <w:bidi w:val="0"/>
        <w:adjustRightInd w:val="0"/>
        <w:snapToGrid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15.4变更的估价原则</w:t>
      </w:r>
    </w:p>
    <w:p w14:paraId="35335D39">
      <w:pPr>
        <w:keepNext w:val="0"/>
        <w:keepLines w:val="0"/>
        <w:pageBreakBefore w:val="0"/>
        <w:widowControl w:val="0"/>
        <w:kinsoku/>
        <w:wordWrap/>
        <w:overflowPunct w:val="0"/>
        <w:topLinePunct w:val="0"/>
        <w:autoSpaceDE w:val="0"/>
        <w:autoSpaceDN w:val="0"/>
        <w:bidi w:val="0"/>
        <w:adjustRightInd w:val="0"/>
        <w:snapToGrid w:val="0"/>
        <w:spacing w:line="360" w:lineRule="auto"/>
        <w:ind w:left="0" w:leftChars="0"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15.4.3己标价工程量清单中无适用或类似子目的单价，则按投标人投标报价时的取费费率、材料价格、机械台班费及下浮率,根据最新广东省水利预算定额并按投标时投标报价下浮率下浮确定变更单价。</w:t>
      </w:r>
      <w:r>
        <w:rPr>
          <w:rFonts w:hint="eastAsia" w:ascii="宋体" w:hAnsi="宋体" w:eastAsia="宋体" w:cs="宋体"/>
          <w:color w:val="auto"/>
          <w:sz w:val="22"/>
          <w:szCs w:val="22"/>
          <w:highlight w:val="none"/>
        </w:rPr>
        <w:t>结算以财政部门最终审定为准。</w:t>
      </w:r>
    </w:p>
    <w:p w14:paraId="69197938">
      <w:pPr>
        <w:keepNext w:val="0"/>
        <w:keepLines w:val="0"/>
        <w:pageBreakBefore w:val="0"/>
        <w:widowControl w:val="0"/>
        <w:kinsoku/>
        <w:wordWrap/>
        <w:topLinePunct w:val="0"/>
        <w:bidi w:val="0"/>
        <w:adjustRightInd w:val="0"/>
        <w:snapToGrid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15.5 承包人的合理化建议</w:t>
      </w:r>
    </w:p>
    <w:p w14:paraId="20EADA65">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15.5.2 承包人实现合理化建议的奖励金额为：</w:t>
      </w:r>
      <w:r>
        <w:rPr>
          <w:rFonts w:hint="eastAsia" w:ascii="宋体" w:hAnsi="宋体" w:eastAsia="宋体" w:cs="宋体"/>
          <w:color w:val="auto"/>
          <w:sz w:val="22"/>
          <w:szCs w:val="22"/>
          <w:highlight w:val="none"/>
          <w:u w:val="single"/>
        </w:rPr>
        <w:t xml:space="preserve"> 无 </w:t>
      </w:r>
      <w:r>
        <w:rPr>
          <w:rFonts w:hint="eastAsia" w:ascii="宋体" w:hAnsi="宋体" w:eastAsia="宋体" w:cs="宋体"/>
          <w:color w:val="auto"/>
          <w:sz w:val="22"/>
          <w:szCs w:val="22"/>
          <w:highlight w:val="none"/>
        </w:rPr>
        <w:t>。</w:t>
      </w:r>
    </w:p>
    <w:p w14:paraId="46BBBC90">
      <w:pPr>
        <w:keepNext w:val="0"/>
        <w:keepLines w:val="0"/>
        <w:pageBreakBefore w:val="0"/>
        <w:widowControl w:val="0"/>
        <w:kinsoku/>
        <w:wordWrap/>
        <w:topLinePunct w:val="0"/>
        <w:bidi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15.6  暂列金额</w:t>
      </w:r>
    </w:p>
    <w:p w14:paraId="35943E02">
      <w:pPr>
        <w:keepNext w:val="0"/>
        <w:keepLines w:val="0"/>
        <w:pageBreakBefore w:val="0"/>
        <w:widowControl w:val="0"/>
        <w:kinsoku/>
        <w:wordWrap/>
        <w:topLinePunct w:val="0"/>
        <w:bidi w:val="0"/>
        <w:spacing w:line="360" w:lineRule="auto"/>
        <w:ind w:left="0" w:leftChars="0" w:firstLine="440" w:firstLineChars="2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lang w:val="zh-CN"/>
        </w:rPr>
        <w:t>本合同暂列金额（基本预备费）虽计入工程造价总价，但不归施工单位所有，而是归建设单位所有，用于支付发包人及其监理人指示增加的零星项目，暂列金额调整时对合同总价进行调整。</w:t>
      </w:r>
    </w:p>
    <w:p w14:paraId="4E2D096A">
      <w:pPr>
        <w:keepNext w:val="0"/>
        <w:keepLines w:val="0"/>
        <w:pageBreakBefore w:val="0"/>
        <w:widowControl w:val="0"/>
        <w:kinsoku/>
        <w:wordWrap/>
        <w:topLinePunct w:val="0"/>
        <w:bidi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15.8  暂估价</w:t>
      </w:r>
    </w:p>
    <w:p w14:paraId="168738A6">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lang w:val="zh-CN"/>
        </w:rPr>
        <w:t>本合同暂估价（基本预备费）虽计入工程造价总价，但不归施工单位所有，而是归建设单位所有，用于支付发包人及其监理人指示增加的零星项目，暂估价调整时对合同总价进行调整。</w:t>
      </w:r>
    </w:p>
    <w:p w14:paraId="175CC8F7">
      <w:pPr>
        <w:keepNext w:val="0"/>
        <w:keepLines w:val="0"/>
        <w:pageBreakBefore w:val="0"/>
        <w:widowControl w:val="0"/>
        <w:kinsoku/>
        <w:wordWrap/>
        <w:topLinePunct w:val="0"/>
        <w:bidi w:val="0"/>
        <w:adjustRightInd w:val="0"/>
        <w:snapToGrid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16  价格调整</w:t>
      </w:r>
    </w:p>
    <w:p w14:paraId="137CD4F1">
      <w:pPr>
        <w:keepNext w:val="0"/>
        <w:keepLines w:val="0"/>
        <w:pageBreakBefore w:val="0"/>
        <w:widowControl w:val="0"/>
        <w:kinsoku/>
        <w:wordWrap/>
        <w:topLinePunct w:val="0"/>
        <w:bidi w:val="0"/>
        <w:adjustRightInd w:val="0"/>
        <w:snapToGrid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16.1 物价波动引起的价格调整</w:t>
      </w:r>
    </w:p>
    <w:p w14:paraId="6BB8A03E">
      <w:pPr>
        <w:keepNext w:val="0"/>
        <w:keepLines w:val="0"/>
        <w:pageBreakBefore w:val="0"/>
        <w:widowControl w:val="0"/>
        <w:kinsoku/>
        <w:wordWrap/>
        <w:topLinePunct w:val="0"/>
        <w:bidi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物价波动引起的价格</w:t>
      </w:r>
      <w:r>
        <w:rPr>
          <w:rFonts w:hint="eastAsia" w:ascii="宋体" w:hAnsi="宋体" w:eastAsia="宋体" w:cs="宋体"/>
          <w:color w:val="auto"/>
          <w:sz w:val="22"/>
          <w:szCs w:val="22"/>
          <w:highlight w:val="none"/>
        </w:rPr>
        <w:t>不做</w:t>
      </w:r>
      <w:r>
        <w:rPr>
          <w:rFonts w:hint="eastAsia" w:ascii="宋体" w:hAnsi="宋体" w:eastAsia="宋体" w:cs="宋体"/>
          <w:color w:val="auto"/>
          <w:sz w:val="22"/>
          <w:szCs w:val="22"/>
          <w:highlight w:val="none"/>
          <w:lang w:val="zh-CN"/>
        </w:rPr>
        <w:t>调整。</w:t>
      </w:r>
    </w:p>
    <w:p w14:paraId="0E9554FC">
      <w:pPr>
        <w:keepNext w:val="0"/>
        <w:keepLines w:val="0"/>
        <w:pageBreakBefore w:val="0"/>
        <w:widowControl w:val="0"/>
        <w:kinsoku/>
        <w:wordWrap/>
        <w:topLinePunct w:val="0"/>
        <w:bidi w:val="0"/>
        <w:adjustRightInd w:val="0"/>
        <w:snapToGrid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17  计量与支付</w:t>
      </w:r>
    </w:p>
    <w:p w14:paraId="5DAEC102">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无</w:t>
      </w:r>
    </w:p>
    <w:p w14:paraId="231023B6">
      <w:pPr>
        <w:keepNext w:val="0"/>
        <w:keepLines w:val="0"/>
        <w:pageBreakBefore w:val="0"/>
        <w:widowControl w:val="0"/>
        <w:kinsoku/>
        <w:wordWrap/>
        <w:topLinePunct w:val="0"/>
        <w:bidi w:val="0"/>
        <w:adjustRightInd w:val="0"/>
        <w:snapToGrid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17.2 预付款</w:t>
      </w:r>
    </w:p>
    <w:p w14:paraId="0A619E74">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bookmarkStart w:id="60" w:name="_Toc48667349"/>
      <w:r>
        <w:rPr>
          <w:rFonts w:hint="eastAsia" w:ascii="宋体" w:hAnsi="宋体" w:eastAsia="宋体" w:cs="宋体"/>
          <w:color w:val="auto"/>
          <w:sz w:val="22"/>
          <w:szCs w:val="22"/>
          <w:highlight w:val="none"/>
        </w:rPr>
        <w:t>17.2.1 预付款：</w:t>
      </w:r>
      <w:bookmarkEnd w:id="60"/>
    </w:p>
    <w:p w14:paraId="7C4120BF">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i/>
          <w:iCs/>
          <w:color w:val="auto"/>
          <w:sz w:val="22"/>
          <w:szCs w:val="22"/>
          <w:highlight w:val="none"/>
        </w:rPr>
      </w:pPr>
      <w:bookmarkStart w:id="61" w:name="_Toc48667350"/>
      <w:r>
        <w:rPr>
          <w:rFonts w:hint="eastAsia" w:ascii="宋体" w:hAnsi="宋体" w:eastAsia="宋体" w:cs="宋体"/>
          <w:color w:val="auto"/>
          <w:sz w:val="22"/>
          <w:szCs w:val="22"/>
          <w:highlight w:val="none"/>
        </w:rPr>
        <w:t>（1）工程预付款的总金额为签约合同价（不含预备费）的</w:t>
      </w:r>
      <w:r>
        <w:rPr>
          <w:rFonts w:hint="eastAsia" w:ascii="宋体" w:hAnsi="宋体" w:cs="宋体"/>
          <w:color w:val="auto"/>
          <w:sz w:val="22"/>
          <w:szCs w:val="22"/>
          <w:highlight w:val="none"/>
          <w:u w:val="single"/>
          <w:lang w:val="en-US" w:eastAsia="zh-CN"/>
        </w:rPr>
        <w:t>30</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u w:val="single"/>
        </w:rPr>
        <w:t>1</w:t>
      </w:r>
      <w:r>
        <w:rPr>
          <w:rFonts w:hint="eastAsia" w:ascii="宋体" w:hAnsi="宋体" w:eastAsia="宋体" w:cs="宋体"/>
          <w:color w:val="auto"/>
          <w:sz w:val="22"/>
          <w:szCs w:val="22"/>
          <w:highlight w:val="none"/>
        </w:rPr>
        <w:t>次支付给承包人。</w:t>
      </w:r>
      <w:bookmarkEnd w:id="61"/>
      <w:r>
        <w:rPr>
          <w:rFonts w:hint="eastAsia" w:ascii="宋体" w:hAnsi="宋体" w:eastAsia="宋体" w:cs="宋体"/>
          <w:i w:val="0"/>
          <w:iCs w:val="0"/>
          <w:color w:val="auto"/>
          <w:sz w:val="22"/>
          <w:szCs w:val="22"/>
          <w:highlight w:val="none"/>
        </w:rPr>
        <w:t>若由于上级资金未到位，延期付款不计息。</w:t>
      </w:r>
    </w:p>
    <w:p w14:paraId="4DEE6AAE">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bookmarkStart w:id="62" w:name="_Toc48667351"/>
      <w:r>
        <w:rPr>
          <w:rFonts w:hint="eastAsia" w:ascii="宋体" w:hAnsi="宋体" w:eastAsia="宋体" w:cs="宋体"/>
          <w:color w:val="auto"/>
          <w:sz w:val="22"/>
          <w:szCs w:val="22"/>
          <w:highlight w:val="none"/>
        </w:rPr>
        <w:t>（2）工程预付款支付：</w:t>
      </w:r>
      <w:r>
        <w:rPr>
          <w:rFonts w:hint="eastAsia" w:ascii="宋体" w:hAnsi="宋体" w:eastAsia="宋体" w:cs="宋体"/>
          <w:color w:val="auto"/>
          <w:sz w:val="22"/>
          <w:szCs w:val="22"/>
          <w:highlight w:val="none"/>
          <w:u w:val="single"/>
        </w:rPr>
        <w:t>根据新丰县根治拖欠农民工工资工作领导小组办公室关于印发《新丰县源头治理欠薪问题实施方案》的通知。第二条第（一）款第1点，落实工程预付款和人工费用拨付。工程建设领域建设单位在项目开工前按照不低于施工合同总价10%的比例拨付预付款，其中原则上将不低于施工合同总价1%的金额作为人工费用预付款一次性拨付到工资专用账户，后续人工费用按月足额拨付，拨付不及时不到位的，由工程建设主管部门责令限期改正，逾期不改正的，依法责令停工并处罚款。本工程预付款按签约合同价的</w:t>
      </w:r>
      <w:r>
        <w:rPr>
          <w:rFonts w:hint="eastAsia" w:ascii="宋体" w:hAnsi="宋体" w:cs="宋体"/>
          <w:color w:val="auto"/>
          <w:sz w:val="22"/>
          <w:szCs w:val="22"/>
          <w:highlight w:val="none"/>
          <w:u w:val="single"/>
          <w:lang w:val="en-US" w:eastAsia="zh-CN"/>
        </w:rPr>
        <w:t>2</w:t>
      </w:r>
      <w:r>
        <w:rPr>
          <w:rFonts w:hint="eastAsia" w:ascii="宋体" w:hAnsi="宋体" w:eastAsia="宋体" w:cs="宋体"/>
          <w:color w:val="auto"/>
          <w:sz w:val="22"/>
          <w:szCs w:val="22"/>
          <w:highlight w:val="none"/>
          <w:u w:val="single"/>
          <w:lang w:val="en-US" w:eastAsia="zh-CN"/>
        </w:rPr>
        <w:t>5</w:t>
      </w:r>
      <w:r>
        <w:rPr>
          <w:rFonts w:hint="eastAsia" w:ascii="宋体" w:hAnsi="宋体" w:eastAsia="宋体" w:cs="宋体"/>
          <w:color w:val="auto"/>
          <w:sz w:val="22"/>
          <w:szCs w:val="22"/>
          <w:highlight w:val="none"/>
          <w:u w:val="single"/>
        </w:rPr>
        <w:t>%支付到承包人的工程账户，签约合同价的5%支付到承包人在本地开设的工人工资专用账户</w:t>
      </w:r>
      <w:r>
        <w:rPr>
          <w:rFonts w:hint="eastAsia" w:ascii="宋体" w:hAnsi="宋体" w:eastAsia="宋体" w:cs="宋体"/>
          <w:color w:val="auto"/>
          <w:sz w:val="22"/>
          <w:szCs w:val="22"/>
          <w:highlight w:val="none"/>
        </w:rPr>
        <w:t>。</w:t>
      </w:r>
      <w:bookmarkEnd w:id="62"/>
    </w:p>
    <w:p w14:paraId="4EEC4710">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bookmarkStart w:id="63" w:name="_Toc48667352"/>
      <w:r>
        <w:rPr>
          <w:rFonts w:hint="eastAsia" w:ascii="宋体" w:hAnsi="宋体" w:eastAsia="宋体" w:cs="宋体"/>
          <w:color w:val="auto"/>
          <w:sz w:val="22"/>
          <w:szCs w:val="22"/>
          <w:highlight w:val="none"/>
        </w:rPr>
        <w:t>17.2.2 预付款保函（担保）</w:t>
      </w:r>
      <w:bookmarkEnd w:id="63"/>
      <w:bookmarkStart w:id="64" w:name="_Toc48667353"/>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u w:val="single"/>
        </w:rPr>
        <w:t>无。</w:t>
      </w:r>
      <w:bookmarkEnd w:id="64"/>
    </w:p>
    <w:p w14:paraId="4506184F">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bookmarkStart w:id="65" w:name="_Toc48667354"/>
      <w:r>
        <w:rPr>
          <w:rFonts w:hint="eastAsia" w:ascii="宋体" w:hAnsi="宋体" w:eastAsia="宋体" w:cs="宋体"/>
          <w:color w:val="auto"/>
          <w:sz w:val="22"/>
          <w:szCs w:val="22"/>
          <w:highlight w:val="none"/>
        </w:rPr>
        <w:t>17.2.3 预付款的扣回与还清</w:t>
      </w:r>
      <w:bookmarkEnd w:id="65"/>
    </w:p>
    <w:p w14:paraId="55557385">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bookmarkStart w:id="66" w:name="_Toc48667355"/>
      <w:r>
        <w:rPr>
          <w:rFonts w:hint="eastAsia" w:ascii="宋体" w:hAnsi="宋体" w:eastAsia="宋体" w:cs="宋体"/>
          <w:color w:val="auto"/>
          <w:sz w:val="22"/>
          <w:szCs w:val="22"/>
          <w:highlight w:val="none"/>
        </w:rPr>
        <w:t>（1） 工程预付款在合同累计完成金额达到签约合同价的</w:t>
      </w:r>
      <w:r>
        <w:rPr>
          <w:rFonts w:hint="eastAsia" w:ascii="宋体" w:hAnsi="宋体" w:eastAsia="宋体" w:cs="宋体"/>
          <w:color w:val="auto"/>
          <w:sz w:val="22"/>
          <w:szCs w:val="22"/>
          <w:highlight w:val="none"/>
          <w:u w:val="single"/>
        </w:rPr>
        <w:t>20</w:t>
      </w:r>
      <w:r>
        <w:rPr>
          <w:rFonts w:hint="eastAsia" w:ascii="宋体" w:hAnsi="宋体" w:eastAsia="宋体" w:cs="宋体"/>
          <w:color w:val="auto"/>
          <w:sz w:val="22"/>
          <w:szCs w:val="22"/>
          <w:highlight w:val="none"/>
        </w:rPr>
        <w:t>%时开始扣款，直至合同累计完成金额达到签约合同价的</w:t>
      </w:r>
      <w:r>
        <w:rPr>
          <w:rFonts w:hint="eastAsia" w:ascii="宋体" w:hAnsi="宋体" w:eastAsia="宋体" w:cs="宋体"/>
          <w:color w:val="auto"/>
          <w:sz w:val="22"/>
          <w:szCs w:val="22"/>
          <w:highlight w:val="none"/>
          <w:u w:val="single"/>
        </w:rPr>
        <w:t>80</w:t>
      </w:r>
      <w:r>
        <w:rPr>
          <w:rFonts w:hint="eastAsia" w:ascii="宋体" w:hAnsi="宋体" w:eastAsia="宋体" w:cs="宋体"/>
          <w:color w:val="auto"/>
          <w:sz w:val="22"/>
          <w:szCs w:val="22"/>
          <w:highlight w:val="none"/>
        </w:rPr>
        <w:t>%时全部扣清。</w:t>
      </w:r>
      <w:bookmarkEnd w:id="66"/>
    </w:p>
    <w:p w14:paraId="71EBFAC5">
      <w:pPr>
        <w:keepNext w:val="0"/>
        <w:keepLines w:val="0"/>
        <w:pageBreakBefore w:val="0"/>
        <w:widowControl w:val="0"/>
        <w:kinsoku/>
        <w:wordWrap/>
        <w:topLinePunct w:val="0"/>
        <w:bidi w:val="0"/>
        <w:adjustRightInd w:val="0"/>
        <w:snapToGrid w:val="0"/>
        <w:spacing w:line="360" w:lineRule="auto"/>
        <w:ind w:left="0" w:leftChars="0" w:firstLine="440" w:firstLineChars="200"/>
        <w:jc w:val="center"/>
        <w:rPr>
          <w:rFonts w:hint="eastAsia" w:ascii="宋体" w:hAnsi="宋体" w:eastAsia="宋体" w:cs="宋体"/>
          <w:color w:val="auto"/>
          <w:sz w:val="22"/>
          <w:szCs w:val="22"/>
          <w:highlight w:val="none"/>
        </w:rPr>
      </w:pPr>
      <w:bookmarkStart w:id="67" w:name="_Toc48667356"/>
      <w:r>
        <w:rPr>
          <w:rFonts w:hint="eastAsia" w:ascii="宋体" w:hAnsi="宋体" w:eastAsia="宋体" w:cs="宋体"/>
          <w:color w:val="auto"/>
          <w:kern w:val="0"/>
          <w:sz w:val="22"/>
          <w:szCs w:val="22"/>
          <w:highlight w:val="none"/>
        </w:rPr>
        <w:t>R=A(C-F</w:t>
      </w:r>
      <w:r>
        <w:rPr>
          <w:rFonts w:hint="eastAsia" w:ascii="宋体" w:hAnsi="宋体" w:eastAsia="宋体" w:cs="宋体"/>
          <w:color w:val="auto"/>
          <w:kern w:val="0"/>
          <w:sz w:val="22"/>
          <w:szCs w:val="22"/>
          <w:highlight w:val="none"/>
          <w:vertAlign w:val="subscript"/>
        </w:rPr>
        <w:t>1</w:t>
      </w:r>
      <w:r>
        <w:rPr>
          <w:rFonts w:hint="eastAsia" w:ascii="宋体" w:hAnsi="宋体" w:eastAsia="宋体" w:cs="宋体"/>
          <w:color w:val="auto"/>
          <w:kern w:val="0"/>
          <w:sz w:val="22"/>
          <w:szCs w:val="22"/>
          <w:highlight w:val="none"/>
        </w:rPr>
        <w:t>S)/(F</w:t>
      </w:r>
      <w:r>
        <w:rPr>
          <w:rFonts w:hint="eastAsia" w:ascii="宋体" w:hAnsi="宋体" w:eastAsia="宋体" w:cs="宋体"/>
          <w:color w:val="auto"/>
          <w:kern w:val="0"/>
          <w:sz w:val="22"/>
          <w:szCs w:val="22"/>
          <w:highlight w:val="none"/>
          <w:vertAlign w:val="subscript"/>
        </w:rPr>
        <w:t>2</w:t>
      </w:r>
      <w:r>
        <w:rPr>
          <w:rFonts w:hint="eastAsia" w:ascii="宋体" w:hAnsi="宋体" w:eastAsia="宋体" w:cs="宋体"/>
          <w:color w:val="auto"/>
          <w:kern w:val="0"/>
          <w:sz w:val="22"/>
          <w:szCs w:val="22"/>
          <w:highlight w:val="none"/>
        </w:rPr>
        <w:t>-F</w:t>
      </w:r>
      <w:r>
        <w:rPr>
          <w:rFonts w:hint="eastAsia" w:ascii="宋体" w:hAnsi="宋体" w:eastAsia="宋体" w:cs="宋体"/>
          <w:color w:val="auto"/>
          <w:kern w:val="0"/>
          <w:sz w:val="22"/>
          <w:szCs w:val="22"/>
          <w:highlight w:val="none"/>
          <w:vertAlign w:val="subscript"/>
        </w:rPr>
        <w:t>1</w:t>
      </w:r>
      <w:r>
        <w:rPr>
          <w:rFonts w:hint="eastAsia" w:ascii="宋体" w:hAnsi="宋体" w:eastAsia="宋体" w:cs="宋体"/>
          <w:color w:val="auto"/>
          <w:kern w:val="0"/>
          <w:sz w:val="22"/>
          <w:szCs w:val="22"/>
          <w:highlight w:val="none"/>
        </w:rPr>
        <w:t>)S</w:t>
      </w:r>
      <w:bookmarkEnd w:id="67"/>
    </w:p>
    <w:p w14:paraId="7776687D">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bookmarkStart w:id="68" w:name="_Toc48667357"/>
      <w:r>
        <w:rPr>
          <w:rFonts w:hint="eastAsia" w:ascii="宋体" w:hAnsi="宋体" w:eastAsia="宋体" w:cs="宋体"/>
          <w:color w:val="auto"/>
          <w:sz w:val="22"/>
          <w:szCs w:val="22"/>
          <w:highlight w:val="none"/>
        </w:rPr>
        <w:t>式中  R——每次进度付款中累计扣回的金额；</w:t>
      </w:r>
      <w:bookmarkEnd w:id="68"/>
    </w:p>
    <w:p w14:paraId="243D497D">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bookmarkStart w:id="69" w:name="_Toc48667358"/>
      <w:r>
        <w:rPr>
          <w:rFonts w:hint="eastAsia" w:ascii="宋体" w:hAnsi="宋体" w:eastAsia="宋体" w:cs="宋体"/>
          <w:color w:val="auto"/>
          <w:sz w:val="22"/>
          <w:szCs w:val="22"/>
          <w:highlight w:val="none"/>
        </w:rPr>
        <w:t>A——工程预付款总金额；</w:t>
      </w:r>
      <w:bookmarkEnd w:id="69"/>
    </w:p>
    <w:p w14:paraId="310B5669">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bookmarkStart w:id="70" w:name="_Toc48667359"/>
      <w:r>
        <w:rPr>
          <w:rFonts w:hint="eastAsia" w:ascii="宋体" w:hAnsi="宋体" w:eastAsia="宋体" w:cs="宋体"/>
          <w:color w:val="auto"/>
          <w:sz w:val="22"/>
          <w:szCs w:val="22"/>
          <w:highlight w:val="none"/>
        </w:rPr>
        <w:t>S——签约合同价；</w:t>
      </w:r>
      <w:bookmarkEnd w:id="70"/>
    </w:p>
    <w:p w14:paraId="00D6D6B7">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bookmarkStart w:id="71" w:name="_Toc48667360"/>
      <w:r>
        <w:rPr>
          <w:rFonts w:hint="eastAsia" w:ascii="宋体" w:hAnsi="宋体" w:eastAsia="宋体" w:cs="宋体"/>
          <w:color w:val="auto"/>
          <w:sz w:val="22"/>
          <w:szCs w:val="22"/>
          <w:highlight w:val="none"/>
        </w:rPr>
        <w:t>C——合同累计完成金额；</w:t>
      </w:r>
      <w:bookmarkEnd w:id="71"/>
    </w:p>
    <w:p w14:paraId="0676F823">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bookmarkStart w:id="72" w:name="_Toc48667361"/>
      <w:r>
        <w:rPr>
          <w:rFonts w:hint="eastAsia" w:ascii="宋体" w:hAnsi="宋体" w:eastAsia="宋体" w:cs="宋体"/>
          <w:color w:val="auto"/>
          <w:sz w:val="22"/>
          <w:szCs w:val="22"/>
          <w:highlight w:val="none"/>
        </w:rPr>
        <w:t>F1——开始扣款时合同累计完成金额达到签约合同价的比例；</w:t>
      </w:r>
      <w:bookmarkEnd w:id="72"/>
    </w:p>
    <w:p w14:paraId="15FD7CEB">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bookmarkStart w:id="73" w:name="_Toc48667362"/>
      <w:r>
        <w:rPr>
          <w:rFonts w:hint="eastAsia" w:ascii="宋体" w:hAnsi="宋体" w:eastAsia="宋体" w:cs="宋体"/>
          <w:color w:val="auto"/>
          <w:sz w:val="22"/>
          <w:szCs w:val="22"/>
          <w:highlight w:val="none"/>
        </w:rPr>
        <w:t>F2——全部扣清时合同累计完成金额达到签约合同价的比例。</w:t>
      </w:r>
      <w:bookmarkEnd w:id="73"/>
      <w:bookmarkStart w:id="74" w:name="_Toc48667363"/>
    </w:p>
    <w:p w14:paraId="07185136">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上述合同累计完成金额均指价格调整前未扣质量保证金的金额。</w:t>
      </w:r>
      <w:bookmarkEnd w:id="74"/>
    </w:p>
    <w:p w14:paraId="187F6586">
      <w:pPr>
        <w:keepNext w:val="0"/>
        <w:keepLines w:val="0"/>
        <w:pageBreakBefore w:val="0"/>
        <w:widowControl w:val="0"/>
        <w:kinsoku/>
        <w:wordWrap/>
        <w:topLinePunct w:val="0"/>
        <w:bidi w:val="0"/>
        <w:adjustRightInd w:val="0"/>
        <w:snapToGrid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17.3 工程进度付款</w:t>
      </w:r>
    </w:p>
    <w:p w14:paraId="21C485FD">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17.3.3 进度付款证书和支付时间</w:t>
      </w:r>
    </w:p>
    <w:p w14:paraId="7AE9C640">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增加：</w:t>
      </w:r>
    </w:p>
    <w:p w14:paraId="52D8FA0C">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（1）发包人根据资金到位情况支付工程进度款。若由于上级资金未到位，延期付款不计息。</w:t>
      </w:r>
    </w:p>
    <w:p w14:paraId="25147B51">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（2）承包人如违反本合同条款中的有关规定而受到发包方或监理方的罚款处罚时，承包人应在收到罚款通知书后7日内缴纳，否则发包人和监理人有权在进度款中或履约保证金中扣除。</w:t>
      </w:r>
    </w:p>
    <w:p w14:paraId="1E17DC84">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（3）删除原专用合同条款中本条款，增加：</w:t>
      </w:r>
    </w:p>
    <w:p w14:paraId="7E0140DA">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①发包人收到监理人签证的进度付款证书并审批后支付给承包人，支付金额应按本期实际完成工程量计取的实际完成投资金额的80%，再扣除预付款后的金额。</w:t>
      </w:r>
    </w:p>
    <w:p w14:paraId="58ED0A33">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sz w:val="22"/>
          <w:szCs w:val="22"/>
          <w:highlight w:val="none"/>
        </w:rPr>
        <w:t>②</w:t>
      </w:r>
      <w:r>
        <w:rPr>
          <w:rFonts w:hint="eastAsia" w:ascii="宋体" w:hAnsi="宋体" w:eastAsia="宋体" w:cs="宋体"/>
          <w:i w:val="0"/>
          <w:iCs w:val="0"/>
          <w:color w:val="auto"/>
          <w:sz w:val="22"/>
          <w:szCs w:val="22"/>
          <w:highlight w:val="none"/>
          <w:lang w:eastAsia="zh-CN"/>
        </w:rPr>
        <w:t>单位</w:t>
      </w:r>
      <w:r>
        <w:rPr>
          <w:rFonts w:hint="eastAsia" w:ascii="宋体" w:hAnsi="宋体" w:eastAsia="宋体" w:cs="宋体"/>
          <w:i w:val="0"/>
          <w:iCs w:val="0"/>
          <w:color w:val="auto"/>
          <w:sz w:val="22"/>
          <w:szCs w:val="22"/>
          <w:highlight w:val="none"/>
        </w:rPr>
        <w:t>工程</w:t>
      </w:r>
      <w:r>
        <w:rPr>
          <w:rFonts w:hint="eastAsia" w:ascii="宋体" w:hAnsi="宋体" w:eastAsia="宋体" w:cs="宋体"/>
          <w:i w:val="0"/>
          <w:iCs w:val="0"/>
          <w:color w:val="auto"/>
          <w:sz w:val="22"/>
          <w:szCs w:val="22"/>
          <w:highlight w:val="none"/>
          <w:lang w:eastAsia="zh-CN"/>
        </w:rPr>
        <w:t>完工</w:t>
      </w:r>
      <w:r>
        <w:rPr>
          <w:rFonts w:hint="eastAsia" w:ascii="宋体" w:hAnsi="宋体" w:eastAsia="宋体" w:cs="宋体"/>
          <w:i w:val="0"/>
          <w:iCs w:val="0"/>
          <w:color w:val="auto"/>
          <w:sz w:val="22"/>
          <w:szCs w:val="22"/>
          <w:highlight w:val="none"/>
        </w:rPr>
        <w:t>验收合格后发包人收到承包人报送的结算资料14天内支付至结算价的</w:t>
      </w:r>
      <w:r>
        <w:rPr>
          <w:rFonts w:hint="eastAsia" w:ascii="宋体" w:hAnsi="宋体" w:eastAsia="宋体" w:cs="宋体"/>
          <w:i w:val="0"/>
          <w:iCs w:val="0"/>
          <w:color w:val="auto"/>
          <w:sz w:val="22"/>
          <w:szCs w:val="22"/>
          <w:highlight w:val="none"/>
          <w:lang w:val="en-US" w:eastAsia="zh-CN"/>
        </w:rPr>
        <w:t>85</w:t>
      </w:r>
      <w:r>
        <w:rPr>
          <w:rFonts w:hint="eastAsia" w:ascii="宋体" w:hAnsi="宋体" w:eastAsia="宋体" w:cs="宋体"/>
          <w:i w:val="0"/>
          <w:iCs w:val="0"/>
          <w:color w:val="auto"/>
          <w:sz w:val="22"/>
          <w:szCs w:val="22"/>
          <w:highlight w:val="none"/>
        </w:rPr>
        <w:t>%；工程完工并经合同工程完工验收及发包人收到承包人报送的经财政部门结算审核的结算书后3个月内支付至该结算价的97%，剩余3%作为保修期的质保金。若由于上级资金未到位，延期付款不计息。</w:t>
      </w:r>
    </w:p>
    <w:p w14:paraId="4FC0D741">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③保修期满后1个月内将质保金支付给承包人。若由于上级资金未到位，延期付款不计息。</w:t>
      </w:r>
    </w:p>
    <w:p w14:paraId="2104D2A2">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(4)目修改为：(4)根据广东省基本建设财政资金集中支付的规定，工程进度款和竣工结算价款的支付时间最终以财政拨付的时间为准。因财政基本建设资金的支付需财政部门的审批和办理，发包人不对财政部门审批和办理所需时间承担任何责任。承包人须协助监理人和发包人办理有关集中支付所需的资料。</w:t>
      </w:r>
    </w:p>
    <w:p w14:paraId="62772FC3">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增加(5)：</w:t>
      </w:r>
    </w:p>
    <w:p w14:paraId="5F8F2E3A">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0000FF"/>
          <w:sz w:val="22"/>
          <w:szCs w:val="22"/>
          <w:highlight w:val="yellow"/>
        </w:rPr>
      </w:pPr>
      <w:r>
        <w:rPr>
          <w:rFonts w:hint="eastAsia" w:ascii="宋体" w:hAnsi="宋体" w:eastAsia="宋体" w:cs="宋体"/>
          <w:color w:val="auto"/>
          <w:sz w:val="22"/>
          <w:szCs w:val="22"/>
          <w:highlight w:val="none"/>
        </w:rPr>
        <w:t>（5）临时工程按主体工程进度款的比例支付。</w:t>
      </w:r>
    </w:p>
    <w:p w14:paraId="21B94B85">
      <w:pPr>
        <w:keepNext w:val="0"/>
        <w:keepLines w:val="0"/>
        <w:pageBreakBefore w:val="0"/>
        <w:widowControl w:val="0"/>
        <w:kinsoku/>
        <w:wordWrap/>
        <w:topLinePunct w:val="0"/>
        <w:bidi w:val="0"/>
        <w:adjustRightInd w:val="0"/>
        <w:snapToGrid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17.4  质量保证金</w:t>
      </w:r>
    </w:p>
    <w:p w14:paraId="387014D6">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17.4.1 款修改如下：</w:t>
      </w:r>
    </w:p>
    <w:p w14:paraId="726C538A">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质量保证金为财政部门最终审定工程结算价款的3%，以有效的银行保函形式代替。</w:t>
      </w:r>
    </w:p>
    <w:p w14:paraId="34A109B4">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增加：</w:t>
      </w:r>
    </w:p>
    <w:p w14:paraId="13B86992">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17.4.2</w:t>
      </w:r>
      <w:r>
        <w:rPr>
          <w:rFonts w:hint="eastAsia" w:ascii="宋体" w:hAnsi="宋体" w:eastAsia="宋体" w:cs="宋体"/>
          <w:color w:val="auto"/>
          <w:sz w:val="22"/>
          <w:szCs w:val="22"/>
          <w:highlight w:val="none"/>
        </w:rPr>
        <w:t>中标单位提交了银行保函、保证保险后，本项目不再扣留工程质量保证金。</w:t>
      </w:r>
    </w:p>
    <w:p w14:paraId="4F911ECA">
      <w:pPr>
        <w:keepNext w:val="0"/>
        <w:keepLines w:val="0"/>
        <w:pageBreakBefore w:val="0"/>
        <w:widowControl w:val="0"/>
        <w:kinsoku/>
        <w:wordWrap/>
        <w:topLinePunct w:val="0"/>
        <w:bidi w:val="0"/>
        <w:adjustRightInd w:val="0"/>
        <w:snapToGrid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17.5 竣工（完工）结算</w:t>
      </w:r>
    </w:p>
    <w:p w14:paraId="5E137C44">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17.5.1 竣工（完工）付款申请单</w:t>
      </w:r>
    </w:p>
    <w:p w14:paraId="22AA9EC8">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 承包人应提交完工付款申请单一式</w:t>
      </w:r>
      <w:r>
        <w:rPr>
          <w:rFonts w:hint="eastAsia" w:ascii="宋体" w:hAnsi="宋体" w:eastAsia="宋体" w:cs="宋体"/>
          <w:color w:val="auto"/>
          <w:sz w:val="22"/>
          <w:szCs w:val="22"/>
          <w:highlight w:val="none"/>
          <w:u w:val="single"/>
        </w:rPr>
        <w:t xml:space="preserve"> 6 </w:t>
      </w:r>
      <w:r>
        <w:rPr>
          <w:rFonts w:hint="eastAsia" w:ascii="宋体" w:hAnsi="宋体" w:eastAsia="宋体" w:cs="宋体"/>
          <w:color w:val="auto"/>
          <w:sz w:val="22"/>
          <w:szCs w:val="22"/>
          <w:highlight w:val="none"/>
        </w:rPr>
        <w:t>份。</w:t>
      </w:r>
    </w:p>
    <w:p w14:paraId="6EE77789">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增加条款17.5.2（1）工程完工验收合格后，经财政投资评审中心对完工结算评审定稿后，</w:t>
      </w:r>
      <w:r>
        <w:rPr>
          <w:rFonts w:hint="eastAsia" w:ascii="宋体" w:hAnsi="宋体" w:eastAsia="宋体" w:cs="宋体"/>
          <w:bCs/>
          <w:color w:val="auto"/>
          <w:sz w:val="22"/>
          <w:szCs w:val="22"/>
          <w:highlight w:val="none"/>
          <w:lang w:val="zh-CN"/>
        </w:rPr>
        <w:t>提供审核结算价</w:t>
      </w:r>
      <w:r>
        <w:rPr>
          <w:rFonts w:hint="eastAsia" w:ascii="宋体" w:hAnsi="宋体" w:eastAsia="宋体" w:cs="宋体"/>
          <w:color w:val="auto"/>
          <w:sz w:val="22"/>
          <w:szCs w:val="22"/>
          <w:highlight w:val="none"/>
        </w:rPr>
        <w:t>3%等额</w:t>
      </w:r>
      <w:r>
        <w:rPr>
          <w:rFonts w:hint="eastAsia" w:ascii="宋体" w:hAnsi="宋体" w:eastAsia="宋体" w:cs="宋体"/>
          <w:bCs/>
          <w:color w:val="auto"/>
          <w:sz w:val="22"/>
          <w:szCs w:val="22"/>
          <w:highlight w:val="none"/>
        </w:rPr>
        <w:t>有效的</w:t>
      </w:r>
      <w:r>
        <w:rPr>
          <w:rFonts w:hint="eastAsia" w:ascii="宋体" w:hAnsi="宋体" w:eastAsia="宋体" w:cs="宋体"/>
          <w:color w:val="auto"/>
          <w:sz w:val="22"/>
          <w:szCs w:val="22"/>
          <w:highlight w:val="none"/>
        </w:rPr>
        <w:t>质量保证金</w:t>
      </w:r>
      <w:r>
        <w:rPr>
          <w:rFonts w:hint="eastAsia" w:ascii="宋体" w:hAnsi="宋体" w:eastAsia="宋体" w:cs="宋体"/>
          <w:bCs/>
          <w:color w:val="auto"/>
          <w:sz w:val="22"/>
          <w:szCs w:val="22"/>
          <w:highlight w:val="none"/>
        </w:rPr>
        <w:t>银行保函</w:t>
      </w:r>
      <w:r>
        <w:rPr>
          <w:rFonts w:hint="eastAsia" w:ascii="宋体" w:hAnsi="宋体" w:eastAsia="宋体" w:cs="宋体"/>
          <w:color w:val="auto"/>
          <w:sz w:val="22"/>
          <w:szCs w:val="22"/>
          <w:highlight w:val="none"/>
        </w:rPr>
        <w:t>可</w:t>
      </w:r>
      <w:r>
        <w:rPr>
          <w:rFonts w:hint="eastAsia" w:ascii="宋体" w:hAnsi="宋体" w:eastAsia="宋体" w:cs="宋体"/>
          <w:bCs/>
          <w:color w:val="auto"/>
          <w:sz w:val="22"/>
          <w:szCs w:val="22"/>
          <w:highlight w:val="none"/>
          <w:lang w:val="zh-CN"/>
        </w:rPr>
        <w:t>支付至审核结算价的100%，</w:t>
      </w:r>
      <w:r>
        <w:rPr>
          <w:rFonts w:hint="eastAsia" w:ascii="宋体" w:hAnsi="宋体" w:eastAsia="宋体" w:cs="宋体"/>
          <w:color w:val="auto"/>
          <w:sz w:val="22"/>
          <w:szCs w:val="22"/>
          <w:highlight w:val="none"/>
        </w:rPr>
        <w:t>质量保函缺陷责任期为</w:t>
      </w:r>
      <w:r>
        <w:rPr>
          <w:rFonts w:hint="eastAsia" w:ascii="宋体" w:hAnsi="宋体" w:eastAsia="宋体" w:cs="宋体"/>
          <w:color w:val="auto"/>
          <w:sz w:val="22"/>
          <w:szCs w:val="22"/>
          <w:highlight w:val="none"/>
          <w:lang w:eastAsia="zh-CN"/>
        </w:rPr>
        <w:t>2年</w:t>
      </w:r>
      <w:r>
        <w:rPr>
          <w:rFonts w:hint="eastAsia" w:ascii="宋体" w:hAnsi="宋体" w:eastAsia="宋体" w:cs="宋体"/>
          <w:color w:val="auto"/>
          <w:sz w:val="22"/>
          <w:szCs w:val="22"/>
          <w:highlight w:val="none"/>
        </w:rPr>
        <w:t>（从合同工程完工验收之日起算），在缺陷责任期满后一个月内申请办理工程质量保修期责任终止证书。</w:t>
      </w:r>
    </w:p>
    <w:p w14:paraId="04B70909">
      <w:pPr>
        <w:keepNext w:val="0"/>
        <w:keepLines w:val="0"/>
        <w:pageBreakBefore w:val="0"/>
        <w:widowControl w:val="0"/>
        <w:kinsoku/>
        <w:wordWrap/>
        <w:topLinePunct w:val="0"/>
        <w:bidi w:val="0"/>
        <w:adjustRightInd w:val="0"/>
        <w:snapToGrid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17.6 最终结清</w:t>
      </w:r>
    </w:p>
    <w:p w14:paraId="31C79BD8">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17.6.1 最终结清申请单</w:t>
      </w:r>
    </w:p>
    <w:p w14:paraId="21C6EC57">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 承包人应提交最终结清申请单一式</w:t>
      </w:r>
      <w:r>
        <w:rPr>
          <w:rFonts w:hint="eastAsia" w:ascii="宋体" w:hAnsi="宋体" w:eastAsia="宋体" w:cs="宋体"/>
          <w:color w:val="auto"/>
          <w:sz w:val="22"/>
          <w:szCs w:val="22"/>
          <w:highlight w:val="none"/>
          <w:u w:val="single"/>
        </w:rPr>
        <w:t xml:space="preserve"> 6 </w:t>
      </w:r>
      <w:r>
        <w:rPr>
          <w:rFonts w:hint="eastAsia" w:ascii="宋体" w:hAnsi="宋体" w:eastAsia="宋体" w:cs="宋体"/>
          <w:color w:val="auto"/>
          <w:sz w:val="22"/>
          <w:szCs w:val="22"/>
          <w:highlight w:val="none"/>
        </w:rPr>
        <w:t>份。</w:t>
      </w:r>
    </w:p>
    <w:p w14:paraId="17F27DCE">
      <w:pPr>
        <w:keepNext w:val="0"/>
        <w:keepLines w:val="0"/>
        <w:pageBreakBefore w:val="0"/>
        <w:widowControl w:val="0"/>
        <w:kinsoku/>
        <w:wordWrap/>
        <w:topLinePunct w:val="0"/>
        <w:bidi w:val="0"/>
        <w:adjustRightInd w:val="0"/>
        <w:snapToGrid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17.7 竣工财务决算</w:t>
      </w:r>
    </w:p>
    <w:p w14:paraId="67984260">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承包人应为竣工财务决算编制提供的资料：</w:t>
      </w:r>
      <w:r>
        <w:rPr>
          <w:rFonts w:hint="eastAsia" w:ascii="宋体" w:hAnsi="宋体" w:eastAsia="宋体" w:cs="宋体"/>
          <w:color w:val="auto"/>
          <w:sz w:val="22"/>
          <w:szCs w:val="22"/>
          <w:highlight w:val="none"/>
          <w:u w:val="single"/>
        </w:rPr>
        <w:t xml:space="preserve"> 按有关规定</w:t>
      </w:r>
      <w:r>
        <w:rPr>
          <w:rFonts w:hint="eastAsia" w:ascii="宋体" w:hAnsi="宋体" w:eastAsia="宋体" w:cs="宋体"/>
          <w:color w:val="auto"/>
          <w:sz w:val="22"/>
          <w:szCs w:val="22"/>
          <w:highlight w:val="none"/>
        </w:rPr>
        <w:t>。</w:t>
      </w:r>
    </w:p>
    <w:p w14:paraId="19CA71B3">
      <w:pPr>
        <w:keepNext w:val="0"/>
        <w:keepLines w:val="0"/>
        <w:pageBreakBefore w:val="0"/>
        <w:widowControl w:val="0"/>
        <w:kinsoku/>
        <w:wordWrap/>
        <w:topLinePunct w:val="0"/>
        <w:bidi w:val="0"/>
        <w:adjustRightInd w:val="0"/>
        <w:snapToGrid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18  竣工验收（验收）</w:t>
      </w:r>
    </w:p>
    <w:p w14:paraId="2D902102">
      <w:pPr>
        <w:keepNext w:val="0"/>
        <w:keepLines w:val="0"/>
        <w:pageBreakBefore w:val="0"/>
        <w:widowControl w:val="0"/>
        <w:kinsoku/>
        <w:wordWrap/>
        <w:topLinePunct w:val="0"/>
        <w:bidi w:val="0"/>
        <w:adjustRightInd w:val="0"/>
        <w:snapToGrid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18.1 验收工作分类</w:t>
      </w:r>
    </w:p>
    <w:p w14:paraId="47F986CE">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本工程法人验收包括：</w:t>
      </w:r>
      <w:r>
        <w:rPr>
          <w:rFonts w:hint="eastAsia" w:ascii="宋体" w:hAnsi="宋体" w:eastAsia="宋体" w:cs="宋体"/>
          <w:color w:val="auto"/>
          <w:sz w:val="22"/>
          <w:szCs w:val="22"/>
          <w:highlight w:val="none"/>
          <w:u w:val="single"/>
        </w:rPr>
        <w:t xml:space="preserve"> 分部、单位工程及合同工程完工验收</w:t>
      </w:r>
      <w:r>
        <w:rPr>
          <w:rFonts w:hint="eastAsia" w:ascii="宋体" w:hAnsi="宋体" w:eastAsia="宋体" w:cs="宋体"/>
          <w:color w:val="auto"/>
          <w:sz w:val="22"/>
          <w:szCs w:val="22"/>
          <w:highlight w:val="none"/>
        </w:rPr>
        <w:t>；政府验收包括：</w:t>
      </w:r>
      <w:r>
        <w:rPr>
          <w:rFonts w:hint="eastAsia" w:ascii="宋体" w:hAnsi="宋体" w:eastAsia="宋体" w:cs="宋体"/>
          <w:color w:val="auto"/>
          <w:sz w:val="22"/>
          <w:szCs w:val="22"/>
          <w:highlight w:val="none"/>
          <w:u w:val="single"/>
        </w:rPr>
        <w:t xml:space="preserve">阶段、专项、竣工验收 </w:t>
      </w:r>
      <w:r>
        <w:rPr>
          <w:rFonts w:hint="eastAsia" w:ascii="宋体" w:hAnsi="宋体" w:eastAsia="宋体" w:cs="宋体"/>
          <w:color w:val="auto"/>
          <w:sz w:val="22"/>
          <w:szCs w:val="22"/>
          <w:highlight w:val="none"/>
        </w:rPr>
        <w:t>。验收条件为：</w:t>
      </w:r>
      <w:r>
        <w:rPr>
          <w:rFonts w:hint="eastAsia" w:ascii="宋体" w:hAnsi="宋体" w:eastAsia="宋体" w:cs="宋体"/>
          <w:color w:val="auto"/>
          <w:sz w:val="22"/>
          <w:szCs w:val="22"/>
          <w:highlight w:val="none"/>
          <w:u w:val="single"/>
        </w:rPr>
        <w:t xml:space="preserve"> 符合有关规范规定 </w:t>
      </w:r>
      <w:r>
        <w:rPr>
          <w:rFonts w:hint="eastAsia" w:ascii="宋体" w:hAnsi="宋体" w:eastAsia="宋体" w:cs="宋体"/>
          <w:color w:val="auto"/>
          <w:sz w:val="22"/>
          <w:szCs w:val="22"/>
          <w:highlight w:val="none"/>
        </w:rPr>
        <w:t>，验收程序为：</w:t>
      </w:r>
      <w:r>
        <w:rPr>
          <w:rFonts w:hint="eastAsia" w:ascii="宋体" w:hAnsi="宋体" w:eastAsia="宋体" w:cs="宋体"/>
          <w:color w:val="auto"/>
          <w:sz w:val="22"/>
          <w:szCs w:val="22"/>
          <w:highlight w:val="none"/>
          <w:u w:val="single"/>
        </w:rPr>
        <w:t xml:space="preserve"> 符合有关规范规定 </w:t>
      </w:r>
      <w:r>
        <w:rPr>
          <w:rFonts w:hint="eastAsia" w:ascii="宋体" w:hAnsi="宋体" w:eastAsia="宋体" w:cs="宋体"/>
          <w:color w:val="auto"/>
          <w:sz w:val="22"/>
          <w:szCs w:val="22"/>
          <w:highlight w:val="none"/>
        </w:rPr>
        <w:t>。</w:t>
      </w:r>
    </w:p>
    <w:p w14:paraId="62543496">
      <w:pPr>
        <w:keepNext w:val="0"/>
        <w:keepLines w:val="0"/>
        <w:pageBreakBefore w:val="0"/>
        <w:widowControl w:val="0"/>
        <w:kinsoku/>
        <w:wordWrap/>
        <w:topLinePunct w:val="0"/>
        <w:bidi w:val="0"/>
        <w:adjustRightInd w:val="0"/>
        <w:snapToGrid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18.7 竣工验收</w:t>
      </w:r>
    </w:p>
    <w:p w14:paraId="7B72AFB2">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 xml:space="preserve"> 增加18.7.6 ：所有资料应提交电子文档光盘2套，文字材料采用“WORD”、“EXECL”格式2003版本，图纸采用“DWG”格式，相片采用“JPG”或“JPEG”格式。</w:t>
      </w:r>
    </w:p>
    <w:p w14:paraId="3B6F0ED9">
      <w:pPr>
        <w:keepNext w:val="0"/>
        <w:keepLines w:val="0"/>
        <w:pageBreakBefore w:val="0"/>
        <w:widowControl w:val="0"/>
        <w:kinsoku/>
        <w:wordWrap/>
        <w:topLinePunct w:val="0"/>
        <w:bidi w:val="0"/>
        <w:adjustRightInd w:val="0"/>
        <w:snapToGrid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19  缺陷责任与保修责任</w:t>
      </w:r>
    </w:p>
    <w:p w14:paraId="69E1CD6E">
      <w:pPr>
        <w:keepNext w:val="0"/>
        <w:keepLines w:val="0"/>
        <w:pageBreakBefore w:val="0"/>
        <w:widowControl w:val="0"/>
        <w:kinsoku/>
        <w:wordWrap/>
        <w:topLinePunct w:val="0"/>
        <w:bidi w:val="0"/>
        <w:adjustRightInd w:val="0"/>
        <w:snapToGrid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19.1 缺陷责任期（工程质量保修期）的起算时间</w:t>
      </w:r>
    </w:p>
    <w:p w14:paraId="7150E946">
      <w:pPr>
        <w:keepNext w:val="0"/>
        <w:keepLines w:val="0"/>
        <w:pageBreakBefore w:val="0"/>
        <w:widowControl w:val="0"/>
        <w:kinsoku/>
        <w:wordWrap/>
        <w:topLinePunct w:val="0"/>
        <w:bidi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本工程缺陷责任期（工程质量保修期）计算如下：</w:t>
      </w:r>
      <w:r>
        <w:rPr>
          <w:rFonts w:hint="eastAsia" w:ascii="宋体" w:hAnsi="宋体" w:eastAsia="宋体" w:cs="宋体"/>
          <w:color w:val="auto"/>
          <w:sz w:val="22"/>
          <w:szCs w:val="22"/>
          <w:highlight w:val="none"/>
          <w:u w:val="single"/>
        </w:rPr>
        <w:t>自合同工程完工验收合格之日开始算起 ，时间为</w:t>
      </w:r>
      <w:r>
        <w:rPr>
          <w:rFonts w:hint="eastAsia" w:ascii="宋体" w:hAnsi="宋体" w:eastAsia="宋体" w:cs="宋体"/>
          <w:color w:val="auto"/>
          <w:sz w:val="22"/>
          <w:szCs w:val="22"/>
          <w:highlight w:val="none"/>
          <w:u w:val="single"/>
          <w:lang w:eastAsia="zh-CN"/>
        </w:rPr>
        <w:t>2年</w:t>
      </w:r>
      <w:r>
        <w:rPr>
          <w:rFonts w:hint="eastAsia" w:ascii="宋体" w:hAnsi="宋体" w:eastAsia="宋体" w:cs="宋体"/>
          <w:color w:val="auto"/>
          <w:sz w:val="22"/>
          <w:szCs w:val="22"/>
          <w:highlight w:val="none"/>
        </w:rPr>
        <w:t>。</w:t>
      </w:r>
    </w:p>
    <w:p w14:paraId="49B27B9B">
      <w:pPr>
        <w:keepNext w:val="0"/>
        <w:keepLines w:val="0"/>
        <w:pageBreakBefore w:val="0"/>
        <w:widowControl w:val="0"/>
        <w:kinsoku/>
        <w:wordWrap/>
        <w:topLinePunct w:val="0"/>
        <w:bidi w:val="0"/>
        <w:adjustRightInd w:val="0"/>
        <w:snapToGrid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20  保险</w:t>
      </w:r>
    </w:p>
    <w:p w14:paraId="26C36514">
      <w:pPr>
        <w:keepNext w:val="0"/>
        <w:keepLines w:val="0"/>
        <w:pageBreakBefore w:val="0"/>
        <w:widowControl w:val="0"/>
        <w:kinsoku/>
        <w:wordWrap/>
        <w:topLinePunct w:val="0"/>
        <w:bidi w:val="0"/>
        <w:adjustRightInd w:val="0"/>
        <w:snapToGrid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20.1 工程保险</w:t>
      </w:r>
    </w:p>
    <w:p w14:paraId="0BD14390">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建筑工程一切险和（或）安装工程一切险投保人：</w:t>
      </w:r>
      <w:r>
        <w:rPr>
          <w:rFonts w:hint="eastAsia" w:ascii="宋体" w:hAnsi="宋体" w:eastAsia="宋体" w:cs="宋体"/>
          <w:color w:val="auto"/>
          <w:sz w:val="22"/>
          <w:szCs w:val="22"/>
          <w:highlight w:val="none"/>
          <w:u w:val="single"/>
        </w:rPr>
        <w:t>按照相关规定执行</w:t>
      </w:r>
      <w:r>
        <w:rPr>
          <w:rFonts w:hint="eastAsia" w:ascii="宋体" w:hAnsi="宋体" w:eastAsia="宋体" w:cs="宋体"/>
          <w:color w:val="auto"/>
          <w:sz w:val="22"/>
          <w:szCs w:val="22"/>
          <w:highlight w:val="none"/>
        </w:rPr>
        <w:t>；</w:t>
      </w:r>
    </w:p>
    <w:p w14:paraId="42B42820">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保险金额、保险费率和保险期限：</w:t>
      </w:r>
      <w:r>
        <w:rPr>
          <w:rFonts w:hint="eastAsia" w:ascii="宋体" w:hAnsi="宋体" w:eastAsia="宋体" w:cs="宋体"/>
          <w:color w:val="auto"/>
          <w:sz w:val="22"/>
          <w:szCs w:val="22"/>
          <w:highlight w:val="none"/>
          <w:u w:val="single"/>
        </w:rPr>
        <w:t>按相关规定</w:t>
      </w:r>
      <w:r>
        <w:rPr>
          <w:rFonts w:hint="eastAsia" w:ascii="宋体" w:hAnsi="宋体" w:eastAsia="宋体" w:cs="宋体"/>
          <w:color w:val="auto"/>
          <w:sz w:val="22"/>
          <w:szCs w:val="22"/>
          <w:highlight w:val="none"/>
        </w:rPr>
        <w:t>。</w:t>
      </w:r>
    </w:p>
    <w:p w14:paraId="2A817EBA">
      <w:pPr>
        <w:keepNext w:val="0"/>
        <w:keepLines w:val="0"/>
        <w:pageBreakBefore w:val="0"/>
        <w:widowControl w:val="0"/>
        <w:kinsoku/>
        <w:wordWrap/>
        <w:topLinePunct w:val="0"/>
        <w:bidi w:val="0"/>
        <w:adjustRightInd w:val="0"/>
        <w:snapToGrid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20.4 第三者责任险</w:t>
      </w:r>
    </w:p>
    <w:p w14:paraId="6EF3F1D0">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20.4.2 第三者责任险保险费率：</w:t>
      </w:r>
      <w:r>
        <w:rPr>
          <w:rFonts w:hint="eastAsia" w:ascii="宋体" w:hAnsi="宋体" w:eastAsia="宋体" w:cs="宋体"/>
          <w:color w:val="auto"/>
          <w:sz w:val="22"/>
          <w:szCs w:val="22"/>
          <w:highlight w:val="none"/>
          <w:u w:val="single"/>
        </w:rPr>
        <w:t>按相关规定</w:t>
      </w:r>
      <w:r>
        <w:rPr>
          <w:rFonts w:hint="eastAsia" w:ascii="宋体" w:hAnsi="宋体" w:eastAsia="宋体" w:cs="宋体"/>
          <w:color w:val="auto"/>
          <w:sz w:val="22"/>
          <w:szCs w:val="22"/>
          <w:highlight w:val="none"/>
        </w:rPr>
        <w:t>；</w:t>
      </w:r>
    </w:p>
    <w:p w14:paraId="29B3AE44">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第三者责任险保险金额：</w:t>
      </w:r>
      <w:r>
        <w:rPr>
          <w:rFonts w:hint="eastAsia" w:ascii="宋体" w:hAnsi="宋体" w:eastAsia="宋体" w:cs="宋体"/>
          <w:color w:val="auto"/>
          <w:sz w:val="22"/>
          <w:szCs w:val="22"/>
          <w:highlight w:val="none"/>
          <w:u w:val="single"/>
        </w:rPr>
        <w:t>按相关规定</w:t>
      </w:r>
      <w:r>
        <w:rPr>
          <w:rFonts w:hint="eastAsia" w:ascii="宋体" w:hAnsi="宋体" w:eastAsia="宋体" w:cs="宋体"/>
          <w:color w:val="auto"/>
          <w:sz w:val="22"/>
          <w:szCs w:val="22"/>
          <w:highlight w:val="none"/>
        </w:rPr>
        <w:t>。</w:t>
      </w:r>
    </w:p>
    <w:p w14:paraId="602E88E0">
      <w:pPr>
        <w:keepNext w:val="0"/>
        <w:keepLines w:val="0"/>
        <w:pageBreakBefore w:val="0"/>
        <w:widowControl w:val="0"/>
        <w:kinsoku/>
        <w:wordWrap/>
        <w:topLinePunct w:val="0"/>
        <w:bidi w:val="0"/>
        <w:adjustRightInd w:val="0"/>
        <w:snapToGrid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20.5 其他保险</w:t>
      </w:r>
    </w:p>
    <w:p w14:paraId="1224B09F">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根据《关于要求施工单位购买安全生产责任险的通知》韶水运行监督[2020]5号及《转发关于做好我省铁路、公路、水运、水利、能源、机场工程建设参加工伤保险工作的通知》韶人社[2019]22号</w:t>
      </w:r>
      <w:r>
        <w:rPr>
          <w:rFonts w:hint="eastAsia" w:ascii="宋体" w:hAnsi="宋体" w:eastAsia="宋体" w:cs="宋体"/>
          <w:color w:val="auto"/>
          <w:sz w:val="22"/>
          <w:szCs w:val="22"/>
          <w:highlight w:val="none"/>
          <w:lang w:val="en-US" w:eastAsia="zh-CN"/>
        </w:rPr>
        <w:t>等最新（如有）</w:t>
      </w:r>
      <w:r>
        <w:rPr>
          <w:rFonts w:hint="eastAsia" w:ascii="宋体" w:hAnsi="宋体" w:eastAsia="宋体" w:cs="宋体"/>
          <w:color w:val="auto"/>
          <w:sz w:val="22"/>
          <w:szCs w:val="22"/>
          <w:highlight w:val="none"/>
        </w:rPr>
        <w:t>文件精神，承包人必须按文件要求在办理质量与安全监督书前购买安全生产责任险及工伤保险；需要投保的其它内容：承包人根据自身需要购买施工设备险，投保项目及其保险金额由承包人根据其配备的施工设备状况自行确定，但承包人应充分估计主要施工设备可能发生的重大事故或因自然灾害造成施工设备的损失和损坏对工程的影响 ；保险金额、保险费率和保险期限：按与保险公司已签订的协议由承包人支付。</w:t>
      </w:r>
    </w:p>
    <w:p w14:paraId="0BB61195">
      <w:pPr>
        <w:keepNext w:val="0"/>
        <w:keepLines w:val="0"/>
        <w:pageBreakBefore w:val="0"/>
        <w:widowControl w:val="0"/>
        <w:tabs>
          <w:tab w:val="left" w:pos="3480"/>
        </w:tabs>
        <w:kinsoku/>
        <w:wordWrap/>
        <w:topLinePunct w:val="0"/>
        <w:bidi w:val="0"/>
        <w:adjustRightInd w:val="0"/>
        <w:snapToGrid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20.6 对各项保险的一般要求</w:t>
      </w:r>
      <w:r>
        <w:rPr>
          <w:rFonts w:hint="eastAsia" w:ascii="宋体" w:hAnsi="宋体" w:eastAsia="宋体" w:cs="宋体"/>
          <w:b/>
          <w:color w:val="auto"/>
          <w:sz w:val="22"/>
          <w:szCs w:val="22"/>
          <w:highlight w:val="none"/>
        </w:rPr>
        <w:tab/>
      </w:r>
    </w:p>
    <w:p w14:paraId="37B17054">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20.6.1  保险凭证</w:t>
      </w:r>
    </w:p>
    <w:p w14:paraId="5E89BE64">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承包人提交保险凭证的期限：</w:t>
      </w:r>
      <w:r>
        <w:rPr>
          <w:rFonts w:hint="eastAsia" w:ascii="宋体" w:hAnsi="宋体" w:eastAsia="宋体" w:cs="宋体"/>
          <w:color w:val="auto"/>
          <w:sz w:val="22"/>
          <w:szCs w:val="22"/>
          <w:highlight w:val="none"/>
          <w:u w:val="single"/>
        </w:rPr>
        <w:t>按相关规定</w:t>
      </w:r>
      <w:r>
        <w:rPr>
          <w:rFonts w:hint="eastAsia" w:ascii="宋体" w:hAnsi="宋体" w:eastAsia="宋体" w:cs="宋体"/>
          <w:color w:val="auto"/>
          <w:sz w:val="22"/>
          <w:szCs w:val="22"/>
          <w:highlight w:val="none"/>
        </w:rPr>
        <w:t>；</w:t>
      </w:r>
    </w:p>
    <w:p w14:paraId="790BD896">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保险条件：</w:t>
      </w:r>
      <w:r>
        <w:rPr>
          <w:rFonts w:hint="eastAsia" w:ascii="宋体" w:hAnsi="宋体" w:eastAsia="宋体" w:cs="宋体"/>
          <w:color w:val="auto"/>
          <w:sz w:val="22"/>
          <w:szCs w:val="22"/>
          <w:highlight w:val="none"/>
          <w:u w:val="single"/>
        </w:rPr>
        <w:t>按相关规定</w:t>
      </w:r>
      <w:r>
        <w:rPr>
          <w:rFonts w:hint="eastAsia" w:ascii="宋体" w:hAnsi="宋体" w:eastAsia="宋体" w:cs="宋体"/>
          <w:color w:val="auto"/>
          <w:sz w:val="22"/>
          <w:szCs w:val="22"/>
          <w:highlight w:val="none"/>
        </w:rPr>
        <w:t>；</w:t>
      </w:r>
    </w:p>
    <w:p w14:paraId="7815602C">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20.6.4  保险金不足的补偿</w:t>
      </w:r>
    </w:p>
    <w:p w14:paraId="2EB6C605">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承包人负责补偿的范围与金额：</w:t>
      </w:r>
      <w:r>
        <w:rPr>
          <w:rFonts w:hint="eastAsia" w:ascii="宋体" w:hAnsi="宋体" w:eastAsia="宋体" w:cs="宋体"/>
          <w:color w:val="auto"/>
          <w:sz w:val="22"/>
          <w:szCs w:val="22"/>
          <w:highlight w:val="none"/>
          <w:u w:val="single"/>
        </w:rPr>
        <w:t>按相关规定</w:t>
      </w:r>
      <w:r>
        <w:rPr>
          <w:rFonts w:hint="eastAsia" w:ascii="宋体" w:hAnsi="宋体" w:eastAsia="宋体" w:cs="宋体"/>
          <w:color w:val="auto"/>
          <w:sz w:val="22"/>
          <w:szCs w:val="22"/>
          <w:highlight w:val="none"/>
        </w:rPr>
        <w:t>；</w:t>
      </w:r>
    </w:p>
    <w:p w14:paraId="7C116338">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发包人负责补偿的范围与金额：</w:t>
      </w:r>
      <w:r>
        <w:rPr>
          <w:rFonts w:hint="eastAsia" w:ascii="宋体" w:hAnsi="宋体" w:eastAsia="宋体" w:cs="宋体"/>
          <w:color w:val="auto"/>
          <w:sz w:val="22"/>
          <w:szCs w:val="22"/>
          <w:highlight w:val="none"/>
          <w:u w:val="single"/>
        </w:rPr>
        <w:t>按相关规定</w:t>
      </w:r>
      <w:r>
        <w:rPr>
          <w:rFonts w:hint="eastAsia" w:ascii="宋体" w:hAnsi="宋体" w:eastAsia="宋体" w:cs="宋体"/>
          <w:color w:val="auto"/>
          <w:sz w:val="22"/>
          <w:szCs w:val="22"/>
          <w:highlight w:val="none"/>
        </w:rPr>
        <w:t>。</w:t>
      </w:r>
    </w:p>
    <w:p w14:paraId="3F9B45BE">
      <w:pPr>
        <w:keepNext w:val="0"/>
        <w:keepLines w:val="0"/>
        <w:pageBreakBefore w:val="0"/>
        <w:widowControl w:val="0"/>
        <w:kinsoku/>
        <w:wordWrap/>
        <w:topLinePunct w:val="0"/>
        <w:bidi w:val="0"/>
        <w:adjustRightInd w:val="0"/>
        <w:snapToGrid w:val="0"/>
        <w:spacing w:line="360" w:lineRule="auto"/>
        <w:ind w:left="0" w:leftChars="0" w:firstLine="442" w:firstLineChars="200"/>
        <w:outlineLvl w:val="1"/>
        <w:rPr>
          <w:rFonts w:hint="eastAsia" w:ascii="宋体" w:hAnsi="宋体" w:eastAsia="宋体" w:cs="宋体"/>
          <w:b/>
          <w:color w:val="auto"/>
          <w:sz w:val="22"/>
          <w:szCs w:val="22"/>
          <w:highlight w:val="none"/>
        </w:rPr>
      </w:pPr>
      <w:bookmarkStart w:id="75" w:name="_Toc23403"/>
      <w:r>
        <w:rPr>
          <w:rFonts w:hint="eastAsia" w:ascii="宋体" w:hAnsi="宋体" w:eastAsia="宋体" w:cs="宋体"/>
          <w:b/>
          <w:color w:val="auto"/>
          <w:sz w:val="22"/>
          <w:szCs w:val="22"/>
          <w:highlight w:val="none"/>
        </w:rPr>
        <w:t>22  违约</w:t>
      </w:r>
      <w:bookmarkEnd w:id="75"/>
    </w:p>
    <w:p w14:paraId="62F2E74E">
      <w:pPr>
        <w:keepNext w:val="0"/>
        <w:keepLines w:val="0"/>
        <w:pageBreakBefore w:val="0"/>
        <w:widowControl w:val="0"/>
        <w:kinsoku/>
        <w:wordWrap/>
        <w:topLinePunct w:val="0"/>
        <w:bidi w:val="0"/>
        <w:adjustRightInd w:val="0"/>
        <w:snapToGrid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22.1 承包人违约</w:t>
      </w:r>
    </w:p>
    <w:p w14:paraId="3B59853D">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增加条款第22.1.5承包人未如约履行的，应当按日向发包人计付合同总标的千分之三的违约金。</w:t>
      </w:r>
    </w:p>
    <w:p w14:paraId="58BF1C15">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增加条款22.1.6</w:t>
      </w:r>
      <w:r>
        <w:rPr>
          <w:rFonts w:hint="eastAsia" w:ascii="宋体" w:hAnsi="宋体" w:eastAsia="宋体" w:cs="宋体"/>
          <w:color w:val="auto"/>
          <w:sz w:val="22"/>
          <w:szCs w:val="22"/>
          <w:highlight w:val="none"/>
          <w:lang w:val="zh-CN"/>
        </w:rPr>
        <w:t>未经发包人同意擅自更换项目经理、项目技术负责人，每更换一人次，发包人将对承包人处以人民币</w:t>
      </w: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zh-CN"/>
        </w:rPr>
        <w:t>万的违约金；承包人多次更换上述人员3次以上的，发包人有权解除合同。</w:t>
      </w:r>
    </w:p>
    <w:p w14:paraId="7CD1607B">
      <w:pPr>
        <w:keepNext w:val="0"/>
        <w:keepLines w:val="0"/>
        <w:pageBreakBefore w:val="0"/>
        <w:widowControl w:val="0"/>
        <w:kinsoku/>
        <w:wordWrap/>
        <w:topLinePunct w:val="0"/>
        <w:bidi w:val="0"/>
        <w:adjustRightInd w:val="0"/>
        <w:snapToGrid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22.2 发包人违约</w:t>
      </w:r>
    </w:p>
    <w:p w14:paraId="4DAB3EB3">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22.2.1（6）</w:t>
      </w:r>
      <w:r>
        <w:rPr>
          <w:rFonts w:hint="eastAsia" w:ascii="宋体" w:hAnsi="宋体" w:eastAsia="宋体" w:cs="宋体"/>
          <w:color w:val="auto"/>
          <w:sz w:val="22"/>
          <w:szCs w:val="22"/>
          <w:highlight w:val="none"/>
          <w:lang w:val="zh-CN"/>
        </w:rPr>
        <w:t>发包人未能按合同规定的内容和时间提供测量基准和应由发包人负责的部分准备工程等</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除征地拆迁和移民安置工作除外</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承包人施工所需的条件。</w:t>
      </w:r>
    </w:p>
    <w:p w14:paraId="5A526677">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22.2.4  </w:t>
      </w:r>
      <w:r>
        <w:rPr>
          <w:rFonts w:hint="eastAsia" w:ascii="宋体" w:hAnsi="宋体" w:eastAsia="宋体" w:cs="宋体"/>
          <w:color w:val="auto"/>
          <w:sz w:val="22"/>
          <w:szCs w:val="22"/>
          <w:highlight w:val="none"/>
          <w:lang w:val="zh-CN"/>
        </w:rPr>
        <w:t>本款第一段末补充：本合同项目执行资金集中支付方式，按集中支付的有关规定办理，发包人不对财政的审核方式和付款时间负任何责任。</w:t>
      </w:r>
    </w:p>
    <w:p w14:paraId="70D4E8C4">
      <w:pPr>
        <w:keepNext w:val="0"/>
        <w:keepLines w:val="0"/>
        <w:pageBreakBefore w:val="0"/>
        <w:widowControl w:val="0"/>
        <w:kinsoku/>
        <w:wordWrap/>
        <w:topLinePunct w:val="0"/>
        <w:bidi w:val="0"/>
        <w:adjustRightInd w:val="0"/>
        <w:snapToGrid w:val="0"/>
        <w:spacing w:line="360" w:lineRule="auto"/>
        <w:ind w:left="0" w:leftChars="0" w:firstLine="442" w:firstLineChars="200"/>
        <w:outlineLvl w:val="1"/>
        <w:rPr>
          <w:rFonts w:hint="eastAsia" w:ascii="宋体" w:hAnsi="宋体" w:eastAsia="宋体" w:cs="宋体"/>
          <w:b/>
          <w:color w:val="auto"/>
          <w:sz w:val="22"/>
          <w:szCs w:val="22"/>
          <w:highlight w:val="none"/>
        </w:rPr>
      </w:pPr>
      <w:bookmarkStart w:id="76" w:name="_Toc24150"/>
      <w:bookmarkStart w:id="77" w:name="_Toc256773217"/>
      <w:r>
        <w:rPr>
          <w:rFonts w:hint="eastAsia" w:ascii="宋体" w:hAnsi="宋体" w:eastAsia="宋体" w:cs="宋体"/>
          <w:b/>
          <w:color w:val="auto"/>
          <w:sz w:val="22"/>
          <w:szCs w:val="22"/>
          <w:highlight w:val="none"/>
        </w:rPr>
        <w:t>24  争议的解决</w:t>
      </w:r>
      <w:bookmarkEnd w:id="76"/>
      <w:bookmarkEnd w:id="77"/>
    </w:p>
    <w:p w14:paraId="0FEF2115">
      <w:pPr>
        <w:keepNext w:val="0"/>
        <w:keepLines w:val="0"/>
        <w:pageBreakBefore w:val="0"/>
        <w:widowControl w:val="0"/>
        <w:kinsoku/>
        <w:wordWrap/>
        <w:topLinePunct w:val="0"/>
        <w:bidi w:val="0"/>
        <w:adjustRightInd w:val="0"/>
        <w:snapToGrid w:val="0"/>
        <w:spacing w:line="360" w:lineRule="auto"/>
        <w:ind w:left="0" w:leftChars="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24.1  争议的解决方式</w:t>
      </w:r>
    </w:p>
    <w:p w14:paraId="218A9683">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合同当事人友好协商解决不成、不愿提请争议评审或不接受争议评审组意见的，约定的合同争议解决方式：</w:t>
      </w:r>
      <w:bookmarkStart w:id="78" w:name="_Toc236912473"/>
      <w:bookmarkStart w:id="79" w:name="_Toc274217994"/>
      <w:r>
        <w:rPr>
          <w:rFonts w:hint="eastAsia" w:ascii="宋体" w:hAnsi="宋体" w:eastAsia="宋体" w:cs="宋体"/>
          <w:color w:val="auto"/>
          <w:sz w:val="22"/>
          <w:szCs w:val="22"/>
          <w:highlight w:val="none"/>
          <w:u w:val="single"/>
        </w:rPr>
        <w:t>项目所在地人民法院提起诉讼</w:t>
      </w:r>
      <w:r>
        <w:rPr>
          <w:rFonts w:hint="eastAsia" w:ascii="宋体" w:hAnsi="宋体" w:eastAsia="宋体" w:cs="宋体"/>
          <w:color w:val="auto"/>
          <w:sz w:val="22"/>
          <w:szCs w:val="22"/>
          <w:highlight w:val="none"/>
        </w:rPr>
        <w:t>。</w:t>
      </w:r>
    </w:p>
    <w:bookmarkEnd w:id="78"/>
    <w:bookmarkEnd w:id="79"/>
    <w:p w14:paraId="4C728587">
      <w:pPr>
        <w:keepNext w:val="0"/>
        <w:keepLines w:val="0"/>
        <w:pageBreakBefore w:val="0"/>
        <w:widowControl w:val="0"/>
        <w:kinsoku/>
        <w:wordWrap/>
        <w:topLinePunct w:val="0"/>
        <w:bidi w:val="0"/>
        <w:adjustRightInd w:val="0"/>
        <w:snapToGrid w:val="0"/>
        <w:spacing w:line="360" w:lineRule="auto"/>
        <w:ind w:left="0" w:leftChars="0" w:firstLine="442" w:firstLineChars="200"/>
        <w:outlineLvl w:val="1"/>
        <w:rPr>
          <w:rFonts w:hint="eastAsia" w:ascii="宋体" w:hAnsi="宋体" w:eastAsia="宋体" w:cs="宋体"/>
          <w:b/>
          <w:color w:val="auto"/>
          <w:sz w:val="22"/>
          <w:szCs w:val="22"/>
          <w:highlight w:val="none"/>
        </w:rPr>
      </w:pPr>
      <w:bookmarkStart w:id="80" w:name="_Toc236912474"/>
      <w:bookmarkStart w:id="81" w:name="_Toc274217995"/>
      <w:bookmarkStart w:id="82" w:name="_Toc24583"/>
      <w:r>
        <w:rPr>
          <w:rFonts w:hint="eastAsia" w:ascii="宋体" w:hAnsi="宋体" w:eastAsia="宋体" w:cs="宋体"/>
          <w:b/>
          <w:color w:val="auto"/>
          <w:sz w:val="22"/>
          <w:szCs w:val="22"/>
          <w:highlight w:val="none"/>
        </w:rPr>
        <w:t>25  保密</w:t>
      </w:r>
      <w:bookmarkEnd w:id="80"/>
      <w:bookmarkEnd w:id="81"/>
      <w:bookmarkEnd w:id="82"/>
    </w:p>
    <w:p w14:paraId="0813EC8E">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双方还应对本合同内容及双方相互提供标有密级的文件保密，违者应对泄密造成的后果承担责任。</w:t>
      </w:r>
      <w:bookmarkStart w:id="83" w:name="_Toc236912476"/>
      <w:bookmarkStart w:id="84" w:name="_Toc274217997"/>
    </w:p>
    <w:p w14:paraId="2266E6A6">
      <w:pPr>
        <w:keepNext w:val="0"/>
        <w:keepLines w:val="0"/>
        <w:pageBreakBefore w:val="0"/>
        <w:widowControl w:val="0"/>
        <w:kinsoku/>
        <w:wordWrap/>
        <w:topLinePunct w:val="0"/>
        <w:bidi w:val="0"/>
        <w:adjustRightInd w:val="0"/>
        <w:snapToGrid w:val="0"/>
        <w:spacing w:line="360" w:lineRule="auto"/>
        <w:ind w:left="0" w:leftChars="0" w:firstLine="442" w:firstLineChars="200"/>
        <w:outlineLvl w:val="1"/>
        <w:rPr>
          <w:rFonts w:hint="eastAsia" w:ascii="宋体" w:hAnsi="宋体" w:eastAsia="宋体" w:cs="宋体"/>
          <w:b/>
          <w:color w:val="auto"/>
          <w:sz w:val="22"/>
          <w:szCs w:val="22"/>
          <w:highlight w:val="none"/>
        </w:rPr>
      </w:pPr>
      <w:bookmarkStart w:id="85" w:name="_Toc28361"/>
      <w:r>
        <w:rPr>
          <w:rFonts w:hint="eastAsia" w:ascii="宋体" w:hAnsi="宋体" w:eastAsia="宋体" w:cs="宋体"/>
          <w:b/>
          <w:color w:val="auto"/>
          <w:sz w:val="22"/>
          <w:szCs w:val="22"/>
          <w:highlight w:val="none"/>
        </w:rPr>
        <w:t>26  其他</w:t>
      </w:r>
      <w:bookmarkEnd w:id="83"/>
      <w:bookmarkEnd w:id="84"/>
      <w:bookmarkEnd w:id="85"/>
    </w:p>
    <w:p w14:paraId="09F90827">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26.1</w:t>
      </w:r>
      <w:r>
        <w:rPr>
          <w:rFonts w:hint="eastAsia" w:ascii="宋体" w:hAnsi="宋体" w:eastAsia="宋体" w:cs="宋体"/>
          <w:color w:val="auto"/>
          <w:sz w:val="22"/>
          <w:szCs w:val="22"/>
          <w:highlight w:val="none"/>
          <w:lang w:val="zh-CN"/>
        </w:rPr>
        <w:t>承包人应遵守当地政府的法规规定和各项管理制度，根据当地政府的要求办理相关的登记、注册、备案等，并承担相关的费用；</w:t>
      </w:r>
    </w:p>
    <w:p w14:paraId="38FAB489">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26.2承包人及其人员应尊重工程所在地的民风民俗。</w:t>
      </w:r>
    </w:p>
    <w:p w14:paraId="28E8297C">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26.3农民工工资</w:t>
      </w:r>
    </w:p>
    <w:p w14:paraId="276CB0D5">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26.3.1根据转发《韶关市人力资源和社会保障局 韶关市住房和城乡建设管理局 韶关市交通运输局 韶关市水务局 韶关市金融工作局 国家金融监督管理总局韶关监管分局关于印发《韶关市工程建设领域农民工工资保证金管理实施细则》的通知》的通知(韶人社规〔2023〕2号)及《韶关市工程建设领域农民工工资保证金管理实施细则》（韶法审〔2023〕19号）规定</w:t>
      </w:r>
      <w:r>
        <w:rPr>
          <w:rFonts w:hint="eastAsia" w:ascii="宋体" w:hAnsi="宋体" w:eastAsia="宋体" w:cs="宋体"/>
          <w:color w:val="auto"/>
          <w:sz w:val="22"/>
          <w:szCs w:val="22"/>
          <w:highlight w:val="none"/>
          <w:lang w:val="en-US" w:eastAsia="zh-CN"/>
        </w:rPr>
        <w:t>执行</w:t>
      </w:r>
      <w:r>
        <w:rPr>
          <w:rFonts w:hint="eastAsia" w:ascii="宋体" w:hAnsi="宋体" w:eastAsia="宋体" w:cs="宋体"/>
          <w:color w:val="auto"/>
          <w:sz w:val="22"/>
          <w:szCs w:val="22"/>
          <w:highlight w:val="none"/>
          <w:lang w:val="zh-CN"/>
        </w:rPr>
        <w:t>。如果发现拖欠工人工资或其他劳动纠纷行为，有关部门将从保证金专用账户中提取资金用于支付工人工资或出具保函的银行、保险公司按《保函履约协议》约定垫付或经依法裁定应由承包人支付的劳动纠纷款项。承包人在签订工程施工承包合同后一个月内必须办妥该事项，并将回执交发包人。如签订工程施工承包合同后一个月内未办妥的，项目所在地水利行政主管部门将上报上级水利行政主管部门记录承包人水利建设市场主体信用信息情况。</w:t>
      </w:r>
    </w:p>
    <w:p w14:paraId="3DDE3348">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26.3.2</w:t>
      </w:r>
      <w:r>
        <w:rPr>
          <w:rFonts w:hint="eastAsia" w:ascii="宋体" w:hAnsi="宋体" w:eastAsia="宋体" w:cs="宋体"/>
          <w:color w:val="auto"/>
          <w:sz w:val="22"/>
          <w:szCs w:val="22"/>
          <w:highlight w:val="none"/>
        </w:rPr>
        <w:t>依据</w:t>
      </w:r>
      <w:r>
        <w:rPr>
          <w:rFonts w:hint="eastAsia" w:ascii="宋体" w:hAnsi="宋体" w:eastAsia="宋体" w:cs="宋体"/>
          <w:color w:val="auto"/>
          <w:sz w:val="22"/>
          <w:szCs w:val="22"/>
          <w:highlight w:val="none"/>
          <w:lang w:val="zh-CN"/>
        </w:rPr>
        <w:t>人力资源社会保障部等十部门印发的《工程建设领域农民工工资专用账户管理暂行办法》（人社部发〔2021〕53号）</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本项目必须执行建设领域工人工资支付分账管理，并于项目开工建设前到项目施工所在地银行设立工人工资支付专用账户，为每个工人办理工资个人账户，并建立劳动用工管理台账备查。根据水利工程人工工资所占比例，于每次拨付工程进度款时，按工程进度款的</w:t>
      </w:r>
      <w:r>
        <w:rPr>
          <w:rFonts w:hint="eastAsia" w:ascii="宋体" w:hAnsi="宋体" w:eastAsia="宋体" w:cs="宋体"/>
          <w:color w:val="auto"/>
          <w:sz w:val="22"/>
          <w:szCs w:val="22"/>
          <w:highlight w:val="none"/>
        </w:rPr>
        <w:t>30</w:t>
      </w:r>
      <w:r>
        <w:rPr>
          <w:rFonts w:hint="eastAsia" w:ascii="宋体" w:hAnsi="宋体" w:eastAsia="宋体" w:cs="宋体"/>
          <w:color w:val="auto"/>
          <w:sz w:val="22"/>
          <w:szCs w:val="22"/>
          <w:highlight w:val="none"/>
          <w:lang w:val="zh-CN"/>
        </w:rPr>
        <w:t>％将资金直接拨付到中标单位开设的工人工资专用账户上，确保每月</w:t>
      </w:r>
      <w:r>
        <w:rPr>
          <w:rFonts w:hint="eastAsia" w:ascii="宋体" w:hAnsi="宋体" w:eastAsia="宋体" w:cs="宋体"/>
          <w:color w:val="auto"/>
          <w:sz w:val="22"/>
          <w:szCs w:val="22"/>
          <w:highlight w:val="none"/>
        </w:rPr>
        <w:t>25日前</w:t>
      </w:r>
      <w:r>
        <w:rPr>
          <w:rFonts w:hint="eastAsia" w:ascii="宋体" w:hAnsi="宋体" w:eastAsia="宋体" w:cs="宋体"/>
          <w:color w:val="auto"/>
          <w:sz w:val="22"/>
          <w:szCs w:val="22"/>
          <w:highlight w:val="none"/>
          <w:lang w:val="zh-CN"/>
        </w:rPr>
        <w:t>足额支付工人工资。</w:t>
      </w:r>
      <w:r>
        <w:rPr>
          <w:rFonts w:hint="eastAsia" w:ascii="宋体" w:hAnsi="宋体" w:eastAsia="宋体" w:cs="宋体"/>
          <w:color w:val="auto"/>
          <w:sz w:val="22"/>
          <w:szCs w:val="22"/>
          <w:highlight w:val="none"/>
        </w:rPr>
        <w:t>若未按期执行，将上报省市</w:t>
      </w:r>
      <w:r>
        <w:rPr>
          <w:rFonts w:hint="eastAsia" w:ascii="宋体" w:hAnsi="宋体" w:eastAsia="宋体" w:cs="宋体"/>
          <w:color w:val="auto"/>
          <w:sz w:val="22"/>
          <w:szCs w:val="22"/>
          <w:highlight w:val="none"/>
          <w:lang w:eastAsia="zh-CN"/>
        </w:rPr>
        <w:t>水利行政主管部门</w:t>
      </w:r>
      <w:r>
        <w:rPr>
          <w:rFonts w:hint="eastAsia" w:ascii="宋体" w:hAnsi="宋体" w:eastAsia="宋体" w:cs="宋体"/>
          <w:color w:val="auto"/>
          <w:sz w:val="22"/>
          <w:szCs w:val="22"/>
          <w:highlight w:val="none"/>
        </w:rPr>
        <w:t>将此行为列入不良信用记录。</w:t>
      </w:r>
    </w:p>
    <w:p w14:paraId="4A5219C6">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lang w:val="zh-CN"/>
        </w:rPr>
        <w:t>26.3.3中标人须按韶关市关于建筑渣土管理和扬尘治理等有关规定执行。</w:t>
      </w:r>
    </w:p>
    <w:p w14:paraId="5429CA07">
      <w:pPr>
        <w:keepNext w:val="0"/>
        <w:keepLines w:val="0"/>
        <w:pageBreakBefore w:val="0"/>
        <w:widowControl w:val="0"/>
        <w:kinsoku/>
        <w:wordWrap/>
        <w:topLinePunct w:val="0"/>
        <w:bidi w:val="0"/>
        <w:adjustRightInd w:val="0"/>
        <w:snapToGrid w:val="0"/>
        <w:spacing w:line="360" w:lineRule="auto"/>
        <w:ind w:left="0" w:leftChars="0"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26.4 档案要求</w:t>
      </w:r>
    </w:p>
    <w:p w14:paraId="53994B8B">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26.4.1承包人需设立专门的档案管理机构，明确相关人员的主要职责。</w:t>
      </w:r>
    </w:p>
    <w:p w14:paraId="3F2DD9C6">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26.4.2承包人需按水务局《水利工程建设档案资料案卷名称表》里所列施工归档文件材料及施工文件材料归档文件组卷排列表；中间产品资料册组卷排列表；工艺、设备材料(含国外引设备材料)文件材料列表等进行档案资料的收集及整理工作。</w:t>
      </w:r>
    </w:p>
    <w:p w14:paraId="01562DB5">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26.4.3声像材料需收集包括工程建设原貌、建设过程中重要阶段或事件（如重要隐蔽单元工程验收、检测单位检测工作过程、各阶段验收等）、工程完工现状等材料。</w:t>
      </w:r>
    </w:p>
    <w:p w14:paraId="7469DBFF">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26.4.4承包人需按工程进度同步收集整理档案资料。</w:t>
      </w:r>
    </w:p>
    <w:p w14:paraId="096C85CC">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26.4.5施工计划、技术、工艺、安全措施等施工组织设计报批及审核文件；设计变更文件；竣工图；反映工程建设原貌及建设过程中重要阶段或事件的声像材料必须数字化（不可编辑电子材料）。</w:t>
      </w:r>
    </w:p>
    <w:p w14:paraId="3FCAF741">
      <w:pPr>
        <w:keepNext w:val="0"/>
        <w:keepLines w:val="0"/>
        <w:pageBreakBefore w:val="0"/>
        <w:widowControl w:val="0"/>
        <w:kinsoku/>
        <w:wordWrap/>
        <w:topLinePunct w:val="0"/>
        <w:bidi w:val="0"/>
        <w:adjustRightInd w:val="0"/>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26.4.6承包人于合同工程完工验收后一个月内提交符合归档要求的纸质材料及数字化材料两套，竣工图三套给建设单位。</w:t>
      </w:r>
    </w:p>
    <w:p w14:paraId="066ADA04">
      <w:pPr>
        <w:keepNext w:val="0"/>
        <w:keepLines w:val="0"/>
        <w:pageBreakBefore w:val="0"/>
        <w:widowControl w:val="0"/>
        <w:kinsoku/>
        <w:wordWrap/>
        <w:topLinePunct w:val="0"/>
        <w:bidi w:val="0"/>
        <w:adjustRightInd w:val="0"/>
        <w:snapToGrid w:val="0"/>
        <w:spacing w:line="360" w:lineRule="auto"/>
        <w:ind w:left="0" w:leftChars="0" w:firstLine="440" w:firstLineChars="200"/>
        <w:rPr>
          <w:rFonts w:ascii="宋体" w:hAnsi="宋体" w:cs="宋体"/>
          <w:color w:val="auto"/>
          <w:sz w:val="24"/>
          <w:szCs w:val="24"/>
          <w:highlight w:val="none"/>
        </w:rPr>
      </w:pPr>
      <w:r>
        <w:rPr>
          <w:rFonts w:hint="eastAsia" w:ascii="宋体" w:hAnsi="宋体" w:eastAsia="宋体" w:cs="宋体"/>
          <w:color w:val="auto"/>
          <w:sz w:val="22"/>
          <w:szCs w:val="22"/>
          <w:highlight w:val="none"/>
        </w:rPr>
        <w:t>26.4.7如承包人未能按期提交符合要求的档案资料，</w:t>
      </w:r>
      <w:r>
        <w:rPr>
          <w:rFonts w:hint="eastAsia" w:ascii="宋体" w:hAnsi="宋体" w:eastAsia="宋体" w:cs="宋体"/>
          <w:color w:val="auto"/>
          <w:sz w:val="22"/>
          <w:szCs w:val="22"/>
          <w:highlight w:val="none"/>
          <w:lang w:val="en-US" w:eastAsia="zh-CN"/>
        </w:rPr>
        <w:t>逾期1个月内不予处罚；逾期1～2个月内的</w:t>
      </w:r>
      <w:r>
        <w:rPr>
          <w:rFonts w:hint="eastAsia" w:ascii="宋体" w:hAnsi="宋体" w:eastAsia="宋体" w:cs="宋体"/>
          <w:color w:val="auto"/>
          <w:sz w:val="22"/>
          <w:szCs w:val="22"/>
          <w:highlight w:val="none"/>
        </w:rPr>
        <w:t>将从质量保证金中扣除违约金10000元</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逾期2～3个月内的</w:t>
      </w:r>
      <w:r>
        <w:rPr>
          <w:rFonts w:hint="eastAsia" w:ascii="宋体" w:hAnsi="宋体" w:eastAsia="宋体" w:cs="宋体"/>
          <w:color w:val="auto"/>
          <w:sz w:val="22"/>
          <w:szCs w:val="22"/>
          <w:highlight w:val="none"/>
        </w:rPr>
        <w:t>将从质量保证金中扣除违约金</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0000元</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逾期3个月以上的</w:t>
      </w:r>
      <w:r>
        <w:rPr>
          <w:rFonts w:hint="eastAsia" w:ascii="宋体" w:hAnsi="宋体" w:eastAsia="宋体" w:cs="宋体"/>
          <w:color w:val="auto"/>
          <w:sz w:val="22"/>
          <w:szCs w:val="22"/>
          <w:highlight w:val="none"/>
        </w:rPr>
        <w:t>将从质量保证金中扣除违约金</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0000元。</w:t>
      </w:r>
    </w:p>
    <w:p w14:paraId="1D3F9B7F">
      <w:pPr>
        <w:spacing w:line="360" w:lineRule="auto"/>
        <w:ind w:firstLine="465"/>
        <w:rPr>
          <w:rFonts w:ascii="宋体" w:hAnsi="宋体" w:cs="宋体"/>
          <w:b/>
          <w:color w:val="auto"/>
          <w:sz w:val="24"/>
          <w:szCs w:val="24"/>
          <w:highlight w:val="none"/>
        </w:rPr>
      </w:pPr>
    </w:p>
    <w:p w14:paraId="2E04DB1D">
      <w:pPr>
        <w:keepNext/>
        <w:keepLines/>
        <w:spacing w:line="360" w:lineRule="auto"/>
        <w:jc w:val="center"/>
        <w:rPr>
          <w:rFonts w:cs="宋体" w:asciiTheme="majorEastAsia" w:hAnsiTheme="majorEastAsia" w:eastAsiaTheme="majorEastAsia"/>
          <w:color w:val="auto"/>
          <w:sz w:val="24"/>
          <w:highlight w:val="none"/>
        </w:rPr>
      </w:pPr>
      <w:r>
        <w:rPr>
          <w:rFonts w:hint="eastAsia" w:cs="宋体" w:asciiTheme="majorEastAsia" w:hAnsiTheme="majorEastAsia" w:eastAsiaTheme="majorEastAsia"/>
          <w:b/>
          <w:color w:val="auto"/>
          <w:sz w:val="32"/>
          <w:highlight w:val="none"/>
        </w:rPr>
        <w:t>第</w:t>
      </w:r>
      <w:r>
        <w:rPr>
          <w:rFonts w:cs="宋体" w:asciiTheme="majorEastAsia" w:hAnsiTheme="majorEastAsia" w:eastAsiaTheme="majorEastAsia"/>
          <w:b/>
          <w:color w:val="auto"/>
          <w:sz w:val="32"/>
          <w:highlight w:val="none"/>
        </w:rPr>
        <w:t>3</w:t>
      </w:r>
      <w:r>
        <w:rPr>
          <w:rFonts w:hint="eastAsia" w:cs="宋体" w:asciiTheme="majorEastAsia" w:hAnsiTheme="majorEastAsia" w:eastAsiaTheme="majorEastAsia"/>
          <w:b/>
          <w:color w:val="auto"/>
          <w:sz w:val="32"/>
          <w:highlight w:val="none"/>
        </w:rPr>
        <w:t>节合同附件格式</w:t>
      </w:r>
    </w:p>
    <w:p w14:paraId="4A38EBEE">
      <w:pPr>
        <w:tabs>
          <w:tab w:val="left" w:pos="3480"/>
        </w:tabs>
        <w:rPr>
          <w:rFonts w:cs="宋体" w:asciiTheme="majorEastAsia" w:hAnsiTheme="majorEastAsia" w:eastAsiaTheme="majorEastAsia"/>
          <w:b/>
          <w:color w:val="auto"/>
          <w:sz w:val="22"/>
          <w:szCs w:val="21"/>
          <w:highlight w:val="none"/>
        </w:rPr>
      </w:pPr>
      <w:r>
        <w:rPr>
          <w:rFonts w:hint="eastAsia" w:cs="宋体" w:asciiTheme="majorEastAsia" w:hAnsiTheme="majorEastAsia" w:eastAsiaTheme="majorEastAsia"/>
          <w:b/>
          <w:color w:val="auto"/>
          <w:sz w:val="22"/>
          <w:szCs w:val="21"/>
          <w:highlight w:val="none"/>
        </w:rPr>
        <w:t>附件一：合同协议书</w:t>
      </w:r>
    </w:p>
    <w:p w14:paraId="509916C7">
      <w:pPr>
        <w:tabs>
          <w:tab w:val="left" w:pos="3480"/>
        </w:tabs>
        <w:jc w:val="center"/>
        <w:rPr>
          <w:rFonts w:cs="宋体" w:asciiTheme="majorEastAsia" w:hAnsiTheme="majorEastAsia" w:eastAsiaTheme="majorEastAsia"/>
          <w:b/>
          <w:color w:val="auto"/>
          <w:sz w:val="22"/>
          <w:szCs w:val="21"/>
          <w:highlight w:val="none"/>
        </w:rPr>
      </w:pPr>
      <w:r>
        <w:rPr>
          <w:rFonts w:hint="eastAsia" w:cs="宋体" w:asciiTheme="majorEastAsia" w:hAnsiTheme="majorEastAsia" w:eastAsiaTheme="majorEastAsia"/>
          <w:b/>
          <w:color w:val="auto"/>
          <w:sz w:val="22"/>
          <w:szCs w:val="21"/>
          <w:highlight w:val="none"/>
        </w:rPr>
        <w:t>合同协议书</w:t>
      </w:r>
    </w:p>
    <w:p w14:paraId="5E814DCD">
      <w:pPr>
        <w:ind w:firstLine="480"/>
        <w:rPr>
          <w:rFonts w:cs="宋体" w:asciiTheme="majorEastAsia" w:hAnsiTheme="majorEastAsia" w:eastAsiaTheme="majorEastAsia"/>
          <w:color w:val="auto"/>
          <w:sz w:val="22"/>
          <w:szCs w:val="21"/>
          <w:highlight w:val="none"/>
        </w:rPr>
      </w:pPr>
    </w:p>
    <w:p w14:paraId="28056765">
      <w:pPr>
        <w:spacing w:line="320" w:lineRule="auto"/>
        <w:ind w:firstLine="600"/>
        <w:rPr>
          <w:rFonts w:cs="宋体" w:asciiTheme="majorEastAsia" w:hAnsiTheme="majorEastAsia" w:eastAsiaTheme="majorEastAsia"/>
          <w:color w:val="auto"/>
          <w:sz w:val="22"/>
          <w:szCs w:val="21"/>
          <w:highlight w:val="none"/>
        </w:rPr>
      </w:pPr>
      <w:r>
        <w:rPr>
          <w:rFonts w:hint="eastAsia" w:cs="宋体" w:asciiTheme="majorEastAsia" w:hAnsiTheme="majorEastAsia" w:eastAsiaTheme="majorEastAsia"/>
          <w:color w:val="auto"/>
          <w:sz w:val="22"/>
          <w:szCs w:val="21"/>
          <w:highlight w:val="none"/>
        </w:rPr>
        <w:t>（发包人名称，以下简称“发包人”）为实施（工程名称），己接受（承包人名称，以下简称“承包人”）对（工程名称）的投标，并确定其为中标人。发包人和承包人共同达成如下协议。</w:t>
      </w:r>
    </w:p>
    <w:p w14:paraId="5AD263D4">
      <w:pPr>
        <w:spacing w:line="320" w:lineRule="auto"/>
        <w:rPr>
          <w:rFonts w:cs="宋体" w:asciiTheme="majorEastAsia" w:hAnsiTheme="majorEastAsia" w:eastAsiaTheme="majorEastAsia"/>
          <w:color w:val="auto"/>
          <w:sz w:val="22"/>
          <w:szCs w:val="21"/>
          <w:highlight w:val="none"/>
        </w:rPr>
      </w:pPr>
      <w:r>
        <w:rPr>
          <w:rFonts w:cs="宋体" w:asciiTheme="majorEastAsia" w:hAnsiTheme="majorEastAsia" w:eastAsiaTheme="majorEastAsia"/>
          <w:color w:val="auto"/>
          <w:sz w:val="22"/>
          <w:szCs w:val="21"/>
          <w:highlight w:val="none"/>
        </w:rPr>
        <w:t>1</w:t>
      </w:r>
      <w:r>
        <w:rPr>
          <w:rFonts w:hint="eastAsia" w:cs="宋体" w:asciiTheme="majorEastAsia" w:hAnsiTheme="majorEastAsia" w:eastAsiaTheme="majorEastAsia"/>
          <w:color w:val="auto"/>
          <w:sz w:val="22"/>
          <w:szCs w:val="21"/>
          <w:highlight w:val="none"/>
        </w:rPr>
        <w:t>．本协议书与下列文件一起构成合同文件：</w:t>
      </w:r>
    </w:p>
    <w:p w14:paraId="38C6EA1E">
      <w:pPr>
        <w:spacing w:line="320" w:lineRule="auto"/>
        <w:ind w:firstLine="600"/>
        <w:rPr>
          <w:rFonts w:cs="宋体" w:asciiTheme="majorEastAsia" w:hAnsiTheme="majorEastAsia" w:eastAsiaTheme="majorEastAsia"/>
          <w:color w:val="auto"/>
          <w:sz w:val="22"/>
          <w:szCs w:val="21"/>
          <w:highlight w:val="none"/>
        </w:rPr>
      </w:pPr>
      <w:r>
        <w:rPr>
          <w:rFonts w:hint="eastAsia" w:cs="宋体" w:asciiTheme="majorEastAsia" w:hAnsiTheme="majorEastAsia" w:eastAsiaTheme="majorEastAsia"/>
          <w:color w:val="auto"/>
          <w:sz w:val="22"/>
          <w:szCs w:val="21"/>
          <w:highlight w:val="none"/>
          <w:lang w:eastAsia="zh-CN"/>
        </w:rPr>
        <w:t>（</w:t>
      </w:r>
      <w:r>
        <w:rPr>
          <w:rFonts w:cs="宋体" w:asciiTheme="majorEastAsia" w:hAnsiTheme="majorEastAsia" w:eastAsiaTheme="majorEastAsia"/>
          <w:color w:val="auto"/>
          <w:sz w:val="22"/>
          <w:szCs w:val="21"/>
          <w:highlight w:val="none"/>
        </w:rPr>
        <w:t>1</w:t>
      </w:r>
      <w:r>
        <w:rPr>
          <w:rFonts w:hint="eastAsia" w:cs="宋体" w:asciiTheme="majorEastAsia" w:hAnsiTheme="majorEastAsia" w:eastAsiaTheme="majorEastAsia"/>
          <w:color w:val="auto"/>
          <w:sz w:val="22"/>
          <w:szCs w:val="21"/>
          <w:highlight w:val="none"/>
        </w:rPr>
        <w:t>）中标通知书；</w:t>
      </w:r>
    </w:p>
    <w:p w14:paraId="37F4A491">
      <w:pPr>
        <w:spacing w:line="320" w:lineRule="auto"/>
        <w:ind w:firstLine="600"/>
        <w:rPr>
          <w:rFonts w:cs="宋体" w:asciiTheme="majorEastAsia" w:hAnsiTheme="majorEastAsia" w:eastAsiaTheme="majorEastAsia"/>
          <w:color w:val="auto"/>
          <w:sz w:val="22"/>
          <w:szCs w:val="21"/>
          <w:highlight w:val="none"/>
        </w:rPr>
      </w:pPr>
      <w:r>
        <w:rPr>
          <w:rFonts w:hint="eastAsia" w:cs="宋体" w:asciiTheme="majorEastAsia" w:hAnsiTheme="majorEastAsia" w:eastAsiaTheme="majorEastAsia"/>
          <w:color w:val="auto"/>
          <w:sz w:val="22"/>
          <w:szCs w:val="21"/>
          <w:highlight w:val="none"/>
        </w:rPr>
        <w:t>（</w:t>
      </w:r>
      <w:r>
        <w:rPr>
          <w:rFonts w:cs="宋体" w:asciiTheme="majorEastAsia" w:hAnsiTheme="majorEastAsia" w:eastAsiaTheme="majorEastAsia"/>
          <w:color w:val="auto"/>
          <w:sz w:val="22"/>
          <w:szCs w:val="21"/>
          <w:highlight w:val="none"/>
        </w:rPr>
        <w:t>2</w:t>
      </w:r>
      <w:r>
        <w:rPr>
          <w:rFonts w:hint="eastAsia" w:cs="宋体" w:asciiTheme="majorEastAsia" w:hAnsiTheme="majorEastAsia" w:eastAsiaTheme="majorEastAsia"/>
          <w:color w:val="auto"/>
          <w:sz w:val="22"/>
          <w:szCs w:val="21"/>
          <w:highlight w:val="none"/>
        </w:rPr>
        <w:t>）投标函；</w:t>
      </w:r>
    </w:p>
    <w:p w14:paraId="2BD5ED25">
      <w:pPr>
        <w:spacing w:line="320" w:lineRule="auto"/>
        <w:ind w:firstLine="600"/>
        <w:rPr>
          <w:rFonts w:cs="宋体" w:asciiTheme="majorEastAsia" w:hAnsiTheme="majorEastAsia" w:eastAsiaTheme="majorEastAsia"/>
          <w:color w:val="auto"/>
          <w:sz w:val="22"/>
          <w:szCs w:val="21"/>
          <w:highlight w:val="none"/>
        </w:rPr>
      </w:pPr>
      <w:r>
        <w:rPr>
          <w:rFonts w:hint="eastAsia" w:cs="宋体" w:asciiTheme="majorEastAsia" w:hAnsiTheme="majorEastAsia" w:eastAsiaTheme="majorEastAsia"/>
          <w:color w:val="auto"/>
          <w:sz w:val="22"/>
          <w:szCs w:val="21"/>
          <w:highlight w:val="none"/>
        </w:rPr>
        <w:t>（</w:t>
      </w:r>
      <w:r>
        <w:rPr>
          <w:rFonts w:cs="宋体" w:asciiTheme="majorEastAsia" w:hAnsiTheme="majorEastAsia" w:eastAsiaTheme="majorEastAsia"/>
          <w:color w:val="auto"/>
          <w:sz w:val="22"/>
          <w:szCs w:val="21"/>
          <w:highlight w:val="none"/>
        </w:rPr>
        <w:t>3</w:t>
      </w:r>
      <w:r>
        <w:rPr>
          <w:rFonts w:hint="eastAsia" w:cs="宋体" w:asciiTheme="majorEastAsia" w:hAnsiTheme="majorEastAsia" w:eastAsiaTheme="majorEastAsia"/>
          <w:color w:val="auto"/>
          <w:sz w:val="22"/>
          <w:szCs w:val="21"/>
          <w:highlight w:val="none"/>
        </w:rPr>
        <w:t>）专用合同条款；</w:t>
      </w:r>
    </w:p>
    <w:p w14:paraId="64079D3F">
      <w:pPr>
        <w:spacing w:line="320" w:lineRule="auto"/>
        <w:ind w:firstLine="600"/>
        <w:rPr>
          <w:rFonts w:cs="宋体" w:asciiTheme="majorEastAsia" w:hAnsiTheme="majorEastAsia" w:eastAsiaTheme="majorEastAsia"/>
          <w:color w:val="auto"/>
          <w:sz w:val="22"/>
          <w:szCs w:val="21"/>
          <w:highlight w:val="none"/>
        </w:rPr>
      </w:pPr>
      <w:r>
        <w:rPr>
          <w:rFonts w:hint="eastAsia" w:cs="宋体" w:asciiTheme="majorEastAsia" w:hAnsiTheme="majorEastAsia" w:eastAsiaTheme="majorEastAsia"/>
          <w:color w:val="auto"/>
          <w:sz w:val="22"/>
          <w:szCs w:val="21"/>
          <w:highlight w:val="none"/>
        </w:rPr>
        <w:t>（</w:t>
      </w:r>
      <w:r>
        <w:rPr>
          <w:rFonts w:cs="宋体" w:asciiTheme="majorEastAsia" w:hAnsiTheme="majorEastAsia" w:eastAsiaTheme="majorEastAsia"/>
          <w:color w:val="auto"/>
          <w:sz w:val="22"/>
          <w:szCs w:val="21"/>
          <w:highlight w:val="none"/>
        </w:rPr>
        <w:t>4</w:t>
      </w:r>
      <w:r>
        <w:rPr>
          <w:rFonts w:hint="eastAsia" w:cs="宋体" w:asciiTheme="majorEastAsia" w:hAnsiTheme="majorEastAsia" w:eastAsiaTheme="majorEastAsia"/>
          <w:color w:val="auto"/>
          <w:sz w:val="22"/>
          <w:szCs w:val="21"/>
          <w:highlight w:val="none"/>
        </w:rPr>
        <w:t>）通用合同条款；</w:t>
      </w:r>
    </w:p>
    <w:p w14:paraId="5D9DDD8C">
      <w:pPr>
        <w:spacing w:line="320" w:lineRule="auto"/>
        <w:ind w:firstLine="600"/>
        <w:rPr>
          <w:rFonts w:cs="宋体" w:asciiTheme="majorEastAsia" w:hAnsiTheme="majorEastAsia" w:eastAsiaTheme="majorEastAsia"/>
          <w:color w:val="auto"/>
          <w:sz w:val="22"/>
          <w:szCs w:val="21"/>
          <w:highlight w:val="none"/>
        </w:rPr>
      </w:pPr>
      <w:r>
        <w:rPr>
          <w:rFonts w:hint="eastAsia" w:cs="宋体" w:asciiTheme="majorEastAsia" w:hAnsiTheme="majorEastAsia" w:eastAsiaTheme="majorEastAsia"/>
          <w:color w:val="auto"/>
          <w:sz w:val="22"/>
          <w:szCs w:val="21"/>
          <w:highlight w:val="none"/>
        </w:rPr>
        <w:t>（</w:t>
      </w:r>
      <w:r>
        <w:rPr>
          <w:rFonts w:cs="宋体" w:asciiTheme="majorEastAsia" w:hAnsiTheme="majorEastAsia" w:eastAsiaTheme="majorEastAsia"/>
          <w:color w:val="auto"/>
          <w:sz w:val="22"/>
          <w:szCs w:val="21"/>
          <w:highlight w:val="none"/>
        </w:rPr>
        <w:t>5</w:t>
      </w:r>
      <w:r>
        <w:rPr>
          <w:rFonts w:hint="eastAsia" w:cs="宋体" w:asciiTheme="majorEastAsia" w:hAnsiTheme="majorEastAsia" w:eastAsiaTheme="majorEastAsia"/>
          <w:color w:val="auto"/>
          <w:sz w:val="22"/>
          <w:szCs w:val="21"/>
          <w:highlight w:val="none"/>
        </w:rPr>
        <w:t>）招标文件；</w:t>
      </w:r>
    </w:p>
    <w:p w14:paraId="6D67568F">
      <w:pPr>
        <w:spacing w:line="320" w:lineRule="auto"/>
        <w:ind w:firstLine="600"/>
        <w:rPr>
          <w:rFonts w:cs="宋体" w:asciiTheme="majorEastAsia" w:hAnsiTheme="majorEastAsia" w:eastAsiaTheme="majorEastAsia"/>
          <w:color w:val="auto"/>
          <w:sz w:val="22"/>
          <w:szCs w:val="21"/>
          <w:highlight w:val="none"/>
        </w:rPr>
      </w:pPr>
      <w:r>
        <w:rPr>
          <w:rFonts w:hint="eastAsia" w:cs="宋体" w:asciiTheme="majorEastAsia" w:hAnsiTheme="majorEastAsia" w:eastAsiaTheme="majorEastAsia"/>
          <w:color w:val="auto"/>
          <w:sz w:val="22"/>
          <w:szCs w:val="21"/>
          <w:highlight w:val="none"/>
        </w:rPr>
        <w:t>（</w:t>
      </w:r>
      <w:r>
        <w:rPr>
          <w:rFonts w:cs="宋体" w:asciiTheme="majorEastAsia" w:hAnsiTheme="majorEastAsia" w:eastAsiaTheme="majorEastAsia"/>
          <w:color w:val="auto"/>
          <w:sz w:val="22"/>
          <w:szCs w:val="21"/>
          <w:highlight w:val="none"/>
        </w:rPr>
        <w:t>6</w:t>
      </w:r>
      <w:r>
        <w:rPr>
          <w:rFonts w:hint="eastAsia" w:cs="宋体" w:asciiTheme="majorEastAsia" w:hAnsiTheme="majorEastAsia" w:eastAsiaTheme="majorEastAsia"/>
          <w:color w:val="auto"/>
          <w:sz w:val="22"/>
          <w:szCs w:val="21"/>
          <w:highlight w:val="none"/>
        </w:rPr>
        <w:t>）投标文件；</w:t>
      </w:r>
    </w:p>
    <w:p w14:paraId="6900E4FC">
      <w:pPr>
        <w:spacing w:line="320" w:lineRule="auto"/>
        <w:ind w:firstLine="600"/>
        <w:rPr>
          <w:rFonts w:cs="宋体" w:asciiTheme="majorEastAsia" w:hAnsiTheme="majorEastAsia" w:eastAsiaTheme="majorEastAsia"/>
          <w:color w:val="auto"/>
          <w:sz w:val="22"/>
          <w:szCs w:val="21"/>
          <w:highlight w:val="none"/>
        </w:rPr>
      </w:pPr>
      <w:r>
        <w:rPr>
          <w:rFonts w:hint="eastAsia" w:cs="宋体" w:asciiTheme="majorEastAsia" w:hAnsiTheme="majorEastAsia" w:eastAsiaTheme="majorEastAsia"/>
          <w:color w:val="auto"/>
          <w:sz w:val="22"/>
          <w:szCs w:val="21"/>
          <w:highlight w:val="none"/>
        </w:rPr>
        <w:t>（</w:t>
      </w:r>
      <w:r>
        <w:rPr>
          <w:rFonts w:cs="宋体" w:asciiTheme="majorEastAsia" w:hAnsiTheme="majorEastAsia" w:eastAsiaTheme="majorEastAsia"/>
          <w:color w:val="auto"/>
          <w:sz w:val="22"/>
          <w:szCs w:val="21"/>
          <w:highlight w:val="none"/>
        </w:rPr>
        <w:t>7</w:t>
      </w:r>
      <w:r>
        <w:rPr>
          <w:rFonts w:hint="eastAsia" w:cs="宋体" w:asciiTheme="majorEastAsia" w:hAnsiTheme="majorEastAsia" w:eastAsiaTheme="majorEastAsia"/>
          <w:color w:val="auto"/>
          <w:sz w:val="22"/>
          <w:szCs w:val="21"/>
          <w:highlight w:val="none"/>
        </w:rPr>
        <w:t>）技术标准和要求（合同技术条款）；</w:t>
      </w:r>
    </w:p>
    <w:p w14:paraId="3D327704">
      <w:pPr>
        <w:spacing w:line="320" w:lineRule="auto"/>
        <w:ind w:firstLine="600"/>
        <w:rPr>
          <w:rFonts w:cs="宋体" w:asciiTheme="majorEastAsia" w:hAnsiTheme="majorEastAsia" w:eastAsiaTheme="majorEastAsia"/>
          <w:color w:val="auto"/>
          <w:sz w:val="22"/>
          <w:szCs w:val="21"/>
          <w:highlight w:val="none"/>
        </w:rPr>
      </w:pPr>
      <w:r>
        <w:rPr>
          <w:rFonts w:hint="eastAsia" w:cs="宋体" w:asciiTheme="majorEastAsia" w:hAnsiTheme="majorEastAsia" w:eastAsiaTheme="majorEastAsia"/>
          <w:color w:val="auto"/>
          <w:sz w:val="22"/>
          <w:szCs w:val="21"/>
          <w:highlight w:val="none"/>
        </w:rPr>
        <w:t>（</w:t>
      </w:r>
      <w:r>
        <w:rPr>
          <w:rFonts w:cs="宋体" w:asciiTheme="majorEastAsia" w:hAnsiTheme="majorEastAsia" w:eastAsiaTheme="majorEastAsia"/>
          <w:color w:val="auto"/>
          <w:sz w:val="22"/>
          <w:szCs w:val="21"/>
          <w:highlight w:val="none"/>
        </w:rPr>
        <w:t>8</w:t>
      </w:r>
      <w:r>
        <w:rPr>
          <w:rFonts w:hint="eastAsia" w:cs="宋体" w:asciiTheme="majorEastAsia" w:hAnsiTheme="majorEastAsia" w:eastAsiaTheme="majorEastAsia"/>
          <w:color w:val="auto"/>
          <w:sz w:val="22"/>
          <w:szCs w:val="21"/>
          <w:highlight w:val="none"/>
        </w:rPr>
        <w:t>）图纸；</w:t>
      </w:r>
    </w:p>
    <w:p w14:paraId="413E82D0">
      <w:pPr>
        <w:spacing w:line="320" w:lineRule="auto"/>
        <w:ind w:firstLine="600"/>
        <w:rPr>
          <w:rFonts w:cs="宋体" w:asciiTheme="majorEastAsia" w:hAnsiTheme="majorEastAsia" w:eastAsiaTheme="majorEastAsia"/>
          <w:color w:val="auto"/>
          <w:sz w:val="22"/>
          <w:szCs w:val="21"/>
          <w:highlight w:val="none"/>
        </w:rPr>
      </w:pPr>
      <w:r>
        <w:rPr>
          <w:rFonts w:hint="eastAsia" w:cs="宋体" w:asciiTheme="majorEastAsia" w:hAnsiTheme="majorEastAsia" w:eastAsiaTheme="majorEastAsia"/>
          <w:color w:val="auto"/>
          <w:sz w:val="22"/>
          <w:szCs w:val="21"/>
          <w:highlight w:val="none"/>
        </w:rPr>
        <w:t>（</w:t>
      </w:r>
      <w:r>
        <w:rPr>
          <w:rFonts w:cs="宋体" w:asciiTheme="majorEastAsia" w:hAnsiTheme="majorEastAsia" w:eastAsiaTheme="majorEastAsia"/>
          <w:color w:val="auto"/>
          <w:sz w:val="22"/>
          <w:szCs w:val="21"/>
          <w:highlight w:val="none"/>
        </w:rPr>
        <w:t>9</w:t>
      </w:r>
      <w:r>
        <w:rPr>
          <w:rFonts w:hint="eastAsia" w:cs="宋体" w:asciiTheme="majorEastAsia" w:hAnsiTheme="majorEastAsia" w:eastAsiaTheme="majorEastAsia"/>
          <w:color w:val="auto"/>
          <w:sz w:val="22"/>
          <w:szCs w:val="21"/>
          <w:highlight w:val="none"/>
        </w:rPr>
        <w:t>）已标价工程量清单；</w:t>
      </w:r>
    </w:p>
    <w:p w14:paraId="1CBB4F19">
      <w:pPr>
        <w:spacing w:line="320" w:lineRule="auto"/>
        <w:ind w:firstLine="600"/>
        <w:rPr>
          <w:rFonts w:cs="宋体" w:asciiTheme="majorEastAsia" w:hAnsiTheme="majorEastAsia" w:eastAsiaTheme="majorEastAsia"/>
          <w:color w:val="auto"/>
          <w:sz w:val="22"/>
          <w:szCs w:val="21"/>
          <w:highlight w:val="none"/>
        </w:rPr>
      </w:pPr>
      <w:r>
        <w:rPr>
          <w:rFonts w:hint="eastAsia" w:cs="宋体" w:asciiTheme="majorEastAsia" w:hAnsiTheme="majorEastAsia" w:eastAsiaTheme="majorEastAsia"/>
          <w:color w:val="auto"/>
          <w:sz w:val="22"/>
          <w:szCs w:val="21"/>
          <w:highlight w:val="none"/>
        </w:rPr>
        <w:t>（</w:t>
      </w:r>
      <w:r>
        <w:rPr>
          <w:rFonts w:cs="宋体" w:asciiTheme="majorEastAsia" w:hAnsiTheme="majorEastAsia" w:eastAsiaTheme="majorEastAsia"/>
          <w:color w:val="auto"/>
          <w:sz w:val="22"/>
          <w:szCs w:val="21"/>
          <w:highlight w:val="none"/>
        </w:rPr>
        <w:t>10</w:t>
      </w:r>
      <w:r>
        <w:rPr>
          <w:rFonts w:hint="eastAsia" w:cs="宋体" w:asciiTheme="majorEastAsia" w:hAnsiTheme="majorEastAsia" w:eastAsiaTheme="majorEastAsia"/>
          <w:color w:val="auto"/>
          <w:sz w:val="22"/>
          <w:szCs w:val="21"/>
          <w:highlight w:val="none"/>
        </w:rPr>
        <w:t>）其它合同文件。</w:t>
      </w:r>
    </w:p>
    <w:p w14:paraId="0B78C0D6">
      <w:pPr>
        <w:spacing w:line="320" w:lineRule="auto"/>
        <w:rPr>
          <w:rFonts w:cs="宋体" w:asciiTheme="majorEastAsia" w:hAnsiTheme="majorEastAsia" w:eastAsiaTheme="majorEastAsia"/>
          <w:color w:val="auto"/>
          <w:sz w:val="22"/>
          <w:szCs w:val="21"/>
          <w:highlight w:val="none"/>
        </w:rPr>
      </w:pPr>
      <w:r>
        <w:rPr>
          <w:rFonts w:cs="宋体" w:asciiTheme="majorEastAsia" w:hAnsiTheme="majorEastAsia" w:eastAsiaTheme="majorEastAsia"/>
          <w:color w:val="auto"/>
          <w:sz w:val="22"/>
          <w:szCs w:val="21"/>
          <w:highlight w:val="none"/>
        </w:rPr>
        <w:t xml:space="preserve">2. </w:t>
      </w:r>
      <w:r>
        <w:rPr>
          <w:rFonts w:hint="eastAsia" w:cs="宋体" w:asciiTheme="majorEastAsia" w:hAnsiTheme="majorEastAsia" w:eastAsiaTheme="majorEastAsia"/>
          <w:color w:val="auto"/>
          <w:sz w:val="22"/>
          <w:szCs w:val="21"/>
          <w:highlight w:val="none"/>
        </w:rPr>
        <w:t>上述文件互相补充和解释，如有不明确或不一致之处，以合同约定次序在先者为准。</w:t>
      </w:r>
    </w:p>
    <w:p w14:paraId="686AC5B5">
      <w:pPr>
        <w:spacing w:line="320" w:lineRule="auto"/>
        <w:rPr>
          <w:rFonts w:cs="宋体" w:asciiTheme="majorEastAsia" w:hAnsiTheme="majorEastAsia" w:eastAsiaTheme="majorEastAsia"/>
          <w:color w:val="auto"/>
          <w:sz w:val="22"/>
          <w:szCs w:val="21"/>
          <w:highlight w:val="none"/>
        </w:rPr>
      </w:pPr>
      <w:r>
        <w:rPr>
          <w:rFonts w:cs="宋体" w:asciiTheme="majorEastAsia" w:hAnsiTheme="majorEastAsia" w:eastAsiaTheme="majorEastAsia"/>
          <w:color w:val="auto"/>
          <w:sz w:val="22"/>
          <w:szCs w:val="21"/>
          <w:highlight w:val="none"/>
        </w:rPr>
        <w:t xml:space="preserve">3. </w:t>
      </w:r>
      <w:r>
        <w:rPr>
          <w:rFonts w:hint="eastAsia" w:cs="宋体" w:asciiTheme="majorEastAsia" w:hAnsiTheme="majorEastAsia" w:eastAsiaTheme="majorEastAsia"/>
          <w:color w:val="auto"/>
          <w:sz w:val="22"/>
          <w:szCs w:val="21"/>
          <w:highlight w:val="none"/>
        </w:rPr>
        <w:t>签约合同价：人民币（大写）</w:t>
      </w:r>
      <w:r>
        <w:rPr>
          <w:rFonts w:hint="eastAsia" w:cs="宋体" w:asciiTheme="majorEastAsia" w:hAnsiTheme="majorEastAsia" w:eastAsiaTheme="majorEastAsia"/>
          <w:color w:val="auto"/>
          <w:sz w:val="22"/>
          <w:szCs w:val="21"/>
          <w:highlight w:val="none"/>
          <w:lang w:val="en-US" w:eastAsia="zh-CN"/>
        </w:rPr>
        <w:t xml:space="preserve"> </w:t>
      </w:r>
      <w:r>
        <w:rPr>
          <w:rFonts w:hint="eastAsia" w:cs="宋体" w:asciiTheme="majorEastAsia" w:hAnsiTheme="majorEastAsia" w:eastAsiaTheme="majorEastAsia"/>
          <w:color w:val="auto"/>
          <w:sz w:val="22"/>
          <w:szCs w:val="21"/>
          <w:highlight w:val="none"/>
        </w:rPr>
        <w:t>元（￥</w:t>
      </w:r>
      <w:r>
        <w:rPr>
          <w:rFonts w:hint="eastAsia" w:cs="宋体" w:asciiTheme="majorEastAsia" w:hAnsiTheme="majorEastAsia" w:eastAsiaTheme="majorEastAsia"/>
          <w:color w:val="auto"/>
          <w:sz w:val="22"/>
          <w:szCs w:val="21"/>
          <w:highlight w:val="none"/>
          <w:lang w:val="en-US" w:eastAsia="zh-CN"/>
        </w:rPr>
        <w:t xml:space="preserve"> </w:t>
      </w:r>
      <w:r>
        <w:rPr>
          <w:rFonts w:hint="eastAsia" w:cs="宋体" w:asciiTheme="majorEastAsia" w:hAnsiTheme="majorEastAsia" w:eastAsiaTheme="majorEastAsia"/>
          <w:color w:val="auto"/>
          <w:sz w:val="22"/>
          <w:szCs w:val="21"/>
          <w:highlight w:val="none"/>
        </w:rPr>
        <w:t>元）。</w:t>
      </w:r>
    </w:p>
    <w:p w14:paraId="04DAEF28">
      <w:pPr>
        <w:spacing w:line="320" w:lineRule="auto"/>
        <w:rPr>
          <w:rFonts w:cs="宋体" w:asciiTheme="majorEastAsia" w:hAnsiTheme="majorEastAsia" w:eastAsiaTheme="majorEastAsia"/>
          <w:color w:val="auto"/>
          <w:sz w:val="22"/>
          <w:szCs w:val="21"/>
          <w:highlight w:val="none"/>
        </w:rPr>
      </w:pPr>
      <w:r>
        <w:rPr>
          <w:rFonts w:cs="宋体" w:asciiTheme="majorEastAsia" w:hAnsiTheme="majorEastAsia" w:eastAsiaTheme="majorEastAsia"/>
          <w:color w:val="auto"/>
          <w:sz w:val="22"/>
          <w:szCs w:val="21"/>
          <w:highlight w:val="none"/>
        </w:rPr>
        <w:t xml:space="preserve">4. </w:t>
      </w:r>
      <w:r>
        <w:rPr>
          <w:rFonts w:hint="eastAsia" w:cs="宋体" w:asciiTheme="majorEastAsia" w:hAnsiTheme="majorEastAsia" w:eastAsiaTheme="majorEastAsia"/>
          <w:color w:val="auto"/>
          <w:sz w:val="22"/>
          <w:szCs w:val="21"/>
          <w:highlight w:val="none"/>
        </w:rPr>
        <w:t>承包人项目经理：</w:t>
      </w:r>
      <w:r>
        <w:rPr>
          <w:rFonts w:hint="eastAsia" w:cs="宋体" w:asciiTheme="majorEastAsia" w:hAnsiTheme="majorEastAsia" w:eastAsiaTheme="majorEastAsia"/>
          <w:color w:val="auto"/>
          <w:sz w:val="22"/>
          <w:szCs w:val="21"/>
          <w:highlight w:val="none"/>
          <w:lang w:val="en-US" w:eastAsia="zh-CN"/>
        </w:rPr>
        <w:t xml:space="preserve"> </w:t>
      </w:r>
      <w:r>
        <w:rPr>
          <w:rFonts w:hint="eastAsia" w:cs="宋体" w:asciiTheme="majorEastAsia" w:hAnsiTheme="majorEastAsia" w:eastAsiaTheme="majorEastAsia"/>
          <w:color w:val="auto"/>
          <w:sz w:val="22"/>
          <w:szCs w:val="21"/>
          <w:highlight w:val="none"/>
        </w:rPr>
        <w:t>。</w:t>
      </w:r>
    </w:p>
    <w:p w14:paraId="33F7674F">
      <w:pPr>
        <w:spacing w:line="320" w:lineRule="auto"/>
        <w:rPr>
          <w:rFonts w:cs="宋体" w:asciiTheme="majorEastAsia" w:hAnsiTheme="majorEastAsia" w:eastAsiaTheme="majorEastAsia"/>
          <w:color w:val="auto"/>
          <w:sz w:val="22"/>
          <w:szCs w:val="21"/>
          <w:highlight w:val="none"/>
        </w:rPr>
      </w:pPr>
      <w:r>
        <w:rPr>
          <w:rFonts w:cs="宋体" w:asciiTheme="majorEastAsia" w:hAnsiTheme="majorEastAsia" w:eastAsiaTheme="majorEastAsia"/>
          <w:color w:val="auto"/>
          <w:sz w:val="22"/>
          <w:szCs w:val="21"/>
          <w:highlight w:val="none"/>
        </w:rPr>
        <w:t xml:space="preserve">5. </w:t>
      </w:r>
      <w:r>
        <w:rPr>
          <w:rFonts w:hint="eastAsia" w:cs="宋体" w:asciiTheme="majorEastAsia" w:hAnsiTheme="majorEastAsia" w:eastAsiaTheme="majorEastAsia"/>
          <w:color w:val="auto"/>
          <w:sz w:val="22"/>
          <w:szCs w:val="21"/>
          <w:highlight w:val="none"/>
        </w:rPr>
        <w:t>工程质量符合</w:t>
      </w:r>
      <w:r>
        <w:rPr>
          <w:rFonts w:hint="eastAsia" w:cs="宋体" w:asciiTheme="majorEastAsia" w:hAnsiTheme="majorEastAsia" w:eastAsiaTheme="majorEastAsia"/>
          <w:color w:val="auto"/>
          <w:sz w:val="22"/>
          <w:szCs w:val="21"/>
          <w:highlight w:val="none"/>
          <w:lang w:val="en-US" w:eastAsia="zh-CN"/>
        </w:rPr>
        <w:t xml:space="preserve">   </w:t>
      </w:r>
      <w:r>
        <w:rPr>
          <w:rFonts w:hint="eastAsia" w:cs="宋体" w:asciiTheme="majorEastAsia" w:hAnsiTheme="majorEastAsia" w:eastAsiaTheme="majorEastAsia"/>
          <w:color w:val="auto"/>
          <w:sz w:val="22"/>
          <w:szCs w:val="21"/>
          <w:highlight w:val="none"/>
        </w:rPr>
        <w:t>标准。</w:t>
      </w:r>
    </w:p>
    <w:p w14:paraId="203272AE">
      <w:pPr>
        <w:spacing w:line="320" w:lineRule="auto"/>
        <w:rPr>
          <w:rFonts w:cs="宋体" w:asciiTheme="majorEastAsia" w:hAnsiTheme="majorEastAsia" w:eastAsiaTheme="majorEastAsia"/>
          <w:color w:val="auto"/>
          <w:sz w:val="22"/>
          <w:szCs w:val="21"/>
          <w:highlight w:val="none"/>
        </w:rPr>
      </w:pPr>
      <w:r>
        <w:rPr>
          <w:rFonts w:cs="宋体" w:asciiTheme="majorEastAsia" w:hAnsiTheme="majorEastAsia" w:eastAsiaTheme="majorEastAsia"/>
          <w:color w:val="auto"/>
          <w:sz w:val="22"/>
          <w:szCs w:val="21"/>
          <w:highlight w:val="none"/>
        </w:rPr>
        <w:t xml:space="preserve">6. </w:t>
      </w:r>
      <w:r>
        <w:rPr>
          <w:rFonts w:hint="eastAsia" w:cs="宋体" w:asciiTheme="majorEastAsia" w:hAnsiTheme="majorEastAsia" w:eastAsiaTheme="majorEastAsia"/>
          <w:color w:val="auto"/>
          <w:sz w:val="22"/>
          <w:szCs w:val="21"/>
          <w:highlight w:val="none"/>
        </w:rPr>
        <w:t>承包人承诺按合同约定承担工程的实施、完成及缺陷修复。</w:t>
      </w:r>
    </w:p>
    <w:p w14:paraId="0180DFF0">
      <w:pPr>
        <w:spacing w:line="320" w:lineRule="auto"/>
        <w:rPr>
          <w:rFonts w:cs="宋体" w:asciiTheme="majorEastAsia" w:hAnsiTheme="majorEastAsia" w:eastAsiaTheme="majorEastAsia"/>
          <w:color w:val="auto"/>
          <w:sz w:val="22"/>
          <w:szCs w:val="21"/>
          <w:highlight w:val="none"/>
        </w:rPr>
      </w:pPr>
      <w:r>
        <w:rPr>
          <w:rFonts w:cs="宋体" w:asciiTheme="majorEastAsia" w:hAnsiTheme="majorEastAsia" w:eastAsiaTheme="majorEastAsia"/>
          <w:color w:val="auto"/>
          <w:sz w:val="22"/>
          <w:szCs w:val="21"/>
          <w:highlight w:val="none"/>
        </w:rPr>
        <w:t xml:space="preserve">7. </w:t>
      </w:r>
      <w:r>
        <w:rPr>
          <w:rFonts w:hint="eastAsia" w:cs="宋体" w:asciiTheme="majorEastAsia" w:hAnsiTheme="majorEastAsia" w:eastAsiaTheme="majorEastAsia"/>
          <w:color w:val="auto"/>
          <w:sz w:val="22"/>
          <w:szCs w:val="21"/>
          <w:highlight w:val="none"/>
        </w:rPr>
        <w:t>发包人承诺按合同约定的条件、时间和方式向承包人支付合同价款。</w:t>
      </w:r>
    </w:p>
    <w:p w14:paraId="3FEAA389">
      <w:pPr>
        <w:spacing w:line="320" w:lineRule="auto"/>
        <w:rPr>
          <w:rFonts w:hint="eastAsia" w:cs="宋体" w:asciiTheme="majorEastAsia" w:hAnsiTheme="majorEastAsia" w:eastAsiaTheme="majorEastAsia"/>
          <w:color w:val="auto"/>
          <w:sz w:val="22"/>
          <w:szCs w:val="21"/>
          <w:highlight w:val="none"/>
        </w:rPr>
      </w:pPr>
      <w:r>
        <w:rPr>
          <w:rFonts w:cs="宋体" w:asciiTheme="majorEastAsia" w:hAnsiTheme="majorEastAsia" w:eastAsiaTheme="majorEastAsia"/>
          <w:color w:val="auto"/>
          <w:sz w:val="22"/>
          <w:szCs w:val="21"/>
          <w:highlight w:val="none"/>
        </w:rPr>
        <w:t xml:space="preserve">8. </w:t>
      </w:r>
      <w:r>
        <w:rPr>
          <w:rFonts w:hint="eastAsia" w:cs="宋体" w:asciiTheme="majorEastAsia" w:hAnsiTheme="majorEastAsia" w:eastAsiaTheme="majorEastAsia"/>
          <w:color w:val="auto"/>
          <w:sz w:val="22"/>
          <w:szCs w:val="21"/>
          <w:highlight w:val="none"/>
        </w:rPr>
        <w:t>承包人承诺执行监理人开工通知，计划工期为</w:t>
      </w:r>
      <w:r>
        <w:rPr>
          <w:rFonts w:hint="eastAsia" w:cs="宋体" w:asciiTheme="majorEastAsia" w:hAnsiTheme="majorEastAsia" w:eastAsiaTheme="majorEastAsia"/>
          <w:color w:val="auto"/>
          <w:sz w:val="22"/>
          <w:szCs w:val="21"/>
          <w:highlight w:val="none"/>
          <w:lang w:val="en-US" w:eastAsia="zh-CN"/>
        </w:rPr>
        <w:t xml:space="preserve">  </w:t>
      </w:r>
      <w:r>
        <w:rPr>
          <w:rFonts w:hint="eastAsia" w:cs="宋体" w:asciiTheme="majorEastAsia" w:hAnsiTheme="majorEastAsia" w:eastAsiaTheme="majorEastAsia"/>
          <w:color w:val="auto"/>
          <w:sz w:val="22"/>
          <w:szCs w:val="21"/>
          <w:highlight w:val="none"/>
        </w:rPr>
        <w:t>日历天。</w:t>
      </w:r>
    </w:p>
    <w:p w14:paraId="7E1A96D6">
      <w:pPr>
        <w:spacing w:line="320" w:lineRule="auto"/>
        <w:rPr>
          <w:rFonts w:cs="宋体" w:asciiTheme="majorEastAsia" w:hAnsiTheme="majorEastAsia" w:eastAsiaTheme="majorEastAsia"/>
          <w:color w:val="auto"/>
          <w:sz w:val="22"/>
          <w:szCs w:val="21"/>
          <w:highlight w:val="none"/>
        </w:rPr>
      </w:pPr>
      <w:r>
        <w:rPr>
          <w:rFonts w:cs="宋体" w:asciiTheme="majorEastAsia" w:hAnsiTheme="majorEastAsia" w:eastAsiaTheme="majorEastAsia"/>
          <w:color w:val="auto"/>
          <w:sz w:val="22"/>
          <w:szCs w:val="21"/>
          <w:highlight w:val="none"/>
        </w:rPr>
        <w:t xml:space="preserve">9. </w:t>
      </w:r>
      <w:r>
        <w:rPr>
          <w:rFonts w:hint="eastAsia" w:cs="宋体" w:asciiTheme="majorEastAsia" w:hAnsiTheme="majorEastAsia" w:eastAsiaTheme="majorEastAsia"/>
          <w:color w:val="auto"/>
          <w:sz w:val="22"/>
          <w:szCs w:val="21"/>
          <w:highlight w:val="none"/>
        </w:rPr>
        <w:t>本协议书正本一式两份，具有同等法律效力，由双方各执一份；副本六份，各执三份。</w:t>
      </w:r>
    </w:p>
    <w:p w14:paraId="74B270C3">
      <w:pPr>
        <w:spacing w:line="320" w:lineRule="auto"/>
        <w:rPr>
          <w:rFonts w:cs="宋体" w:asciiTheme="majorEastAsia" w:hAnsiTheme="majorEastAsia" w:eastAsiaTheme="majorEastAsia"/>
          <w:color w:val="auto"/>
          <w:sz w:val="22"/>
          <w:szCs w:val="21"/>
          <w:highlight w:val="none"/>
        </w:rPr>
      </w:pPr>
      <w:r>
        <w:rPr>
          <w:rFonts w:cs="宋体" w:asciiTheme="majorEastAsia" w:hAnsiTheme="majorEastAsia" w:eastAsiaTheme="majorEastAsia"/>
          <w:color w:val="auto"/>
          <w:sz w:val="22"/>
          <w:szCs w:val="21"/>
          <w:highlight w:val="none"/>
        </w:rPr>
        <w:t xml:space="preserve">10. </w:t>
      </w:r>
      <w:r>
        <w:rPr>
          <w:rFonts w:hint="eastAsia" w:cs="宋体" w:asciiTheme="majorEastAsia" w:hAnsiTheme="majorEastAsia" w:eastAsiaTheme="majorEastAsia"/>
          <w:color w:val="auto"/>
          <w:sz w:val="22"/>
          <w:szCs w:val="21"/>
          <w:highlight w:val="none"/>
        </w:rPr>
        <w:t>结算以财政投资评审中心的审核为准。</w:t>
      </w:r>
    </w:p>
    <w:p w14:paraId="07C26C16">
      <w:pPr>
        <w:spacing w:line="320" w:lineRule="auto"/>
        <w:rPr>
          <w:rFonts w:cs="宋体" w:asciiTheme="majorEastAsia" w:hAnsiTheme="majorEastAsia" w:eastAsiaTheme="majorEastAsia"/>
          <w:color w:val="auto"/>
          <w:sz w:val="22"/>
          <w:szCs w:val="21"/>
          <w:highlight w:val="none"/>
        </w:rPr>
      </w:pPr>
      <w:r>
        <w:rPr>
          <w:rFonts w:cs="宋体" w:asciiTheme="majorEastAsia" w:hAnsiTheme="majorEastAsia" w:eastAsiaTheme="majorEastAsia"/>
          <w:color w:val="auto"/>
          <w:sz w:val="22"/>
          <w:szCs w:val="21"/>
          <w:highlight w:val="none"/>
        </w:rPr>
        <w:t>11.</w:t>
      </w:r>
      <w:r>
        <w:rPr>
          <w:rFonts w:hint="eastAsia" w:cs="宋体" w:asciiTheme="majorEastAsia" w:hAnsiTheme="majorEastAsia" w:eastAsiaTheme="majorEastAsia"/>
          <w:color w:val="auto"/>
          <w:sz w:val="22"/>
          <w:szCs w:val="21"/>
          <w:highlight w:val="none"/>
        </w:rPr>
        <w:t>缺陷责任期（工程质量保修期）为</w:t>
      </w:r>
      <w:r>
        <w:rPr>
          <w:rFonts w:hint="eastAsia" w:cs="宋体" w:asciiTheme="majorEastAsia" w:hAnsiTheme="majorEastAsia" w:eastAsiaTheme="majorEastAsia"/>
          <w:color w:val="auto"/>
          <w:sz w:val="22"/>
          <w:szCs w:val="21"/>
          <w:highlight w:val="none"/>
          <w:lang w:eastAsia="zh-CN"/>
        </w:rPr>
        <w:t>2年</w:t>
      </w:r>
      <w:r>
        <w:rPr>
          <w:rFonts w:hint="eastAsia" w:cs="宋体" w:asciiTheme="majorEastAsia" w:hAnsiTheme="majorEastAsia" w:eastAsiaTheme="majorEastAsia"/>
          <w:color w:val="auto"/>
          <w:sz w:val="22"/>
          <w:szCs w:val="21"/>
          <w:highlight w:val="none"/>
        </w:rPr>
        <w:t>，保修期自工程移交证书中写明的全部工程完工日开始算起。</w:t>
      </w:r>
    </w:p>
    <w:p w14:paraId="2EA42AD3">
      <w:pPr>
        <w:spacing w:line="320" w:lineRule="auto"/>
        <w:rPr>
          <w:rFonts w:cs="宋体" w:asciiTheme="majorEastAsia" w:hAnsiTheme="majorEastAsia" w:eastAsiaTheme="majorEastAsia"/>
          <w:color w:val="auto"/>
          <w:sz w:val="22"/>
          <w:szCs w:val="21"/>
          <w:highlight w:val="none"/>
        </w:rPr>
      </w:pPr>
      <w:r>
        <w:rPr>
          <w:rFonts w:cs="宋体" w:asciiTheme="majorEastAsia" w:hAnsiTheme="majorEastAsia" w:eastAsiaTheme="majorEastAsia"/>
          <w:color w:val="auto"/>
          <w:sz w:val="22"/>
          <w:szCs w:val="21"/>
          <w:highlight w:val="none"/>
        </w:rPr>
        <w:t>12.</w:t>
      </w:r>
      <w:r>
        <w:rPr>
          <w:rFonts w:hint="eastAsia" w:cs="宋体" w:asciiTheme="majorEastAsia" w:hAnsiTheme="majorEastAsia" w:eastAsiaTheme="majorEastAsia"/>
          <w:color w:val="auto"/>
          <w:sz w:val="22"/>
          <w:szCs w:val="21"/>
          <w:highlight w:val="none"/>
        </w:rPr>
        <w:t>合同未尽事宜，双方另行签订补充协议。补充协议是合同的组成部分。</w:t>
      </w:r>
    </w:p>
    <w:p w14:paraId="71ABA8E8">
      <w:pPr>
        <w:spacing w:line="360" w:lineRule="auto"/>
        <w:ind w:firstLine="480"/>
        <w:rPr>
          <w:rFonts w:cs="宋体" w:asciiTheme="majorEastAsia" w:hAnsiTheme="majorEastAsia" w:eastAsiaTheme="majorEastAsia"/>
          <w:color w:val="auto"/>
          <w:sz w:val="22"/>
          <w:szCs w:val="21"/>
          <w:highlight w:val="none"/>
        </w:rPr>
      </w:pPr>
      <w:r>
        <w:rPr>
          <w:rFonts w:hint="eastAsia" w:cs="宋体" w:asciiTheme="majorEastAsia" w:hAnsiTheme="majorEastAsia" w:eastAsiaTheme="majorEastAsia"/>
          <w:color w:val="auto"/>
          <w:sz w:val="22"/>
          <w:szCs w:val="21"/>
          <w:highlight w:val="none"/>
        </w:rPr>
        <w:t>发包人：（盖单位章）</w:t>
      </w:r>
      <w:r>
        <w:rPr>
          <w:rFonts w:hint="eastAsia" w:cs="宋体" w:asciiTheme="majorEastAsia" w:hAnsiTheme="majorEastAsia" w:eastAsiaTheme="majorEastAsia"/>
          <w:color w:val="auto"/>
          <w:sz w:val="22"/>
          <w:szCs w:val="21"/>
          <w:highlight w:val="none"/>
          <w:lang w:val="en-US" w:eastAsia="zh-CN"/>
        </w:rPr>
        <w:t xml:space="preserve">                     </w:t>
      </w:r>
      <w:r>
        <w:rPr>
          <w:rFonts w:hint="eastAsia" w:cs="宋体" w:asciiTheme="majorEastAsia" w:hAnsiTheme="majorEastAsia" w:eastAsiaTheme="majorEastAsia"/>
          <w:color w:val="auto"/>
          <w:sz w:val="22"/>
          <w:szCs w:val="21"/>
          <w:highlight w:val="none"/>
        </w:rPr>
        <w:t>承包人：（盖单位章）</w:t>
      </w:r>
    </w:p>
    <w:p w14:paraId="78323B47">
      <w:pPr>
        <w:spacing w:line="360" w:lineRule="auto"/>
        <w:ind w:firstLine="240"/>
        <w:rPr>
          <w:rFonts w:cs="宋体" w:asciiTheme="majorEastAsia" w:hAnsiTheme="majorEastAsia" w:eastAsiaTheme="majorEastAsia"/>
          <w:color w:val="auto"/>
          <w:sz w:val="22"/>
          <w:szCs w:val="21"/>
          <w:highlight w:val="none"/>
          <w:u w:val="single"/>
        </w:rPr>
      </w:pPr>
      <w:r>
        <w:rPr>
          <w:rFonts w:hint="eastAsia" w:cs="宋体" w:asciiTheme="majorEastAsia" w:hAnsiTheme="majorEastAsia" w:eastAsiaTheme="majorEastAsia"/>
          <w:color w:val="auto"/>
          <w:sz w:val="22"/>
          <w:szCs w:val="21"/>
          <w:highlight w:val="none"/>
        </w:rPr>
        <w:t>法定代表人（或授权委托人）：（签字）</w:t>
      </w:r>
      <w:r>
        <w:rPr>
          <w:rFonts w:hint="eastAsia" w:cs="宋体" w:asciiTheme="majorEastAsia" w:hAnsiTheme="majorEastAsia" w:eastAsiaTheme="majorEastAsia"/>
          <w:color w:val="auto"/>
          <w:sz w:val="22"/>
          <w:szCs w:val="21"/>
          <w:highlight w:val="none"/>
          <w:lang w:val="en-US" w:eastAsia="zh-CN"/>
        </w:rPr>
        <w:t xml:space="preserve">       </w:t>
      </w:r>
      <w:r>
        <w:rPr>
          <w:rFonts w:hint="eastAsia" w:cs="宋体" w:asciiTheme="majorEastAsia" w:hAnsiTheme="majorEastAsia" w:eastAsiaTheme="majorEastAsia"/>
          <w:color w:val="auto"/>
          <w:sz w:val="22"/>
          <w:szCs w:val="21"/>
          <w:highlight w:val="none"/>
        </w:rPr>
        <w:t>法定代表人（或授权委托人）：（签字）</w:t>
      </w:r>
    </w:p>
    <w:p w14:paraId="652C25D9">
      <w:pPr>
        <w:spacing w:line="360" w:lineRule="auto"/>
        <w:ind w:firstLine="108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2"/>
          <w:szCs w:val="21"/>
          <w:highlight w:val="none"/>
        </w:rPr>
        <w:t>年月日年月日</w:t>
      </w:r>
      <w:r>
        <w:rPr>
          <w:rFonts w:cs="宋体" w:asciiTheme="majorEastAsia" w:hAnsiTheme="majorEastAsia" w:eastAsiaTheme="majorEastAsia"/>
          <w:color w:val="auto"/>
          <w:sz w:val="24"/>
          <w:highlight w:val="none"/>
        </w:rPr>
        <w:br w:type="page"/>
      </w:r>
    </w:p>
    <w:p w14:paraId="45520EEF">
      <w:pPr>
        <w:tabs>
          <w:tab w:val="left" w:pos="3480"/>
        </w:tabs>
        <w:rPr>
          <w:rFonts w:hint="eastAsia" w:cs="宋体" w:asciiTheme="majorEastAsia" w:hAnsiTheme="majorEastAsia" w:eastAsiaTheme="majorEastAsia"/>
          <w:b/>
          <w:color w:val="auto"/>
          <w:sz w:val="24"/>
          <w:highlight w:val="none"/>
          <w:lang w:eastAsia="zh-CN"/>
        </w:rPr>
      </w:pPr>
      <w:bookmarkStart w:id="86" w:name="_Toc21950"/>
      <w:r>
        <w:rPr>
          <w:rFonts w:hint="eastAsia" w:cs="宋体" w:asciiTheme="majorEastAsia" w:hAnsiTheme="majorEastAsia" w:eastAsiaTheme="majorEastAsia"/>
          <w:b/>
          <w:color w:val="auto"/>
          <w:sz w:val="24"/>
          <w:highlight w:val="none"/>
        </w:rPr>
        <w:t>附件二：履约担保格式</w:t>
      </w:r>
      <w:r>
        <w:rPr>
          <w:rFonts w:hint="eastAsia" w:cs="宋体" w:asciiTheme="majorEastAsia" w:hAnsiTheme="majorEastAsia" w:eastAsiaTheme="majorEastAsia"/>
          <w:b/>
          <w:color w:val="auto"/>
          <w:sz w:val="24"/>
          <w:highlight w:val="none"/>
          <w:lang w:eastAsia="zh-CN"/>
        </w:rPr>
        <w:t>（</w:t>
      </w:r>
      <w:r>
        <w:rPr>
          <w:rFonts w:hint="eastAsia" w:cs="宋体" w:asciiTheme="majorEastAsia" w:hAnsiTheme="majorEastAsia" w:eastAsiaTheme="majorEastAsia"/>
          <w:b/>
          <w:color w:val="auto"/>
          <w:sz w:val="24"/>
          <w:highlight w:val="none"/>
          <w:lang w:val="en-US" w:eastAsia="zh-CN"/>
        </w:rPr>
        <w:t>如需</w:t>
      </w:r>
      <w:r>
        <w:rPr>
          <w:rFonts w:hint="eastAsia" w:cs="宋体" w:asciiTheme="majorEastAsia" w:hAnsiTheme="majorEastAsia" w:eastAsiaTheme="majorEastAsia"/>
          <w:b/>
          <w:color w:val="auto"/>
          <w:sz w:val="24"/>
          <w:highlight w:val="none"/>
          <w:lang w:eastAsia="zh-CN"/>
        </w:rPr>
        <w:t>）</w:t>
      </w:r>
    </w:p>
    <w:p w14:paraId="64C59806">
      <w:pPr>
        <w:spacing w:line="360" w:lineRule="auto"/>
        <w:rPr>
          <w:rFonts w:ascii="宋体" w:hAnsi="宋体"/>
          <w:bCs/>
          <w:iCs/>
          <w:color w:val="auto"/>
          <w:sz w:val="22"/>
          <w:szCs w:val="22"/>
          <w:highlight w:val="none"/>
        </w:rPr>
      </w:pPr>
      <w:r>
        <w:rPr>
          <w:rFonts w:hint="eastAsia" w:ascii="宋体" w:hAnsi="宋体"/>
          <w:bCs/>
          <w:iCs/>
          <w:color w:val="auto"/>
          <w:sz w:val="22"/>
          <w:szCs w:val="22"/>
          <w:highlight w:val="none"/>
        </w:rPr>
        <w:t>注：履约保函（或按担保单位的给定格式）</w:t>
      </w:r>
    </w:p>
    <w:p w14:paraId="66FC3747">
      <w:pPr>
        <w:spacing w:line="360" w:lineRule="auto"/>
        <w:jc w:val="center"/>
        <w:rPr>
          <w:rFonts w:ascii="宋体" w:hAnsi="宋体"/>
          <w:b/>
          <w:color w:val="auto"/>
          <w:sz w:val="22"/>
          <w:szCs w:val="22"/>
          <w:highlight w:val="none"/>
        </w:rPr>
      </w:pPr>
      <w:r>
        <w:rPr>
          <w:rFonts w:ascii="宋体" w:hAnsi="宋体"/>
          <w:b/>
          <w:color w:val="auto"/>
          <w:sz w:val="22"/>
          <w:szCs w:val="22"/>
          <w:highlight w:val="none"/>
        </w:rPr>
        <w:t>履约担保</w:t>
      </w:r>
    </w:p>
    <w:p w14:paraId="65C0D1EA">
      <w:pPr>
        <w:spacing w:line="360" w:lineRule="auto"/>
        <w:rPr>
          <w:rFonts w:ascii="宋体" w:hAnsi="宋体"/>
          <w:color w:val="auto"/>
          <w:sz w:val="22"/>
          <w:szCs w:val="22"/>
          <w:highlight w:val="none"/>
        </w:rPr>
      </w:pPr>
    </w:p>
    <w:p w14:paraId="36AD6E45">
      <w:pPr>
        <w:spacing w:line="360" w:lineRule="auto"/>
        <w:rPr>
          <w:rFonts w:ascii="宋体" w:hAnsi="宋体"/>
          <w:color w:val="auto"/>
          <w:sz w:val="22"/>
          <w:szCs w:val="22"/>
          <w:highlight w:val="none"/>
          <w:u w:val="single"/>
        </w:rPr>
      </w:pPr>
      <w:r>
        <w:rPr>
          <w:rFonts w:ascii="宋体" w:hAnsi="宋体"/>
          <w:color w:val="auto"/>
          <w:sz w:val="22"/>
          <w:szCs w:val="22"/>
          <w:highlight w:val="none"/>
        </w:rPr>
        <w:t>(发包人名称)：</w:t>
      </w:r>
    </w:p>
    <w:p w14:paraId="01D29928">
      <w:pPr>
        <w:spacing w:line="360" w:lineRule="auto"/>
        <w:rPr>
          <w:rFonts w:ascii="宋体" w:hAnsi="宋体"/>
          <w:color w:val="auto"/>
          <w:sz w:val="22"/>
          <w:szCs w:val="22"/>
          <w:highlight w:val="none"/>
        </w:rPr>
      </w:pPr>
    </w:p>
    <w:p w14:paraId="112E74AC">
      <w:pPr>
        <w:spacing w:line="360" w:lineRule="auto"/>
        <w:ind w:firstLine="440" w:firstLineChars="200"/>
        <w:contextualSpacing/>
        <w:rPr>
          <w:rFonts w:ascii="宋体" w:hAnsi="宋体"/>
          <w:snapToGrid w:val="0"/>
          <w:color w:val="auto"/>
          <w:sz w:val="22"/>
          <w:szCs w:val="22"/>
          <w:highlight w:val="none"/>
          <w:u w:val="single"/>
        </w:rPr>
      </w:pPr>
      <w:r>
        <w:rPr>
          <w:rFonts w:ascii="宋体" w:hAnsi="宋体"/>
          <w:snapToGrid w:val="0"/>
          <w:color w:val="auto"/>
          <w:sz w:val="22"/>
          <w:szCs w:val="22"/>
          <w:highlight w:val="none"/>
        </w:rPr>
        <w:t>鉴于(下称承包人)与(下称发包人)签订协议书，我行保证承包人按合同规定承担该合同工程的实施、完工和缺陷修补，并履行合同规定的一切义务和责任，为此，我行愿意出具保函为承包人进行履约担保，担保金额为人民币(大写)，(小写)¥。</w:t>
      </w:r>
    </w:p>
    <w:p w14:paraId="082B2097">
      <w:pPr>
        <w:spacing w:line="360" w:lineRule="auto"/>
        <w:ind w:firstLine="440" w:firstLineChars="200"/>
        <w:contextualSpacing/>
        <w:rPr>
          <w:rFonts w:ascii="宋体" w:hAnsi="宋体"/>
          <w:snapToGrid w:val="0"/>
          <w:color w:val="auto"/>
          <w:sz w:val="22"/>
          <w:szCs w:val="22"/>
          <w:highlight w:val="none"/>
        </w:rPr>
      </w:pPr>
      <w:r>
        <w:rPr>
          <w:rFonts w:ascii="宋体" w:hAnsi="宋体"/>
          <w:snapToGrid w:val="0"/>
          <w:color w:val="auto"/>
          <w:sz w:val="22"/>
          <w:szCs w:val="22"/>
          <w:highlight w:val="none"/>
        </w:rPr>
        <w:t>本保函的义务是：如果承包人在履行合同过程中违约，发包人要求赔偿损失时，我行将在收到发包人的书面提款通知后7天内，凭本保函向你方支付本保函担保范围内你方要求提款的金额。发包人的提款通知应附有说明承包人违约造成发包人损失情况的材料。</w:t>
      </w:r>
    </w:p>
    <w:p w14:paraId="38411B92">
      <w:pPr>
        <w:spacing w:line="360" w:lineRule="auto"/>
        <w:ind w:firstLine="440" w:firstLineChars="200"/>
        <w:contextualSpacing/>
        <w:rPr>
          <w:rFonts w:ascii="宋体" w:hAnsi="宋体"/>
          <w:snapToGrid w:val="0"/>
          <w:color w:val="auto"/>
          <w:sz w:val="22"/>
          <w:szCs w:val="22"/>
          <w:highlight w:val="none"/>
        </w:rPr>
      </w:pPr>
      <w:r>
        <w:rPr>
          <w:rFonts w:ascii="宋体" w:hAnsi="宋体"/>
          <w:snapToGrid w:val="0"/>
          <w:color w:val="auto"/>
          <w:sz w:val="22"/>
          <w:szCs w:val="22"/>
          <w:highlight w:val="none"/>
        </w:rPr>
        <w:t>在向我行提出要求前，我行将放弃要求发包人应首先向承包人索要上述款项，然后再向本行提出提款要求的权力。我行同意，任何对合同文件所作的修改和补充都不能免除我行按本保函所应承担的义务，并且上述文件的变化无须通知我行。</w:t>
      </w:r>
    </w:p>
    <w:p w14:paraId="3B234BC9">
      <w:pPr>
        <w:spacing w:line="360" w:lineRule="auto"/>
        <w:ind w:firstLine="440" w:firstLineChars="200"/>
        <w:contextualSpacing/>
        <w:rPr>
          <w:rFonts w:ascii="宋体" w:hAnsi="宋体"/>
          <w:snapToGrid w:val="0"/>
          <w:color w:val="auto"/>
          <w:sz w:val="22"/>
          <w:szCs w:val="22"/>
          <w:highlight w:val="none"/>
        </w:rPr>
      </w:pPr>
      <w:r>
        <w:rPr>
          <w:rFonts w:ascii="宋体" w:hAnsi="宋体"/>
          <w:snapToGrid w:val="0"/>
          <w:color w:val="auto"/>
          <w:sz w:val="22"/>
          <w:szCs w:val="22"/>
          <w:highlight w:val="none"/>
        </w:rPr>
        <w:t>本保函在担保金额支付完毕，或上述全部工程保修责任终止证书颁发后失效</w:t>
      </w:r>
      <w:r>
        <w:rPr>
          <w:rFonts w:ascii="宋体" w:hAnsi="宋体"/>
          <w:color w:val="auto"/>
          <w:sz w:val="22"/>
          <w:szCs w:val="22"/>
          <w:highlight w:val="none"/>
        </w:rPr>
        <w:t>。</w:t>
      </w:r>
    </w:p>
    <w:p w14:paraId="0E1CAB79">
      <w:pPr>
        <w:spacing w:line="360" w:lineRule="auto"/>
        <w:rPr>
          <w:rFonts w:ascii="宋体" w:hAnsi="宋体"/>
          <w:color w:val="auto"/>
          <w:sz w:val="22"/>
          <w:szCs w:val="22"/>
          <w:highlight w:val="none"/>
        </w:rPr>
      </w:pPr>
    </w:p>
    <w:p w14:paraId="5E0A3BAB">
      <w:pPr>
        <w:spacing w:line="360" w:lineRule="auto"/>
        <w:ind w:firstLine="2970" w:firstLineChars="1350"/>
        <w:rPr>
          <w:rFonts w:ascii="宋体" w:hAnsi="宋体"/>
          <w:color w:val="auto"/>
          <w:sz w:val="22"/>
          <w:szCs w:val="22"/>
          <w:highlight w:val="none"/>
        </w:rPr>
      </w:pPr>
      <w:r>
        <w:rPr>
          <w:rFonts w:ascii="宋体" w:hAnsi="宋体"/>
          <w:color w:val="auto"/>
          <w:sz w:val="22"/>
          <w:szCs w:val="22"/>
          <w:highlight w:val="none"/>
        </w:rPr>
        <w:t>担 保 人：(盖单位章)</w:t>
      </w:r>
    </w:p>
    <w:p w14:paraId="0064EEE8">
      <w:pPr>
        <w:spacing w:line="360" w:lineRule="auto"/>
        <w:ind w:firstLine="2970" w:firstLineChars="1350"/>
        <w:rPr>
          <w:rFonts w:ascii="宋体" w:hAnsi="宋体"/>
          <w:color w:val="auto"/>
          <w:sz w:val="22"/>
          <w:szCs w:val="22"/>
          <w:highlight w:val="none"/>
        </w:rPr>
      </w:pPr>
      <w:r>
        <w:rPr>
          <w:rFonts w:ascii="宋体" w:hAnsi="宋体"/>
          <w:color w:val="auto"/>
          <w:sz w:val="22"/>
          <w:szCs w:val="22"/>
          <w:highlight w:val="none"/>
        </w:rPr>
        <w:t>法定代表人或其委托代理人：(签字)</w:t>
      </w:r>
    </w:p>
    <w:p w14:paraId="7DC821D2">
      <w:pPr>
        <w:spacing w:line="360" w:lineRule="auto"/>
        <w:ind w:firstLine="2970" w:firstLineChars="1350"/>
        <w:rPr>
          <w:rFonts w:ascii="宋体" w:hAnsi="宋体"/>
          <w:color w:val="auto"/>
          <w:sz w:val="22"/>
          <w:szCs w:val="22"/>
          <w:highlight w:val="none"/>
        </w:rPr>
      </w:pPr>
      <w:r>
        <w:rPr>
          <w:rFonts w:ascii="宋体" w:hAnsi="宋体"/>
          <w:color w:val="auto"/>
          <w:sz w:val="22"/>
          <w:szCs w:val="22"/>
          <w:highlight w:val="none"/>
        </w:rPr>
        <w:t>地    址：</w:t>
      </w:r>
    </w:p>
    <w:p w14:paraId="0EBF7A19">
      <w:pPr>
        <w:spacing w:line="360" w:lineRule="auto"/>
        <w:ind w:firstLine="2970" w:firstLineChars="1350"/>
        <w:rPr>
          <w:rFonts w:ascii="宋体" w:hAnsi="宋体"/>
          <w:color w:val="auto"/>
          <w:sz w:val="22"/>
          <w:szCs w:val="22"/>
          <w:highlight w:val="none"/>
        </w:rPr>
      </w:pPr>
      <w:r>
        <w:rPr>
          <w:rFonts w:ascii="宋体" w:hAnsi="宋体"/>
          <w:color w:val="auto"/>
          <w:sz w:val="22"/>
          <w:szCs w:val="22"/>
          <w:highlight w:val="none"/>
        </w:rPr>
        <w:t>邮政编码：</w:t>
      </w:r>
      <w:r>
        <w:rPr>
          <w:rFonts w:ascii="宋体" w:hAnsi="宋体"/>
          <w:color w:val="auto"/>
          <w:sz w:val="22"/>
          <w:szCs w:val="22"/>
          <w:highlight w:val="none"/>
          <w:u w:val="single"/>
        </w:rPr>
        <w:tab/>
      </w:r>
      <w:r>
        <w:rPr>
          <w:rFonts w:ascii="宋体" w:hAnsi="宋体"/>
          <w:color w:val="auto"/>
          <w:sz w:val="22"/>
          <w:szCs w:val="22"/>
          <w:highlight w:val="none"/>
          <w:u w:val="single"/>
        </w:rPr>
        <w:tab/>
      </w:r>
      <w:r>
        <w:rPr>
          <w:rFonts w:ascii="宋体" w:hAnsi="宋体"/>
          <w:color w:val="auto"/>
          <w:sz w:val="22"/>
          <w:szCs w:val="22"/>
          <w:highlight w:val="none"/>
          <w:u w:val="single"/>
        </w:rPr>
        <w:tab/>
      </w:r>
      <w:r>
        <w:rPr>
          <w:rFonts w:ascii="宋体" w:hAnsi="宋体"/>
          <w:color w:val="auto"/>
          <w:sz w:val="22"/>
          <w:szCs w:val="22"/>
          <w:highlight w:val="none"/>
          <w:u w:val="single"/>
        </w:rPr>
        <w:tab/>
      </w:r>
      <w:r>
        <w:rPr>
          <w:rFonts w:ascii="宋体" w:hAnsi="宋体"/>
          <w:color w:val="auto"/>
          <w:sz w:val="22"/>
          <w:szCs w:val="22"/>
          <w:highlight w:val="none"/>
          <w:u w:val="single"/>
        </w:rPr>
        <w:tab/>
      </w:r>
      <w:r>
        <w:rPr>
          <w:rFonts w:ascii="宋体" w:hAnsi="宋体"/>
          <w:color w:val="auto"/>
          <w:sz w:val="22"/>
          <w:szCs w:val="22"/>
          <w:highlight w:val="none"/>
          <w:u w:val="single"/>
        </w:rPr>
        <w:tab/>
      </w:r>
      <w:r>
        <w:rPr>
          <w:rFonts w:ascii="宋体" w:hAnsi="宋体"/>
          <w:color w:val="auto"/>
          <w:sz w:val="22"/>
          <w:szCs w:val="22"/>
          <w:highlight w:val="none"/>
          <w:u w:val="single"/>
        </w:rPr>
        <w:tab/>
      </w:r>
    </w:p>
    <w:p w14:paraId="6B9741A9">
      <w:pPr>
        <w:spacing w:line="360" w:lineRule="auto"/>
        <w:ind w:firstLine="2970" w:firstLineChars="1350"/>
        <w:rPr>
          <w:rFonts w:ascii="宋体" w:hAnsi="宋体"/>
          <w:color w:val="auto"/>
          <w:sz w:val="22"/>
          <w:szCs w:val="22"/>
          <w:highlight w:val="none"/>
        </w:rPr>
      </w:pPr>
      <w:r>
        <w:rPr>
          <w:rFonts w:ascii="宋体" w:hAnsi="宋体"/>
          <w:color w:val="auto"/>
          <w:sz w:val="22"/>
          <w:szCs w:val="22"/>
          <w:highlight w:val="none"/>
        </w:rPr>
        <w:t>电    话：</w:t>
      </w:r>
    </w:p>
    <w:p w14:paraId="6FC40217">
      <w:pPr>
        <w:spacing w:line="360" w:lineRule="auto"/>
        <w:ind w:right="480" w:firstLine="5830" w:firstLineChars="2650"/>
        <w:rPr>
          <w:rFonts w:ascii="宋体" w:hAnsi="宋体"/>
          <w:color w:val="auto"/>
          <w:sz w:val="24"/>
          <w:highlight w:val="none"/>
        </w:rPr>
      </w:pPr>
      <w:r>
        <w:rPr>
          <w:rFonts w:ascii="宋体" w:hAnsi="宋体"/>
          <w:color w:val="auto"/>
          <w:sz w:val="22"/>
          <w:szCs w:val="22"/>
          <w:highlight w:val="none"/>
        </w:rPr>
        <w:t>年月日</w:t>
      </w:r>
    </w:p>
    <w:p w14:paraId="72D23334">
      <w:pPr>
        <w:spacing w:line="360" w:lineRule="auto"/>
        <w:rPr>
          <w:rFonts w:ascii="宋体" w:hAnsi="宋体"/>
          <w:b/>
          <w:bCs/>
          <w:iCs/>
          <w:color w:val="auto"/>
          <w:szCs w:val="21"/>
          <w:highlight w:val="none"/>
        </w:rPr>
      </w:pPr>
    </w:p>
    <w:p w14:paraId="47F1AE11">
      <w:pPr>
        <w:pStyle w:val="6"/>
        <w:rPr>
          <w:color w:val="auto"/>
          <w:highlight w:val="none"/>
        </w:rPr>
      </w:pPr>
    </w:p>
    <w:p w14:paraId="0C91B928">
      <w:pPr>
        <w:pStyle w:val="6"/>
        <w:rPr>
          <w:color w:val="auto"/>
          <w:highlight w:val="none"/>
        </w:rPr>
      </w:pPr>
    </w:p>
    <w:p w14:paraId="7EF205DF">
      <w:pPr>
        <w:pStyle w:val="6"/>
        <w:rPr>
          <w:color w:val="auto"/>
          <w:highlight w:val="none"/>
        </w:rPr>
      </w:pPr>
    </w:p>
    <w:p w14:paraId="1E2D7C4B">
      <w:pPr>
        <w:pStyle w:val="6"/>
        <w:rPr>
          <w:color w:val="auto"/>
          <w:highlight w:val="none"/>
        </w:rPr>
      </w:pPr>
    </w:p>
    <w:p w14:paraId="6B74564C">
      <w:pPr>
        <w:pStyle w:val="6"/>
        <w:rPr>
          <w:color w:val="auto"/>
          <w:highlight w:val="none"/>
        </w:rPr>
      </w:pPr>
    </w:p>
    <w:p w14:paraId="25018388">
      <w:pPr>
        <w:pStyle w:val="6"/>
        <w:rPr>
          <w:color w:val="auto"/>
          <w:highlight w:val="none"/>
        </w:rPr>
      </w:pPr>
    </w:p>
    <w:p w14:paraId="246A0F75">
      <w:pPr>
        <w:pStyle w:val="6"/>
        <w:rPr>
          <w:color w:val="auto"/>
          <w:highlight w:val="none"/>
        </w:rPr>
      </w:pPr>
    </w:p>
    <w:p w14:paraId="38829EAB">
      <w:pPr>
        <w:pStyle w:val="6"/>
        <w:rPr>
          <w:color w:val="auto"/>
          <w:highlight w:val="none"/>
        </w:rPr>
      </w:pPr>
    </w:p>
    <w:p w14:paraId="147E88BE">
      <w:pPr>
        <w:tabs>
          <w:tab w:val="left" w:pos="3480"/>
        </w:tabs>
        <w:rPr>
          <w:rFonts w:hint="eastAsia" w:cs="宋体" w:asciiTheme="majorEastAsia" w:hAnsiTheme="majorEastAsia" w:eastAsiaTheme="majorEastAsia"/>
          <w:b/>
          <w:color w:val="auto"/>
          <w:sz w:val="24"/>
          <w:highlight w:val="none"/>
        </w:rPr>
        <w:sectPr>
          <w:pgSz w:w="11906" w:h="16838"/>
          <w:pgMar w:top="1134" w:right="1134" w:bottom="1134" w:left="1134" w:header="567" w:footer="567" w:gutter="0"/>
          <w:pgNumType w:start="1"/>
          <w:cols w:space="425" w:num="1"/>
          <w:docGrid w:type="lines" w:linePitch="312" w:charSpace="0"/>
        </w:sectPr>
      </w:pPr>
    </w:p>
    <w:p w14:paraId="0AB35E65">
      <w:pPr>
        <w:tabs>
          <w:tab w:val="left" w:pos="3480"/>
        </w:tabs>
        <w:rPr>
          <w:rFonts w:cs="宋体" w:asciiTheme="majorEastAsia" w:hAnsiTheme="majorEastAsia" w:eastAsiaTheme="majorEastAsia"/>
          <w:b/>
          <w:color w:val="auto"/>
          <w:sz w:val="24"/>
          <w:highlight w:val="none"/>
        </w:rPr>
      </w:pPr>
      <w:r>
        <w:rPr>
          <w:rFonts w:hint="eastAsia" w:cs="宋体" w:asciiTheme="majorEastAsia" w:hAnsiTheme="majorEastAsia" w:eastAsiaTheme="majorEastAsia"/>
          <w:b/>
          <w:color w:val="auto"/>
          <w:sz w:val="24"/>
          <w:highlight w:val="none"/>
        </w:rPr>
        <w:t>附件三：工程质量保修书格式</w:t>
      </w:r>
    </w:p>
    <w:p w14:paraId="28274ED2">
      <w:pPr>
        <w:adjustRightInd w:val="0"/>
        <w:spacing w:line="360" w:lineRule="auto"/>
        <w:jc w:val="center"/>
        <w:rPr>
          <w:rFonts w:ascii="宋体" w:hAnsi="宋体"/>
          <w:color w:val="auto"/>
          <w:sz w:val="24"/>
          <w:highlight w:val="none"/>
        </w:rPr>
      </w:pPr>
      <w:r>
        <w:rPr>
          <w:rFonts w:hint="eastAsia" w:ascii="宋体" w:hAnsi="宋体"/>
          <w:b/>
          <w:color w:val="auto"/>
          <w:sz w:val="24"/>
          <w:highlight w:val="none"/>
        </w:rPr>
        <w:t>工程质量保修书</w:t>
      </w:r>
    </w:p>
    <w:p w14:paraId="36561CC7">
      <w:pPr>
        <w:adjustRightInd w:val="0"/>
        <w:spacing w:line="480" w:lineRule="auto"/>
        <w:rPr>
          <w:rFonts w:ascii="宋体" w:hAnsi="宋体"/>
          <w:color w:val="auto"/>
          <w:sz w:val="22"/>
          <w:szCs w:val="21"/>
          <w:highlight w:val="none"/>
        </w:rPr>
      </w:pPr>
      <w:r>
        <w:rPr>
          <w:rFonts w:hint="eastAsia" w:ascii="宋体" w:hAnsi="宋体"/>
          <w:color w:val="auto"/>
          <w:sz w:val="22"/>
          <w:szCs w:val="21"/>
          <w:highlight w:val="none"/>
        </w:rPr>
        <w:t>发包人：(全称)</w:t>
      </w:r>
    </w:p>
    <w:p w14:paraId="0FB59A56">
      <w:pPr>
        <w:adjustRightInd w:val="0"/>
        <w:spacing w:line="480" w:lineRule="auto"/>
        <w:rPr>
          <w:rFonts w:ascii="宋体" w:hAnsi="宋体"/>
          <w:color w:val="auto"/>
          <w:sz w:val="22"/>
          <w:szCs w:val="21"/>
          <w:highlight w:val="none"/>
        </w:rPr>
      </w:pPr>
      <w:r>
        <w:rPr>
          <w:rFonts w:hint="eastAsia" w:ascii="宋体" w:hAnsi="宋体"/>
          <w:color w:val="auto"/>
          <w:sz w:val="22"/>
          <w:szCs w:val="21"/>
          <w:highlight w:val="none"/>
        </w:rPr>
        <w:t>承包人（或联合体成员）：</w:t>
      </w:r>
      <w:r>
        <w:rPr>
          <w:rFonts w:hint="eastAsia" w:ascii="宋体" w:hAnsi="宋体"/>
          <w:color w:val="auto"/>
          <w:sz w:val="22"/>
          <w:szCs w:val="21"/>
          <w:highlight w:val="none"/>
          <w:u w:val="single"/>
        </w:rPr>
        <w:t xml:space="preserve">                </w:t>
      </w:r>
      <w:r>
        <w:rPr>
          <w:rFonts w:hint="eastAsia" w:ascii="宋体" w:hAnsi="宋体"/>
          <w:color w:val="auto"/>
          <w:sz w:val="22"/>
          <w:szCs w:val="21"/>
          <w:highlight w:val="none"/>
        </w:rPr>
        <w:t>(全称)</w:t>
      </w:r>
    </w:p>
    <w:p w14:paraId="2BB65DC6">
      <w:pPr>
        <w:adjustRightInd w:val="0"/>
        <w:spacing w:line="480" w:lineRule="auto"/>
        <w:ind w:firstLine="440" w:firstLineChars="200"/>
        <w:rPr>
          <w:rFonts w:ascii="宋体" w:hAnsi="宋体"/>
          <w:color w:val="auto"/>
          <w:sz w:val="22"/>
          <w:szCs w:val="21"/>
          <w:highlight w:val="none"/>
        </w:rPr>
      </w:pPr>
      <w:r>
        <w:rPr>
          <w:rFonts w:hint="eastAsia" w:ascii="宋体" w:hAnsi="宋体"/>
          <w:color w:val="auto"/>
          <w:sz w:val="22"/>
          <w:szCs w:val="21"/>
          <w:highlight w:val="none"/>
        </w:rPr>
        <w:t>为保证项目在合理使用期限内正常使用，合同双方当事人根据《中华人民共和国建筑法》、《建设工程质量管理条例》，经协商一致，订立本质量保修书。</w:t>
      </w:r>
    </w:p>
    <w:p w14:paraId="50D5CAC4">
      <w:pPr>
        <w:adjustRightInd w:val="0"/>
        <w:spacing w:line="480" w:lineRule="auto"/>
        <w:ind w:firstLine="440" w:firstLineChars="200"/>
        <w:rPr>
          <w:rFonts w:ascii="宋体" w:hAnsi="宋体"/>
          <w:color w:val="auto"/>
          <w:sz w:val="22"/>
          <w:szCs w:val="21"/>
          <w:highlight w:val="none"/>
        </w:rPr>
      </w:pPr>
      <w:r>
        <w:rPr>
          <w:rFonts w:hint="eastAsia" w:ascii="宋体" w:hAnsi="宋体"/>
          <w:color w:val="auto"/>
          <w:sz w:val="22"/>
          <w:szCs w:val="21"/>
          <w:highlight w:val="none"/>
        </w:rPr>
        <w:t>1．质量保修范围</w:t>
      </w:r>
    </w:p>
    <w:p w14:paraId="1AA602CF">
      <w:pPr>
        <w:adjustRightInd w:val="0"/>
        <w:spacing w:line="480" w:lineRule="auto"/>
        <w:ind w:firstLine="440" w:firstLineChars="200"/>
        <w:rPr>
          <w:rFonts w:ascii="宋体" w:hAnsi="宋体"/>
          <w:color w:val="auto"/>
          <w:sz w:val="22"/>
          <w:szCs w:val="21"/>
          <w:highlight w:val="none"/>
        </w:rPr>
      </w:pPr>
      <w:r>
        <w:rPr>
          <w:rFonts w:hint="eastAsia" w:ascii="宋体" w:hAnsi="宋体"/>
          <w:color w:val="auto"/>
          <w:sz w:val="22"/>
          <w:szCs w:val="21"/>
          <w:highlight w:val="none"/>
        </w:rPr>
        <w:t>质量保修范围：永久工程。</w:t>
      </w:r>
    </w:p>
    <w:p w14:paraId="21EAC557">
      <w:pPr>
        <w:adjustRightInd w:val="0"/>
        <w:spacing w:line="480" w:lineRule="auto"/>
        <w:ind w:firstLine="440" w:firstLineChars="200"/>
        <w:rPr>
          <w:rFonts w:ascii="宋体" w:hAnsi="宋体"/>
          <w:color w:val="auto"/>
          <w:sz w:val="22"/>
          <w:szCs w:val="21"/>
          <w:highlight w:val="none"/>
        </w:rPr>
      </w:pPr>
      <w:r>
        <w:rPr>
          <w:rFonts w:hint="eastAsia" w:ascii="宋体" w:hAnsi="宋体"/>
          <w:color w:val="auto"/>
          <w:sz w:val="22"/>
          <w:szCs w:val="21"/>
          <w:highlight w:val="none"/>
        </w:rPr>
        <w:t>2．质量保修期</w:t>
      </w:r>
    </w:p>
    <w:p w14:paraId="5102ABB7">
      <w:pPr>
        <w:spacing w:line="480" w:lineRule="auto"/>
        <w:ind w:firstLine="495" w:firstLineChars="225"/>
        <w:rPr>
          <w:rFonts w:ascii="宋体" w:hAnsi="宋体"/>
          <w:color w:val="auto"/>
          <w:sz w:val="22"/>
          <w:szCs w:val="21"/>
          <w:highlight w:val="none"/>
        </w:rPr>
      </w:pPr>
      <w:r>
        <w:rPr>
          <w:rFonts w:hint="eastAsia" w:ascii="宋体" w:hAnsi="宋体"/>
          <w:color w:val="auto"/>
          <w:sz w:val="22"/>
          <w:szCs w:val="21"/>
          <w:highlight w:val="none"/>
        </w:rPr>
        <w:t>保修期</w:t>
      </w:r>
      <w:r>
        <w:rPr>
          <w:rFonts w:hint="eastAsia" w:ascii="宋体" w:hAnsi="宋体"/>
          <w:color w:val="auto"/>
          <w:sz w:val="22"/>
          <w:szCs w:val="21"/>
          <w:highlight w:val="none"/>
          <w:u w:val="single"/>
        </w:rPr>
        <w:t xml:space="preserve">  </w:t>
      </w:r>
      <w:r>
        <w:rPr>
          <w:rFonts w:hint="eastAsia" w:ascii="宋体" w:hAnsi="宋体"/>
          <w:color w:val="auto"/>
          <w:sz w:val="22"/>
          <w:szCs w:val="21"/>
          <w:highlight w:val="none"/>
          <w:u w:val="single"/>
          <w:lang w:val="en-US" w:eastAsia="zh-CN"/>
        </w:rPr>
        <w:t>贰</w:t>
      </w:r>
      <w:r>
        <w:rPr>
          <w:rFonts w:hint="eastAsia" w:ascii="宋体" w:hAnsi="宋体"/>
          <w:color w:val="auto"/>
          <w:sz w:val="22"/>
          <w:szCs w:val="21"/>
          <w:highlight w:val="none"/>
          <w:u w:val="single"/>
        </w:rPr>
        <w:t xml:space="preserve">  </w:t>
      </w:r>
      <w:r>
        <w:rPr>
          <w:rFonts w:hint="eastAsia" w:ascii="宋体" w:hAnsi="宋体"/>
          <w:color w:val="auto"/>
          <w:sz w:val="22"/>
          <w:szCs w:val="21"/>
          <w:highlight w:val="none"/>
        </w:rPr>
        <w:t>年，保修期自通过单位工程验收之日起计算。</w:t>
      </w:r>
    </w:p>
    <w:p w14:paraId="36211734">
      <w:pPr>
        <w:adjustRightInd w:val="0"/>
        <w:spacing w:line="480" w:lineRule="auto"/>
        <w:ind w:firstLine="440" w:firstLineChars="200"/>
        <w:rPr>
          <w:rFonts w:ascii="宋体" w:hAnsi="宋体"/>
          <w:color w:val="auto"/>
          <w:sz w:val="22"/>
          <w:szCs w:val="21"/>
          <w:highlight w:val="none"/>
        </w:rPr>
      </w:pPr>
      <w:r>
        <w:rPr>
          <w:rFonts w:hint="eastAsia" w:ascii="宋体" w:hAnsi="宋体"/>
          <w:color w:val="auto"/>
          <w:sz w:val="22"/>
          <w:szCs w:val="21"/>
          <w:highlight w:val="none"/>
        </w:rPr>
        <w:t>3．质量保修责任</w:t>
      </w:r>
    </w:p>
    <w:p w14:paraId="33229A4C">
      <w:pPr>
        <w:adjustRightInd w:val="0"/>
        <w:spacing w:line="480" w:lineRule="auto"/>
        <w:ind w:firstLine="440" w:firstLineChars="200"/>
        <w:rPr>
          <w:rFonts w:ascii="宋体" w:hAnsi="宋体"/>
          <w:color w:val="auto"/>
          <w:sz w:val="22"/>
          <w:szCs w:val="21"/>
          <w:highlight w:val="none"/>
        </w:rPr>
      </w:pPr>
      <w:r>
        <w:rPr>
          <w:rFonts w:hint="eastAsia" w:ascii="宋体" w:hAnsi="宋体"/>
          <w:color w:val="auto"/>
          <w:sz w:val="22"/>
          <w:szCs w:val="21"/>
          <w:highlight w:val="none"/>
        </w:rPr>
        <w:t>3.1 属于保修范围的项目，承包人应在接到通知后的7天内派人保修。承包人不在约定期限内派人保修，发包人可自行或指派第三方保修，所需费用由承包人负责。</w:t>
      </w:r>
    </w:p>
    <w:p w14:paraId="75EA0189">
      <w:pPr>
        <w:adjustRightInd w:val="0"/>
        <w:spacing w:line="480" w:lineRule="auto"/>
        <w:ind w:firstLine="440" w:firstLineChars="200"/>
        <w:rPr>
          <w:rFonts w:ascii="宋体" w:hAnsi="宋体"/>
          <w:color w:val="auto"/>
          <w:sz w:val="22"/>
          <w:szCs w:val="21"/>
          <w:highlight w:val="none"/>
        </w:rPr>
      </w:pPr>
      <w:r>
        <w:rPr>
          <w:rFonts w:hint="eastAsia" w:ascii="宋体" w:hAnsi="宋体"/>
          <w:color w:val="auto"/>
          <w:sz w:val="22"/>
          <w:szCs w:val="21"/>
          <w:highlight w:val="none"/>
        </w:rPr>
        <w:t>3.2 发生紧急抢修事故的，承包人在接到通知后，应立即到达事故现场抢修。</w:t>
      </w:r>
    </w:p>
    <w:p w14:paraId="764758B5">
      <w:pPr>
        <w:adjustRightInd w:val="0"/>
        <w:spacing w:line="480" w:lineRule="auto"/>
        <w:ind w:firstLine="440" w:firstLineChars="200"/>
        <w:rPr>
          <w:rFonts w:ascii="宋体" w:hAnsi="宋体"/>
          <w:color w:val="auto"/>
          <w:sz w:val="22"/>
          <w:szCs w:val="21"/>
          <w:highlight w:val="none"/>
        </w:rPr>
      </w:pPr>
      <w:r>
        <w:rPr>
          <w:rFonts w:hint="eastAsia" w:ascii="宋体" w:hAnsi="宋体"/>
          <w:color w:val="auto"/>
          <w:sz w:val="22"/>
          <w:szCs w:val="21"/>
          <w:highlight w:val="none"/>
        </w:rPr>
        <w:t>3.3 在国家规定的工程合理使用期限内，承包人应确保地基基础工程和主体结构的安全和质量。凡出现其质量问题，应立即报告当地建设行政主管部门，由设计单位提出保修方案，承包人应立即实施保修。</w:t>
      </w:r>
    </w:p>
    <w:p w14:paraId="39D8A2B7">
      <w:pPr>
        <w:adjustRightInd w:val="0"/>
        <w:spacing w:line="480" w:lineRule="auto"/>
        <w:ind w:firstLine="440" w:firstLineChars="200"/>
        <w:rPr>
          <w:rFonts w:ascii="宋体" w:hAnsi="宋体"/>
          <w:color w:val="auto"/>
          <w:sz w:val="22"/>
          <w:szCs w:val="21"/>
          <w:highlight w:val="none"/>
        </w:rPr>
      </w:pPr>
      <w:r>
        <w:rPr>
          <w:rFonts w:hint="eastAsia" w:ascii="宋体" w:hAnsi="宋体"/>
          <w:color w:val="auto"/>
          <w:sz w:val="22"/>
          <w:szCs w:val="21"/>
          <w:highlight w:val="none"/>
        </w:rPr>
        <w:t>3.4 质量保修完成后，由发包人组织验收。</w:t>
      </w:r>
    </w:p>
    <w:p w14:paraId="43D488C5">
      <w:pPr>
        <w:adjustRightInd w:val="0"/>
        <w:spacing w:line="480" w:lineRule="auto"/>
        <w:ind w:firstLine="440" w:firstLineChars="200"/>
        <w:rPr>
          <w:rFonts w:ascii="宋体" w:hAnsi="宋体"/>
          <w:color w:val="auto"/>
          <w:sz w:val="22"/>
          <w:szCs w:val="21"/>
          <w:highlight w:val="none"/>
        </w:rPr>
      </w:pPr>
      <w:r>
        <w:rPr>
          <w:rFonts w:hint="eastAsia" w:ascii="宋体" w:hAnsi="宋体"/>
          <w:color w:val="auto"/>
          <w:sz w:val="22"/>
          <w:szCs w:val="21"/>
          <w:highlight w:val="none"/>
        </w:rPr>
        <w:t>4．质量保修费用</w:t>
      </w:r>
    </w:p>
    <w:p w14:paraId="6888373F">
      <w:pPr>
        <w:adjustRightInd w:val="0"/>
        <w:spacing w:line="480" w:lineRule="auto"/>
        <w:ind w:firstLine="440" w:firstLineChars="200"/>
        <w:rPr>
          <w:rFonts w:ascii="宋体" w:hAnsi="宋体"/>
          <w:color w:val="auto"/>
          <w:sz w:val="22"/>
          <w:szCs w:val="21"/>
          <w:highlight w:val="none"/>
        </w:rPr>
      </w:pPr>
      <w:r>
        <w:rPr>
          <w:rFonts w:hint="eastAsia" w:ascii="宋体" w:hAnsi="宋体"/>
          <w:color w:val="auto"/>
          <w:sz w:val="22"/>
          <w:szCs w:val="21"/>
          <w:highlight w:val="none"/>
        </w:rPr>
        <w:t>质量保修费用及相关的损害赔偿费，由造成质量缺陷的责任方承担。</w:t>
      </w:r>
    </w:p>
    <w:p w14:paraId="32E8AB5D">
      <w:pPr>
        <w:adjustRightInd w:val="0"/>
        <w:spacing w:line="480" w:lineRule="auto"/>
        <w:ind w:firstLine="440" w:firstLineChars="200"/>
        <w:rPr>
          <w:rFonts w:ascii="宋体" w:hAnsi="宋体"/>
          <w:color w:val="auto"/>
          <w:sz w:val="22"/>
          <w:szCs w:val="21"/>
          <w:highlight w:val="none"/>
        </w:rPr>
      </w:pPr>
      <w:r>
        <w:rPr>
          <w:rFonts w:hint="eastAsia" w:ascii="宋体" w:hAnsi="宋体"/>
          <w:color w:val="auto"/>
          <w:sz w:val="22"/>
          <w:szCs w:val="21"/>
          <w:highlight w:val="none"/>
        </w:rPr>
        <w:t>5．质量保证金</w:t>
      </w:r>
    </w:p>
    <w:p w14:paraId="4F2BF396">
      <w:pPr>
        <w:adjustRightInd w:val="0"/>
        <w:spacing w:line="480" w:lineRule="auto"/>
        <w:ind w:firstLine="440" w:firstLineChars="200"/>
        <w:rPr>
          <w:rFonts w:ascii="宋体" w:hAnsi="宋体"/>
          <w:color w:val="auto"/>
          <w:sz w:val="22"/>
          <w:szCs w:val="21"/>
          <w:highlight w:val="none"/>
        </w:rPr>
      </w:pPr>
      <w:r>
        <w:rPr>
          <w:rFonts w:hint="eastAsia" w:ascii="宋体" w:hAnsi="宋体"/>
          <w:color w:val="auto"/>
          <w:sz w:val="22"/>
          <w:szCs w:val="21"/>
          <w:highlight w:val="none"/>
        </w:rPr>
        <w:t>本工程保留完工结算价的3%工程尾款作为质量保证金，质保金在保修期满后1个月内办理支付手续；但承包人必须按本保修书履行保修期未完的责任，否则，发包人将以法律方式对承包人提出赔偿。</w:t>
      </w:r>
    </w:p>
    <w:p w14:paraId="3ED96151">
      <w:pPr>
        <w:adjustRightInd w:val="0"/>
        <w:spacing w:line="480" w:lineRule="auto"/>
        <w:ind w:firstLine="440" w:firstLineChars="200"/>
        <w:rPr>
          <w:rFonts w:ascii="宋体" w:hAnsi="宋体"/>
          <w:color w:val="auto"/>
          <w:sz w:val="22"/>
          <w:szCs w:val="21"/>
          <w:highlight w:val="none"/>
        </w:rPr>
      </w:pPr>
      <w:r>
        <w:rPr>
          <w:rFonts w:hint="eastAsia" w:ascii="宋体" w:hAnsi="宋体"/>
          <w:color w:val="auto"/>
          <w:sz w:val="22"/>
          <w:szCs w:val="21"/>
          <w:highlight w:val="none"/>
        </w:rPr>
        <w:t>6．其他</w:t>
      </w:r>
    </w:p>
    <w:p w14:paraId="76F98E9D">
      <w:pPr>
        <w:adjustRightInd w:val="0"/>
        <w:spacing w:line="480" w:lineRule="auto"/>
        <w:ind w:firstLine="440" w:firstLineChars="200"/>
        <w:rPr>
          <w:rFonts w:ascii="宋体" w:hAnsi="宋体"/>
          <w:color w:val="auto"/>
          <w:sz w:val="22"/>
          <w:szCs w:val="21"/>
          <w:highlight w:val="none"/>
        </w:rPr>
      </w:pPr>
      <w:r>
        <w:rPr>
          <w:rFonts w:hint="eastAsia" w:ascii="宋体" w:hAnsi="宋体"/>
          <w:color w:val="auto"/>
          <w:sz w:val="22"/>
          <w:szCs w:val="21"/>
          <w:highlight w:val="none"/>
        </w:rPr>
        <w:t>6.1 合同双方当事人约定的其他质量保修事项：</w:t>
      </w:r>
    </w:p>
    <w:p w14:paraId="08D7ACC7">
      <w:pPr>
        <w:adjustRightInd w:val="0"/>
        <w:spacing w:line="480" w:lineRule="auto"/>
        <w:ind w:firstLine="440" w:firstLineChars="200"/>
        <w:rPr>
          <w:rFonts w:ascii="宋体" w:hAnsi="宋体"/>
          <w:color w:val="auto"/>
          <w:sz w:val="22"/>
          <w:szCs w:val="21"/>
          <w:highlight w:val="none"/>
        </w:rPr>
      </w:pPr>
      <w:r>
        <w:rPr>
          <w:rFonts w:hint="eastAsia" w:ascii="宋体" w:hAnsi="宋体"/>
          <w:color w:val="auto"/>
          <w:sz w:val="22"/>
          <w:szCs w:val="21"/>
          <w:highlight w:val="none"/>
        </w:rPr>
        <w:t>6.2 本质量保修书，由合同双方当事人在承包人向发包人提交竣工验收申请报告时签署，作为本合同的附件。</w:t>
      </w:r>
    </w:p>
    <w:p w14:paraId="7A82E213">
      <w:pPr>
        <w:adjustRightInd w:val="0"/>
        <w:spacing w:line="480" w:lineRule="auto"/>
        <w:ind w:firstLine="440" w:firstLineChars="200"/>
        <w:rPr>
          <w:rFonts w:ascii="宋体" w:hAnsi="宋体"/>
          <w:color w:val="auto"/>
          <w:sz w:val="22"/>
          <w:szCs w:val="21"/>
          <w:highlight w:val="none"/>
        </w:rPr>
      </w:pPr>
      <w:r>
        <w:rPr>
          <w:rFonts w:hint="eastAsia" w:ascii="宋体" w:hAnsi="宋体"/>
          <w:color w:val="auto"/>
          <w:sz w:val="22"/>
          <w:szCs w:val="21"/>
          <w:highlight w:val="none"/>
        </w:rPr>
        <w:t>6.3 本质量保修书，自双方当事人签署之日起生效，至质量保修期满后失效。</w:t>
      </w:r>
    </w:p>
    <w:p w14:paraId="4B10975E">
      <w:pPr>
        <w:adjustRightInd w:val="0"/>
        <w:spacing w:line="480" w:lineRule="auto"/>
        <w:ind w:firstLine="440" w:firstLineChars="200"/>
        <w:rPr>
          <w:rFonts w:ascii="宋体" w:hAnsi="宋体"/>
          <w:color w:val="auto"/>
          <w:sz w:val="22"/>
          <w:szCs w:val="21"/>
          <w:highlight w:val="none"/>
        </w:rPr>
      </w:pPr>
    </w:p>
    <w:p w14:paraId="7EAD3143">
      <w:pPr>
        <w:adjustRightInd w:val="0"/>
        <w:spacing w:line="480" w:lineRule="auto"/>
        <w:ind w:firstLine="440" w:firstLineChars="200"/>
        <w:rPr>
          <w:rFonts w:ascii="宋体" w:hAnsi="宋体"/>
          <w:color w:val="auto"/>
          <w:sz w:val="22"/>
          <w:szCs w:val="21"/>
          <w:highlight w:val="none"/>
        </w:rPr>
      </w:pPr>
      <w:r>
        <w:rPr>
          <w:rFonts w:hint="eastAsia" w:ascii="宋体" w:hAnsi="宋体"/>
          <w:color w:val="auto"/>
          <w:sz w:val="22"/>
          <w:szCs w:val="21"/>
          <w:highlight w:val="none"/>
        </w:rPr>
        <w:t>发 包 人：(公章)                  承 包 人：(公章)</w:t>
      </w:r>
    </w:p>
    <w:p w14:paraId="6149DB09">
      <w:pPr>
        <w:adjustRightInd w:val="0"/>
        <w:spacing w:line="480" w:lineRule="auto"/>
        <w:ind w:firstLine="440" w:firstLineChars="200"/>
        <w:rPr>
          <w:rFonts w:ascii="宋体" w:hAnsi="宋体"/>
          <w:color w:val="auto"/>
          <w:sz w:val="22"/>
          <w:szCs w:val="21"/>
          <w:highlight w:val="none"/>
        </w:rPr>
      </w:pPr>
      <w:r>
        <w:rPr>
          <w:rFonts w:hint="eastAsia" w:ascii="宋体" w:hAnsi="宋体"/>
          <w:color w:val="auto"/>
          <w:sz w:val="22"/>
          <w:szCs w:val="21"/>
          <w:highlight w:val="none"/>
        </w:rPr>
        <w:t>法定代表人：(签字)                法定代表人：(签字)</w:t>
      </w:r>
    </w:p>
    <w:p w14:paraId="601BC434">
      <w:pPr>
        <w:adjustRightInd w:val="0"/>
        <w:spacing w:line="480" w:lineRule="auto"/>
        <w:ind w:firstLine="440" w:firstLineChars="200"/>
        <w:jc w:val="left"/>
        <w:rPr>
          <w:rFonts w:ascii="宋体" w:hAnsi="宋体"/>
          <w:color w:val="auto"/>
          <w:sz w:val="22"/>
          <w:szCs w:val="21"/>
          <w:highlight w:val="none"/>
        </w:rPr>
      </w:pPr>
      <w:r>
        <w:rPr>
          <w:rFonts w:hint="eastAsia" w:ascii="宋体" w:hAnsi="宋体"/>
          <w:color w:val="auto"/>
          <w:sz w:val="22"/>
          <w:szCs w:val="21"/>
          <w:highlight w:val="none"/>
        </w:rPr>
        <w:t>经办人：（签字）                   经办人：（签字）</w:t>
      </w:r>
    </w:p>
    <w:p w14:paraId="4A76493B">
      <w:pPr>
        <w:adjustRightInd w:val="0"/>
        <w:spacing w:line="480" w:lineRule="auto"/>
        <w:ind w:firstLine="440" w:firstLineChars="200"/>
        <w:jc w:val="left"/>
        <w:rPr>
          <w:rFonts w:ascii="宋体" w:hAnsi="宋体"/>
          <w:color w:val="auto"/>
          <w:sz w:val="22"/>
          <w:szCs w:val="21"/>
          <w:highlight w:val="none"/>
        </w:rPr>
      </w:pPr>
    </w:p>
    <w:p w14:paraId="22D27A7C">
      <w:pPr>
        <w:adjustRightInd w:val="0"/>
        <w:spacing w:line="480" w:lineRule="auto"/>
        <w:ind w:firstLine="1100" w:firstLineChars="500"/>
        <w:rPr>
          <w:rFonts w:ascii="宋体" w:hAnsi="宋体"/>
          <w:color w:val="auto"/>
          <w:sz w:val="24"/>
          <w:highlight w:val="none"/>
        </w:rPr>
      </w:pPr>
      <w:r>
        <w:rPr>
          <w:rFonts w:hint="eastAsia" w:ascii="宋体" w:hAnsi="宋体"/>
          <w:color w:val="auto"/>
          <w:sz w:val="22"/>
          <w:szCs w:val="21"/>
          <w:highlight w:val="none"/>
        </w:rPr>
        <w:t xml:space="preserve"> 年  月  日                   年  月  日</w:t>
      </w:r>
    </w:p>
    <w:p w14:paraId="090416FD">
      <w:pPr>
        <w:spacing w:line="360" w:lineRule="auto"/>
        <w:rPr>
          <w:rFonts w:hAnsi="宋体"/>
          <w:color w:val="auto"/>
          <w:szCs w:val="24"/>
          <w:highlight w:val="none"/>
        </w:rPr>
      </w:pPr>
      <w:r>
        <w:rPr>
          <w:rFonts w:hAnsi="宋体"/>
          <w:color w:val="auto"/>
          <w:highlight w:val="none"/>
        </w:rPr>
        <w:br w:type="page"/>
      </w:r>
      <w:r>
        <w:rPr>
          <w:rFonts w:hint="eastAsia" w:cs="宋体" w:asciiTheme="majorEastAsia" w:hAnsiTheme="majorEastAsia" w:eastAsiaTheme="majorEastAsia"/>
          <w:b/>
          <w:color w:val="auto"/>
          <w:sz w:val="24"/>
          <w:highlight w:val="none"/>
        </w:rPr>
        <w:t>附件四：工程建设项目廉政责任书</w:t>
      </w:r>
    </w:p>
    <w:p w14:paraId="57E5B453">
      <w:pPr>
        <w:keepNext w:val="0"/>
        <w:keepLines w:val="0"/>
        <w:pageBreakBefore w:val="0"/>
        <w:widowControl w:val="0"/>
        <w:kinsoku/>
        <w:wordWrap/>
        <w:overflowPunct/>
        <w:topLinePunct w:val="0"/>
        <w:bidi w:val="0"/>
        <w:snapToGrid/>
        <w:spacing w:line="360" w:lineRule="auto"/>
        <w:ind w:left="0" w:right="0" w:rightChars="0" w:firstLine="422" w:firstLineChars="200"/>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新丰县水利工程建设廉政责任书</w:t>
      </w:r>
    </w:p>
    <w:p w14:paraId="467DF512">
      <w:pPr>
        <w:keepNext w:val="0"/>
        <w:keepLines w:val="0"/>
        <w:pageBreakBefore w:val="0"/>
        <w:widowControl w:val="0"/>
        <w:kinsoku/>
        <w:wordWrap/>
        <w:overflowPunct/>
        <w:topLinePunct w:val="0"/>
        <w:bidi w:val="0"/>
        <w:snapToGrid/>
        <w:spacing w:line="360" w:lineRule="auto"/>
        <w:ind w:left="0" w:right="0" w:rightChars="0" w:firstLine="422" w:firstLineChars="200"/>
        <w:rPr>
          <w:rFonts w:hint="eastAsia" w:ascii="宋体" w:hAnsi="宋体" w:eastAsia="宋体" w:cs="宋体"/>
          <w:b/>
          <w:color w:val="auto"/>
          <w:sz w:val="21"/>
          <w:szCs w:val="21"/>
          <w:highlight w:val="none"/>
        </w:rPr>
      </w:pPr>
    </w:p>
    <w:p w14:paraId="0B79E079">
      <w:pPr>
        <w:keepNext w:val="0"/>
        <w:keepLines w:val="0"/>
        <w:pageBreakBefore w:val="0"/>
        <w:widowControl w:val="0"/>
        <w:kinsoku/>
        <w:wordWrap/>
        <w:overflowPunct/>
        <w:topLinePunct w:val="0"/>
        <w:bidi w:val="0"/>
        <w:snapToGrid/>
        <w:spacing w:line="360" w:lineRule="auto"/>
        <w:ind w:left="0" w:right="0" w:righ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工程项目名称：</w:t>
      </w:r>
    </w:p>
    <w:p w14:paraId="627D5752">
      <w:pPr>
        <w:keepNext w:val="0"/>
        <w:keepLines w:val="0"/>
        <w:pageBreakBefore w:val="0"/>
        <w:widowControl w:val="0"/>
        <w:kinsoku/>
        <w:wordWrap/>
        <w:overflowPunct/>
        <w:topLinePunct w:val="0"/>
        <w:bidi w:val="0"/>
        <w:snapToGrid/>
        <w:spacing w:line="360" w:lineRule="auto"/>
        <w:ind w:left="0" w:right="0" w:righ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工程项目地址：</w:t>
      </w:r>
    </w:p>
    <w:p w14:paraId="0BF8D704">
      <w:pPr>
        <w:keepNext w:val="0"/>
        <w:keepLines w:val="0"/>
        <w:pageBreakBefore w:val="0"/>
        <w:widowControl w:val="0"/>
        <w:kinsoku/>
        <w:wordWrap/>
        <w:overflowPunct/>
        <w:topLinePunct w:val="0"/>
        <w:bidi w:val="0"/>
        <w:snapToGrid/>
        <w:spacing w:line="360" w:lineRule="auto"/>
        <w:ind w:left="0" w:right="0" w:righ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建设单位（甲方）：</w:t>
      </w:r>
    </w:p>
    <w:p w14:paraId="3CE1A79F">
      <w:pPr>
        <w:keepNext w:val="0"/>
        <w:keepLines w:val="0"/>
        <w:pageBreakBefore w:val="0"/>
        <w:widowControl w:val="0"/>
        <w:kinsoku/>
        <w:wordWrap/>
        <w:overflowPunct/>
        <w:topLinePunct w:val="0"/>
        <w:bidi w:val="0"/>
        <w:snapToGrid/>
        <w:spacing w:line="360" w:lineRule="auto"/>
        <w:ind w:left="0" w:right="0" w:righ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承包单位（乙方）：</w:t>
      </w:r>
    </w:p>
    <w:p w14:paraId="2A828EF0">
      <w:pPr>
        <w:keepNext w:val="0"/>
        <w:keepLines w:val="0"/>
        <w:pageBreakBefore w:val="0"/>
        <w:widowControl w:val="0"/>
        <w:kinsoku/>
        <w:wordWrap/>
        <w:overflowPunct/>
        <w:topLinePunct w:val="0"/>
        <w:bidi w:val="0"/>
        <w:snapToGrid/>
        <w:spacing w:line="360" w:lineRule="auto"/>
        <w:ind w:left="0" w:right="0" w:righ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监督单位：</w:t>
      </w:r>
    </w:p>
    <w:p w14:paraId="02601636">
      <w:pPr>
        <w:keepNext w:val="0"/>
        <w:keepLines w:val="0"/>
        <w:pageBreakBefore w:val="0"/>
        <w:widowControl w:val="0"/>
        <w:kinsoku/>
        <w:wordWrap/>
        <w:overflowPunct/>
        <w:topLinePunct w:val="0"/>
        <w:bidi w:val="0"/>
        <w:snapToGrid/>
        <w:spacing w:line="360" w:lineRule="auto"/>
        <w:ind w:left="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第一条　甲乙双方的责任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(一)、应严格遵守国家关于市场准入、项目招标投标、工程建设、施工安装和市场活动等有关法律、法规、相关政策，以及廉政建设的各项规定。</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(二)、严格执行建设工程项目承发包合同文件，自觉按合同办事。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(三)、业务活动必须坚持公开、公平、公正、诚信、透明的原则(除法律法规另有规定者外，不得为获取不正当的利益，损害国家、集体和对方利益，不得违反工程建设管理、施工安装的规章制度。</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(四)、发现对方在业务活动中有违规、违纪，违法行为的，应及时提醒对方，情节严重的，应向其上级主管部门或纪检监察，司法等有关机关举报。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第二条　甲方的责任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甲方的领导和从事该建设工程项目的工作人员，在工程建设的事前，事中，事后应遵守以下规定:</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(一)、不准向乙方和相关单位索要或接受回扣、礼金、有价证券、贵重物品和好处费、感谢费等。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(二)、不准在乙方和相关单位报销任何应由甲方或个人支付的费用。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(三)、不准要求、暗示和接受乙方和相关单位为个人装修住房、婚丧嫁娶、配偶子女的工作安排以及出国(境)、旅游等提供方便。</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(四)、不准参加有可能影响公正执行公务的乙方和相关单位的宴请和健身、娱乐等活动。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五)、不准向乙方介绍或为配偶、子女、亲属参与同甲方项目工程施工合同有关的设备、材料、工程分包、劳务等经济活动。不得以任何理由向乙方和相关单位推荐分包单位和要求乙方购买项目工程合同规定以外的材料，设备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第三条　乙方的责任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应与甲方保持正常的业务交往，按照有关法律法规和程序开展业务工作，严格执行工程建设的有关方针、政策，尤其是有关建筑施工安装的强制性标准和规范，并遵守以下规定:</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(一)、不准以任何理由向甲方、相关单位及其工作人员索要、接受或赠送礼金、有价证券、贵重物品和回扣、好处费、感谢费等。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(二)、不准以任何理由为甲方和相关单位报销应由对方或个人支付的费用。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(三)、不准接受或暗示为甲方、相关单位或个人装修住房、婚丧嫁娶、配偶子女的工作安排以及出国(境)、旅游等提供方便。</w:t>
      </w:r>
    </w:p>
    <w:p w14:paraId="31E26DA8">
      <w:pPr>
        <w:keepNext w:val="0"/>
        <w:keepLines w:val="0"/>
        <w:pageBreakBefore w:val="0"/>
        <w:widowControl w:val="0"/>
        <w:numPr>
          <w:ilvl w:val="0"/>
          <w:numId w:val="0"/>
        </w:numPr>
        <w:kinsoku/>
        <w:wordWrap/>
        <w:overflowPunct/>
        <w:topLinePunct w:val="0"/>
        <w:bidi w:val="0"/>
        <w:snapToGrid/>
        <w:spacing w:line="360" w:lineRule="auto"/>
        <w:ind w:left="0" w:leftChars="0" w:right="0" w:rightChars="0" w:firstLine="372" w:firstLineChars="200"/>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kern w:val="2"/>
          <w:sz w:val="21"/>
          <w:szCs w:val="21"/>
          <w:lang w:val="en-US" w:eastAsia="zh-CN" w:bidi="ar-SA"/>
        </w:rPr>
        <w:t>(四)</w:t>
      </w:r>
      <w:r>
        <w:rPr>
          <w:rFonts w:hint="eastAsia" w:ascii="宋体" w:hAnsi="宋体" w:eastAsia="宋体" w:cs="宋体"/>
          <w:color w:val="auto"/>
          <w:sz w:val="21"/>
          <w:szCs w:val="21"/>
          <w:highlight w:val="none"/>
        </w:rPr>
        <w:t>、不准以任何理由为甲方、相关单位或个人组织有可能影响公正执行公务的宴请、健身、娱乐等活动。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第四条　违约责任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一)、甲方工作人员有违反本责任书第一、二条责任行为的，按照管理权限，依据有关法律法规和规定给予党纪、政纪处分或组织处理；涉嫌犯罪的，移交司法机关追究刑事责任；给乙方单位造成经济损失的，应予以赔偿。</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二)、乙方工作人员有违反本责任书第一、三条责任行为的，按照管理权限，依据有关法律法规和规定给予党纪、政纪处分或组织处理；涉嫌犯罪的，移交司法机关追究刑事责任；给甲方单位造成经济损失的，应予以赔偿。</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第五条　本责任书作为工程合同的附件，与工程合同具有同等法律效力。经双方签署后立即生效。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第六条　本责任书的有效期为双方签署之日起至该工程项目竣工验收合格时止。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w:t>
      </w:r>
      <w:r>
        <w:rPr>
          <w:rFonts w:hint="eastAsia" w:ascii="宋体" w:hAnsi="宋体" w:eastAsia="宋体" w:cs="宋体"/>
          <w:color w:val="auto"/>
          <w:spacing w:val="-12"/>
          <w:sz w:val="21"/>
          <w:szCs w:val="21"/>
          <w:highlight w:val="none"/>
        </w:rPr>
        <w:t>第七条　本责任书一式四份，由甲乙双方各执一份，送交甲乙双方的监督单位各一份。</w:t>
      </w:r>
    </w:p>
    <w:p w14:paraId="680223B1">
      <w:pPr>
        <w:pStyle w:val="6"/>
        <w:keepNext w:val="0"/>
        <w:keepLines w:val="0"/>
        <w:pageBreakBefore w:val="0"/>
        <w:widowControl w:val="0"/>
        <w:kinsoku/>
        <w:wordWrap/>
        <w:overflowPunct/>
        <w:topLinePunct w:val="0"/>
        <w:bidi w:val="0"/>
        <w:snapToGrid/>
        <w:spacing w:line="360" w:lineRule="auto"/>
        <w:ind w:right="0" w:rightChars="0"/>
        <w:rPr>
          <w:rFonts w:hint="eastAsia" w:ascii="宋体" w:hAnsi="宋体" w:eastAsia="宋体" w:cs="宋体"/>
          <w:color w:val="auto"/>
          <w:sz w:val="21"/>
          <w:szCs w:val="21"/>
          <w:highlight w:val="none"/>
        </w:rPr>
      </w:pPr>
    </w:p>
    <w:p w14:paraId="65C1CDA1">
      <w:pPr>
        <w:keepNext w:val="0"/>
        <w:keepLines w:val="0"/>
        <w:pageBreakBefore w:val="0"/>
        <w:widowControl w:val="0"/>
        <w:kinsoku/>
        <w:wordWrap/>
        <w:overflowPunct/>
        <w:topLinePunct w:val="0"/>
        <w:autoSpaceDE w:val="0"/>
        <w:autoSpaceDN w:val="0"/>
        <w:bidi w:val="0"/>
        <w:snapToGrid/>
        <w:spacing w:line="360" w:lineRule="auto"/>
        <w:ind w:left="0" w:right="0" w:rightChars="0" w:firstLine="420" w:firstLineChars="200"/>
        <w:rPr>
          <w:rFonts w:hint="eastAsia" w:ascii="宋体" w:hAnsi="宋体" w:eastAsia="宋体" w:cs="宋体"/>
          <w:color w:val="auto"/>
          <w:spacing w:val="-20"/>
          <w:sz w:val="21"/>
          <w:szCs w:val="21"/>
          <w:highlight w:val="none"/>
          <w:u w:val="single"/>
        </w:rPr>
      </w:pPr>
      <w:r>
        <w:rPr>
          <w:rFonts w:hint="eastAsia" w:ascii="宋体" w:hAnsi="宋体" w:eastAsia="宋体" w:cs="宋体"/>
          <w:color w:val="auto"/>
          <w:sz w:val="21"/>
          <w:szCs w:val="21"/>
          <w:highlight w:val="none"/>
        </w:rPr>
        <w:t xml:space="preserve">甲方单位(盖章):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乙方单位(盖章):</w:t>
      </w:r>
    </w:p>
    <w:p w14:paraId="6B54B19E">
      <w:pPr>
        <w:keepNext w:val="0"/>
        <w:keepLines w:val="0"/>
        <w:pageBreakBefore w:val="0"/>
        <w:widowControl w:val="0"/>
        <w:kinsoku/>
        <w:wordWrap/>
        <w:overflowPunct/>
        <w:topLinePunct w:val="0"/>
        <w:bidi w:val="0"/>
        <w:snapToGrid/>
        <w:spacing w:line="360" w:lineRule="auto"/>
        <w:ind w:left="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法定代表人:                     　　　        法定代表人:</w:t>
      </w:r>
    </w:p>
    <w:p w14:paraId="285117B7">
      <w:pPr>
        <w:keepNext w:val="0"/>
        <w:keepLines w:val="0"/>
        <w:pageBreakBefore w:val="0"/>
        <w:widowControl w:val="0"/>
        <w:kinsoku/>
        <w:wordWrap/>
        <w:overflowPunct/>
        <w:topLinePunct w:val="0"/>
        <w:bidi w:val="0"/>
        <w:snapToGrid/>
        <w:spacing w:line="360" w:lineRule="auto"/>
        <w:ind w:left="0" w:right="0" w:rightChars="0" w:firstLine="420" w:firstLineChars="200"/>
        <w:rPr>
          <w:rFonts w:hint="eastAsia" w:ascii="宋体" w:hAnsi="宋体" w:eastAsia="宋体" w:cs="宋体"/>
          <w:color w:val="auto"/>
          <w:sz w:val="21"/>
          <w:szCs w:val="21"/>
          <w:highlight w:val="none"/>
        </w:rPr>
      </w:pPr>
    </w:p>
    <w:p w14:paraId="6401D98F">
      <w:pPr>
        <w:keepNext w:val="0"/>
        <w:keepLines w:val="0"/>
        <w:pageBreakBefore w:val="0"/>
        <w:widowControl w:val="0"/>
        <w:kinsoku/>
        <w:wordWrap/>
        <w:overflowPunct/>
        <w:topLinePunct w:val="0"/>
        <w:bidi w:val="0"/>
        <w:snapToGrid/>
        <w:spacing w:line="360" w:lineRule="auto"/>
        <w:ind w:left="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                           　       电　　话:</w:t>
      </w:r>
    </w:p>
    <w:p w14:paraId="2545D005">
      <w:pPr>
        <w:pStyle w:val="6"/>
        <w:keepNext w:val="0"/>
        <w:keepLines w:val="0"/>
        <w:pageBreakBefore w:val="0"/>
        <w:widowControl w:val="0"/>
        <w:kinsoku/>
        <w:wordWrap/>
        <w:overflowPunct/>
        <w:topLinePunct w:val="0"/>
        <w:bidi w:val="0"/>
        <w:snapToGrid/>
        <w:spacing w:line="360" w:lineRule="auto"/>
        <w:ind w:left="0" w:right="0" w:rightChars="0" w:firstLine="420" w:firstLineChars="200"/>
        <w:rPr>
          <w:rFonts w:hint="eastAsia" w:ascii="宋体" w:hAnsi="宋体" w:eastAsia="宋体" w:cs="宋体"/>
          <w:color w:val="auto"/>
          <w:sz w:val="21"/>
          <w:szCs w:val="21"/>
          <w:highlight w:val="none"/>
        </w:rPr>
      </w:pPr>
    </w:p>
    <w:p w14:paraId="40FE411A">
      <w:pPr>
        <w:keepNext w:val="0"/>
        <w:keepLines w:val="0"/>
        <w:pageBreakBefore w:val="0"/>
        <w:widowControl w:val="0"/>
        <w:kinsoku/>
        <w:wordWrap/>
        <w:overflowPunct/>
        <w:topLinePunct w:val="0"/>
        <w:bidi w:val="0"/>
        <w:snapToGrid/>
        <w:spacing w:line="360" w:lineRule="auto"/>
        <w:ind w:left="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监督单位（盖章）：</w:t>
      </w:r>
    </w:p>
    <w:p w14:paraId="1C23165F">
      <w:pPr>
        <w:keepNext w:val="0"/>
        <w:keepLines w:val="0"/>
        <w:pageBreakBefore w:val="0"/>
        <w:widowControl w:val="0"/>
        <w:kinsoku/>
        <w:wordWrap/>
        <w:overflowPunct/>
        <w:topLinePunct w:val="0"/>
        <w:bidi w:val="0"/>
        <w:snapToGrid/>
        <w:spacing w:line="360" w:lineRule="auto"/>
        <w:ind w:left="0" w:right="0" w:rightChars="0" w:firstLine="420" w:firstLineChars="200"/>
        <w:rPr>
          <w:rFonts w:hint="eastAsia" w:ascii="宋体" w:hAnsi="宋体" w:eastAsia="宋体" w:cs="宋体"/>
          <w:color w:val="auto"/>
          <w:sz w:val="21"/>
          <w:szCs w:val="21"/>
          <w:highlight w:val="none"/>
        </w:rPr>
      </w:pPr>
    </w:p>
    <w:p w14:paraId="22DBCA50">
      <w:pPr>
        <w:keepNext w:val="0"/>
        <w:keepLines w:val="0"/>
        <w:pageBreakBefore w:val="0"/>
        <w:widowControl w:val="0"/>
        <w:kinsoku/>
        <w:wordWrap/>
        <w:overflowPunct/>
        <w:topLinePunct w:val="0"/>
        <w:bidi w:val="0"/>
        <w:snapToGrid/>
        <w:spacing w:line="360" w:lineRule="auto"/>
        <w:ind w:left="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监督单位纪检部门负责人：</w:t>
      </w:r>
    </w:p>
    <w:p w14:paraId="3566178B">
      <w:pPr>
        <w:keepNext w:val="0"/>
        <w:keepLines w:val="0"/>
        <w:pageBreakBefore w:val="0"/>
        <w:widowControl w:val="0"/>
        <w:kinsoku/>
        <w:wordWrap/>
        <w:overflowPunct/>
        <w:topLinePunct w:val="0"/>
        <w:bidi w:val="0"/>
        <w:snapToGrid/>
        <w:spacing w:line="360" w:lineRule="auto"/>
        <w:ind w:right="0" w:rightChars="0"/>
        <w:rPr>
          <w:rFonts w:hint="eastAsia" w:ascii="宋体" w:hAnsi="宋体" w:eastAsia="宋体" w:cs="宋体"/>
          <w:color w:val="auto"/>
          <w:sz w:val="21"/>
          <w:szCs w:val="21"/>
          <w:highlight w:val="none"/>
        </w:rPr>
      </w:pPr>
    </w:p>
    <w:p w14:paraId="41F61990">
      <w:pPr>
        <w:keepNext w:val="0"/>
        <w:keepLines w:val="0"/>
        <w:pageBreakBefore w:val="0"/>
        <w:widowControl w:val="0"/>
        <w:kinsoku/>
        <w:wordWrap/>
        <w:overflowPunct/>
        <w:topLinePunct w:val="0"/>
        <w:bidi w:val="0"/>
        <w:snapToGrid/>
        <w:spacing w:line="360" w:lineRule="auto"/>
        <w:ind w:left="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2983FA02">
      <w:pPr>
        <w:spacing w:line="480" w:lineRule="auto"/>
        <w:ind w:firstLine="420"/>
        <w:rPr>
          <w:rFonts w:ascii="宋体" w:hAnsi="宋体" w:cs="宋体"/>
          <w:color w:val="auto"/>
          <w:sz w:val="24"/>
          <w:szCs w:val="24"/>
          <w:highlight w:val="none"/>
        </w:rPr>
        <w:sectPr>
          <w:pgSz w:w="11906" w:h="16838"/>
          <w:pgMar w:top="1134" w:right="1134" w:bottom="1134" w:left="1134" w:header="567" w:footer="567" w:gutter="0"/>
          <w:cols w:space="425" w:num="1"/>
          <w:docGrid w:type="lines" w:linePitch="312" w:charSpace="0"/>
        </w:sectPr>
      </w:pPr>
    </w:p>
    <w:p w14:paraId="1317A83D">
      <w:pPr>
        <w:spacing w:line="360" w:lineRule="auto"/>
        <w:rPr>
          <w:rFonts w:cs="宋体" w:asciiTheme="majorEastAsia" w:hAnsiTheme="majorEastAsia" w:eastAsiaTheme="majorEastAsia"/>
          <w:b/>
          <w:color w:val="auto"/>
          <w:sz w:val="24"/>
          <w:highlight w:val="none"/>
        </w:rPr>
      </w:pPr>
      <w:r>
        <w:rPr>
          <w:rFonts w:hint="eastAsia" w:cs="宋体" w:asciiTheme="majorEastAsia" w:hAnsiTheme="majorEastAsia" w:eastAsiaTheme="majorEastAsia"/>
          <w:b/>
          <w:color w:val="auto"/>
          <w:sz w:val="24"/>
          <w:highlight w:val="none"/>
        </w:rPr>
        <w:t>附件五</w:t>
      </w:r>
    </w:p>
    <w:p w14:paraId="63F90151">
      <w:pPr>
        <w:jc w:val="center"/>
        <w:rPr>
          <w:rFonts w:ascii="公文小标宋简" w:eastAsia="公文小标宋简"/>
          <w:b/>
          <w:color w:val="auto"/>
          <w:sz w:val="44"/>
          <w:szCs w:val="44"/>
          <w:highlight w:val="none"/>
        </w:rPr>
      </w:pPr>
      <w:r>
        <w:rPr>
          <w:rFonts w:hint="eastAsia" w:ascii="公文小标宋简" w:eastAsia="公文小标宋简"/>
          <w:b/>
          <w:color w:val="auto"/>
          <w:sz w:val="44"/>
          <w:szCs w:val="44"/>
          <w:highlight w:val="none"/>
        </w:rPr>
        <w:t>建筑工程安全生产责任书</w:t>
      </w:r>
    </w:p>
    <w:p w14:paraId="644EAEE0">
      <w:pPr>
        <w:adjustRightInd w:val="0"/>
        <w:snapToGrid w:val="0"/>
        <w:spacing w:line="360" w:lineRule="exact"/>
        <w:rPr>
          <w:rFonts w:ascii="公文小标宋简" w:eastAsia="公文小标宋简"/>
          <w:color w:val="auto"/>
          <w:sz w:val="44"/>
          <w:szCs w:val="44"/>
          <w:highlight w:val="none"/>
        </w:rPr>
      </w:pPr>
    </w:p>
    <w:p w14:paraId="717BE40E">
      <w:pPr>
        <w:adjustRightInd w:val="0"/>
        <w:snapToGrid w:val="0"/>
        <w:spacing w:line="360" w:lineRule="exact"/>
        <w:rPr>
          <w:rFonts w:ascii="公文小标宋简" w:eastAsia="公文小标宋简"/>
          <w:color w:val="auto"/>
          <w:sz w:val="44"/>
          <w:szCs w:val="44"/>
          <w:highlight w:val="none"/>
        </w:rPr>
      </w:pPr>
    </w:p>
    <w:p w14:paraId="2BDBF2EC">
      <w:pPr>
        <w:adjustRightInd w:val="0"/>
        <w:snapToGrid w:val="0"/>
        <w:spacing w:line="500" w:lineRule="exact"/>
        <w:rPr>
          <w:rFonts w:ascii="公文小标宋简" w:eastAsia="公文小标宋简"/>
          <w:color w:val="auto"/>
          <w:sz w:val="28"/>
          <w:szCs w:val="28"/>
          <w:highlight w:val="none"/>
        </w:rPr>
      </w:pPr>
    </w:p>
    <w:p w14:paraId="5EDD407F">
      <w:pPr>
        <w:adjustRightInd w:val="0"/>
        <w:snapToGrid w:val="0"/>
        <w:spacing w:line="360" w:lineRule="auto"/>
        <w:rPr>
          <w:rFonts w:ascii="宋体" w:hAnsi="宋体" w:cs="宋体"/>
          <w:color w:val="auto"/>
          <w:sz w:val="22"/>
          <w:szCs w:val="22"/>
          <w:highlight w:val="none"/>
          <w:u w:val="single"/>
        </w:rPr>
      </w:pPr>
      <w:r>
        <w:rPr>
          <w:rFonts w:hint="eastAsia" w:ascii="宋体" w:hAnsi="宋体" w:cs="宋体"/>
          <w:color w:val="auto"/>
          <w:sz w:val="22"/>
          <w:szCs w:val="22"/>
          <w:highlight w:val="none"/>
        </w:rPr>
        <w:t>（发包人）：</w:t>
      </w:r>
    </w:p>
    <w:p w14:paraId="393A3FE0">
      <w:pPr>
        <w:adjustRightInd w:val="0"/>
        <w:snapToGrid w:val="0"/>
        <w:spacing w:line="360" w:lineRule="auto"/>
        <w:ind w:firstLine="440" w:firstLineChars="200"/>
        <w:rPr>
          <w:rFonts w:ascii="宋体" w:hAnsi="宋体" w:cs="宋体"/>
          <w:color w:val="auto"/>
          <w:sz w:val="22"/>
          <w:szCs w:val="22"/>
          <w:highlight w:val="none"/>
        </w:rPr>
      </w:pPr>
    </w:p>
    <w:p w14:paraId="2A6A7A10">
      <w:pPr>
        <w:adjustRightInd w:val="0"/>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我单位是的承包方。我方承诺在的施工过程中，在施工现场设置醒目的安全警示标识提醒过往行人，在每一个施工现场配备一名专职安全员全天候现场负责安全工作，所有施工人员都必须佩戴安全帽，确保施工过程人员和设备的安全，同时严格执行《中华人民共和国安全生产法》和《建设工程安全生产管理条例》等有关安全生产管理法规的规定，确保不发生任何安全事故，若有发生，由本单位承担一切责任。</w:t>
      </w:r>
    </w:p>
    <w:p w14:paraId="5CEDCC05">
      <w:pPr>
        <w:adjustRightInd w:val="0"/>
        <w:snapToGrid w:val="0"/>
        <w:spacing w:line="360" w:lineRule="auto"/>
        <w:ind w:firstLine="440" w:firstLineChars="200"/>
        <w:rPr>
          <w:rFonts w:ascii="宋体" w:hAnsi="宋体" w:cs="宋体"/>
          <w:color w:val="auto"/>
          <w:sz w:val="22"/>
          <w:szCs w:val="22"/>
          <w:highlight w:val="none"/>
        </w:rPr>
      </w:pPr>
    </w:p>
    <w:p w14:paraId="1CFB6475">
      <w:pPr>
        <w:adjustRightInd w:val="0"/>
        <w:snapToGrid w:val="0"/>
        <w:spacing w:line="360" w:lineRule="auto"/>
        <w:ind w:firstLine="480" w:firstLineChars="200"/>
        <w:rPr>
          <w:rFonts w:ascii="宋体" w:hAnsi="宋体" w:cs="宋体"/>
          <w:color w:val="auto"/>
          <w:sz w:val="24"/>
          <w:szCs w:val="24"/>
          <w:highlight w:val="none"/>
        </w:rPr>
      </w:pPr>
    </w:p>
    <w:p w14:paraId="45CB95DC">
      <w:pPr>
        <w:adjustRightInd w:val="0"/>
        <w:snapToGrid w:val="0"/>
        <w:spacing w:line="360" w:lineRule="auto"/>
        <w:rPr>
          <w:rFonts w:ascii="宋体" w:hAnsi="宋体" w:cs="宋体"/>
          <w:color w:val="auto"/>
          <w:sz w:val="24"/>
          <w:szCs w:val="24"/>
          <w:highlight w:val="none"/>
        </w:rPr>
      </w:pPr>
    </w:p>
    <w:p w14:paraId="455D3EFD">
      <w:pPr>
        <w:adjustRightInd w:val="0"/>
        <w:snapToGrid w:val="0"/>
        <w:spacing w:line="360" w:lineRule="auto"/>
        <w:ind w:firstLine="480" w:firstLineChars="200"/>
        <w:rPr>
          <w:rFonts w:ascii="宋体" w:hAnsi="宋体" w:cs="宋体"/>
          <w:color w:val="auto"/>
          <w:sz w:val="24"/>
          <w:szCs w:val="24"/>
          <w:highlight w:val="none"/>
        </w:rPr>
      </w:pPr>
    </w:p>
    <w:p w14:paraId="6454610F">
      <w:pPr>
        <w:adjustRightInd w:val="0"/>
        <w:snapToGrid w:val="0"/>
        <w:spacing w:line="360" w:lineRule="auto"/>
        <w:ind w:firstLine="2640" w:firstLineChars="1200"/>
        <w:rPr>
          <w:rFonts w:ascii="宋体" w:hAnsi="宋体" w:cs="宋体"/>
          <w:color w:val="auto"/>
          <w:sz w:val="22"/>
          <w:szCs w:val="22"/>
          <w:highlight w:val="none"/>
        </w:rPr>
      </w:pPr>
      <w:r>
        <w:rPr>
          <w:rFonts w:hint="eastAsia" w:ascii="宋体" w:hAnsi="宋体" w:cs="宋体"/>
          <w:color w:val="auto"/>
          <w:sz w:val="22"/>
          <w:szCs w:val="22"/>
          <w:highlight w:val="none"/>
        </w:rPr>
        <w:t xml:space="preserve">承包单位（公章）： </w:t>
      </w:r>
    </w:p>
    <w:p w14:paraId="17E86F37">
      <w:pPr>
        <w:adjustRightInd w:val="0"/>
        <w:snapToGrid w:val="0"/>
        <w:spacing w:line="360" w:lineRule="auto"/>
        <w:ind w:firstLine="2420" w:firstLineChars="1100"/>
        <w:rPr>
          <w:rFonts w:ascii="宋体" w:hAnsi="宋体" w:cs="宋体"/>
          <w:color w:val="auto"/>
          <w:sz w:val="22"/>
          <w:szCs w:val="22"/>
          <w:highlight w:val="none"/>
        </w:rPr>
      </w:pPr>
      <w:r>
        <w:rPr>
          <w:rFonts w:hint="eastAsia" w:ascii="宋体" w:hAnsi="宋体" w:cs="宋体"/>
          <w:color w:val="auto"/>
          <w:sz w:val="22"/>
          <w:szCs w:val="22"/>
          <w:highlight w:val="none"/>
        </w:rPr>
        <w:t>法定代表人（签名）：</w:t>
      </w:r>
    </w:p>
    <w:p w14:paraId="6DE549FD">
      <w:pPr>
        <w:adjustRightInd w:val="0"/>
        <w:snapToGrid w:val="0"/>
        <w:spacing w:line="360" w:lineRule="auto"/>
        <w:ind w:firstLine="2420" w:firstLineChars="1100"/>
        <w:rPr>
          <w:rFonts w:ascii="宋体" w:hAnsi="宋体" w:cs="宋体"/>
          <w:color w:val="auto"/>
          <w:sz w:val="22"/>
          <w:szCs w:val="22"/>
          <w:highlight w:val="none"/>
        </w:rPr>
      </w:pPr>
      <w:r>
        <w:rPr>
          <w:rFonts w:hint="eastAsia" w:ascii="宋体" w:hAnsi="宋体" w:cs="宋体"/>
          <w:color w:val="auto"/>
          <w:sz w:val="22"/>
          <w:szCs w:val="22"/>
          <w:highlight w:val="none"/>
        </w:rPr>
        <w:t xml:space="preserve">                          年    月   日</w:t>
      </w:r>
    </w:p>
    <w:p w14:paraId="55C9A87B">
      <w:pPr>
        <w:spacing w:line="360" w:lineRule="auto"/>
        <w:jc w:val="center"/>
        <w:outlineLvl w:val="0"/>
        <w:rPr>
          <w:rFonts w:ascii="宋体" w:hAnsi="宋体" w:cs="宋体"/>
          <w:color w:val="auto"/>
          <w:sz w:val="24"/>
          <w:szCs w:val="24"/>
          <w:highlight w:val="none"/>
        </w:rPr>
      </w:pPr>
    </w:p>
    <w:p w14:paraId="6D028494">
      <w:pPr>
        <w:rPr>
          <w:rFonts w:cs="宋体" w:asciiTheme="majorEastAsia" w:hAnsiTheme="majorEastAsia" w:eastAsiaTheme="majorEastAsia"/>
          <w:color w:val="auto"/>
          <w:sz w:val="32"/>
          <w:highlight w:val="none"/>
        </w:rPr>
      </w:pPr>
      <w:r>
        <w:rPr>
          <w:rFonts w:hint="eastAsia" w:cs="宋体" w:asciiTheme="majorEastAsia" w:hAnsiTheme="majorEastAsia" w:eastAsiaTheme="majorEastAsia"/>
          <w:color w:val="auto"/>
          <w:sz w:val="32"/>
          <w:highlight w:val="none"/>
        </w:rPr>
        <w:br w:type="page"/>
      </w:r>
    </w:p>
    <w:p w14:paraId="5876F627">
      <w:pPr>
        <w:pStyle w:val="2"/>
        <w:spacing w:before="0" w:after="0" w:line="360" w:lineRule="auto"/>
        <w:jc w:val="center"/>
        <w:rPr>
          <w:rFonts w:cs="宋体" w:asciiTheme="majorEastAsia" w:hAnsiTheme="majorEastAsia" w:eastAsiaTheme="majorEastAsia"/>
          <w:color w:val="auto"/>
          <w:sz w:val="32"/>
          <w:highlight w:val="none"/>
        </w:rPr>
      </w:pPr>
      <w:r>
        <w:rPr>
          <w:rFonts w:hint="eastAsia" w:cs="宋体" w:asciiTheme="majorEastAsia" w:hAnsiTheme="majorEastAsia" w:eastAsiaTheme="majorEastAsia"/>
          <w:color w:val="auto"/>
          <w:sz w:val="32"/>
          <w:highlight w:val="none"/>
        </w:rPr>
        <w:t>第五章工程量清单</w:t>
      </w:r>
      <w:bookmarkEnd w:id="86"/>
    </w:p>
    <w:p w14:paraId="74ABE6D1">
      <w:pPr>
        <w:pStyle w:val="6"/>
        <w:ind w:firstLine="480" w:firstLineChars="200"/>
        <w:rPr>
          <w:rFonts w:hAnsi="宋体" w:cs="宋体"/>
          <w:color w:val="auto"/>
          <w:kern w:val="2"/>
          <w:highlight w:val="none"/>
        </w:rPr>
      </w:pPr>
    </w:p>
    <w:p w14:paraId="3741C444">
      <w:pPr>
        <w:keepNext w:val="0"/>
        <w:keepLines w:val="0"/>
        <w:pageBreakBefore w:val="0"/>
        <w:widowControl w:val="0"/>
        <w:kinsoku/>
        <w:wordWrap/>
        <w:overflowPunct/>
        <w:topLinePunct w:val="0"/>
        <w:autoSpaceDE/>
        <w:autoSpaceDN/>
        <w:bidi w:val="0"/>
        <w:adjustRightInd/>
        <w:spacing w:line="360" w:lineRule="auto"/>
        <w:ind w:firstLine="442" w:firstLineChars="200"/>
        <w:textAlignment w:val="auto"/>
        <w:outlineLvl w:val="2"/>
        <w:rPr>
          <w:rFonts w:ascii="宋体" w:hAnsi="宋体" w:cs="宋体"/>
          <w:b/>
          <w:color w:val="auto"/>
          <w:sz w:val="22"/>
          <w:szCs w:val="21"/>
          <w:highlight w:val="none"/>
        </w:rPr>
      </w:pPr>
      <w:bookmarkStart w:id="87" w:name="_Toc256773226"/>
      <w:bookmarkStart w:id="88" w:name="_Toc22764"/>
      <w:bookmarkStart w:id="89" w:name="_Toc465864840"/>
      <w:bookmarkStart w:id="90" w:name="_Toc27912"/>
      <w:bookmarkStart w:id="91" w:name="_Toc263413224"/>
      <w:r>
        <w:rPr>
          <w:rFonts w:hint="eastAsia" w:ascii="宋体" w:hAnsi="宋体" w:cs="宋体"/>
          <w:b/>
          <w:color w:val="auto"/>
          <w:sz w:val="22"/>
          <w:szCs w:val="21"/>
          <w:highlight w:val="none"/>
        </w:rPr>
        <w:t>1  说明</w:t>
      </w:r>
      <w:bookmarkEnd w:id="87"/>
      <w:bookmarkEnd w:id="88"/>
      <w:bookmarkEnd w:id="89"/>
      <w:bookmarkEnd w:id="90"/>
      <w:bookmarkEnd w:id="91"/>
    </w:p>
    <w:p w14:paraId="4B053BD8">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ascii="宋体" w:hAnsi="宋体" w:cs="宋体"/>
          <w:color w:val="auto"/>
          <w:sz w:val="22"/>
          <w:szCs w:val="21"/>
          <w:highlight w:val="none"/>
        </w:rPr>
      </w:pPr>
      <w:r>
        <w:rPr>
          <w:rFonts w:hint="eastAsia" w:ascii="宋体" w:hAnsi="宋体" w:cs="宋体"/>
          <w:color w:val="auto"/>
          <w:sz w:val="22"/>
          <w:szCs w:val="21"/>
          <w:highlight w:val="none"/>
        </w:rPr>
        <w:t>1.1 本工程主体部分采用单价承包方式，临时工程费跟标下浮后总价承包。</w:t>
      </w:r>
    </w:p>
    <w:p w14:paraId="063FD206">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ascii="宋体" w:hAnsi="宋体" w:cs="宋体"/>
          <w:color w:val="auto"/>
          <w:sz w:val="22"/>
          <w:szCs w:val="21"/>
          <w:highlight w:val="none"/>
        </w:rPr>
      </w:pPr>
      <w:r>
        <w:rPr>
          <w:rFonts w:hint="eastAsia" w:ascii="宋体" w:hAnsi="宋体" w:cs="宋体"/>
          <w:color w:val="auto"/>
          <w:sz w:val="22"/>
          <w:szCs w:val="21"/>
          <w:highlight w:val="none"/>
        </w:rPr>
        <w:t>1.2 工程量清单（招标控制价）应与招标文件中的投标人须知、通用合同条款、专用合同条款、技术标准和要求（合同技术条款）、图纸等一起参照阅读和理解。</w:t>
      </w:r>
    </w:p>
    <w:p w14:paraId="0C47297E">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ascii="宋体" w:hAnsi="宋体" w:cs="宋体"/>
          <w:color w:val="auto"/>
          <w:sz w:val="22"/>
          <w:szCs w:val="21"/>
          <w:highlight w:val="none"/>
        </w:rPr>
      </w:pPr>
      <w:r>
        <w:rPr>
          <w:rFonts w:hint="eastAsia" w:ascii="宋体" w:hAnsi="宋体" w:cs="宋体"/>
          <w:color w:val="auto"/>
          <w:sz w:val="22"/>
          <w:szCs w:val="21"/>
          <w:highlight w:val="none"/>
        </w:rPr>
        <w:t>1.3 符合合同规定的全部工程量应包括在工程量清单所列的各项目中，如投标人认为存在合同规定应由其承担而在工程量清单中未详细列出的项目（不是漏项的工程量），则应提出书面异议。</w:t>
      </w:r>
    </w:p>
    <w:p w14:paraId="6848E401">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ascii="宋体" w:hAnsi="宋体" w:cs="宋体"/>
          <w:color w:val="auto"/>
          <w:sz w:val="22"/>
          <w:szCs w:val="21"/>
          <w:highlight w:val="none"/>
        </w:rPr>
      </w:pPr>
      <w:r>
        <w:rPr>
          <w:rFonts w:hint="eastAsia" w:ascii="宋体" w:hAnsi="宋体" w:cs="宋体"/>
          <w:color w:val="auto"/>
          <w:sz w:val="22"/>
          <w:szCs w:val="21"/>
          <w:highlight w:val="none"/>
        </w:rPr>
        <w:t>1.4 工程量清单不作为最终结算工程量，用于结算的工程量是承包人实际完成并符合技术标准和要求（合同技术条款）规定，按施工图纸计算的有效工程量。完成某一项目所需完成的工序，但工程量清单中并未标列的，则视作漏项，而完成所需工序的相关费用被视为已包含在完成该项目的价格内。</w:t>
      </w:r>
    </w:p>
    <w:p w14:paraId="606308CB">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ascii="宋体" w:hAnsi="宋体" w:cs="宋体"/>
          <w:color w:val="auto"/>
          <w:sz w:val="22"/>
          <w:szCs w:val="21"/>
          <w:highlight w:val="none"/>
        </w:rPr>
      </w:pPr>
      <w:r>
        <w:rPr>
          <w:rFonts w:hint="eastAsia" w:ascii="宋体" w:hAnsi="宋体" w:cs="宋体"/>
          <w:color w:val="auto"/>
          <w:sz w:val="22"/>
          <w:szCs w:val="21"/>
          <w:highlight w:val="none"/>
        </w:rPr>
        <w:t>1.5 招标工程量清单（招标控制价）中的工程量仅为提供给投标人投标时的参考工程量。</w:t>
      </w:r>
    </w:p>
    <w:p w14:paraId="00A7B453">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ascii="宋体" w:hAnsi="宋体" w:cs="宋体"/>
          <w:color w:val="auto"/>
          <w:sz w:val="22"/>
          <w:szCs w:val="21"/>
          <w:highlight w:val="none"/>
        </w:rPr>
      </w:pPr>
      <w:r>
        <w:rPr>
          <w:rFonts w:hint="eastAsia" w:ascii="宋体" w:hAnsi="宋体" w:cs="宋体"/>
          <w:color w:val="auto"/>
          <w:sz w:val="22"/>
          <w:szCs w:val="21"/>
          <w:highlight w:val="none"/>
        </w:rPr>
        <w:t>1.6 工程量清单（招标控制价）中各项目的工作内容和要求应符合相关技术标准和要求（合同技术条款）的规定。</w:t>
      </w:r>
    </w:p>
    <w:p w14:paraId="1C27AA65">
      <w:pPr>
        <w:keepNext w:val="0"/>
        <w:keepLines w:val="0"/>
        <w:pageBreakBefore w:val="0"/>
        <w:widowControl w:val="0"/>
        <w:kinsoku/>
        <w:wordWrap/>
        <w:overflowPunct/>
        <w:topLinePunct w:val="0"/>
        <w:autoSpaceDE/>
        <w:autoSpaceDN/>
        <w:bidi w:val="0"/>
        <w:adjustRightInd/>
        <w:spacing w:line="360" w:lineRule="auto"/>
        <w:ind w:firstLine="442" w:firstLineChars="200"/>
        <w:textAlignment w:val="auto"/>
        <w:outlineLvl w:val="2"/>
        <w:rPr>
          <w:rFonts w:ascii="宋体" w:hAnsi="宋体" w:cs="宋体"/>
          <w:b/>
          <w:color w:val="auto"/>
          <w:sz w:val="22"/>
          <w:szCs w:val="21"/>
          <w:highlight w:val="none"/>
        </w:rPr>
      </w:pPr>
      <w:bookmarkStart w:id="92" w:name="_Toc465864841"/>
      <w:bookmarkStart w:id="93" w:name="_Toc31035"/>
      <w:bookmarkStart w:id="94" w:name="_Toc263413225"/>
      <w:bookmarkStart w:id="95" w:name="_Toc256773227"/>
      <w:bookmarkStart w:id="96" w:name="_Toc18106"/>
      <w:r>
        <w:rPr>
          <w:rFonts w:hint="eastAsia" w:ascii="宋体" w:hAnsi="宋体" w:cs="宋体"/>
          <w:b/>
          <w:color w:val="auto"/>
          <w:sz w:val="22"/>
          <w:szCs w:val="21"/>
          <w:highlight w:val="none"/>
        </w:rPr>
        <w:t>2  投标报价说明</w:t>
      </w:r>
      <w:bookmarkEnd w:id="92"/>
      <w:bookmarkEnd w:id="93"/>
      <w:bookmarkEnd w:id="94"/>
      <w:bookmarkEnd w:id="95"/>
      <w:bookmarkEnd w:id="96"/>
    </w:p>
    <w:p w14:paraId="6E2C11FB">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ascii="宋体" w:hAnsi="宋体" w:cs="宋体"/>
          <w:strike/>
          <w:color w:val="auto"/>
          <w:sz w:val="22"/>
          <w:szCs w:val="22"/>
          <w:highlight w:val="none"/>
        </w:rPr>
      </w:pPr>
      <w:r>
        <w:rPr>
          <w:rFonts w:hint="eastAsia" w:ascii="宋体" w:hAnsi="宋体" w:cs="宋体"/>
          <w:color w:val="auto"/>
          <w:sz w:val="22"/>
          <w:szCs w:val="22"/>
          <w:highlight w:val="none"/>
        </w:rPr>
        <w:t>投标人仅需填报投标报价下浮率（有效投标报价下浮率为≥0.000%，保留至小数点后叁位），不在此范围内的投标报价均为无效投标报价。</w:t>
      </w:r>
    </w:p>
    <w:p w14:paraId="44206338">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本项目主体工程采用综合单价承包（综合单价为财政审核控制单价×（1-中标下浮率）为中标的综合单价，合同总价为（招标控制价-安全生产措施费、其他临时工程费-预留金）×（1-中标下浮率）+安全生产措施费、其他临时工程费（安全生产措施费、其他临时工程费控制价不下浮）+预留金（预留金控制价不下浮）；临时工程费采用总价承包（临时工程费用控制价的临时工程费×（1-中标下浮率））。</w:t>
      </w:r>
    </w:p>
    <w:p w14:paraId="4B746E3D">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投标下浮率大于15%，又未提供相应书面说明和佐证材料或提供的书面说明和佐证材料不能令人信服的，评标委员会应认定其以低于成本的价格竞标，并否决其投标。评标委员会接受该投标人的投标总价而未否决其投标的，应在评标报告中说明判断理由。</w:t>
      </w:r>
    </w:p>
    <w:p w14:paraId="3B17604A">
      <w:pPr>
        <w:spacing w:line="360" w:lineRule="auto"/>
        <w:rPr>
          <w:rFonts w:ascii="宋体" w:hAnsi="宋体"/>
          <w:b/>
          <w:bCs/>
          <w:iCs/>
          <w:color w:val="auto"/>
          <w:szCs w:val="21"/>
          <w:highlight w:val="none"/>
        </w:rPr>
      </w:pPr>
      <w:bookmarkStart w:id="97" w:name="_Toc300835203"/>
      <w:bookmarkStart w:id="98" w:name="_Toc247527801"/>
      <w:bookmarkStart w:id="99" w:name="_Toc152042553"/>
      <w:bookmarkStart w:id="100" w:name="_Toc247527802"/>
      <w:bookmarkStart w:id="101" w:name="_Toc152045771"/>
      <w:bookmarkStart w:id="102" w:name="_Toc247514201"/>
      <w:bookmarkStart w:id="103" w:name="_Toc144974833"/>
      <w:bookmarkStart w:id="104" w:name="_Toc152045769"/>
      <w:bookmarkStart w:id="105" w:name="_Toc247514200"/>
      <w:bookmarkStart w:id="106" w:name="_Toc300835202"/>
      <w:bookmarkStart w:id="107" w:name="_Toc152042551"/>
    </w:p>
    <w:bookmarkEnd w:id="97"/>
    <w:bookmarkEnd w:id="98"/>
    <w:bookmarkEnd w:id="99"/>
    <w:bookmarkEnd w:id="100"/>
    <w:bookmarkEnd w:id="101"/>
    <w:bookmarkEnd w:id="102"/>
    <w:bookmarkEnd w:id="103"/>
    <w:bookmarkEnd w:id="104"/>
    <w:bookmarkEnd w:id="105"/>
    <w:bookmarkEnd w:id="106"/>
    <w:bookmarkEnd w:id="107"/>
    <w:p w14:paraId="2618BE6B">
      <w:pPr>
        <w:spacing w:line="360" w:lineRule="auto"/>
        <w:jc w:val="center"/>
        <w:outlineLvl w:val="0"/>
        <w:rPr>
          <w:rFonts w:cs="宋体" w:asciiTheme="majorEastAsia" w:hAnsiTheme="majorEastAsia" w:eastAsiaTheme="majorEastAsia"/>
          <w:color w:val="auto"/>
          <w:sz w:val="84"/>
          <w:szCs w:val="84"/>
          <w:highlight w:val="none"/>
        </w:rPr>
      </w:pPr>
      <w:bookmarkStart w:id="108" w:name="_Toc14981"/>
    </w:p>
    <w:p w14:paraId="75FD09C6">
      <w:pPr>
        <w:pStyle w:val="39"/>
        <w:rPr>
          <w:rFonts w:cs="宋体" w:asciiTheme="majorEastAsia" w:hAnsiTheme="majorEastAsia" w:eastAsiaTheme="majorEastAsia"/>
          <w:b/>
          <w:color w:val="auto"/>
          <w:sz w:val="84"/>
          <w:highlight w:val="none"/>
        </w:rPr>
      </w:pPr>
    </w:p>
    <w:p w14:paraId="0F681886">
      <w:pPr>
        <w:pStyle w:val="39"/>
        <w:rPr>
          <w:rFonts w:cs="宋体" w:asciiTheme="majorEastAsia" w:hAnsiTheme="majorEastAsia" w:eastAsiaTheme="majorEastAsia"/>
          <w:b/>
          <w:color w:val="auto"/>
          <w:sz w:val="84"/>
          <w:highlight w:val="none"/>
        </w:rPr>
      </w:pPr>
    </w:p>
    <w:p w14:paraId="79889BEA">
      <w:pPr>
        <w:pStyle w:val="39"/>
        <w:rPr>
          <w:rFonts w:cs="宋体" w:asciiTheme="majorEastAsia" w:hAnsiTheme="majorEastAsia" w:eastAsiaTheme="majorEastAsia"/>
          <w:b/>
          <w:color w:val="auto"/>
          <w:sz w:val="84"/>
          <w:highlight w:val="none"/>
        </w:rPr>
      </w:pPr>
    </w:p>
    <w:p w14:paraId="62C22277">
      <w:pPr>
        <w:pStyle w:val="39"/>
        <w:rPr>
          <w:rFonts w:cs="宋体" w:asciiTheme="majorEastAsia" w:hAnsiTheme="majorEastAsia" w:eastAsiaTheme="majorEastAsia"/>
          <w:b/>
          <w:color w:val="auto"/>
          <w:sz w:val="84"/>
          <w:highlight w:val="none"/>
        </w:rPr>
      </w:pPr>
    </w:p>
    <w:p w14:paraId="22697881">
      <w:pPr>
        <w:pStyle w:val="39"/>
        <w:rPr>
          <w:rFonts w:cs="宋体" w:asciiTheme="majorEastAsia" w:hAnsiTheme="majorEastAsia" w:eastAsiaTheme="majorEastAsia"/>
          <w:b/>
          <w:color w:val="auto"/>
          <w:sz w:val="84"/>
          <w:highlight w:val="none"/>
        </w:rPr>
      </w:pPr>
    </w:p>
    <w:p w14:paraId="18B08AB2">
      <w:pPr>
        <w:spacing w:line="360" w:lineRule="auto"/>
        <w:jc w:val="center"/>
        <w:outlineLvl w:val="0"/>
        <w:rPr>
          <w:rFonts w:cs="宋体" w:asciiTheme="majorEastAsia" w:hAnsiTheme="majorEastAsia" w:eastAsiaTheme="majorEastAsia"/>
          <w:color w:val="auto"/>
          <w:sz w:val="84"/>
          <w:szCs w:val="84"/>
          <w:highlight w:val="none"/>
        </w:rPr>
      </w:pPr>
      <w:r>
        <w:rPr>
          <w:rFonts w:hint="eastAsia" w:cs="宋体" w:asciiTheme="majorEastAsia" w:hAnsiTheme="majorEastAsia" w:eastAsiaTheme="majorEastAsia"/>
          <w:color w:val="auto"/>
          <w:sz w:val="84"/>
          <w:szCs w:val="84"/>
          <w:highlight w:val="none"/>
        </w:rPr>
        <w:t>第二卷</w:t>
      </w:r>
      <w:bookmarkEnd w:id="108"/>
    </w:p>
    <w:p w14:paraId="1A0C236E">
      <w:pPr>
        <w:rPr>
          <w:rFonts w:cs="宋体" w:asciiTheme="majorEastAsia" w:hAnsiTheme="majorEastAsia" w:eastAsiaTheme="majorEastAsia"/>
          <w:color w:val="auto"/>
          <w:highlight w:val="none"/>
        </w:rPr>
      </w:pPr>
    </w:p>
    <w:p w14:paraId="435F86B2">
      <w:pPr>
        <w:rPr>
          <w:rFonts w:cs="宋体" w:asciiTheme="majorEastAsia" w:hAnsiTheme="majorEastAsia" w:eastAsiaTheme="majorEastAsia"/>
          <w:color w:val="auto"/>
          <w:highlight w:val="none"/>
        </w:rPr>
      </w:pPr>
    </w:p>
    <w:p w14:paraId="499CE9F2">
      <w:pPr>
        <w:rPr>
          <w:rFonts w:cs="宋体" w:asciiTheme="majorEastAsia" w:hAnsiTheme="majorEastAsia" w:eastAsiaTheme="majorEastAsia"/>
          <w:color w:val="auto"/>
          <w:highlight w:val="none"/>
        </w:rPr>
      </w:pPr>
    </w:p>
    <w:p w14:paraId="30C43D7E">
      <w:pPr>
        <w:rPr>
          <w:rFonts w:cs="宋体" w:asciiTheme="majorEastAsia" w:hAnsiTheme="majorEastAsia" w:eastAsiaTheme="majorEastAsia"/>
          <w:color w:val="auto"/>
          <w:highlight w:val="none"/>
        </w:rPr>
      </w:pPr>
    </w:p>
    <w:p w14:paraId="27BB3602">
      <w:pPr>
        <w:rPr>
          <w:rFonts w:cs="宋体" w:asciiTheme="majorEastAsia" w:hAnsiTheme="majorEastAsia" w:eastAsiaTheme="majorEastAsia"/>
          <w:color w:val="auto"/>
          <w:highlight w:val="none"/>
        </w:rPr>
      </w:pPr>
    </w:p>
    <w:p w14:paraId="1E69E0E2">
      <w:pPr>
        <w:rPr>
          <w:rFonts w:cs="宋体" w:asciiTheme="majorEastAsia" w:hAnsiTheme="majorEastAsia" w:eastAsiaTheme="majorEastAsia"/>
          <w:color w:val="auto"/>
          <w:highlight w:val="none"/>
        </w:rPr>
      </w:pPr>
    </w:p>
    <w:p w14:paraId="153C0E7C">
      <w:pPr>
        <w:rPr>
          <w:rFonts w:cs="宋体" w:asciiTheme="majorEastAsia" w:hAnsiTheme="majorEastAsia" w:eastAsiaTheme="majorEastAsia"/>
          <w:b/>
          <w:color w:val="auto"/>
          <w:sz w:val="32"/>
          <w:highlight w:val="none"/>
        </w:rPr>
      </w:pPr>
    </w:p>
    <w:p w14:paraId="0B6CAB7A">
      <w:pPr>
        <w:spacing w:before="240" w:after="60"/>
        <w:jc w:val="center"/>
        <w:rPr>
          <w:rFonts w:cs="宋体" w:asciiTheme="majorEastAsia" w:hAnsiTheme="majorEastAsia" w:eastAsiaTheme="majorEastAsia"/>
          <w:b/>
          <w:color w:val="auto"/>
          <w:sz w:val="32"/>
          <w:highlight w:val="none"/>
        </w:rPr>
      </w:pPr>
    </w:p>
    <w:p w14:paraId="58B69852">
      <w:pPr>
        <w:spacing w:before="240" w:after="60"/>
        <w:jc w:val="center"/>
        <w:rPr>
          <w:rFonts w:cs="宋体" w:asciiTheme="majorEastAsia" w:hAnsiTheme="majorEastAsia" w:eastAsiaTheme="majorEastAsia"/>
          <w:b/>
          <w:color w:val="auto"/>
          <w:sz w:val="32"/>
          <w:highlight w:val="none"/>
        </w:rPr>
      </w:pPr>
    </w:p>
    <w:p w14:paraId="6ACBA37A">
      <w:pPr>
        <w:spacing w:before="240" w:after="60"/>
        <w:jc w:val="center"/>
        <w:rPr>
          <w:rFonts w:cs="宋体" w:asciiTheme="majorEastAsia" w:hAnsiTheme="majorEastAsia" w:eastAsiaTheme="majorEastAsia"/>
          <w:b/>
          <w:color w:val="auto"/>
          <w:sz w:val="32"/>
          <w:highlight w:val="none"/>
        </w:rPr>
      </w:pPr>
    </w:p>
    <w:p w14:paraId="3AD886DE">
      <w:pPr>
        <w:spacing w:before="240" w:after="60"/>
        <w:jc w:val="center"/>
        <w:rPr>
          <w:rFonts w:cs="宋体" w:asciiTheme="majorEastAsia" w:hAnsiTheme="majorEastAsia" w:eastAsiaTheme="majorEastAsia"/>
          <w:b/>
          <w:color w:val="auto"/>
          <w:sz w:val="32"/>
          <w:highlight w:val="none"/>
        </w:rPr>
      </w:pPr>
    </w:p>
    <w:p w14:paraId="0C03648A">
      <w:pPr>
        <w:rPr>
          <w:rFonts w:cs="宋体" w:asciiTheme="majorEastAsia" w:hAnsiTheme="majorEastAsia" w:eastAsiaTheme="majorEastAsia"/>
          <w:b/>
          <w:color w:val="auto"/>
          <w:sz w:val="32"/>
          <w:highlight w:val="none"/>
        </w:rPr>
      </w:pPr>
      <w:r>
        <w:rPr>
          <w:rFonts w:cs="宋体" w:asciiTheme="majorEastAsia" w:hAnsiTheme="majorEastAsia" w:eastAsiaTheme="majorEastAsia"/>
          <w:b/>
          <w:color w:val="auto"/>
          <w:sz w:val="32"/>
          <w:highlight w:val="none"/>
        </w:rPr>
        <w:br w:type="page"/>
      </w:r>
    </w:p>
    <w:p w14:paraId="6EAEB5D8">
      <w:pPr>
        <w:pStyle w:val="18"/>
        <w:jc w:val="center"/>
        <w:rPr>
          <w:rFonts w:cs="宋体" w:asciiTheme="majorEastAsia" w:hAnsiTheme="majorEastAsia" w:eastAsiaTheme="majorEastAsia"/>
          <w:color w:val="auto"/>
          <w:highlight w:val="none"/>
        </w:rPr>
      </w:pPr>
      <w:bookmarkStart w:id="109" w:name="_Toc23994"/>
      <w:r>
        <w:rPr>
          <w:rFonts w:hint="eastAsia" w:cs="宋体" w:asciiTheme="majorEastAsia" w:hAnsiTheme="majorEastAsia" w:eastAsiaTheme="majorEastAsia"/>
          <w:color w:val="auto"/>
          <w:highlight w:val="none"/>
        </w:rPr>
        <w:t>第六章图纸（招标图纸）</w:t>
      </w:r>
      <w:bookmarkEnd w:id="109"/>
    </w:p>
    <w:p w14:paraId="72362DE1">
      <w:pPr>
        <w:spacing w:line="480" w:lineRule="auto"/>
        <w:jc w:val="center"/>
        <w:rPr>
          <w:rFonts w:cs="宋体" w:asciiTheme="majorEastAsia" w:hAnsiTheme="majorEastAsia" w:eastAsiaTheme="majorEastAsia"/>
          <w:color w:val="auto"/>
          <w:sz w:val="24"/>
          <w:highlight w:val="none"/>
        </w:rPr>
      </w:pPr>
      <w:r>
        <w:rPr>
          <w:rFonts w:cs="宋体" w:asciiTheme="majorEastAsia" w:hAnsiTheme="majorEastAsia" w:eastAsiaTheme="majorEastAsia"/>
          <w:color w:val="auto"/>
          <w:sz w:val="24"/>
          <w:highlight w:val="none"/>
        </w:rPr>
        <w:t>(</w:t>
      </w:r>
      <w:r>
        <w:rPr>
          <w:rFonts w:hint="eastAsia" w:cs="宋体" w:asciiTheme="majorEastAsia" w:hAnsiTheme="majorEastAsia" w:eastAsiaTheme="majorEastAsia"/>
          <w:color w:val="auto"/>
          <w:sz w:val="24"/>
          <w:highlight w:val="none"/>
        </w:rPr>
        <w:t>另附</w:t>
      </w:r>
      <w:r>
        <w:rPr>
          <w:rFonts w:cs="宋体" w:asciiTheme="majorEastAsia" w:hAnsiTheme="majorEastAsia" w:eastAsiaTheme="majorEastAsia"/>
          <w:color w:val="auto"/>
          <w:sz w:val="24"/>
          <w:highlight w:val="none"/>
        </w:rPr>
        <w:t>)</w:t>
      </w:r>
    </w:p>
    <w:p w14:paraId="66F24BC9">
      <w:pPr>
        <w:spacing w:line="480" w:lineRule="auto"/>
        <w:jc w:val="center"/>
        <w:rPr>
          <w:rFonts w:cs="宋体" w:asciiTheme="majorEastAsia" w:hAnsiTheme="majorEastAsia" w:eastAsiaTheme="majorEastAsia"/>
          <w:color w:val="auto"/>
          <w:highlight w:val="none"/>
        </w:rPr>
      </w:pPr>
    </w:p>
    <w:p w14:paraId="05A01FE2">
      <w:pPr>
        <w:spacing w:line="480" w:lineRule="auto"/>
        <w:rPr>
          <w:rFonts w:cs="宋体" w:asciiTheme="majorEastAsia" w:hAnsiTheme="majorEastAsia" w:eastAsiaTheme="majorEastAsia"/>
          <w:color w:val="auto"/>
          <w:highlight w:val="none"/>
        </w:rPr>
      </w:pPr>
    </w:p>
    <w:p w14:paraId="4F56F4DD">
      <w:pPr>
        <w:rPr>
          <w:rFonts w:cs="宋体" w:asciiTheme="majorEastAsia" w:hAnsiTheme="majorEastAsia" w:eastAsiaTheme="majorEastAsia"/>
          <w:color w:val="auto"/>
          <w:highlight w:val="none"/>
        </w:rPr>
      </w:pPr>
    </w:p>
    <w:p w14:paraId="5EC799AA">
      <w:pPr>
        <w:jc w:val="center"/>
        <w:rPr>
          <w:rFonts w:cs="宋体" w:asciiTheme="majorEastAsia" w:hAnsiTheme="majorEastAsia" w:eastAsiaTheme="majorEastAsia"/>
          <w:b/>
          <w:color w:val="auto"/>
          <w:highlight w:val="none"/>
        </w:rPr>
      </w:pPr>
    </w:p>
    <w:p w14:paraId="3CBDF1BB">
      <w:pPr>
        <w:jc w:val="center"/>
        <w:rPr>
          <w:rFonts w:cs="宋体" w:asciiTheme="majorEastAsia" w:hAnsiTheme="majorEastAsia" w:eastAsiaTheme="majorEastAsia"/>
          <w:b/>
          <w:color w:val="auto"/>
          <w:highlight w:val="none"/>
        </w:rPr>
      </w:pPr>
    </w:p>
    <w:p w14:paraId="58B4F338">
      <w:pPr>
        <w:jc w:val="center"/>
        <w:rPr>
          <w:rFonts w:cs="宋体" w:asciiTheme="majorEastAsia" w:hAnsiTheme="majorEastAsia" w:eastAsiaTheme="majorEastAsia"/>
          <w:b/>
          <w:color w:val="auto"/>
          <w:highlight w:val="none"/>
        </w:rPr>
      </w:pPr>
    </w:p>
    <w:p w14:paraId="1EF97D38">
      <w:pPr>
        <w:jc w:val="center"/>
        <w:rPr>
          <w:rFonts w:cs="宋体" w:asciiTheme="majorEastAsia" w:hAnsiTheme="majorEastAsia" w:eastAsiaTheme="majorEastAsia"/>
          <w:b/>
          <w:color w:val="auto"/>
          <w:highlight w:val="none"/>
        </w:rPr>
      </w:pPr>
    </w:p>
    <w:p w14:paraId="23F9D7D2">
      <w:pPr>
        <w:jc w:val="center"/>
        <w:rPr>
          <w:rFonts w:cs="宋体" w:asciiTheme="majorEastAsia" w:hAnsiTheme="majorEastAsia" w:eastAsiaTheme="majorEastAsia"/>
          <w:b/>
          <w:color w:val="auto"/>
          <w:highlight w:val="none"/>
        </w:rPr>
      </w:pPr>
    </w:p>
    <w:p w14:paraId="1554A73A">
      <w:pPr>
        <w:jc w:val="center"/>
        <w:rPr>
          <w:rFonts w:cs="宋体" w:asciiTheme="majorEastAsia" w:hAnsiTheme="majorEastAsia" w:eastAsiaTheme="majorEastAsia"/>
          <w:b/>
          <w:color w:val="auto"/>
          <w:highlight w:val="none"/>
        </w:rPr>
      </w:pPr>
    </w:p>
    <w:p w14:paraId="64535049">
      <w:pPr>
        <w:jc w:val="center"/>
        <w:rPr>
          <w:rFonts w:cs="宋体" w:asciiTheme="majorEastAsia" w:hAnsiTheme="majorEastAsia" w:eastAsiaTheme="majorEastAsia"/>
          <w:b/>
          <w:color w:val="auto"/>
          <w:highlight w:val="none"/>
        </w:rPr>
      </w:pPr>
    </w:p>
    <w:p w14:paraId="6E1B2869">
      <w:pPr>
        <w:jc w:val="center"/>
        <w:rPr>
          <w:rFonts w:cs="宋体" w:asciiTheme="majorEastAsia" w:hAnsiTheme="majorEastAsia" w:eastAsiaTheme="majorEastAsia"/>
          <w:b/>
          <w:color w:val="auto"/>
          <w:highlight w:val="none"/>
        </w:rPr>
      </w:pPr>
    </w:p>
    <w:p w14:paraId="612776E9">
      <w:pPr>
        <w:jc w:val="center"/>
        <w:rPr>
          <w:rFonts w:cs="宋体" w:asciiTheme="majorEastAsia" w:hAnsiTheme="majorEastAsia" w:eastAsiaTheme="majorEastAsia"/>
          <w:b/>
          <w:color w:val="auto"/>
          <w:highlight w:val="none"/>
        </w:rPr>
      </w:pPr>
    </w:p>
    <w:p w14:paraId="06BDDC04">
      <w:pPr>
        <w:jc w:val="center"/>
        <w:rPr>
          <w:rFonts w:cs="宋体" w:asciiTheme="majorEastAsia" w:hAnsiTheme="majorEastAsia" w:eastAsiaTheme="majorEastAsia"/>
          <w:b/>
          <w:color w:val="auto"/>
          <w:highlight w:val="none"/>
        </w:rPr>
      </w:pPr>
    </w:p>
    <w:p w14:paraId="0C149507">
      <w:pPr>
        <w:jc w:val="center"/>
        <w:rPr>
          <w:rFonts w:cs="宋体" w:asciiTheme="majorEastAsia" w:hAnsiTheme="majorEastAsia" w:eastAsiaTheme="majorEastAsia"/>
          <w:b/>
          <w:color w:val="auto"/>
          <w:highlight w:val="none"/>
        </w:rPr>
      </w:pPr>
    </w:p>
    <w:p w14:paraId="4A7E1DCA">
      <w:pPr>
        <w:jc w:val="center"/>
        <w:rPr>
          <w:rFonts w:cs="宋体" w:asciiTheme="majorEastAsia" w:hAnsiTheme="majorEastAsia" w:eastAsiaTheme="majorEastAsia"/>
          <w:b/>
          <w:color w:val="auto"/>
          <w:highlight w:val="none"/>
        </w:rPr>
      </w:pPr>
    </w:p>
    <w:p w14:paraId="05270A6D">
      <w:pPr>
        <w:jc w:val="center"/>
        <w:rPr>
          <w:rFonts w:cs="宋体" w:asciiTheme="majorEastAsia" w:hAnsiTheme="majorEastAsia" w:eastAsiaTheme="majorEastAsia"/>
          <w:b/>
          <w:color w:val="auto"/>
          <w:highlight w:val="none"/>
        </w:rPr>
      </w:pPr>
    </w:p>
    <w:p w14:paraId="50A79CB7">
      <w:pPr>
        <w:jc w:val="center"/>
        <w:rPr>
          <w:rFonts w:cs="宋体" w:asciiTheme="majorEastAsia" w:hAnsiTheme="majorEastAsia" w:eastAsiaTheme="majorEastAsia"/>
          <w:b/>
          <w:color w:val="auto"/>
          <w:highlight w:val="none"/>
        </w:rPr>
      </w:pPr>
    </w:p>
    <w:p w14:paraId="3A18FFB1">
      <w:pPr>
        <w:jc w:val="center"/>
        <w:rPr>
          <w:rFonts w:cs="宋体" w:asciiTheme="majorEastAsia" w:hAnsiTheme="majorEastAsia" w:eastAsiaTheme="majorEastAsia"/>
          <w:b/>
          <w:color w:val="auto"/>
          <w:highlight w:val="none"/>
        </w:rPr>
      </w:pPr>
    </w:p>
    <w:p w14:paraId="6737284F">
      <w:pPr>
        <w:jc w:val="center"/>
        <w:rPr>
          <w:rFonts w:cs="宋体" w:asciiTheme="majorEastAsia" w:hAnsiTheme="majorEastAsia" w:eastAsiaTheme="majorEastAsia"/>
          <w:b/>
          <w:color w:val="auto"/>
          <w:highlight w:val="none"/>
        </w:rPr>
      </w:pPr>
    </w:p>
    <w:p w14:paraId="753A5911">
      <w:pPr>
        <w:jc w:val="center"/>
        <w:rPr>
          <w:rFonts w:cs="宋体" w:asciiTheme="majorEastAsia" w:hAnsiTheme="majorEastAsia" w:eastAsiaTheme="majorEastAsia"/>
          <w:b/>
          <w:color w:val="auto"/>
          <w:highlight w:val="none"/>
        </w:rPr>
      </w:pPr>
    </w:p>
    <w:p w14:paraId="710B0B8F">
      <w:pPr>
        <w:jc w:val="center"/>
        <w:rPr>
          <w:rFonts w:cs="宋体" w:asciiTheme="majorEastAsia" w:hAnsiTheme="majorEastAsia" w:eastAsiaTheme="majorEastAsia"/>
          <w:b/>
          <w:color w:val="auto"/>
          <w:highlight w:val="none"/>
        </w:rPr>
      </w:pPr>
    </w:p>
    <w:p w14:paraId="17DF27C4">
      <w:pPr>
        <w:jc w:val="center"/>
        <w:rPr>
          <w:rFonts w:cs="宋体" w:asciiTheme="majorEastAsia" w:hAnsiTheme="majorEastAsia" w:eastAsiaTheme="majorEastAsia"/>
          <w:b/>
          <w:color w:val="auto"/>
          <w:highlight w:val="none"/>
        </w:rPr>
      </w:pPr>
    </w:p>
    <w:p w14:paraId="39D79A94">
      <w:pPr>
        <w:jc w:val="center"/>
        <w:rPr>
          <w:rFonts w:cs="宋体" w:asciiTheme="majorEastAsia" w:hAnsiTheme="majorEastAsia" w:eastAsiaTheme="majorEastAsia"/>
          <w:b/>
          <w:color w:val="auto"/>
          <w:highlight w:val="none"/>
        </w:rPr>
      </w:pPr>
    </w:p>
    <w:p w14:paraId="65C0CEF3">
      <w:pPr>
        <w:jc w:val="center"/>
        <w:rPr>
          <w:rFonts w:cs="宋体" w:asciiTheme="majorEastAsia" w:hAnsiTheme="majorEastAsia" w:eastAsiaTheme="majorEastAsia"/>
          <w:b/>
          <w:color w:val="auto"/>
          <w:highlight w:val="none"/>
        </w:rPr>
      </w:pPr>
    </w:p>
    <w:p w14:paraId="66A93034">
      <w:pPr>
        <w:jc w:val="center"/>
        <w:rPr>
          <w:rFonts w:cs="宋体" w:asciiTheme="majorEastAsia" w:hAnsiTheme="majorEastAsia" w:eastAsiaTheme="majorEastAsia"/>
          <w:b/>
          <w:color w:val="auto"/>
          <w:highlight w:val="none"/>
        </w:rPr>
      </w:pPr>
    </w:p>
    <w:p w14:paraId="1C3A3055">
      <w:pPr>
        <w:jc w:val="center"/>
        <w:rPr>
          <w:rFonts w:cs="宋体" w:asciiTheme="majorEastAsia" w:hAnsiTheme="majorEastAsia" w:eastAsiaTheme="majorEastAsia"/>
          <w:b/>
          <w:color w:val="auto"/>
          <w:highlight w:val="none"/>
        </w:rPr>
      </w:pPr>
    </w:p>
    <w:p w14:paraId="070AAB6A">
      <w:pPr>
        <w:jc w:val="center"/>
        <w:rPr>
          <w:rFonts w:cs="宋体" w:asciiTheme="majorEastAsia" w:hAnsiTheme="majorEastAsia" w:eastAsiaTheme="majorEastAsia"/>
          <w:b/>
          <w:color w:val="auto"/>
          <w:highlight w:val="none"/>
        </w:rPr>
      </w:pPr>
    </w:p>
    <w:p w14:paraId="7D81BE4E">
      <w:pPr>
        <w:spacing w:line="360" w:lineRule="auto"/>
        <w:jc w:val="center"/>
        <w:rPr>
          <w:rFonts w:cs="宋体" w:asciiTheme="majorEastAsia" w:hAnsiTheme="majorEastAsia" w:eastAsiaTheme="majorEastAsia"/>
          <w:color w:val="auto"/>
          <w:sz w:val="84"/>
          <w:highlight w:val="none"/>
        </w:rPr>
      </w:pPr>
    </w:p>
    <w:p w14:paraId="30D6E24D">
      <w:pPr>
        <w:pStyle w:val="38"/>
        <w:rPr>
          <w:rFonts w:cs="宋体" w:asciiTheme="majorEastAsia" w:hAnsiTheme="majorEastAsia" w:eastAsiaTheme="majorEastAsia"/>
          <w:color w:val="auto"/>
          <w:sz w:val="84"/>
          <w:highlight w:val="none"/>
        </w:rPr>
      </w:pPr>
    </w:p>
    <w:p w14:paraId="54F23B36">
      <w:pPr>
        <w:pStyle w:val="38"/>
        <w:jc w:val="both"/>
        <w:rPr>
          <w:color w:val="auto"/>
          <w:highlight w:val="none"/>
        </w:rPr>
      </w:pPr>
    </w:p>
    <w:p w14:paraId="390AE4DF">
      <w:pPr>
        <w:spacing w:line="360" w:lineRule="auto"/>
        <w:jc w:val="center"/>
        <w:rPr>
          <w:rFonts w:cs="宋体" w:asciiTheme="majorEastAsia" w:hAnsiTheme="majorEastAsia" w:eastAsiaTheme="majorEastAsia"/>
          <w:color w:val="auto"/>
          <w:sz w:val="84"/>
          <w:highlight w:val="none"/>
        </w:rPr>
      </w:pPr>
    </w:p>
    <w:p w14:paraId="593DC2B0">
      <w:pPr>
        <w:pStyle w:val="39"/>
        <w:rPr>
          <w:rFonts w:cs="宋体" w:asciiTheme="majorEastAsia" w:hAnsiTheme="majorEastAsia" w:eastAsiaTheme="majorEastAsia"/>
          <w:b/>
          <w:color w:val="auto"/>
          <w:sz w:val="84"/>
          <w:highlight w:val="none"/>
        </w:rPr>
      </w:pPr>
      <w:bookmarkStart w:id="110" w:name="_Toc25514"/>
    </w:p>
    <w:p w14:paraId="4DD45808">
      <w:pPr>
        <w:pStyle w:val="39"/>
        <w:rPr>
          <w:rFonts w:cs="宋体" w:asciiTheme="majorEastAsia" w:hAnsiTheme="majorEastAsia" w:eastAsiaTheme="majorEastAsia"/>
          <w:b/>
          <w:color w:val="auto"/>
          <w:sz w:val="84"/>
          <w:highlight w:val="none"/>
        </w:rPr>
      </w:pPr>
    </w:p>
    <w:p w14:paraId="06D208EA">
      <w:pPr>
        <w:pStyle w:val="39"/>
        <w:rPr>
          <w:rFonts w:cs="宋体" w:asciiTheme="majorEastAsia" w:hAnsiTheme="majorEastAsia" w:eastAsiaTheme="majorEastAsia"/>
          <w:b/>
          <w:color w:val="auto"/>
          <w:sz w:val="84"/>
          <w:highlight w:val="none"/>
        </w:rPr>
      </w:pPr>
    </w:p>
    <w:p w14:paraId="273DA241">
      <w:pPr>
        <w:pStyle w:val="39"/>
        <w:rPr>
          <w:rFonts w:cs="宋体" w:asciiTheme="majorEastAsia" w:hAnsiTheme="majorEastAsia" w:eastAsiaTheme="majorEastAsia"/>
          <w:b/>
          <w:color w:val="auto"/>
          <w:sz w:val="84"/>
          <w:highlight w:val="none"/>
        </w:rPr>
      </w:pPr>
    </w:p>
    <w:p w14:paraId="59591552">
      <w:pPr>
        <w:pStyle w:val="39"/>
        <w:rPr>
          <w:rFonts w:cs="宋体" w:asciiTheme="majorEastAsia" w:hAnsiTheme="majorEastAsia" w:eastAsiaTheme="majorEastAsia"/>
          <w:b/>
          <w:color w:val="auto"/>
          <w:sz w:val="84"/>
          <w:highlight w:val="none"/>
        </w:rPr>
      </w:pPr>
    </w:p>
    <w:p w14:paraId="48C676D5">
      <w:pPr>
        <w:spacing w:line="360" w:lineRule="auto"/>
        <w:jc w:val="center"/>
        <w:outlineLvl w:val="0"/>
        <w:rPr>
          <w:rFonts w:cs="宋体" w:asciiTheme="majorEastAsia" w:hAnsiTheme="majorEastAsia" w:eastAsiaTheme="majorEastAsia"/>
          <w:color w:val="auto"/>
          <w:sz w:val="84"/>
          <w:szCs w:val="84"/>
          <w:highlight w:val="none"/>
        </w:rPr>
      </w:pPr>
      <w:r>
        <w:rPr>
          <w:rFonts w:hint="eastAsia" w:cs="宋体" w:asciiTheme="majorEastAsia" w:hAnsiTheme="majorEastAsia" w:eastAsiaTheme="majorEastAsia"/>
          <w:color w:val="auto"/>
          <w:sz w:val="84"/>
          <w:szCs w:val="84"/>
          <w:highlight w:val="none"/>
        </w:rPr>
        <w:t>第三卷</w:t>
      </w:r>
      <w:bookmarkEnd w:id="110"/>
    </w:p>
    <w:p w14:paraId="2FCB0157">
      <w:pPr>
        <w:spacing w:line="520" w:lineRule="auto"/>
        <w:rPr>
          <w:rFonts w:cs="宋体" w:asciiTheme="majorEastAsia" w:hAnsiTheme="majorEastAsia" w:eastAsiaTheme="majorEastAsia"/>
          <w:color w:val="auto"/>
          <w:highlight w:val="none"/>
        </w:rPr>
      </w:pPr>
    </w:p>
    <w:p w14:paraId="4CADDFBB">
      <w:pPr>
        <w:rPr>
          <w:rFonts w:cs="宋体" w:asciiTheme="majorEastAsia" w:hAnsiTheme="majorEastAsia" w:eastAsiaTheme="majorEastAsia"/>
          <w:color w:val="auto"/>
          <w:highlight w:val="none"/>
        </w:rPr>
      </w:pPr>
    </w:p>
    <w:p w14:paraId="66EF3197">
      <w:pPr>
        <w:rPr>
          <w:rFonts w:cs="宋体" w:asciiTheme="majorEastAsia" w:hAnsiTheme="majorEastAsia" w:eastAsiaTheme="majorEastAsia"/>
          <w:color w:val="auto"/>
          <w:highlight w:val="none"/>
        </w:rPr>
      </w:pPr>
    </w:p>
    <w:p w14:paraId="41C05168">
      <w:pPr>
        <w:rPr>
          <w:rFonts w:cs="宋体" w:asciiTheme="majorEastAsia" w:hAnsiTheme="majorEastAsia" w:eastAsiaTheme="majorEastAsia"/>
          <w:color w:val="auto"/>
          <w:highlight w:val="none"/>
        </w:rPr>
      </w:pPr>
    </w:p>
    <w:p w14:paraId="1AF63160">
      <w:pPr>
        <w:rPr>
          <w:rFonts w:cs="宋体" w:asciiTheme="majorEastAsia" w:hAnsiTheme="majorEastAsia" w:eastAsiaTheme="majorEastAsia"/>
          <w:color w:val="auto"/>
          <w:highlight w:val="none"/>
        </w:rPr>
      </w:pPr>
    </w:p>
    <w:p w14:paraId="612CB393">
      <w:pPr>
        <w:pStyle w:val="18"/>
        <w:rPr>
          <w:rFonts w:cs="宋体" w:asciiTheme="majorEastAsia" w:hAnsiTheme="majorEastAsia" w:eastAsiaTheme="majorEastAsia"/>
          <w:color w:val="auto"/>
          <w:highlight w:val="none"/>
        </w:rPr>
      </w:pPr>
      <w:r>
        <w:rPr>
          <w:rFonts w:cs="宋体" w:asciiTheme="majorEastAsia" w:hAnsiTheme="majorEastAsia" w:eastAsiaTheme="majorEastAsia"/>
          <w:b w:val="0"/>
          <w:color w:val="auto"/>
          <w:highlight w:val="none"/>
        </w:rPr>
        <w:br w:type="page"/>
      </w:r>
      <w:bookmarkStart w:id="111" w:name="_Toc28149"/>
      <w:bookmarkStart w:id="112" w:name="_Toc5793"/>
      <w:r>
        <w:rPr>
          <w:rFonts w:hint="eastAsia" w:cs="宋体" w:asciiTheme="majorEastAsia" w:hAnsiTheme="majorEastAsia" w:eastAsiaTheme="majorEastAsia"/>
          <w:color w:val="auto"/>
          <w:highlight w:val="none"/>
        </w:rPr>
        <w:t>第七章技术标准和要求（合同技术条款）</w:t>
      </w:r>
      <w:bookmarkEnd w:id="111"/>
      <w:bookmarkEnd w:id="112"/>
    </w:p>
    <w:p w14:paraId="12E82728">
      <w:pPr>
        <w:jc w:val="left"/>
        <w:rPr>
          <w:rFonts w:cs="宋体" w:asciiTheme="majorEastAsia" w:hAnsiTheme="majorEastAsia" w:eastAsiaTheme="majorEastAsia"/>
          <w:color w:val="auto"/>
          <w:sz w:val="36"/>
          <w:szCs w:val="36"/>
          <w:highlight w:val="none"/>
        </w:rPr>
      </w:pPr>
    </w:p>
    <w:p w14:paraId="07AAB172">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按照国家、省及水利行业相关标准及招标文件技术条款执行。</w:t>
      </w:r>
    </w:p>
    <w:p w14:paraId="1BFD4920">
      <w:pPr>
        <w:spacing w:line="360" w:lineRule="auto"/>
        <w:ind w:firstLine="241" w:firstLineChars="100"/>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b/>
          <w:color w:val="auto"/>
          <w:sz w:val="24"/>
          <w:szCs w:val="24"/>
          <w:highlight w:val="none"/>
        </w:rPr>
        <w:br w:type="page"/>
      </w:r>
    </w:p>
    <w:p w14:paraId="2F6F78BF">
      <w:pPr>
        <w:pStyle w:val="39"/>
        <w:rPr>
          <w:rFonts w:cs="宋体" w:asciiTheme="majorEastAsia" w:hAnsiTheme="majorEastAsia" w:eastAsiaTheme="majorEastAsia"/>
          <w:b/>
          <w:color w:val="auto"/>
          <w:sz w:val="84"/>
          <w:highlight w:val="none"/>
        </w:rPr>
      </w:pPr>
      <w:bookmarkStart w:id="113" w:name="_Toc22799"/>
      <w:bookmarkStart w:id="114" w:name="_Toc13593"/>
    </w:p>
    <w:p w14:paraId="3ECDA5DF">
      <w:pPr>
        <w:pStyle w:val="39"/>
        <w:rPr>
          <w:rFonts w:cs="宋体" w:asciiTheme="majorEastAsia" w:hAnsiTheme="majorEastAsia" w:eastAsiaTheme="majorEastAsia"/>
          <w:b/>
          <w:color w:val="auto"/>
          <w:sz w:val="84"/>
          <w:highlight w:val="none"/>
        </w:rPr>
      </w:pPr>
    </w:p>
    <w:p w14:paraId="4BA43E85">
      <w:pPr>
        <w:pStyle w:val="39"/>
        <w:rPr>
          <w:rFonts w:cs="宋体" w:asciiTheme="majorEastAsia" w:hAnsiTheme="majorEastAsia" w:eastAsiaTheme="majorEastAsia"/>
          <w:b/>
          <w:color w:val="auto"/>
          <w:sz w:val="84"/>
          <w:highlight w:val="none"/>
        </w:rPr>
      </w:pPr>
    </w:p>
    <w:p w14:paraId="3BFBD418">
      <w:pPr>
        <w:pStyle w:val="39"/>
        <w:rPr>
          <w:rFonts w:cs="宋体" w:asciiTheme="majorEastAsia" w:hAnsiTheme="majorEastAsia" w:eastAsiaTheme="majorEastAsia"/>
          <w:b/>
          <w:color w:val="auto"/>
          <w:sz w:val="84"/>
          <w:highlight w:val="none"/>
        </w:rPr>
      </w:pPr>
    </w:p>
    <w:p w14:paraId="2C5CEF3F">
      <w:pPr>
        <w:pStyle w:val="39"/>
        <w:rPr>
          <w:rFonts w:cs="宋体" w:asciiTheme="majorEastAsia" w:hAnsiTheme="majorEastAsia" w:eastAsiaTheme="majorEastAsia"/>
          <w:b/>
          <w:color w:val="auto"/>
          <w:sz w:val="84"/>
          <w:highlight w:val="none"/>
        </w:rPr>
      </w:pPr>
    </w:p>
    <w:p w14:paraId="3465FC7A">
      <w:pPr>
        <w:spacing w:line="360" w:lineRule="auto"/>
        <w:jc w:val="center"/>
        <w:outlineLvl w:val="0"/>
        <w:rPr>
          <w:rFonts w:cs="宋体" w:asciiTheme="majorEastAsia" w:hAnsiTheme="majorEastAsia" w:eastAsiaTheme="majorEastAsia"/>
          <w:color w:val="auto"/>
          <w:sz w:val="84"/>
          <w:szCs w:val="84"/>
          <w:highlight w:val="none"/>
        </w:rPr>
      </w:pPr>
      <w:r>
        <w:rPr>
          <w:rFonts w:hint="eastAsia" w:cs="宋体" w:asciiTheme="majorEastAsia" w:hAnsiTheme="majorEastAsia" w:eastAsiaTheme="majorEastAsia"/>
          <w:color w:val="auto"/>
          <w:sz w:val="84"/>
          <w:szCs w:val="84"/>
          <w:highlight w:val="none"/>
        </w:rPr>
        <w:t>第 四 卷</w:t>
      </w:r>
      <w:bookmarkEnd w:id="113"/>
      <w:bookmarkEnd w:id="114"/>
    </w:p>
    <w:p w14:paraId="33B996CE">
      <w:pPr>
        <w:spacing w:line="520" w:lineRule="exact"/>
        <w:rPr>
          <w:rFonts w:cs="宋体" w:asciiTheme="majorEastAsia" w:hAnsiTheme="majorEastAsia" w:eastAsiaTheme="majorEastAsia"/>
          <w:color w:val="auto"/>
          <w:szCs w:val="21"/>
          <w:highlight w:val="none"/>
        </w:rPr>
      </w:pPr>
    </w:p>
    <w:p w14:paraId="0E25CD79">
      <w:pPr>
        <w:rPr>
          <w:rFonts w:cs="宋体" w:asciiTheme="majorEastAsia" w:hAnsiTheme="majorEastAsia" w:eastAsiaTheme="majorEastAsia"/>
          <w:color w:val="auto"/>
          <w:szCs w:val="21"/>
          <w:highlight w:val="none"/>
        </w:rPr>
      </w:pPr>
    </w:p>
    <w:p w14:paraId="3802CF94">
      <w:pPr>
        <w:rPr>
          <w:rFonts w:cs="宋体" w:asciiTheme="majorEastAsia" w:hAnsiTheme="majorEastAsia" w:eastAsiaTheme="majorEastAsia"/>
          <w:color w:val="auto"/>
          <w:szCs w:val="21"/>
          <w:highlight w:val="none"/>
        </w:rPr>
      </w:pPr>
    </w:p>
    <w:p w14:paraId="5738A272">
      <w:pPr>
        <w:rPr>
          <w:rFonts w:cs="宋体" w:asciiTheme="majorEastAsia" w:hAnsiTheme="majorEastAsia" w:eastAsiaTheme="majorEastAsia"/>
          <w:color w:val="auto"/>
          <w:szCs w:val="21"/>
          <w:highlight w:val="none"/>
        </w:rPr>
      </w:pPr>
    </w:p>
    <w:p w14:paraId="7730D795">
      <w:pPr>
        <w:rPr>
          <w:rFonts w:cs="宋体" w:asciiTheme="majorEastAsia" w:hAnsiTheme="majorEastAsia" w:eastAsiaTheme="majorEastAsia"/>
          <w:color w:val="auto"/>
          <w:szCs w:val="21"/>
          <w:highlight w:val="none"/>
        </w:rPr>
      </w:pPr>
    </w:p>
    <w:p w14:paraId="3A0CE504">
      <w:pPr>
        <w:rPr>
          <w:rFonts w:cs="宋体" w:asciiTheme="majorEastAsia" w:hAnsiTheme="majorEastAsia" w:eastAsiaTheme="majorEastAsia"/>
          <w:color w:val="auto"/>
          <w:szCs w:val="21"/>
          <w:highlight w:val="none"/>
        </w:rPr>
      </w:pPr>
    </w:p>
    <w:p w14:paraId="578A493B">
      <w:pPr>
        <w:rPr>
          <w:rFonts w:cs="宋体" w:asciiTheme="majorEastAsia" w:hAnsiTheme="majorEastAsia" w:eastAsiaTheme="majorEastAsia"/>
          <w:color w:val="auto"/>
          <w:szCs w:val="21"/>
          <w:highlight w:val="none"/>
        </w:rPr>
      </w:pPr>
    </w:p>
    <w:p w14:paraId="335660A9">
      <w:pPr>
        <w:rPr>
          <w:rFonts w:cs="宋体" w:asciiTheme="majorEastAsia" w:hAnsiTheme="majorEastAsia" w:eastAsiaTheme="majorEastAsia"/>
          <w:color w:val="auto"/>
          <w:szCs w:val="21"/>
          <w:highlight w:val="none"/>
        </w:rPr>
      </w:pPr>
    </w:p>
    <w:p w14:paraId="0D763D46">
      <w:pPr>
        <w:rPr>
          <w:rFonts w:cs="宋体" w:asciiTheme="majorEastAsia" w:hAnsiTheme="majorEastAsia" w:eastAsiaTheme="majorEastAsia"/>
          <w:color w:val="auto"/>
          <w:szCs w:val="21"/>
          <w:highlight w:val="none"/>
        </w:rPr>
      </w:pPr>
    </w:p>
    <w:p w14:paraId="691108F4">
      <w:pPr>
        <w:rPr>
          <w:rFonts w:cs="宋体" w:asciiTheme="majorEastAsia" w:hAnsiTheme="majorEastAsia" w:eastAsiaTheme="majorEastAsia"/>
          <w:color w:val="auto"/>
          <w:szCs w:val="21"/>
          <w:highlight w:val="none"/>
        </w:rPr>
      </w:pPr>
    </w:p>
    <w:p w14:paraId="3981A115">
      <w:pPr>
        <w:rPr>
          <w:rFonts w:cs="宋体" w:asciiTheme="majorEastAsia" w:hAnsiTheme="majorEastAsia" w:eastAsiaTheme="majorEastAsia"/>
          <w:color w:val="auto"/>
          <w:szCs w:val="21"/>
          <w:highlight w:val="none"/>
        </w:rPr>
      </w:pPr>
    </w:p>
    <w:p w14:paraId="0600A0DF">
      <w:pPr>
        <w:rPr>
          <w:rFonts w:cs="宋体" w:asciiTheme="majorEastAsia" w:hAnsiTheme="majorEastAsia" w:eastAsiaTheme="majorEastAsia"/>
          <w:color w:val="auto"/>
          <w:szCs w:val="21"/>
          <w:highlight w:val="none"/>
        </w:rPr>
      </w:pPr>
    </w:p>
    <w:p w14:paraId="2F5B94D3">
      <w:pPr>
        <w:rPr>
          <w:rFonts w:cs="宋体" w:asciiTheme="majorEastAsia" w:hAnsiTheme="majorEastAsia" w:eastAsiaTheme="majorEastAsia"/>
          <w:color w:val="auto"/>
          <w:szCs w:val="21"/>
          <w:highlight w:val="none"/>
        </w:rPr>
      </w:pPr>
    </w:p>
    <w:p w14:paraId="4113A0A7">
      <w:pPr>
        <w:rPr>
          <w:rFonts w:cs="宋体" w:asciiTheme="majorEastAsia" w:hAnsiTheme="majorEastAsia" w:eastAsiaTheme="majorEastAsia"/>
          <w:color w:val="auto"/>
          <w:szCs w:val="21"/>
          <w:highlight w:val="none"/>
        </w:rPr>
      </w:pPr>
    </w:p>
    <w:p w14:paraId="28522678">
      <w:pPr>
        <w:rPr>
          <w:rFonts w:cs="宋体" w:asciiTheme="majorEastAsia" w:hAnsiTheme="majorEastAsia" w:eastAsiaTheme="majorEastAsia"/>
          <w:color w:val="auto"/>
          <w:szCs w:val="21"/>
          <w:highlight w:val="none"/>
        </w:rPr>
      </w:pPr>
    </w:p>
    <w:p w14:paraId="567E8126">
      <w:pPr>
        <w:spacing w:line="360" w:lineRule="auto"/>
        <w:rPr>
          <w:rFonts w:cs="宋体" w:asciiTheme="majorEastAsia" w:hAnsiTheme="majorEastAsia" w:eastAsiaTheme="majorEastAsia"/>
          <w:b/>
          <w:color w:val="auto"/>
          <w:sz w:val="84"/>
          <w:highlight w:val="none"/>
        </w:rPr>
      </w:pPr>
      <w:bookmarkStart w:id="115" w:name="_Toc263413232"/>
      <w:bookmarkStart w:id="116" w:name="_Toc263675354"/>
      <w:bookmarkStart w:id="117" w:name="_Toc263675435"/>
      <w:bookmarkStart w:id="118" w:name="_Toc256773233"/>
      <w:bookmarkStart w:id="119" w:name="_Toc263674963"/>
      <w:r>
        <w:rPr>
          <w:rFonts w:hint="eastAsia" w:cs="宋体" w:asciiTheme="majorEastAsia" w:hAnsiTheme="majorEastAsia" w:eastAsiaTheme="majorEastAsia"/>
          <w:color w:val="auto"/>
          <w:szCs w:val="21"/>
          <w:highlight w:val="none"/>
        </w:rPr>
        <w:br w:type="page"/>
      </w:r>
      <w:bookmarkEnd w:id="115"/>
      <w:bookmarkEnd w:id="116"/>
      <w:bookmarkEnd w:id="117"/>
      <w:bookmarkEnd w:id="118"/>
      <w:bookmarkEnd w:id="119"/>
      <w:bookmarkStart w:id="120" w:name="_Toc25222"/>
    </w:p>
    <w:p w14:paraId="3ECD9F07">
      <w:pPr>
        <w:pStyle w:val="18"/>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highlight w:val="none"/>
        </w:rPr>
        <w:t>第八章投标文件格式</w:t>
      </w:r>
      <w:bookmarkEnd w:id="120"/>
    </w:p>
    <w:p w14:paraId="0857FD4B">
      <w:pPr>
        <w:spacing w:line="360" w:lineRule="auto"/>
        <w:rPr>
          <w:rFonts w:cs="宋体" w:asciiTheme="majorEastAsia" w:hAnsiTheme="majorEastAsia" w:eastAsiaTheme="majorEastAsia"/>
          <w:b/>
          <w:color w:val="auto"/>
          <w:sz w:val="32"/>
          <w:highlight w:val="none"/>
        </w:rPr>
      </w:pPr>
      <w:r>
        <w:rPr>
          <w:rFonts w:cs="宋体" w:asciiTheme="majorEastAsia" w:hAnsiTheme="majorEastAsia" w:eastAsiaTheme="majorEastAsia"/>
          <w:b/>
          <w:color w:val="auto"/>
          <w:sz w:val="32"/>
          <w:highlight w:val="none"/>
        </w:rPr>
        <w:br w:type="page"/>
      </w:r>
    </w:p>
    <w:p w14:paraId="0A122908">
      <w:pPr>
        <w:spacing w:line="360" w:lineRule="auto"/>
        <w:jc w:val="left"/>
        <w:rPr>
          <w:rFonts w:cs="宋体" w:asciiTheme="majorEastAsia" w:hAnsiTheme="majorEastAsia" w:eastAsiaTheme="majorEastAsia"/>
          <w:color w:val="auto"/>
          <w:sz w:val="36"/>
          <w:highlight w:val="none"/>
        </w:rPr>
      </w:pPr>
      <w:r>
        <w:rPr>
          <w:rFonts w:hint="eastAsia" w:cs="宋体" w:asciiTheme="majorEastAsia" w:hAnsiTheme="majorEastAsia" w:eastAsiaTheme="majorEastAsia"/>
          <w:color w:val="auto"/>
          <w:sz w:val="36"/>
          <w:highlight w:val="none"/>
        </w:rPr>
        <w:t>格式1：</w:t>
      </w:r>
    </w:p>
    <w:p w14:paraId="2E23C1E9">
      <w:pPr>
        <w:spacing w:line="360" w:lineRule="auto"/>
        <w:jc w:val="center"/>
        <w:rPr>
          <w:rFonts w:cs="宋体" w:asciiTheme="majorEastAsia" w:hAnsiTheme="majorEastAsia" w:eastAsiaTheme="majorEastAsia"/>
          <w:color w:val="auto"/>
          <w:sz w:val="36"/>
          <w:highlight w:val="none"/>
        </w:rPr>
      </w:pPr>
    </w:p>
    <w:p w14:paraId="0DF3954C">
      <w:pPr>
        <w:pStyle w:val="5"/>
        <w:rPr>
          <w:color w:val="auto"/>
          <w:highlight w:val="none"/>
        </w:rPr>
      </w:pPr>
    </w:p>
    <w:p w14:paraId="7706CC0B">
      <w:pPr>
        <w:spacing w:line="360" w:lineRule="auto"/>
        <w:jc w:val="center"/>
        <w:rPr>
          <w:rFonts w:cs="宋体" w:asciiTheme="majorEastAsia" w:hAnsiTheme="majorEastAsia" w:eastAsiaTheme="majorEastAsia"/>
          <w:color w:val="auto"/>
          <w:highlight w:val="none"/>
          <w:u w:val="single"/>
        </w:rPr>
      </w:pPr>
      <w:r>
        <w:rPr>
          <w:rFonts w:hint="eastAsia" w:cs="宋体" w:asciiTheme="majorEastAsia" w:hAnsiTheme="majorEastAsia" w:eastAsiaTheme="majorEastAsia"/>
          <w:b/>
          <w:color w:val="auto"/>
          <w:sz w:val="48"/>
          <w:highlight w:val="none"/>
          <w:u w:val="single"/>
        </w:rPr>
        <w:t>（项目名称）</w:t>
      </w:r>
      <w:r>
        <w:rPr>
          <w:rFonts w:hint="eastAsia" w:cs="宋体" w:asciiTheme="majorEastAsia" w:hAnsiTheme="majorEastAsia" w:eastAsiaTheme="majorEastAsia"/>
          <w:b/>
          <w:color w:val="auto"/>
          <w:sz w:val="48"/>
          <w:highlight w:val="none"/>
        </w:rPr>
        <w:t>招标</w:t>
      </w:r>
    </w:p>
    <w:p w14:paraId="609E7CF7">
      <w:pPr>
        <w:spacing w:line="360" w:lineRule="auto"/>
        <w:rPr>
          <w:rFonts w:cs="宋体" w:asciiTheme="majorEastAsia" w:hAnsiTheme="majorEastAsia" w:eastAsiaTheme="majorEastAsia"/>
          <w:b/>
          <w:color w:val="auto"/>
          <w:sz w:val="32"/>
          <w:highlight w:val="none"/>
        </w:rPr>
      </w:pPr>
    </w:p>
    <w:p w14:paraId="38989282">
      <w:pPr>
        <w:spacing w:line="360" w:lineRule="auto"/>
        <w:rPr>
          <w:rFonts w:cs="宋体" w:asciiTheme="majorEastAsia" w:hAnsiTheme="majorEastAsia" w:eastAsiaTheme="majorEastAsia"/>
          <w:color w:val="auto"/>
          <w:highlight w:val="none"/>
        </w:rPr>
      </w:pPr>
    </w:p>
    <w:p w14:paraId="1D4D61F6">
      <w:pPr>
        <w:jc w:val="center"/>
        <w:rPr>
          <w:rFonts w:asciiTheme="majorEastAsia" w:hAnsiTheme="majorEastAsia" w:eastAsiaTheme="majorEastAsia"/>
          <w:b/>
          <w:color w:val="auto"/>
          <w:highlight w:val="none"/>
        </w:rPr>
      </w:pPr>
    </w:p>
    <w:p w14:paraId="0E9BC2B4">
      <w:pPr>
        <w:jc w:val="center"/>
        <w:rPr>
          <w:rFonts w:cs="宋体" w:asciiTheme="majorEastAsia" w:hAnsiTheme="majorEastAsia" w:eastAsiaTheme="majorEastAsia"/>
          <w:b/>
          <w:color w:val="auto"/>
          <w:highlight w:val="none"/>
        </w:rPr>
      </w:pPr>
    </w:p>
    <w:p w14:paraId="777EF66C">
      <w:pPr>
        <w:jc w:val="center"/>
        <w:rPr>
          <w:rFonts w:cs="宋体" w:asciiTheme="majorEastAsia" w:hAnsiTheme="majorEastAsia" w:eastAsiaTheme="majorEastAsia"/>
          <w:b/>
          <w:color w:val="auto"/>
          <w:highlight w:val="none"/>
        </w:rPr>
      </w:pPr>
    </w:p>
    <w:p w14:paraId="42B1D1B6">
      <w:pPr>
        <w:jc w:val="center"/>
        <w:rPr>
          <w:rFonts w:cs="宋体" w:asciiTheme="majorEastAsia" w:hAnsiTheme="majorEastAsia" w:eastAsiaTheme="majorEastAsia"/>
          <w:b/>
          <w:color w:val="auto"/>
          <w:highlight w:val="none"/>
        </w:rPr>
      </w:pPr>
    </w:p>
    <w:p w14:paraId="1DD5160E">
      <w:pPr>
        <w:spacing w:line="360" w:lineRule="auto"/>
        <w:jc w:val="center"/>
        <w:rPr>
          <w:rFonts w:cs="宋体" w:asciiTheme="majorEastAsia" w:hAnsiTheme="majorEastAsia" w:eastAsiaTheme="majorEastAsia"/>
          <w:color w:val="auto"/>
          <w:sz w:val="72"/>
          <w:highlight w:val="none"/>
        </w:rPr>
      </w:pPr>
    </w:p>
    <w:p w14:paraId="5877B6AD">
      <w:pPr>
        <w:spacing w:line="360" w:lineRule="auto"/>
        <w:jc w:val="center"/>
        <w:rPr>
          <w:rFonts w:cs="宋体" w:asciiTheme="majorEastAsia" w:hAnsiTheme="majorEastAsia" w:eastAsiaTheme="majorEastAsia"/>
          <w:color w:val="auto"/>
          <w:sz w:val="72"/>
          <w:highlight w:val="none"/>
        </w:rPr>
      </w:pPr>
      <w:r>
        <w:rPr>
          <w:rFonts w:hint="eastAsia" w:cs="宋体" w:asciiTheme="majorEastAsia" w:hAnsiTheme="majorEastAsia" w:eastAsiaTheme="majorEastAsia"/>
          <w:color w:val="auto"/>
          <w:sz w:val="72"/>
          <w:highlight w:val="none"/>
        </w:rPr>
        <w:t>投标文件</w:t>
      </w:r>
    </w:p>
    <w:p w14:paraId="05C5DBA4">
      <w:pPr>
        <w:spacing w:line="360" w:lineRule="auto"/>
        <w:jc w:val="center"/>
        <w:rPr>
          <w:rFonts w:cs="宋体" w:asciiTheme="majorEastAsia" w:hAnsiTheme="majorEastAsia" w:eastAsiaTheme="majorEastAsia"/>
          <w:color w:val="auto"/>
          <w:sz w:val="52"/>
          <w:highlight w:val="none"/>
        </w:rPr>
      </w:pPr>
    </w:p>
    <w:p w14:paraId="27F03FED">
      <w:pPr>
        <w:spacing w:line="360" w:lineRule="auto"/>
        <w:jc w:val="center"/>
        <w:rPr>
          <w:rFonts w:ascii="宋体" w:hAnsi="宋体"/>
          <w:b/>
          <w:bCs/>
          <w:color w:val="auto"/>
          <w:sz w:val="44"/>
          <w:szCs w:val="44"/>
          <w:highlight w:val="none"/>
        </w:rPr>
      </w:pPr>
      <w:r>
        <w:rPr>
          <w:rFonts w:hint="eastAsia" w:ascii="宋体" w:hAnsi="宋体"/>
          <w:b/>
          <w:bCs/>
          <w:color w:val="auto"/>
          <w:sz w:val="44"/>
          <w:szCs w:val="44"/>
          <w:highlight w:val="none"/>
        </w:rPr>
        <w:t>（第一册：商务标书）</w:t>
      </w:r>
    </w:p>
    <w:p w14:paraId="2FC54225">
      <w:pPr>
        <w:spacing w:line="360" w:lineRule="auto"/>
        <w:rPr>
          <w:rFonts w:cs="宋体" w:asciiTheme="majorEastAsia" w:hAnsiTheme="majorEastAsia" w:eastAsiaTheme="majorEastAsia"/>
          <w:color w:val="auto"/>
          <w:highlight w:val="none"/>
        </w:rPr>
      </w:pPr>
    </w:p>
    <w:p w14:paraId="711D7E36">
      <w:pPr>
        <w:spacing w:line="360" w:lineRule="auto"/>
        <w:ind w:firstLine="420"/>
        <w:rPr>
          <w:rFonts w:cs="宋体" w:asciiTheme="majorEastAsia" w:hAnsiTheme="majorEastAsia" w:eastAsiaTheme="majorEastAsia"/>
          <w:color w:val="auto"/>
          <w:highlight w:val="none"/>
        </w:rPr>
      </w:pPr>
    </w:p>
    <w:p w14:paraId="4DD21FE2">
      <w:pPr>
        <w:spacing w:line="360" w:lineRule="auto"/>
        <w:rPr>
          <w:rFonts w:cs="宋体" w:asciiTheme="majorEastAsia" w:hAnsiTheme="majorEastAsia" w:eastAsiaTheme="majorEastAsia"/>
          <w:color w:val="auto"/>
          <w:highlight w:val="none"/>
        </w:rPr>
      </w:pPr>
    </w:p>
    <w:p w14:paraId="7E57BA41">
      <w:pPr>
        <w:spacing w:line="360" w:lineRule="auto"/>
        <w:ind w:firstLine="420"/>
        <w:rPr>
          <w:rFonts w:cs="宋体" w:asciiTheme="majorEastAsia" w:hAnsiTheme="majorEastAsia" w:eastAsiaTheme="majorEastAsia"/>
          <w:color w:val="auto"/>
          <w:highlight w:val="none"/>
        </w:rPr>
      </w:pPr>
    </w:p>
    <w:p w14:paraId="3527B0AC">
      <w:pPr>
        <w:spacing w:line="360" w:lineRule="auto"/>
        <w:ind w:firstLine="560" w:firstLineChars="200"/>
        <w:jc w:val="both"/>
        <w:rPr>
          <w:rFonts w:cs="宋体" w:asciiTheme="majorEastAsia" w:hAnsiTheme="majorEastAsia" w:eastAsiaTheme="majorEastAsia"/>
          <w:color w:val="auto"/>
          <w:sz w:val="28"/>
          <w:highlight w:val="none"/>
        </w:rPr>
      </w:pPr>
      <w:r>
        <w:rPr>
          <w:rFonts w:hint="eastAsia" w:cs="宋体" w:asciiTheme="majorEastAsia" w:hAnsiTheme="majorEastAsia" w:eastAsiaTheme="majorEastAsia"/>
          <w:color w:val="auto"/>
          <w:sz w:val="28"/>
          <w:highlight w:val="none"/>
        </w:rPr>
        <w:t>投标人：</w:t>
      </w:r>
      <w:r>
        <w:rPr>
          <w:rFonts w:hint="eastAsia" w:ascii="宋体" w:hAnsi="宋体" w:cs="宋体"/>
          <w:color w:val="000000"/>
          <w:sz w:val="28"/>
          <w:szCs w:val="28"/>
          <w:highlight w:val="none"/>
          <w:u w:val="single"/>
        </w:rPr>
        <w:t xml:space="preserve">      （投标人名称）     </w:t>
      </w:r>
      <w:r>
        <w:rPr>
          <w:rFonts w:hint="eastAsia" w:cs="宋体" w:asciiTheme="majorEastAsia" w:hAnsiTheme="majorEastAsia" w:eastAsiaTheme="majorEastAsia"/>
          <w:color w:val="auto"/>
          <w:sz w:val="28"/>
          <w:highlight w:val="none"/>
        </w:rPr>
        <w:t>（盖单位章）</w:t>
      </w:r>
    </w:p>
    <w:p w14:paraId="5D3215F0">
      <w:pPr>
        <w:spacing w:line="360" w:lineRule="auto"/>
        <w:ind w:firstLine="560"/>
        <w:rPr>
          <w:rFonts w:cs="宋体" w:asciiTheme="majorEastAsia" w:hAnsiTheme="majorEastAsia" w:eastAsiaTheme="majorEastAsia"/>
          <w:color w:val="auto"/>
          <w:sz w:val="28"/>
          <w:highlight w:val="none"/>
        </w:rPr>
      </w:pPr>
      <w:r>
        <w:rPr>
          <w:rFonts w:hint="eastAsia" w:cs="宋体" w:asciiTheme="majorEastAsia" w:hAnsiTheme="majorEastAsia" w:eastAsiaTheme="majorEastAsia"/>
          <w:color w:val="auto"/>
          <w:sz w:val="28"/>
          <w:highlight w:val="none"/>
        </w:rPr>
        <w:t>法定代表人或其授权委托人：</w:t>
      </w:r>
      <w:r>
        <w:rPr>
          <w:rFonts w:hint="eastAsia" w:ascii="宋体" w:hAnsi="宋体" w:cs="宋体"/>
          <w:color w:val="000000"/>
          <w:sz w:val="28"/>
          <w:szCs w:val="28"/>
          <w:highlight w:val="none"/>
          <w:u w:val="single"/>
        </w:rPr>
        <w:t xml:space="preserve">            </w:t>
      </w:r>
      <w:r>
        <w:rPr>
          <w:rFonts w:hint="eastAsia" w:cs="宋体" w:asciiTheme="majorEastAsia" w:hAnsiTheme="majorEastAsia" w:eastAsiaTheme="majorEastAsia"/>
          <w:color w:val="auto"/>
          <w:sz w:val="28"/>
          <w:highlight w:val="none"/>
        </w:rPr>
        <w:t>（签字）</w:t>
      </w:r>
    </w:p>
    <w:p w14:paraId="70AE48C0">
      <w:pPr>
        <w:pStyle w:val="40"/>
        <w:rPr>
          <w:rFonts w:eastAsiaTheme="majorEastAsia"/>
          <w:color w:val="auto"/>
          <w:highlight w:val="none"/>
        </w:rPr>
      </w:pPr>
    </w:p>
    <w:p w14:paraId="709DBC44">
      <w:pPr>
        <w:spacing w:line="360" w:lineRule="auto"/>
        <w:ind w:firstLine="420"/>
        <w:jc w:val="center"/>
        <w:rPr>
          <w:rFonts w:cs="宋体" w:asciiTheme="majorEastAsia" w:hAnsiTheme="majorEastAsia" w:eastAsiaTheme="majorEastAsia"/>
          <w:color w:val="auto"/>
          <w:highlight w:val="none"/>
          <w:u w:val="single"/>
        </w:rPr>
      </w:pPr>
    </w:p>
    <w:p w14:paraId="2DF87FEE">
      <w:pPr>
        <w:spacing w:line="360" w:lineRule="auto"/>
        <w:ind w:firstLine="560"/>
        <w:jc w:val="center"/>
        <w:rPr>
          <w:rFonts w:cs="宋体" w:asciiTheme="majorEastAsia" w:hAnsiTheme="majorEastAsia" w:eastAsiaTheme="majorEastAsia"/>
          <w:color w:val="auto"/>
          <w:sz w:val="28"/>
          <w:highlight w:val="none"/>
        </w:rPr>
      </w:pPr>
      <w:r>
        <w:rPr>
          <w:rFonts w:hint="eastAsia" w:cs="宋体" w:asciiTheme="majorEastAsia" w:hAnsiTheme="majorEastAsia" w:eastAsiaTheme="majorEastAsia"/>
          <w:color w:val="auto"/>
          <w:sz w:val="28"/>
          <w:highlight w:val="none"/>
        </w:rPr>
        <w:t>年</w:t>
      </w:r>
      <w:r>
        <w:rPr>
          <w:rFonts w:hint="eastAsia" w:cs="宋体" w:asciiTheme="majorEastAsia" w:hAnsiTheme="majorEastAsia" w:eastAsiaTheme="majorEastAsia"/>
          <w:color w:val="auto"/>
          <w:sz w:val="28"/>
          <w:highlight w:val="none"/>
          <w:lang w:val="en-US" w:eastAsia="zh-CN"/>
        </w:rPr>
        <w:t xml:space="preserve">   </w:t>
      </w:r>
      <w:r>
        <w:rPr>
          <w:rFonts w:hint="eastAsia" w:cs="宋体" w:asciiTheme="majorEastAsia" w:hAnsiTheme="majorEastAsia" w:eastAsiaTheme="majorEastAsia"/>
          <w:color w:val="auto"/>
          <w:sz w:val="28"/>
          <w:highlight w:val="none"/>
        </w:rPr>
        <w:t>月</w:t>
      </w:r>
      <w:r>
        <w:rPr>
          <w:rFonts w:hint="eastAsia" w:cs="宋体" w:asciiTheme="majorEastAsia" w:hAnsiTheme="majorEastAsia" w:eastAsiaTheme="majorEastAsia"/>
          <w:color w:val="auto"/>
          <w:sz w:val="28"/>
          <w:highlight w:val="none"/>
          <w:lang w:val="en-US" w:eastAsia="zh-CN"/>
        </w:rPr>
        <w:t xml:space="preserve">   </w:t>
      </w:r>
      <w:r>
        <w:rPr>
          <w:rFonts w:hint="eastAsia" w:cs="宋体" w:asciiTheme="majorEastAsia" w:hAnsiTheme="majorEastAsia" w:eastAsiaTheme="majorEastAsia"/>
          <w:color w:val="auto"/>
          <w:sz w:val="28"/>
          <w:highlight w:val="none"/>
        </w:rPr>
        <w:t>日</w:t>
      </w:r>
    </w:p>
    <w:p w14:paraId="3DBB9F91">
      <w:pPr>
        <w:tabs>
          <w:tab w:val="left" w:pos="7425"/>
        </w:tabs>
        <w:ind w:firstLine="420"/>
        <w:rPr>
          <w:rFonts w:cs="宋体" w:asciiTheme="majorEastAsia" w:hAnsiTheme="majorEastAsia" w:eastAsiaTheme="majorEastAsia"/>
          <w:color w:val="auto"/>
          <w:highlight w:val="none"/>
        </w:rPr>
      </w:pPr>
      <w:r>
        <w:rPr>
          <w:rFonts w:cs="宋体" w:asciiTheme="majorEastAsia" w:hAnsiTheme="majorEastAsia" w:eastAsiaTheme="majorEastAsia"/>
          <w:color w:val="auto"/>
          <w:highlight w:val="none"/>
        </w:rPr>
        <w:tab/>
      </w:r>
    </w:p>
    <w:p w14:paraId="261FE969">
      <w:pPr>
        <w:tabs>
          <w:tab w:val="left" w:pos="7425"/>
        </w:tabs>
        <w:ind w:firstLine="420"/>
        <w:rPr>
          <w:rFonts w:cs="宋体" w:asciiTheme="majorEastAsia" w:hAnsiTheme="majorEastAsia" w:eastAsiaTheme="majorEastAsia"/>
          <w:b/>
          <w:color w:val="auto"/>
          <w:sz w:val="24"/>
          <w:highlight w:val="none"/>
        </w:rPr>
      </w:pPr>
    </w:p>
    <w:p w14:paraId="14608845">
      <w:pPr>
        <w:spacing w:line="360" w:lineRule="auto"/>
        <w:jc w:val="center"/>
        <w:rPr>
          <w:rFonts w:cs="宋体" w:asciiTheme="majorEastAsia" w:hAnsiTheme="majorEastAsia" w:eastAsiaTheme="majorEastAsia"/>
          <w:b/>
          <w:color w:val="auto"/>
          <w:sz w:val="24"/>
          <w:highlight w:val="none"/>
        </w:rPr>
      </w:pPr>
      <w:r>
        <w:rPr>
          <w:rFonts w:cs="宋体" w:asciiTheme="majorEastAsia" w:hAnsiTheme="majorEastAsia" w:eastAsiaTheme="majorEastAsia"/>
          <w:b/>
          <w:color w:val="auto"/>
          <w:sz w:val="24"/>
          <w:highlight w:val="none"/>
        </w:rPr>
        <w:br w:type="page"/>
      </w:r>
      <w:r>
        <w:rPr>
          <w:rFonts w:hint="eastAsia" w:cs="宋体" w:asciiTheme="majorEastAsia" w:hAnsiTheme="majorEastAsia" w:eastAsiaTheme="majorEastAsia"/>
          <w:b/>
          <w:color w:val="auto"/>
          <w:sz w:val="24"/>
          <w:highlight w:val="none"/>
        </w:rPr>
        <w:t>评审因素索引表</w:t>
      </w:r>
    </w:p>
    <w:tbl>
      <w:tblPr>
        <w:tblStyle w:val="20"/>
        <w:tblW w:w="0" w:type="auto"/>
        <w:tblInd w:w="288" w:type="dxa"/>
        <w:tblLayout w:type="autofit"/>
        <w:tblCellMar>
          <w:top w:w="0" w:type="dxa"/>
          <w:left w:w="10" w:type="dxa"/>
          <w:bottom w:w="0" w:type="dxa"/>
          <w:right w:w="10" w:type="dxa"/>
        </w:tblCellMar>
      </w:tblPr>
      <w:tblGrid>
        <w:gridCol w:w="914"/>
        <w:gridCol w:w="6367"/>
        <w:gridCol w:w="2137"/>
      </w:tblGrid>
      <w:tr w14:paraId="3E275947">
        <w:tblPrEx>
          <w:tblCellMar>
            <w:top w:w="0" w:type="dxa"/>
            <w:left w:w="10" w:type="dxa"/>
            <w:bottom w:w="0" w:type="dxa"/>
            <w:right w:w="10" w:type="dxa"/>
          </w:tblCellMar>
        </w:tblPrEx>
        <w:trPr>
          <w:trHeight w:val="1041" w:hRule="atLeast"/>
        </w:trPr>
        <w:tc>
          <w:tcPr>
            <w:tcW w:w="9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78E12C">
            <w:pPr>
              <w:rPr>
                <w:rFonts w:cs="宋体" w:asciiTheme="majorEastAsia" w:hAnsiTheme="majorEastAsia" w:eastAsiaTheme="majorEastAsia"/>
                <w:color w:val="auto"/>
                <w:highlight w:val="none"/>
              </w:rPr>
            </w:pPr>
            <w:r>
              <w:rPr>
                <w:rFonts w:hint="eastAsia" w:cs="宋体" w:asciiTheme="majorEastAsia" w:hAnsiTheme="majorEastAsia" w:eastAsiaTheme="majorEastAsia"/>
                <w:b/>
                <w:color w:val="auto"/>
                <w:highlight w:val="none"/>
              </w:rPr>
              <w:t>序号</w:t>
            </w:r>
          </w:p>
        </w:tc>
        <w:tc>
          <w:tcPr>
            <w:tcW w:w="63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C8B94C">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b/>
                <w:color w:val="auto"/>
                <w:highlight w:val="none"/>
              </w:rPr>
              <w:t>评审因素</w:t>
            </w:r>
          </w:p>
        </w:tc>
        <w:tc>
          <w:tcPr>
            <w:tcW w:w="21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EB0D3C">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b/>
                <w:color w:val="auto"/>
                <w:highlight w:val="none"/>
              </w:rPr>
              <w:t>投标文件页码范围</w:t>
            </w:r>
          </w:p>
        </w:tc>
      </w:tr>
      <w:tr w14:paraId="54088660">
        <w:tblPrEx>
          <w:tblCellMar>
            <w:top w:w="0" w:type="dxa"/>
            <w:left w:w="10" w:type="dxa"/>
            <w:bottom w:w="0" w:type="dxa"/>
            <w:right w:w="10" w:type="dxa"/>
          </w:tblCellMar>
        </w:tblPrEx>
        <w:trPr>
          <w:trHeight w:val="1041" w:hRule="atLeast"/>
        </w:trPr>
        <w:tc>
          <w:tcPr>
            <w:tcW w:w="9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1015FA">
            <w:pPr>
              <w:jc w:val="center"/>
              <w:rPr>
                <w:rFonts w:cs="宋体" w:asciiTheme="majorEastAsia" w:hAnsiTheme="majorEastAsia" w:eastAsiaTheme="majorEastAsia"/>
                <w:color w:val="auto"/>
                <w:sz w:val="22"/>
                <w:highlight w:val="none"/>
              </w:rPr>
            </w:pPr>
          </w:p>
        </w:tc>
        <w:tc>
          <w:tcPr>
            <w:tcW w:w="63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DB1C9C">
            <w:pPr>
              <w:jc w:val="center"/>
              <w:rPr>
                <w:rFonts w:cs="宋体" w:asciiTheme="majorEastAsia" w:hAnsiTheme="majorEastAsia" w:eastAsiaTheme="majorEastAsia"/>
                <w:color w:val="auto"/>
                <w:sz w:val="22"/>
                <w:highlight w:val="none"/>
              </w:rPr>
            </w:pPr>
          </w:p>
        </w:tc>
        <w:tc>
          <w:tcPr>
            <w:tcW w:w="21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A81A12">
            <w:pPr>
              <w:rPr>
                <w:rFonts w:cs="宋体" w:asciiTheme="majorEastAsia" w:hAnsiTheme="majorEastAsia" w:eastAsiaTheme="majorEastAsia"/>
                <w:color w:val="auto"/>
                <w:highlight w:val="none"/>
              </w:rPr>
            </w:pPr>
            <w:r>
              <w:rPr>
                <w:rFonts w:cs="宋体" w:asciiTheme="majorEastAsia" w:hAnsiTheme="majorEastAsia" w:eastAsiaTheme="majorEastAsia"/>
                <w:color w:val="auto"/>
                <w:highlight w:val="none"/>
              </w:rPr>
              <w:t>P~P</w:t>
            </w:r>
          </w:p>
        </w:tc>
      </w:tr>
      <w:tr w14:paraId="6428BB19">
        <w:tblPrEx>
          <w:tblCellMar>
            <w:top w:w="0" w:type="dxa"/>
            <w:left w:w="10" w:type="dxa"/>
            <w:bottom w:w="0" w:type="dxa"/>
            <w:right w:w="10" w:type="dxa"/>
          </w:tblCellMar>
        </w:tblPrEx>
        <w:trPr>
          <w:trHeight w:val="1001" w:hRule="atLeast"/>
        </w:trPr>
        <w:tc>
          <w:tcPr>
            <w:tcW w:w="9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57F92F">
            <w:pPr>
              <w:jc w:val="center"/>
              <w:rPr>
                <w:rFonts w:cs="宋体" w:asciiTheme="majorEastAsia" w:hAnsiTheme="majorEastAsia" w:eastAsiaTheme="majorEastAsia"/>
                <w:color w:val="auto"/>
                <w:sz w:val="22"/>
                <w:highlight w:val="none"/>
              </w:rPr>
            </w:pPr>
          </w:p>
        </w:tc>
        <w:tc>
          <w:tcPr>
            <w:tcW w:w="63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03DD86">
            <w:pPr>
              <w:jc w:val="center"/>
              <w:rPr>
                <w:rFonts w:cs="宋体" w:asciiTheme="majorEastAsia" w:hAnsiTheme="majorEastAsia" w:eastAsiaTheme="majorEastAsia"/>
                <w:color w:val="auto"/>
                <w:sz w:val="22"/>
                <w:highlight w:val="none"/>
              </w:rPr>
            </w:pPr>
          </w:p>
        </w:tc>
        <w:tc>
          <w:tcPr>
            <w:tcW w:w="21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5C4C73">
            <w:pPr>
              <w:rPr>
                <w:rFonts w:cs="宋体" w:asciiTheme="majorEastAsia" w:hAnsiTheme="majorEastAsia" w:eastAsiaTheme="majorEastAsia"/>
                <w:color w:val="auto"/>
                <w:highlight w:val="none"/>
              </w:rPr>
            </w:pPr>
            <w:r>
              <w:rPr>
                <w:rFonts w:cs="宋体" w:asciiTheme="majorEastAsia" w:hAnsiTheme="majorEastAsia" w:eastAsiaTheme="majorEastAsia"/>
                <w:color w:val="auto"/>
                <w:highlight w:val="none"/>
              </w:rPr>
              <w:t>P~P</w:t>
            </w:r>
          </w:p>
        </w:tc>
      </w:tr>
      <w:tr w14:paraId="38DA614A">
        <w:tblPrEx>
          <w:tblCellMar>
            <w:top w:w="0" w:type="dxa"/>
            <w:left w:w="10" w:type="dxa"/>
            <w:bottom w:w="0" w:type="dxa"/>
            <w:right w:w="10" w:type="dxa"/>
          </w:tblCellMar>
        </w:tblPrEx>
        <w:trPr>
          <w:trHeight w:val="1041" w:hRule="atLeast"/>
        </w:trPr>
        <w:tc>
          <w:tcPr>
            <w:tcW w:w="9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0F7C93">
            <w:pPr>
              <w:jc w:val="center"/>
              <w:rPr>
                <w:rFonts w:cs="宋体" w:asciiTheme="majorEastAsia" w:hAnsiTheme="majorEastAsia" w:eastAsiaTheme="majorEastAsia"/>
                <w:color w:val="auto"/>
                <w:sz w:val="22"/>
                <w:highlight w:val="none"/>
              </w:rPr>
            </w:pPr>
          </w:p>
        </w:tc>
        <w:tc>
          <w:tcPr>
            <w:tcW w:w="63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6A085D">
            <w:pPr>
              <w:jc w:val="center"/>
              <w:rPr>
                <w:rFonts w:cs="宋体" w:asciiTheme="majorEastAsia" w:hAnsiTheme="majorEastAsia" w:eastAsiaTheme="majorEastAsia"/>
                <w:color w:val="auto"/>
                <w:sz w:val="22"/>
                <w:highlight w:val="none"/>
              </w:rPr>
            </w:pPr>
          </w:p>
        </w:tc>
        <w:tc>
          <w:tcPr>
            <w:tcW w:w="21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FD839A">
            <w:pPr>
              <w:rPr>
                <w:rFonts w:cs="宋体" w:asciiTheme="majorEastAsia" w:hAnsiTheme="majorEastAsia" w:eastAsiaTheme="majorEastAsia"/>
                <w:color w:val="auto"/>
                <w:highlight w:val="none"/>
              </w:rPr>
            </w:pPr>
            <w:r>
              <w:rPr>
                <w:rFonts w:cs="宋体" w:asciiTheme="majorEastAsia" w:hAnsiTheme="majorEastAsia" w:eastAsiaTheme="majorEastAsia"/>
                <w:color w:val="auto"/>
                <w:highlight w:val="none"/>
              </w:rPr>
              <w:t>P~P</w:t>
            </w:r>
          </w:p>
        </w:tc>
      </w:tr>
      <w:tr w14:paraId="7EFA98F7">
        <w:tblPrEx>
          <w:tblCellMar>
            <w:top w:w="0" w:type="dxa"/>
            <w:left w:w="10" w:type="dxa"/>
            <w:bottom w:w="0" w:type="dxa"/>
            <w:right w:w="10" w:type="dxa"/>
          </w:tblCellMar>
        </w:tblPrEx>
        <w:trPr>
          <w:trHeight w:val="1041" w:hRule="atLeast"/>
        </w:trPr>
        <w:tc>
          <w:tcPr>
            <w:tcW w:w="9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5AC492">
            <w:pPr>
              <w:jc w:val="center"/>
              <w:rPr>
                <w:rFonts w:cs="宋体" w:asciiTheme="majorEastAsia" w:hAnsiTheme="majorEastAsia" w:eastAsiaTheme="majorEastAsia"/>
                <w:color w:val="auto"/>
                <w:sz w:val="22"/>
                <w:highlight w:val="none"/>
              </w:rPr>
            </w:pPr>
          </w:p>
        </w:tc>
        <w:tc>
          <w:tcPr>
            <w:tcW w:w="63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59FA72">
            <w:pPr>
              <w:jc w:val="center"/>
              <w:rPr>
                <w:rFonts w:cs="宋体" w:asciiTheme="majorEastAsia" w:hAnsiTheme="majorEastAsia" w:eastAsiaTheme="majorEastAsia"/>
                <w:color w:val="auto"/>
                <w:sz w:val="22"/>
                <w:highlight w:val="none"/>
              </w:rPr>
            </w:pPr>
          </w:p>
        </w:tc>
        <w:tc>
          <w:tcPr>
            <w:tcW w:w="21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BBBDC3">
            <w:pPr>
              <w:rPr>
                <w:rFonts w:cs="宋体" w:asciiTheme="majorEastAsia" w:hAnsiTheme="majorEastAsia" w:eastAsiaTheme="majorEastAsia"/>
                <w:color w:val="auto"/>
                <w:highlight w:val="none"/>
              </w:rPr>
            </w:pPr>
            <w:r>
              <w:rPr>
                <w:rFonts w:cs="宋体" w:asciiTheme="majorEastAsia" w:hAnsiTheme="majorEastAsia" w:eastAsiaTheme="majorEastAsia"/>
                <w:color w:val="auto"/>
                <w:highlight w:val="none"/>
              </w:rPr>
              <w:t>P~P</w:t>
            </w:r>
          </w:p>
        </w:tc>
      </w:tr>
      <w:tr w14:paraId="5CC2B7E1">
        <w:tblPrEx>
          <w:tblCellMar>
            <w:top w:w="0" w:type="dxa"/>
            <w:left w:w="10" w:type="dxa"/>
            <w:bottom w:w="0" w:type="dxa"/>
            <w:right w:w="10" w:type="dxa"/>
          </w:tblCellMar>
        </w:tblPrEx>
        <w:trPr>
          <w:trHeight w:val="1001" w:hRule="atLeast"/>
        </w:trPr>
        <w:tc>
          <w:tcPr>
            <w:tcW w:w="9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942E57">
            <w:pPr>
              <w:jc w:val="center"/>
              <w:rPr>
                <w:rFonts w:cs="宋体" w:asciiTheme="majorEastAsia" w:hAnsiTheme="majorEastAsia" w:eastAsiaTheme="majorEastAsia"/>
                <w:color w:val="auto"/>
                <w:sz w:val="22"/>
                <w:highlight w:val="none"/>
              </w:rPr>
            </w:pPr>
          </w:p>
        </w:tc>
        <w:tc>
          <w:tcPr>
            <w:tcW w:w="63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4E3A68">
            <w:pPr>
              <w:jc w:val="center"/>
              <w:rPr>
                <w:rFonts w:cs="宋体" w:asciiTheme="majorEastAsia" w:hAnsiTheme="majorEastAsia" w:eastAsiaTheme="majorEastAsia"/>
                <w:color w:val="auto"/>
                <w:sz w:val="22"/>
                <w:highlight w:val="none"/>
              </w:rPr>
            </w:pPr>
          </w:p>
        </w:tc>
        <w:tc>
          <w:tcPr>
            <w:tcW w:w="21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76BA15">
            <w:pPr>
              <w:rPr>
                <w:rFonts w:cs="宋体" w:asciiTheme="majorEastAsia" w:hAnsiTheme="majorEastAsia" w:eastAsiaTheme="majorEastAsia"/>
                <w:color w:val="auto"/>
                <w:highlight w:val="none"/>
              </w:rPr>
            </w:pPr>
            <w:r>
              <w:rPr>
                <w:rFonts w:cs="宋体" w:asciiTheme="majorEastAsia" w:hAnsiTheme="majorEastAsia" w:eastAsiaTheme="majorEastAsia"/>
                <w:color w:val="auto"/>
                <w:highlight w:val="none"/>
              </w:rPr>
              <w:t>P~P</w:t>
            </w:r>
          </w:p>
        </w:tc>
      </w:tr>
      <w:tr w14:paraId="359C1FA5">
        <w:tblPrEx>
          <w:tblCellMar>
            <w:top w:w="0" w:type="dxa"/>
            <w:left w:w="10" w:type="dxa"/>
            <w:bottom w:w="0" w:type="dxa"/>
            <w:right w:w="10" w:type="dxa"/>
          </w:tblCellMar>
        </w:tblPrEx>
        <w:trPr>
          <w:trHeight w:val="1041" w:hRule="atLeast"/>
        </w:trPr>
        <w:tc>
          <w:tcPr>
            <w:tcW w:w="9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5849AD">
            <w:pPr>
              <w:jc w:val="center"/>
              <w:rPr>
                <w:rFonts w:cs="宋体" w:asciiTheme="majorEastAsia" w:hAnsiTheme="majorEastAsia" w:eastAsiaTheme="majorEastAsia"/>
                <w:color w:val="auto"/>
                <w:sz w:val="22"/>
                <w:highlight w:val="none"/>
              </w:rPr>
            </w:pPr>
          </w:p>
        </w:tc>
        <w:tc>
          <w:tcPr>
            <w:tcW w:w="63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65C324">
            <w:pPr>
              <w:jc w:val="center"/>
              <w:rPr>
                <w:rFonts w:cs="宋体" w:asciiTheme="majorEastAsia" w:hAnsiTheme="majorEastAsia" w:eastAsiaTheme="majorEastAsia"/>
                <w:color w:val="auto"/>
                <w:sz w:val="22"/>
                <w:highlight w:val="none"/>
              </w:rPr>
            </w:pPr>
          </w:p>
        </w:tc>
        <w:tc>
          <w:tcPr>
            <w:tcW w:w="21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E8AC86">
            <w:pPr>
              <w:rPr>
                <w:rFonts w:cs="宋体" w:asciiTheme="majorEastAsia" w:hAnsiTheme="majorEastAsia" w:eastAsiaTheme="majorEastAsia"/>
                <w:color w:val="auto"/>
                <w:highlight w:val="none"/>
              </w:rPr>
            </w:pPr>
            <w:r>
              <w:rPr>
                <w:rFonts w:cs="宋体" w:asciiTheme="majorEastAsia" w:hAnsiTheme="majorEastAsia" w:eastAsiaTheme="majorEastAsia"/>
                <w:color w:val="auto"/>
                <w:highlight w:val="none"/>
              </w:rPr>
              <w:t>P~P</w:t>
            </w:r>
          </w:p>
        </w:tc>
      </w:tr>
      <w:tr w14:paraId="59B7185B">
        <w:tblPrEx>
          <w:tblCellMar>
            <w:top w:w="0" w:type="dxa"/>
            <w:left w:w="10" w:type="dxa"/>
            <w:bottom w:w="0" w:type="dxa"/>
            <w:right w:w="10" w:type="dxa"/>
          </w:tblCellMar>
        </w:tblPrEx>
        <w:trPr>
          <w:trHeight w:val="1041" w:hRule="atLeast"/>
        </w:trPr>
        <w:tc>
          <w:tcPr>
            <w:tcW w:w="9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9D0157">
            <w:pPr>
              <w:jc w:val="center"/>
              <w:rPr>
                <w:rFonts w:cs="宋体" w:asciiTheme="majorEastAsia" w:hAnsiTheme="majorEastAsia" w:eastAsiaTheme="majorEastAsia"/>
                <w:color w:val="auto"/>
                <w:sz w:val="22"/>
                <w:highlight w:val="none"/>
              </w:rPr>
            </w:pPr>
          </w:p>
        </w:tc>
        <w:tc>
          <w:tcPr>
            <w:tcW w:w="63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55A95B">
            <w:pPr>
              <w:jc w:val="center"/>
              <w:rPr>
                <w:rFonts w:cs="宋体" w:asciiTheme="majorEastAsia" w:hAnsiTheme="majorEastAsia" w:eastAsiaTheme="majorEastAsia"/>
                <w:color w:val="auto"/>
                <w:sz w:val="22"/>
                <w:highlight w:val="none"/>
              </w:rPr>
            </w:pPr>
          </w:p>
        </w:tc>
        <w:tc>
          <w:tcPr>
            <w:tcW w:w="21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942101">
            <w:pPr>
              <w:rPr>
                <w:rFonts w:cs="宋体" w:asciiTheme="majorEastAsia" w:hAnsiTheme="majorEastAsia" w:eastAsiaTheme="majorEastAsia"/>
                <w:color w:val="auto"/>
                <w:highlight w:val="none"/>
              </w:rPr>
            </w:pPr>
            <w:r>
              <w:rPr>
                <w:rFonts w:cs="宋体" w:asciiTheme="majorEastAsia" w:hAnsiTheme="majorEastAsia" w:eastAsiaTheme="majorEastAsia"/>
                <w:color w:val="auto"/>
                <w:highlight w:val="none"/>
              </w:rPr>
              <w:t>P~P</w:t>
            </w:r>
          </w:p>
        </w:tc>
      </w:tr>
      <w:tr w14:paraId="3ECA6052">
        <w:tblPrEx>
          <w:tblCellMar>
            <w:top w:w="0" w:type="dxa"/>
            <w:left w:w="10" w:type="dxa"/>
            <w:bottom w:w="0" w:type="dxa"/>
            <w:right w:w="10" w:type="dxa"/>
          </w:tblCellMar>
        </w:tblPrEx>
        <w:trPr>
          <w:trHeight w:val="1041" w:hRule="atLeast"/>
        </w:trPr>
        <w:tc>
          <w:tcPr>
            <w:tcW w:w="9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4EC1D0">
            <w:pPr>
              <w:jc w:val="center"/>
              <w:rPr>
                <w:rFonts w:cs="宋体" w:asciiTheme="majorEastAsia" w:hAnsiTheme="majorEastAsia" w:eastAsiaTheme="majorEastAsia"/>
                <w:color w:val="auto"/>
                <w:sz w:val="22"/>
                <w:highlight w:val="none"/>
              </w:rPr>
            </w:pPr>
          </w:p>
        </w:tc>
        <w:tc>
          <w:tcPr>
            <w:tcW w:w="63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0B1160">
            <w:pPr>
              <w:jc w:val="center"/>
              <w:rPr>
                <w:rFonts w:cs="宋体" w:asciiTheme="majorEastAsia" w:hAnsiTheme="majorEastAsia" w:eastAsiaTheme="majorEastAsia"/>
                <w:color w:val="auto"/>
                <w:sz w:val="22"/>
                <w:highlight w:val="none"/>
              </w:rPr>
            </w:pPr>
          </w:p>
        </w:tc>
        <w:tc>
          <w:tcPr>
            <w:tcW w:w="21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853C94">
            <w:pPr>
              <w:rPr>
                <w:rFonts w:cs="宋体" w:asciiTheme="majorEastAsia" w:hAnsiTheme="majorEastAsia" w:eastAsiaTheme="majorEastAsia"/>
                <w:color w:val="auto"/>
                <w:highlight w:val="none"/>
              </w:rPr>
            </w:pPr>
            <w:r>
              <w:rPr>
                <w:rFonts w:cs="宋体" w:asciiTheme="majorEastAsia" w:hAnsiTheme="majorEastAsia" w:eastAsiaTheme="majorEastAsia"/>
                <w:color w:val="auto"/>
                <w:highlight w:val="none"/>
              </w:rPr>
              <w:t>P~P</w:t>
            </w:r>
          </w:p>
        </w:tc>
      </w:tr>
      <w:tr w14:paraId="4DEFCAB7">
        <w:tblPrEx>
          <w:tblCellMar>
            <w:top w:w="0" w:type="dxa"/>
            <w:left w:w="10" w:type="dxa"/>
            <w:bottom w:w="0" w:type="dxa"/>
            <w:right w:w="10" w:type="dxa"/>
          </w:tblCellMar>
        </w:tblPrEx>
        <w:trPr>
          <w:trHeight w:val="1001" w:hRule="atLeast"/>
        </w:trPr>
        <w:tc>
          <w:tcPr>
            <w:tcW w:w="9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A86123">
            <w:pPr>
              <w:jc w:val="center"/>
              <w:rPr>
                <w:rFonts w:cs="宋体" w:asciiTheme="majorEastAsia" w:hAnsiTheme="majorEastAsia" w:eastAsiaTheme="majorEastAsia"/>
                <w:color w:val="auto"/>
                <w:sz w:val="22"/>
                <w:highlight w:val="none"/>
              </w:rPr>
            </w:pPr>
          </w:p>
        </w:tc>
        <w:tc>
          <w:tcPr>
            <w:tcW w:w="63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4BD0C6">
            <w:pPr>
              <w:jc w:val="center"/>
              <w:rPr>
                <w:rFonts w:cs="宋体" w:asciiTheme="majorEastAsia" w:hAnsiTheme="majorEastAsia" w:eastAsiaTheme="majorEastAsia"/>
                <w:color w:val="auto"/>
                <w:sz w:val="22"/>
                <w:highlight w:val="none"/>
              </w:rPr>
            </w:pPr>
          </w:p>
        </w:tc>
        <w:tc>
          <w:tcPr>
            <w:tcW w:w="21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9A6407">
            <w:pPr>
              <w:rPr>
                <w:rFonts w:cs="宋体" w:asciiTheme="majorEastAsia" w:hAnsiTheme="majorEastAsia" w:eastAsiaTheme="majorEastAsia"/>
                <w:color w:val="auto"/>
                <w:highlight w:val="none"/>
              </w:rPr>
            </w:pPr>
            <w:r>
              <w:rPr>
                <w:rFonts w:cs="宋体" w:asciiTheme="majorEastAsia" w:hAnsiTheme="majorEastAsia" w:eastAsiaTheme="majorEastAsia"/>
                <w:color w:val="auto"/>
                <w:highlight w:val="none"/>
              </w:rPr>
              <w:t>P~P</w:t>
            </w:r>
          </w:p>
        </w:tc>
      </w:tr>
      <w:tr w14:paraId="4F30C762">
        <w:tblPrEx>
          <w:tblCellMar>
            <w:top w:w="0" w:type="dxa"/>
            <w:left w:w="10" w:type="dxa"/>
            <w:bottom w:w="0" w:type="dxa"/>
            <w:right w:w="10" w:type="dxa"/>
          </w:tblCellMar>
        </w:tblPrEx>
        <w:trPr>
          <w:trHeight w:val="1041" w:hRule="atLeast"/>
        </w:trPr>
        <w:tc>
          <w:tcPr>
            <w:tcW w:w="9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B0B32F">
            <w:pPr>
              <w:jc w:val="center"/>
              <w:rPr>
                <w:rFonts w:cs="宋体" w:asciiTheme="majorEastAsia" w:hAnsiTheme="majorEastAsia" w:eastAsiaTheme="majorEastAsia"/>
                <w:color w:val="auto"/>
                <w:sz w:val="22"/>
                <w:highlight w:val="none"/>
              </w:rPr>
            </w:pPr>
          </w:p>
        </w:tc>
        <w:tc>
          <w:tcPr>
            <w:tcW w:w="63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9338DB">
            <w:pPr>
              <w:jc w:val="center"/>
              <w:rPr>
                <w:rFonts w:cs="宋体" w:asciiTheme="majorEastAsia" w:hAnsiTheme="majorEastAsia" w:eastAsiaTheme="majorEastAsia"/>
                <w:color w:val="auto"/>
                <w:sz w:val="22"/>
                <w:highlight w:val="none"/>
              </w:rPr>
            </w:pPr>
          </w:p>
        </w:tc>
        <w:tc>
          <w:tcPr>
            <w:tcW w:w="21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016B5E">
            <w:pPr>
              <w:rPr>
                <w:rFonts w:cs="宋体" w:asciiTheme="majorEastAsia" w:hAnsiTheme="majorEastAsia" w:eastAsiaTheme="majorEastAsia"/>
                <w:color w:val="auto"/>
                <w:highlight w:val="none"/>
              </w:rPr>
            </w:pPr>
            <w:r>
              <w:rPr>
                <w:rFonts w:cs="宋体" w:asciiTheme="majorEastAsia" w:hAnsiTheme="majorEastAsia" w:eastAsiaTheme="majorEastAsia"/>
                <w:color w:val="auto"/>
                <w:highlight w:val="none"/>
              </w:rPr>
              <w:t>P~P</w:t>
            </w:r>
          </w:p>
        </w:tc>
      </w:tr>
      <w:tr w14:paraId="56079FC7">
        <w:tblPrEx>
          <w:tblCellMar>
            <w:top w:w="0" w:type="dxa"/>
            <w:left w:w="10" w:type="dxa"/>
            <w:bottom w:w="0" w:type="dxa"/>
            <w:right w:w="10" w:type="dxa"/>
          </w:tblCellMar>
        </w:tblPrEx>
        <w:trPr>
          <w:trHeight w:val="1041" w:hRule="atLeast"/>
        </w:trPr>
        <w:tc>
          <w:tcPr>
            <w:tcW w:w="9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82D8A0">
            <w:pPr>
              <w:jc w:val="center"/>
              <w:rPr>
                <w:rFonts w:cs="宋体" w:asciiTheme="majorEastAsia" w:hAnsiTheme="majorEastAsia" w:eastAsiaTheme="majorEastAsia"/>
                <w:color w:val="auto"/>
                <w:sz w:val="22"/>
                <w:highlight w:val="none"/>
              </w:rPr>
            </w:pPr>
          </w:p>
        </w:tc>
        <w:tc>
          <w:tcPr>
            <w:tcW w:w="63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B124B3">
            <w:pPr>
              <w:jc w:val="center"/>
              <w:rPr>
                <w:rFonts w:cs="宋体" w:asciiTheme="majorEastAsia" w:hAnsiTheme="majorEastAsia" w:eastAsiaTheme="majorEastAsia"/>
                <w:color w:val="auto"/>
                <w:sz w:val="22"/>
                <w:highlight w:val="none"/>
              </w:rPr>
            </w:pPr>
          </w:p>
        </w:tc>
        <w:tc>
          <w:tcPr>
            <w:tcW w:w="21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FC7730">
            <w:pPr>
              <w:rPr>
                <w:rFonts w:cs="宋体" w:asciiTheme="majorEastAsia" w:hAnsiTheme="majorEastAsia" w:eastAsiaTheme="majorEastAsia"/>
                <w:color w:val="auto"/>
                <w:highlight w:val="none"/>
              </w:rPr>
            </w:pPr>
            <w:r>
              <w:rPr>
                <w:rFonts w:cs="宋体" w:asciiTheme="majorEastAsia" w:hAnsiTheme="majorEastAsia" w:eastAsiaTheme="majorEastAsia"/>
                <w:color w:val="auto"/>
                <w:highlight w:val="none"/>
              </w:rPr>
              <w:t>P~P</w:t>
            </w:r>
          </w:p>
        </w:tc>
      </w:tr>
    </w:tbl>
    <w:p w14:paraId="667C9545">
      <w:pPr>
        <w:spacing w:line="360" w:lineRule="auto"/>
        <w:rPr>
          <w:rFonts w:cs="宋体" w:asciiTheme="majorEastAsia" w:hAnsiTheme="majorEastAsia" w:eastAsiaTheme="majorEastAsia"/>
          <w:color w:val="auto"/>
          <w:sz w:val="28"/>
          <w:highlight w:val="none"/>
        </w:rPr>
      </w:pPr>
    </w:p>
    <w:p w14:paraId="58F85EF3">
      <w:pPr>
        <w:rPr>
          <w:rFonts w:hint="eastAsia" w:cs="宋体" w:asciiTheme="majorEastAsia" w:hAnsiTheme="majorEastAsia" w:eastAsiaTheme="majorEastAsia"/>
          <w:b/>
          <w:color w:val="auto"/>
          <w:sz w:val="32"/>
          <w:highlight w:val="none"/>
        </w:rPr>
      </w:pPr>
      <w:r>
        <w:rPr>
          <w:rFonts w:hint="eastAsia" w:cs="宋体" w:asciiTheme="majorEastAsia" w:hAnsiTheme="majorEastAsia" w:eastAsiaTheme="majorEastAsia"/>
          <w:b/>
          <w:color w:val="auto"/>
          <w:sz w:val="32"/>
          <w:highlight w:val="none"/>
        </w:rPr>
        <w:br w:type="page"/>
      </w:r>
    </w:p>
    <w:p w14:paraId="3BC33468">
      <w:pPr>
        <w:jc w:val="center"/>
        <w:rPr>
          <w:rFonts w:cs="宋体" w:asciiTheme="majorEastAsia" w:hAnsiTheme="majorEastAsia" w:eastAsiaTheme="majorEastAsia"/>
          <w:b/>
          <w:color w:val="auto"/>
          <w:sz w:val="32"/>
          <w:highlight w:val="none"/>
        </w:rPr>
      </w:pPr>
      <w:r>
        <w:rPr>
          <w:rFonts w:hint="eastAsia" w:cs="宋体" w:asciiTheme="majorEastAsia" w:hAnsiTheme="majorEastAsia" w:eastAsiaTheme="majorEastAsia"/>
          <w:b/>
          <w:color w:val="auto"/>
          <w:sz w:val="32"/>
          <w:highlight w:val="none"/>
        </w:rPr>
        <w:t>目录</w:t>
      </w:r>
    </w:p>
    <w:p w14:paraId="4B79C5AD">
      <w:pPr>
        <w:spacing w:line="480" w:lineRule="auto"/>
        <w:rPr>
          <w:rFonts w:hint="eastAsia" w:cs="宋体" w:asciiTheme="majorEastAsia" w:hAnsiTheme="majorEastAsia" w:eastAsiaTheme="majorEastAsia"/>
          <w:color w:val="auto"/>
          <w:sz w:val="24"/>
          <w:highlight w:val="none"/>
          <w:lang w:val="en-US" w:eastAsia="zh-CN"/>
        </w:rPr>
      </w:pPr>
      <w:r>
        <w:rPr>
          <w:rFonts w:hint="eastAsia" w:cs="宋体" w:asciiTheme="majorEastAsia" w:hAnsiTheme="majorEastAsia" w:eastAsiaTheme="majorEastAsia"/>
          <w:color w:val="auto"/>
          <w:sz w:val="24"/>
          <w:highlight w:val="none"/>
          <w:lang w:val="en-US" w:eastAsia="zh-CN"/>
        </w:rPr>
        <w:t>一、投标报价书</w:t>
      </w:r>
    </w:p>
    <w:p w14:paraId="2AADDD5F">
      <w:pPr>
        <w:spacing w:line="480" w:lineRule="auto"/>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lang w:val="en-US" w:eastAsia="zh-CN"/>
        </w:rPr>
        <w:t>二</w:t>
      </w:r>
      <w:r>
        <w:rPr>
          <w:rFonts w:hint="eastAsia" w:cs="宋体" w:asciiTheme="majorEastAsia" w:hAnsiTheme="majorEastAsia" w:eastAsiaTheme="majorEastAsia"/>
          <w:color w:val="auto"/>
          <w:sz w:val="24"/>
          <w:highlight w:val="none"/>
        </w:rPr>
        <w:t>、投标函及投标函附录</w:t>
      </w:r>
    </w:p>
    <w:p w14:paraId="26D3A832">
      <w:pPr>
        <w:spacing w:line="480" w:lineRule="auto"/>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lang w:val="en-US" w:eastAsia="zh-CN"/>
        </w:rPr>
        <w:t>三</w:t>
      </w:r>
      <w:r>
        <w:rPr>
          <w:rFonts w:hint="eastAsia" w:cs="宋体" w:asciiTheme="majorEastAsia" w:hAnsiTheme="majorEastAsia" w:eastAsiaTheme="majorEastAsia"/>
          <w:color w:val="auto"/>
          <w:sz w:val="24"/>
          <w:highlight w:val="none"/>
        </w:rPr>
        <w:t>、</w:t>
      </w:r>
      <w:r>
        <w:rPr>
          <w:rFonts w:hint="eastAsia" w:cs="宋体" w:asciiTheme="majorEastAsia" w:hAnsiTheme="majorEastAsia" w:eastAsiaTheme="majorEastAsia"/>
          <w:color w:val="auto"/>
          <w:sz w:val="24"/>
          <w:highlight w:val="none"/>
          <w:lang w:eastAsia="zh-CN"/>
        </w:rPr>
        <w:t>法定代表人身份证明或附有法定代表人身份证明的授权委托书</w:t>
      </w:r>
    </w:p>
    <w:p w14:paraId="7DF9245D">
      <w:pPr>
        <w:spacing w:line="480" w:lineRule="auto"/>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lang w:val="en-US" w:eastAsia="zh-CN"/>
        </w:rPr>
        <w:t>四</w:t>
      </w:r>
      <w:r>
        <w:rPr>
          <w:rFonts w:hint="eastAsia" w:cs="宋体" w:asciiTheme="majorEastAsia" w:hAnsiTheme="majorEastAsia" w:eastAsiaTheme="majorEastAsia"/>
          <w:color w:val="auto"/>
          <w:sz w:val="24"/>
          <w:highlight w:val="none"/>
        </w:rPr>
        <w:t>、投标保证缴纳证明</w:t>
      </w:r>
    </w:p>
    <w:p w14:paraId="0EBEC91B">
      <w:pPr>
        <w:spacing w:line="480" w:lineRule="auto"/>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lang w:val="en-US" w:eastAsia="zh-CN"/>
        </w:rPr>
        <w:t>五</w:t>
      </w:r>
      <w:r>
        <w:rPr>
          <w:rFonts w:hint="eastAsia" w:cs="宋体" w:asciiTheme="majorEastAsia" w:hAnsiTheme="majorEastAsia" w:eastAsiaTheme="majorEastAsia"/>
          <w:color w:val="auto"/>
          <w:sz w:val="24"/>
          <w:highlight w:val="none"/>
        </w:rPr>
        <w:t>、项目管理机构表</w:t>
      </w:r>
    </w:p>
    <w:p w14:paraId="37E0569B">
      <w:pPr>
        <w:spacing w:line="480" w:lineRule="auto"/>
        <w:rPr>
          <w:rFonts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lang w:val="en-US" w:eastAsia="zh-CN"/>
        </w:rPr>
        <w:t>六</w:t>
      </w:r>
      <w:r>
        <w:rPr>
          <w:rFonts w:hint="eastAsia" w:cs="宋体" w:asciiTheme="majorEastAsia" w:hAnsiTheme="majorEastAsia" w:eastAsiaTheme="majorEastAsia"/>
          <w:color w:val="auto"/>
          <w:sz w:val="24"/>
          <w:highlight w:val="none"/>
        </w:rPr>
        <w:t>、资格审查资料</w:t>
      </w:r>
    </w:p>
    <w:p w14:paraId="0C71AE28">
      <w:pPr>
        <w:spacing w:line="480" w:lineRule="auto"/>
        <w:rPr>
          <w:rFonts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lang w:val="en-US" w:eastAsia="zh-CN"/>
        </w:rPr>
        <w:t>七</w:t>
      </w:r>
      <w:r>
        <w:rPr>
          <w:rFonts w:hint="eastAsia" w:cs="宋体" w:asciiTheme="majorEastAsia" w:hAnsiTheme="majorEastAsia" w:eastAsiaTheme="majorEastAsia"/>
          <w:color w:val="auto"/>
          <w:sz w:val="24"/>
          <w:highlight w:val="none"/>
        </w:rPr>
        <w:t>、投标承诺书</w:t>
      </w:r>
    </w:p>
    <w:p w14:paraId="236BEAD1">
      <w:pPr>
        <w:spacing w:line="480" w:lineRule="auto"/>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lang w:val="en-US" w:eastAsia="zh-CN"/>
        </w:rPr>
        <w:t>八</w:t>
      </w:r>
      <w:r>
        <w:rPr>
          <w:rFonts w:hint="eastAsia" w:cs="宋体" w:asciiTheme="majorEastAsia" w:hAnsiTheme="majorEastAsia" w:eastAsiaTheme="majorEastAsia"/>
          <w:color w:val="auto"/>
          <w:sz w:val="24"/>
          <w:highlight w:val="none"/>
        </w:rPr>
        <w:t>、其他材料（若有）</w:t>
      </w:r>
    </w:p>
    <w:p w14:paraId="4683F5F1">
      <w:pPr>
        <w:spacing w:line="480" w:lineRule="auto"/>
        <w:rPr>
          <w:rFonts w:cs="宋体" w:asciiTheme="majorEastAsia" w:hAnsiTheme="majorEastAsia" w:eastAsiaTheme="majorEastAsia"/>
          <w:color w:val="auto"/>
          <w:sz w:val="24"/>
          <w:highlight w:val="none"/>
        </w:rPr>
      </w:pPr>
    </w:p>
    <w:p w14:paraId="052F83DB">
      <w:pPr>
        <w:spacing w:line="360" w:lineRule="auto"/>
        <w:ind w:firstLine="411"/>
        <w:rPr>
          <w:rFonts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注：本目录不作为格式目录，投标人可相应修改或补充，为便于评标委员会评审，投标人可自行编制目录并编制页码。</w:t>
      </w:r>
    </w:p>
    <w:p w14:paraId="229FF2D9">
      <w:pPr>
        <w:spacing w:line="360" w:lineRule="auto"/>
        <w:ind w:firstLine="560"/>
        <w:jc w:val="center"/>
        <w:rPr>
          <w:rFonts w:cs="宋体" w:asciiTheme="majorEastAsia" w:hAnsiTheme="majorEastAsia" w:eastAsiaTheme="majorEastAsia"/>
          <w:color w:val="auto"/>
          <w:sz w:val="28"/>
          <w:highlight w:val="none"/>
        </w:rPr>
      </w:pPr>
    </w:p>
    <w:p w14:paraId="0E517E79">
      <w:pPr>
        <w:rPr>
          <w:rFonts w:cs="宋体" w:asciiTheme="majorEastAsia" w:hAnsiTheme="majorEastAsia" w:eastAsiaTheme="majorEastAsia"/>
          <w:color w:val="auto"/>
          <w:highlight w:val="none"/>
        </w:rPr>
      </w:pPr>
    </w:p>
    <w:p w14:paraId="2998C4AF">
      <w:pPr>
        <w:rPr>
          <w:rFonts w:cs="宋体" w:asciiTheme="majorEastAsia" w:hAnsiTheme="majorEastAsia" w:eastAsiaTheme="majorEastAsia"/>
          <w:color w:val="auto"/>
          <w:highlight w:val="none"/>
        </w:rPr>
      </w:pPr>
    </w:p>
    <w:p w14:paraId="37EBAE43">
      <w:pPr>
        <w:rPr>
          <w:rFonts w:cs="宋体" w:asciiTheme="majorEastAsia" w:hAnsiTheme="majorEastAsia" w:eastAsiaTheme="majorEastAsia"/>
          <w:color w:val="auto"/>
          <w:highlight w:val="none"/>
        </w:rPr>
      </w:pPr>
    </w:p>
    <w:p w14:paraId="5FE81447">
      <w:pPr>
        <w:rPr>
          <w:rFonts w:cs="宋体" w:asciiTheme="majorEastAsia" w:hAnsiTheme="majorEastAsia" w:eastAsiaTheme="majorEastAsia"/>
          <w:color w:val="auto"/>
          <w:highlight w:val="none"/>
        </w:rPr>
      </w:pPr>
    </w:p>
    <w:p w14:paraId="47F3427E">
      <w:pPr>
        <w:rPr>
          <w:rFonts w:cs="宋体" w:asciiTheme="majorEastAsia" w:hAnsiTheme="majorEastAsia" w:eastAsiaTheme="majorEastAsia"/>
          <w:color w:val="auto"/>
          <w:highlight w:val="none"/>
        </w:rPr>
      </w:pPr>
    </w:p>
    <w:p w14:paraId="7EB2024B">
      <w:pPr>
        <w:rPr>
          <w:rFonts w:cs="宋体" w:asciiTheme="majorEastAsia" w:hAnsiTheme="majorEastAsia" w:eastAsiaTheme="majorEastAsia"/>
          <w:color w:val="auto"/>
          <w:highlight w:val="none"/>
        </w:rPr>
      </w:pPr>
    </w:p>
    <w:p w14:paraId="6A2273D2">
      <w:pPr>
        <w:rPr>
          <w:rFonts w:cs="宋体" w:asciiTheme="majorEastAsia" w:hAnsiTheme="majorEastAsia" w:eastAsiaTheme="majorEastAsia"/>
          <w:color w:val="auto"/>
          <w:highlight w:val="none"/>
        </w:rPr>
      </w:pPr>
    </w:p>
    <w:p w14:paraId="22B3FC93">
      <w:pPr>
        <w:rPr>
          <w:rFonts w:cs="宋体" w:asciiTheme="majorEastAsia" w:hAnsiTheme="majorEastAsia" w:eastAsiaTheme="majorEastAsia"/>
          <w:color w:val="auto"/>
          <w:highlight w:val="none"/>
        </w:rPr>
      </w:pPr>
    </w:p>
    <w:p w14:paraId="0C1DE6D1">
      <w:pPr>
        <w:rPr>
          <w:rFonts w:cs="宋体" w:asciiTheme="majorEastAsia" w:hAnsiTheme="majorEastAsia" w:eastAsiaTheme="majorEastAsia"/>
          <w:color w:val="auto"/>
          <w:highlight w:val="none"/>
        </w:rPr>
      </w:pPr>
    </w:p>
    <w:p w14:paraId="46EF3048">
      <w:pPr>
        <w:rPr>
          <w:rFonts w:cs="宋体" w:asciiTheme="majorEastAsia" w:hAnsiTheme="majorEastAsia" w:eastAsiaTheme="majorEastAsia"/>
          <w:color w:val="auto"/>
          <w:highlight w:val="none"/>
        </w:rPr>
      </w:pPr>
    </w:p>
    <w:p w14:paraId="663A0A58">
      <w:pPr>
        <w:rPr>
          <w:rFonts w:cs="宋体" w:asciiTheme="majorEastAsia" w:hAnsiTheme="majorEastAsia" w:eastAsiaTheme="majorEastAsia"/>
          <w:color w:val="auto"/>
          <w:highlight w:val="none"/>
        </w:rPr>
      </w:pPr>
    </w:p>
    <w:p w14:paraId="2D0B87B8">
      <w:pPr>
        <w:rPr>
          <w:rFonts w:cs="宋体" w:asciiTheme="majorEastAsia" w:hAnsiTheme="majorEastAsia" w:eastAsiaTheme="majorEastAsia"/>
          <w:color w:val="auto"/>
          <w:highlight w:val="none"/>
        </w:rPr>
      </w:pPr>
    </w:p>
    <w:p w14:paraId="0E8706E0">
      <w:pPr>
        <w:rPr>
          <w:rFonts w:cs="宋体" w:asciiTheme="majorEastAsia" w:hAnsiTheme="majorEastAsia" w:eastAsiaTheme="majorEastAsia"/>
          <w:color w:val="auto"/>
          <w:highlight w:val="none"/>
        </w:rPr>
      </w:pPr>
    </w:p>
    <w:p w14:paraId="6208680B">
      <w:pPr>
        <w:rPr>
          <w:rFonts w:cs="宋体" w:asciiTheme="majorEastAsia" w:hAnsiTheme="majorEastAsia" w:eastAsiaTheme="majorEastAsia"/>
          <w:color w:val="auto"/>
          <w:highlight w:val="none"/>
        </w:rPr>
      </w:pPr>
    </w:p>
    <w:p w14:paraId="2E96DA9E">
      <w:pPr>
        <w:rPr>
          <w:rFonts w:cs="宋体" w:asciiTheme="majorEastAsia" w:hAnsiTheme="majorEastAsia" w:eastAsiaTheme="majorEastAsia"/>
          <w:color w:val="auto"/>
          <w:highlight w:val="none"/>
        </w:rPr>
      </w:pPr>
    </w:p>
    <w:p w14:paraId="14196891">
      <w:pPr>
        <w:rPr>
          <w:rFonts w:cs="宋体" w:asciiTheme="majorEastAsia" w:hAnsiTheme="majorEastAsia" w:eastAsiaTheme="majorEastAsia"/>
          <w:color w:val="auto"/>
          <w:highlight w:val="none"/>
        </w:rPr>
      </w:pPr>
    </w:p>
    <w:p w14:paraId="6F15D140">
      <w:pPr>
        <w:rPr>
          <w:rFonts w:cs="宋体" w:asciiTheme="majorEastAsia" w:hAnsiTheme="majorEastAsia" w:eastAsiaTheme="majorEastAsia"/>
          <w:color w:val="auto"/>
          <w:highlight w:val="none"/>
        </w:rPr>
      </w:pPr>
    </w:p>
    <w:p w14:paraId="12138CF0">
      <w:pPr>
        <w:pStyle w:val="5"/>
        <w:rPr>
          <w:color w:val="auto"/>
          <w:highlight w:val="none"/>
        </w:rPr>
      </w:pPr>
    </w:p>
    <w:p w14:paraId="56D88AB5">
      <w:pPr>
        <w:rPr>
          <w:color w:val="auto"/>
          <w:highlight w:val="none"/>
        </w:rPr>
      </w:pPr>
    </w:p>
    <w:p w14:paraId="17968683">
      <w:pPr>
        <w:pStyle w:val="41"/>
        <w:rPr>
          <w:color w:val="auto"/>
          <w:highlight w:val="none"/>
        </w:rPr>
      </w:pPr>
    </w:p>
    <w:p w14:paraId="12BF4A95">
      <w:pPr>
        <w:spacing w:line="480" w:lineRule="auto"/>
        <w:jc w:val="center"/>
        <w:rPr>
          <w:rFonts w:hint="eastAsia" w:cs="宋体" w:asciiTheme="majorEastAsia" w:hAnsiTheme="majorEastAsia" w:eastAsiaTheme="majorEastAsia"/>
          <w:b/>
          <w:color w:val="auto"/>
          <w:sz w:val="32"/>
          <w:highlight w:val="none"/>
        </w:rPr>
        <w:sectPr>
          <w:pgSz w:w="11906" w:h="16838"/>
          <w:pgMar w:top="1134" w:right="1134" w:bottom="1134" w:left="1134" w:header="567" w:footer="567" w:gutter="0"/>
          <w:cols w:space="425" w:num="1"/>
          <w:docGrid w:type="lines" w:linePitch="312" w:charSpace="0"/>
        </w:sectPr>
      </w:pPr>
    </w:p>
    <w:p w14:paraId="7A280FD7">
      <w:pPr>
        <w:spacing w:line="360" w:lineRule="auto"/>
        <w:jc w:val="center"/>
        <w:rPr>
          <w:rFonts w:hint="eastAsia" w:ascii="宋体" w:hAnsi="宋体" w:cs="宋体"/>
          <w:b/>
          <w:color w:val="000000"/>
          <w:sz w:val="32"/>
          <w:szCs w:val="32"/>
          <w:highlight w:val="none"/>
        </w:rPr>
      </w:pPr>
      <w:r>
        <w:rPr>
          <w:rFonts w:hint="eastAsia" w:ascii="宋体" w:hAnsi="宋体" w:cs="宋体"/>
          <w:b/>
          <w:color w:val="000000"/>
          <w:sz w:val="32"/>
          <w:szCs w:val="32"/>
          <w:highlight w:val="none"/>
          <w:lang w:eastAsia="zh-CN"/>
        </w:rPr>
        <w:t>一、</w:t>
      </w:r>
      <w:r>
        <w:rPr>
          <w:rFonts w:hint="eastAsia" w:ascii="宋体" w:hAnsi="宋体" w:cs="宋体"/>
          <w:b/>
          <w:color w:val="000000"/>
          <w:sz w:val="32"/>
          <w:szCs w:val="32"/>
          <w:highlight w:val="none"/>
        </w:rPr>
        <w:t>投 标 报 价 书</w:t>
      </w:r>
    </w:p>
    <w:p w14:paraId="71A836F6">
      <w:pPr>
        <w:spacing w:line="360" w:lineRule="auto"/>
        <w:jc w:val="center"/>
        <w:rPr>
          <w:rFonts w:hint="eastAsia" w:ascii="宋体" w:hAnsi="宋体" w:cs="宋体"/>
          <w:b/>
          <w:color w:val="000000"/>
          <w:sz w:val="28"/>
          <w:szCs w:val="28"/>
          <w:highlight w:val="none"/>
        </w:rPr>
      </w:pPr>
    </w:p>
    <w:p w14:paraId="7A969B8C">
      <w:pPr>
        <w:adjustRightInd w:val="0"/>
        <w:snapToGrid w:val="0"/>
        <w:spacing w:line="360" w:lineRule="auto"/>
        <w:rPr>
          <w:rFonts w:hint="eastAsia" w:ascii="宋体" w:hAnsi="宋体" w:cs="宋体"/>
          <w:color w:val="000000"/>
          <w:sz w:val="22"/>
          <w:szCs w:val="22"/>
          <w:highlight w:val="none"/>
        </w:rPr>
      </w:pPr>
      <w:r>
        <w:rPr>
          <w:rFonts w:hint="eastAsia" w:ascii="宋体" w:hAnsi="宋体" w:cs="宋体"/>
          <w:snapToGrid w:val="0"/>
          <w:color w:val="000000"/>
          <w:kern w:val="0"/>
          <w:sz w:val="24"/>
          <w:highlight w:val="none"/>
          <w:u w:val="single"/>
        </w:rPr>
        <w:t xml:space="preserve">                  </w:t>
      </w:r>
      <w:r>
        <w:rPr>
          <w:rFonts w:hint="eastAsia" w:ascii="宋体" w:hAnsi="宋体" w:cs="宋体"/>
          <w:color w:val="000000"/>
          <w:sz w:val="24"/>
          <w:highlight w:val="none"/>
        </w:rPr>
        <w:t>（招标人名称）</w:t>
      </w:r>
      <w:r>
        <w:rPr>
          <w:rFonts w:hint="eastAsia" w:ascii="宋体" w:hAnsi="宋体" w:cs="宋体"/>
          <w:color w:val="000000"/>
          <w:sz w:val="22"/>
          <w:szCs w:val="22"/>
          <w:highlight w:val="none"/>
        </w:rPr>
        <w:t xml:space="preserve">: </w:t>
      </w:r>
    </w:p>
    <w:p w14:paraId="7B5AF5AA">
      <w:pPr>
        <w:spacing w:line="360" w:lineRule="auto"/>
        <w:ind w:firstLine="480" w:firstLineChars="200"/>
        <w:jc w:val="left"/>
        <w:rPr>
          <w:rFonts w:hint="eastAsia" w:ascii="宋体" w:hAnsi="宋体" w:cs="宋体"/>
          <w:color w:val="000000"/>
          <w:sz w:val="24"/>
          <w:highlight w:val="none"/>
        </w:rPr>
      </w:pPr>
    </w:p>
    <w:p w14:paraId="339B8CCC">
      <w:pPr>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我方</w:t>
      </w:r>
      <w:r>
        <w:rPr>
          <w:rFonts w:hint="eastAsia" w:ascii="宋体" w:hAnsi="宋体" w:cs="宋体"/>
          <w:color w:val="000000"/>
          <w:sz w:val="24"/>
          <w:highlight w:val="none"/>
          <w:lang w:val="en-US" w:eastAsia="zh-CN"/>
        </w:rPr>
        <w:t>已</w:t>
      </w:r>
      <w:r>
        <w:rPr>
          <w:rFonts w:hint="eastAsia" w:ascii="宋体" w:hAnsi="宋体" w:cs="宋体"/>
          <w:color w:val="000000"/>
          <w:sz w:val="24"/>
          <w:highlight w:val="none"/>
        </w:rPr>
        <w:t>仔细研究了</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r>
        <w:rPr>
          <w:rFonts w:hint="eastAsia" w:ascii="宋体" w:hAnsi="宋体" w:cs="宋体"/>
          <w:color w:val="000000"/>
          <w:sz w:val="24"/>
          <w:highlight w:val="none"/>
          <w:lang w:val="en-US" w:eastAsia="zh-CN"/>
        </w:rPr>
        <w:t>项目</w:t>
      </w:r>
      <w:r>
        <w:rPr>
          <w:rFonts w:hint="eastAsia" w:ascii="宋体" w:hAnsi="宋体" w:cs="宋体"/>
          <w:color w:val="000000"/>
          <w:sz w:val="24"/>
          <w:highlight w:val="none"/>
        </w:rPr>
        <w:t>名称）招标文件的全部内容，愿意以</w:t>
      </w:r>
      <w:r>
        <w:rPr>
          <w:rFonts w:hint="eastAsia" w:ascii="宋体" w:hAnsi="宋体" w:cs="宋体"/>
          <w:color w:val="000000"/>
          <w:sz w:val="24"/>
          <w:highlight w:val="none"/>
          <w:u w:val="single"/>
        </w:rPr>
        <w:t xml:space="preserve">     %（大写：百分之    ）</w:t>
      </w:r>
      <w:r>
        <w:rPr>
          <w:rFonts w:hint="eastAsia" w:ascii="宋体" w:hAnsi="宋体" w:cs="宋体"/>
          <w:color w:val="000000"/>
          <w:sz w:val="24"/>
          <w:highlight w:val="none"/>
        </w:rPr>
        <w:t>的投标报价下浮率投标。</w:t>
      </w:r>
    </w:p>
    <w:p w14:paraId="0A03DCC0">
      <w:pPr>
        <w:adjustRightInd w:val="0"/>
        <w:snapToGrid w:val="0"/>
        <w:ind w:firstLine="480" w:firstLineChars="200"/>
        <w:rPr>
          <w:rFonts w:hint="eastAsia" w:ascii="宋体" w:hAnsi="宋体" w:cs="宋体"/>
          <w:color w:val="000000"/>
          <w:sz w:val="24"/>
          <w:highlight w:val="none"/>
        </w:rPr>
      </w:pPr>
    </w:p>
    <w:p w14:paraId="0644AC7D">
      <w:pPr>
        <w:adjustRightInd w:val="0"/>
        <w:snapToGrid w:val="0"/>
        <w:ind w:firstLine="480" w:firstLineChars="200"/>
        <w:rPr>
          <w:rFonts w:hint="eastAsia" w:ascii="宋体" w:hAnsi="宋体" w:cs="宋体"/>
          <w:color w:val="000000"/>
          <w:sz w:val="24"/>
          <w:highlight w:val="none"/>
        </w:rPr>
      </w:pPr>
    </w:p>
    <w:p w14:paraId="2FF7D5BD">
      <w:pPr>
        <w:adjustRightInd w:val="0"/>
        <w:snapToGrid w:val="0"/>
        <w:ind w:firstLine="480" w:firstLineChars="200"/>
        <w:rPr>
          <w:rFonts w:hint="eastAsia" w:ascii="宋体" w:hAnsi="宋体" w:cs="宋体"/>
          <w:color w:val="000000"/>
          <w:sz w:val="24"/>
          <w:highlight w:val="none"/>
        </w:rPr>
      </w:pPr>
    </w:p>
    <w:p w14:paraId="78B11610">
      <w:pPr>
        <w:adjustRightInd w:val="0"/>
        <w:snapToGrid w:val="0"/>
        <w:ind w:firstLine="480" w:firstLineChars="200"/>
        <w:rPr>
          <w:rFonts w:hint="eastAsia" w:ascii="宋体" w:hAnsi="宋体" w:cs="宋体"/>
          <w:color w:val="000000"/>
          <w:sz w:val="24"/>
          <w:highlight w:val="none"/>
        </w:rPr>
      </w:pPr>
    </w:p>
    <w:p w14:paraId="1829E2A0">
      <w:pPr>
        <w:adjustRightInd w:val="0"/>
        <w:snapToGrid w:val="0"/>
        <w:ind w:firstLine="480" w:firstLineChars="200"/>
        <w:rPr>
          <w:rFonts w:hint="eastAsia" w:ascii="宋体" w:hAnsi="宋体" w:cs="宋体"/>
          <w:color w:val="000000"/>
          <w:sz w:val="24"/>
          <w:highlight w:val="none"/>
        </w:rPr>
      </w:pPr>
    </w:p>
    <w:p w14:paraId="7ECE0A87">
      <w:pPr>
        <w:adjustRightInd w:val="0"/>
        <w:snapToGrid w:val="0"/>
        <w:ind w:firstLine="480" w:firstLineChars="200"/>
        <w:rPr>
          <w:rFonts w:hint="eastAsia" w:ascii="宋体" w:hAnsi="宋体" w:cs="宋体"/>
          <w:color w:val="000000"/>
          <w:sz w:val="24"/>
          <w:highlight w:val="none"/>
        </w:rPr>
      </w:pPr>
    </w:p>
    <w:p w14:paraId="79E27834">
      <w:pPr>
        <w:adjustRightInd w:val="0"/>
        <w:snapToGrid w:val="0"/>
        <w:ind w:firstLine="480" w:firstLineChars="200"/>
        <w:rPr>
          <w:rFonts w:hint="eastAsia" w:ascii="宋体" w:hAnsi="宋体" w:cs="宋体"/>
          <w:color w:val="000000"/>
          <w:sz w:val="24"/>
          <w:highlight w:val="none"/>
        </w:rPr>
      </w:pPr>
    </w:p>
    <w:p w14:paraId="257879C7">
      <w:pPr>
        <w:adjustRightInd w:val="0"/>
        <w:snapToGrid w:val="0"/>
        <w:ind w:firstLine="480" w:firstLineChars="200"/>
        <w:rPr>
          <w:rFonts w:hint="eastAsia" w:ascii="宋体" w:hAnsi="宋体" w:cs="宋体"/>
          <w:color w:val="000000"/>
          <w:sz w:val="24"/>
          <w:highlight w:val="none"/>
        </w:rPr>
      </w:pPr>
    </w:p>
    <w:p w14:paraId="7F5E1D98">
      <w:pPr>
        <w:adjustRightInd w:val="0"/>
        <w:snapToGrid w:val="0"/>
        <w:ind w:firstLine="480" w:firstLineChars="200"/>
        <w:rPr>
          <w:rFonts w:hint="eastAsia" w:ascii="宋体" w:hAnsi="宋体" w:cs="宋体"/>
          <w:color w:val="000000"/>
          <w:sz w:val="24"/>
          <w:highlight w:val="none"/>
        </w:rPr>
      </w:pPr>
    </w:p>
    <w:p w14:paraId="1F5ACF27">
      <w:pPr>
        <w:tabs>
          <w:tab w:val="left" w:pos="5970"/>
        </w:tabs>
        <w:adjustRightInd w:val="0"/>
        <w:snapToGrid w:val="0"/>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ab/>
      </w:r>
    </w:p>
    <w:p w14:paraId="24848831">
      <w:pPr>
        <w:adjustRightInd w:val="0"/>
        <w:snapToGrid w:val="0"/>
        <w:spacing w:line="480" w:lineRule="auto"/>
        <w:ind w:firstLine="3000" w:firstLineChars="1250"/>
        <w:rPr>
          <w:rFonts w:hint="eastAsia" w:ascii="宋体" w:hAnsi="宋体" w:cs="宋体"/>
          <w:color w:val="000000"/>
          <w:sz w:val="24"/>
          <w:highlight w:val="none"/>
        </w:rPr>
      </w:pPr>
      <w:r>
        <w:rPr>
          <w:rFonts w:hint="eastAsia" w:ascii="宋体" w:hAnsi="宋体" w:cs="宋体"/>
          <w:color w:val="000000"/>
          <w:sz w:val="24"/>
          <w:highlight w:val="none"/>
        </w:rPr>
        <w:t>投标人：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（盖单位章）</w:t>
      </w:r>
    </w:p>
    <w:p w14:paraId="24967D55">
      <w:pPr>
        <w:adjustRightInd w:val="0"/>
        <w:snapToGrid w:val="0"/>
        <w:spacing w:line="480" w:lineRule="auto"/>
        <w:ind w:firstLine="3000" w:firstLineChars="1250"/>
        <w:rPr>
          <w:rFonts w:hint="eastAsia" w:ascii="宋体" w:hAnsi="宋体" w:cs="宋体"/>
          <w:color w:val="000000"/>
          <w:sz w:val="24"/>
          <w:highlight w:val="none"/>
        </w:rPr>
      </w:pPr>
      <w:r>
        <w:rPr>
          <w:rFonts w:hint="eastAsia" w:ascii="宋体" w:hAnsi="宋体" w:cs="宋体"/>
          <w:color w:val="000000"/>
          <w:sz w:val="24"/>
          <w:highlight w:val="none"/>
        </w:rPr>
        <w:t>法定代表人（或授权委托人）：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（签字）</w:t>
      </w:r>
    </w:p>
    <w:p w14:paraId="55DF93D6">
      <w:pPr>
        <w:spacing w:line="480" w:lineRule="auto"/>
        <w:jc w:val="center"/>
        <w:rPr>
          <w:rFonts w:hint="eastAsia" w:cs="宋体" w:asciiTheme="majorEastAsia" w:hAnsiTheme="majorEastAsia" w:eastAsiaTheme="majorEastAsia"/>
          <w:b/>
          <w:color w:val="auto"/>
          <w:sz w:val="32"/>
          <w:highlight w:val="none"/>
        </w:rPr>
        <w:sectPr>
          <w:pgSz w:w="11906" w:h="16838"/>
          <w:pgMar w:top="1134" w:right="1134" w:bottom="1134" w:left="1134" w:header="567" w:footer="567" w:gutter="0"/>
          <w:cols w:space="425" w:num="1"/>
          <w:docGrid w:type="lines" w:linePitch="312" w:charSpace="0"/>
        </w:sectPr>
      </w:pP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w:t>
      </w:r>
    </w:p>
    <w:p w14:paraId="58123A51">
      <w:pPr>
        <w:spacing w:line="480" w:lineRule="auto"/>
        <w:jc w:val="center"/>
        <w:rPr>
          <w:rFonts w:cs="宋体" w:asciiTheme="majorEastAsia" w:hAnsiTheme="majorEastAsia" w:eastAsiaTheme="majorEastAsia"/>
          <w:b/>
          <w:color w:val="auto"/>
          <w:sz w:val="32"/>
          <w:highlight w:val="none"/>
        </w:rPr>
      </w:pPr>
      <w:r>
        <w:rPr>
          <w:rFonts w:hint="eastAsia" w:cs="宋体" w:asciiTheme="majorEastAsia" w:hAnsiTheme="majorEastAsia" w:eastAsiaTheme="majorEastAsia"/>
          <w:b/>
          <w:color w:val="auto"/>
          <w:sz w:val="32"/>
          <w:highlight w:val="none"/>
          <w:lang w:val="en-US" w:eastAsia="zh-CN"/>
        </w:rPr>
        <w:t>二</w:t>
      </w:r>
      <w:r>
        <w:rPr>
          <w:rFonts w:hint="eastAsia" w:cs="宋体" w:asciiTheme="majorEastAsia" w:hAnsiTheme="majorEastAsia" w:eastAsiaTheme="majorEastAsia"/>
          <w:b/>
          <w:color w:val="auto"/>
          <w:sz w:val="32"/>
          <w:highlight w:val="none"/>
        </w:rPr>
        <w:t>、投标函及投标函附录</w:t>
      </w:r>
    </w:p>
    <w:p w14:paraId="7935324D">
      <w:pPr>
        <w:spacing w:line="480" w:lineRule="auto"/>
        <w:jc w:val="center"/>
        <w:rPr>
          <w:rFonts w:cs="宋体" w:asciiTheme="majorEastAsia" w:hAnsiTheme="majorEastAsia" w:eastAsiaTheme="majorEastAsia"/>
          <w:b/>
          <w:color w:val="auto"/>
          <w:sz w:val="32"/>
          <w:highlight w:val="none"/>
        </w:rPr>
      </w:pPr>
      <w:r>
        <w:rPr>
          <w:rFonts w:hint="eastAsia" w:cs="宋体" w:asciiTheme="majorEastAsia" w:hAnsiTheme="majorEastAsia" w:eastAsiaTheme="majorEastAsia"/>
          <w:b/>
          <w:color w:val="auto"/>
          <w:sz w:val="32"/>
          <w:highlight w:val="none"/>
        </w:rPr>
        <w:t>（一）投标函</w:t>
      </w:r>
    </w:p>
    <w:p w14:paraId="4EFAD5EF">
      <w:pPr>
        <w:keepNext w:val="0"/>
        <w:keepLines w:val="0"/>
        <w:pageBreakBefore w:val="0"/>
        <w:widowControl w:val="0"/>
        <w:kinsoku/>
        <w:wordWrap/>
        <w:overflowPunct/>
        <w:topLinePunct w:val="0"/>
        <w:autoSpaceDE/>
        <w:autoSpaceDN/>
        <w:bidi w:val="0"/>
        <w:adjustRightInd/>
        <w:snapToGrid/>
        <w:spacing w:line="480" w:lineRule="auto"/>
        <w:ind w:firstLine="0" w:firstLineChars="0"/>
        <w:textAlignment w:val="auto"/>
        <w:rPr>
          <w:rFonts w:cs="宋体" w:asciiTheme="majorEastAsia" w:hAnsiTheme="majorEastAsia" w:eastAsiaTheme="majorEastAsia"/>
          <w:color w:val="auto"/>
          <w:sz w:val="24"/>
          <w:highlight w:val="none"/>
        </w:rPr>
      </w:pP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（招标人名称）：</w:t>
      </w:r>
    </w:p>
    <w:p w14:paraId="18AFB901">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cs="宋体" w:asciiTheme="majorEastAsia" w:hAnsiTheme="majorEastAsia" w:eastAsiaTheme="majorEastAsia"/>
          <w:color w:val="auto"/>
          <w:sz w:val="24"/>
          <w:highlight w:val="none"/>
        </w:rPr>
      </w:pPr>
      <w:r>
        <w:rPr>
          <w:rFonts w:cs="宋体" w:asciiTheme="majorEastAsia" w:hAnsiTheme="majorEastAsia" w:eastAsiaTheme="majorEastAsia"/>
          <w:color w:val="auto"/>
          <w:sz w:val="24"/>
          <w:highlight w:val="none"/>
        </w:rPr>
        <w:t>1.</w:t>
      </w:r>
      <w:r>
        <w:rPr>
          <w:rFonts w:hint="eastAsia" w:cs="宋体" w:asciiTheme="majorEastAsia" w:hAnsiTheme="majorEastAsia" w:eastAsiaTheme="majorEastAsia"/>
          <w:color w:val="auto"/>
          <w:sz w:val="24"/>
          <w:highlight w:val="none"/>
        </w:rPr>
        <w:t>我方已仔细研究了</w:t>
      </w:r>
      <w:r>
        <w:rPr>
          <w:rFonts w:hint="eastAsia" w:cs="宋体" w:asciiTheme="majorEastAsia" w:hAnsiTheme="majorEastAsia" w:eastAsiaTheme="majorEastAsia"/>
          <w:color w:val="auto"/>
          <w:sz w:val="24"/>
          <w:highlight w:val="none"/>
          <w:u w:val="single"/>
          <w:lang w:val="en-US" w:eastAsia="zh-CN"/>
        </w:rPr>
        <w:t xml:space="preserve">         </w:t>
      </w:r>
      <w:r>
        <w:rPr>
          <w:rFonts w:hint="eastAsia" w:cs="宋体" w:asciiTheme="majorEastAsia" w:hAnsiTheme="majorEastAsia" w:eastAsiaTheme="majorEastAsia"/>
          <w:color w:val="auto"/>
          <w:sz w:val="24"/>
          <w:highlight w:val="none"/>
          <w:u w:val="single"/>
        </w:rPr>
        <w:t>（项目名称）</w:t>
      </w:r>
      <w:r>
        <w:rPr>
          <w:rFonts w:hint="eastAsia" w:cs="宋体" w:asciiTheme="majorEastAsia" w:hAnsiTheme="majorEastAsia" w:eastAsiaTheme="majorEastAsia"/>
          <w:color w:val="auto"/>
          <w:sz w:val="24"/>
          <w:highlight w:val="none"/>
        </w:rPr>
        <w:t>招标文件的全部内容，工期</w:t>
      </w:r>
      <w:r>
        <w:rPr>
          <w:rFonts w:hint="eastAsia" w:cs="宋体" w:asciiTheme="majorEastAsia" w:hAnsiTheme="majorEastAsia" w:eastAsiaTheme="majorEastAsia"/>
          <w:color w:val="auto"/>
          <w:sz w:val="24"/>
          <w:highlight w:val="none"/>
          <w:u w:val="single"/>
          <w:lang w:val="en-US" w:eastAsia="zh-CN"/>
        </w:rPr>
        <w:t xml:space="preserve">     </w:t>
      </w:r>
      <w:r>
        <w:rPr>
          <w:rFonts w:hint="eastAsia" w:cs="宋体" w:asciiTheme="majorEastAsia" w:hAnsiTheme="majorEastAsia" w:eastAsiaTheme="majorEastAsia"/>
          <w:color w:val="auto"/>
          <w:sz w:val="24"/>
          <w:highlight w:val="none"/>
        </w:rPr>
        <w:t>日历天，按合同约定实施和完成承包工程，修补工程中的任何缺陷，工程质量达到</w:t>
      </w:r>
      <w:r>
        <w:rPr>
          <w:rFonts w:hint="eastAsia" w:cs="宋体" w:asciiTheme="majorEastAsia" w:hAnsiTheme="majorEastAsia" w:eastAsiaTheme="majorEastAsia"/>
          <w:b/>
          <w:bCs/>
          <w:color w:val="auto"/>
          <w:sz w:val="24"/>
          <w:highlight w:val="none"/>
          <w:u w:val="single"/>
        </w:rPr>
        <w:t>合格</w:t>
      </w:r>
      <w:r>
        <w:rPr>
          <w:rFonts w:hint="eastAsia" w:cs="宋体" w:asciiTheme="majorEastAsia" w:hAnsiTheme="majorEastAsia" w:eastAsiaTheme="majorEastAsia"/>
          <w:color w:val="auto"/>
          <w:sz w:val="24"/>
          <w:highlight w:val="none"/>
        </w:rPr>
        <w:t>标准。</w:t>
      </w:r>
    </w:p>
    <w:p w14:paraId="62BA0A20">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cs="宋体" w:asciiTheme="majorEastAsia" w:hAnsiTheme="majorEastAsia" w:eastAsiaTheme="majorEastAsia"/>
          <w:color w:val="auto"/>
          <w:sz w:val="24"/>
          <w:highlight w:val="none"/>
        </w:rPr>
      </w:pPr>
      <w:r>
        <w:rPr>
          <w:rFonts w:cs="宋体" w:asciiTheme="majorEastAsia" w:hAnsiTheme="majorEastAsia" w:eastAsiaTheme="majorEastAsia"/>
          <w:color w:val="auto"/>
          <w:sz w:val="24"/>
          <w:highlight w:val="none"/>
        </w:rPr>
        <w:t>2.</w:t>
      </w:r>
      <w:r>
        <w:rPr>
          <w:rFonts w:hint="eastAsia" w:cs="宋体" w:asciiTheme="majorEastAsia" w:hAnsiTheme="majorEastAsia" w:eastAsiaTheme="majorEastAsia"/>
          <w:color w:val="auto"/>
          <w:sz w:val="24"/>
          <w:highlight w:val="none"/>
        </w:rPr>
        <w:t>我方承诺在投标有效期</w:t>
      </w:r>
      <w:r>
        <w:rPr>
          <w:rFonts w:hint="eastAsia" w:cs="宋体" w:asciiTheme="majorEastAsia" w:hAnsiTheme="majorEastAsia" w:eastAsiaTheme="majorEastAsia"/>
          <w:color w:val="auto"/>
          <w:sz w:val="24"/>
          <w:highlight w:val="none"/>
          <w:u w:val="single"/>
        </w:rPr>
        <w:t>9</w:t>
      </w:r>
      <w:r>
        <w:rPr>
          <w:rFonts w:cs="宋体" w:asciiTheme="majorEastAsia" w:hAnsiTheme="majorEastAsia" w:eastAsiaTheme="majorEastAsia"/>
          <w:color w:val="auto"/>
          <w:sz w:val="24"/>
          <w:highlight w:val="none"/>
          <w:u w:val="single"/>
        </w:rPr>
        <w:t xml:space="preserve">0 </w:t>
      </w:r>
      <w:r>
        <w:rPr>
          <w:rFonts w:hint="eastAsia" w:cs="宋体" w:asciiTheme="majorEastAsia" w:hAnsiTheme="majorEastAsia" w:eastAsiaTheme="majorEastAsia"/>
          <w:color w:val="auto"/>
          <w:sz w:val="24"/>
          <w:highlight w:val="none"/>
          <w:u w:val="single"/>
        </w:rPr>
        <w:t>天</w:t>
      </w:r>
      <w:r>
        <w:rPr>
          <w:rFonts w:hint="eastAsia" w:cs="宋体" w:asciiTheme="majorEastAsia" w:hAnsiTheme="majorEastAsia" w:eastAsiaTheme="majorEastAsia"/>
          <w:color w:val="auto"/>
          <w:sz w:val="24"/>
          <w:highlight w:val="none"/>
        </w:rPr>
        <w:t>内不补充、修改、替代或者撤回本投标文件。</w:t>
      </w:r>
    </w:p>
    <w:p w14:paraId="42E135C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cs="宋体" w:asciiTheme="majorEastAsia" w:hAnsiTheme="majorEastAsia" w:eastAsiaTheme="majorEastAsia"/>
          <w:color w:val="auto"/>
          <w:sz w:val="24"/>
          <w:highlight w:val="none"/>
        </w:rPr>
      </w:pPr>
      <w:r>
        <w:rPr>
          <w:rFonts w:cs="宋体" w:asciiTheme="majorEastAsia" w:hAnsiTheme="majorEastAsia" w:eastAsiaTheme="majorEastAsia"/>
          <w:color w:val="auto"/>
          <w:sz w:val="24"/>
          <w:highlight w:val="none"/>
        </w:rPr>
        <w:t>3.</w:t>
      </w:r>
      <w:r>
        <w:rPr>
          <w:rFonts w:hint="eastAsia" w:cs="宋体" w:asciiTheme="majorEastAsia" w:hAnsiTheme="majorEastAsia" w:eastAsiaTheme="majorEastAsia"/>
          <w:color w:val="auto"/>
          <w:sz w:val="24"/>
          <w:highlight w:val="none"/>
        </w:rPr>
        <w:t>随同本投标函递交投标保证金一份，金额为人民币（大写</w:t>
      </w:r>
      <w:r>
        <w:rPr>
          <w:rFonts w:hint="eastAsia" w:cs="宋体" w:asciiTheme="majorEastAsia" w:hAnsiTheme="majorEastAsia" w:eastAsiaTheme="majorEastAsia"/>
          <w:color w:val="auto"/>
          <w:sz w:val="24"/>
          <w:highlight w:val="none"/>
          <w:u w:val="single"/>
        </w:rPr>
        <w:t xml:space="preserve">     </w:t>
      </w:r>
      <w:r>
        <w:rPr>
          <w:rFonts w:hint="eastAsia" w:cs="宋体" w:asciiTheme="majorEastAsia" w:hAnsiTheme="majorEastAsia" w:eastAsiaTheme="majorEastAsia"/>
          <w:color w:val="auto"/>
          <w:sz w:val="24"/>
          <w:highlight w:val="none"/>
          <w:u w:val="single"/>
          <w:lang w:val="en-US" w:eastAsia="zh-CN"/>
        </w:rPr>
        <w:t xml:space="preserve"> </w:t>
      </w:r>
      <w:r>
        <w:rPr>
          <w:rFonts w:hint="eastAsia" w:cs="宋体" w:asciiTheme="majorEastAsia" w:hAnsiTheme="majorEastAsia" w:eastAsiaTheme="majorEastAsia"/>
          <w:color w:val="auto"/>
          <w:sz w:val="24"/>
          <w:highlight w:val="none"/>
        </w:rPr>
        <w:t>（</w:t>
      </w:r>
      <w:r>
        <w:rPr>
          <w:rFonts w:cs="宋体" w:asciiTheme="majorEastAsia" w:hAnsiTheme="majorEastAsia" w:eastAsiaTheme="majorEastAsia"/>
          <w:color w:val="auto"/>
          <w:sz w:val="24"/>
          <w:highlight w:val="none"/>
        </w:rPr>
        <w:t>¥</w:t>
      </w:r>
      <w:r>
        <w:rPr>
          <w:rFonts w:hint="eastAsia" w:cs="宋体" w:asciiTheme="majorEastAsia" w:hAnsiTheme="majorEastAsia" w:eastAsiaTheme="majorEastAsia"/>
          <w:color w:val="auto"/>
          <w:sz w:val="24"/>
          <w:highlight w:val="none"/>
          <w:u w:val="single"/>
          <w:lang w:val="en-US" w:eastAsia="zh-CN"/>
        </w:rPr>
        <w:t xml:space="preserve">      </w:t>
      </w:r>
      <w:r>
        <w:rPr>
          <w:rFonts w:hint="eastAsia" w:cs="宋体" w:asciiTheme="majorEastAsia" w:hAnsiTheme="majorEastAsia" w:eastAsiaTheme="majorEastAsia"/>
          <w:color w:val="auto"/>
          <w:sz w:val="24"/>
          <w:highlight w:val="none"/>
        </w:rPr>
        <w:t>元）。</w:t>
      </w:r>
    </w:p>
    <w:p w14:paraId="5082B64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cs="宋体" w:asciiTheme="majorEastAsia" w:hAnsiTheme="majorEastAsia" w:eastAsiaTheme="majorEastAsia"/>
          <w:color w:val="auto"/>
          <w:sz w:val="24"/>
          <w:highlight w:val="none"/>
        </w:rPr>
      </w:pPr>
      <w:r>
        <w:rPr>
          <w:rFonts w:cs="宋体" w:asciiTheme="majorEastAsia" w:hAnsiTheme="majorEastAsia" w:eastAsiaTheme="majorEastAsia"/>
          <w:color w:val="auto"/>
          <w:sz w:val="24"/>
          <w:highlight w:val="none"/>
        </w:rPr>
        <w:t>4.</w:t>
      </w:r>
      <w:r>
        <w:rPr>
          <w:rFonts w:hint="eastAsia" w:cs="宋体" w:asciiTheme="majorEastAsia" w:hAnsiTheme="majorEastAsia" w:eastAsiaTheme="majorEastAsia"/>
          <w:color w:val="auto"/>
          <w:sz w:val="24"/>
          <w:highlight w:val="none"/>
        </w:rPr>
        <w:t>如我方中标：</w:t>
      </w:r>
    </w:p>
    <w:p w14:paraId="5E64F770">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w:t>
      </w:r>
      <w:r>
        <w:rPr>
          <w:rFonts w:cs="宋体" w:asciiTheme="majorEastAsia" w:hAnsiTheme="majorEastAsia" w:eastAsiaTheme="majorEastAsia"/>
          <w:color w:val="auto"/>
          <w:sz w:val="24"/>
          <w:highlight w:val="none"/>
        </w:rPr>
        <w:t>1</w:t>
      </w:r>
      <w:r>
        <w:rPr>
          <w:rFonts w:hint="eastAsia" w:cs="宋体" w:asciiTheme="majorEastAsia" w:hAnsiTheme="majorEastAsia" w:eastAsiaTheme="majorEastAsia"/>
          <w:color w:val="auto"/>
          <w:sz w:val="24"/>
          <w:highlight w:val="none"/>
        </w:rPr>
        <w:t>）我方承诺在收到中标通知书后，在中标通知书规定的期限内与你方签订合同；</w:t>
      </w:r>
    </w:p>
    <w:p w14:paraId="315D11F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w:t>
      </w:r>
      <w:r>
        <w:rPr>
          <w:rFonts w:cs="宋体" w:asciiTheme="majorEastAsia" w:hAnsiTheme="majorEastAsia" w:eastAsiaTheme="majorEastAsia"/>
          <w:color w:val="auto"/>
          <w:sz w:val="24"/>
          <w:highlight w:val="none"/>
        </w:rPr>
        <w:t>2</w:t>
      </w:r>
      <w:r>
        <w:rPr>
          <w:rFonts w:hint="eastAsia" w:cs="宋体" w:asciiTheme="majorEastAsia" w:hAnsiTheme="majorEastAsia" w:eastAsiaTheme="majorEastAsia"/>
          <w:color w:val="auto"/>
          <w:sz w:val="24"/>
          <w:highlight w:val="none"/>
        </w:rPr>
        <w:t>）随同本投标函递交的投标函附录属于合同文件的组成部分；</w:t>
      </w:r>
    </w:p>
    <w:p w14:paraId="18F45F6A">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w:t>
      </w:r>
      <w:r>
        <w:rPr>
          <w:rFonts w:cs="宋体" w:asciiTheme="majorEastAsia" w:hAnsiTheme="majorEastAsia" w:eastAsiaTheme="majorEastAsia"/>
          <w:color w:val="auto"/>
          <w:sz w:val="24"/>
          <w:highlight w:val="none"/>
        </w:rPr>
        <w:t>3</w:t>
      </w:r>
      <w:r>
        <w:rPr>
          <w:rFonts w:hint="eastAsia" w:cs="宋体" w:asciiTheme="majorEastAsia" w:hAnsiTheme="majorEastAsia" w:eastAsiaTheme="majorEastAsia"/>
          <w:color w:val="auto"/>
          <w:sz w:val="24"/>
          <w:highlight w:val="none"/>
        </w:rPr>
        <w:t>）我方承诺在合同约定的期限内完成并移交全部合同工程。</w:t>
      </w:r>
    </w:p>
    <w:p w14:paraId="1079C49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cs="宋体" w:asciiTheme="majorEastAsia" w:hAnsiTheme="majorEastAsia" w:eastAsiaTheme="majorEastAsia"/>
          <w:color w:val="auto"/>
          <w:sz w:val="24"/>
          <w:highlight w:val="none"/>
        </w:rPr>
      </w:pPr>
      <w:r>
        <w:rPr>
          <w:rFonts w:cs="宋体" w:asciiTheme="majorEastAsia" w:hAnsiTheme="majorEastAsia" w:eastAsiaTheme="majorEastAsia"/>
          <w:color w:val="auto"/>
          <w:sz w:val="24"/>
          <w:highlight w:val="none"/>
        </w:rPr>
        <w:t>5.</w:t>
      </w:r>
      <w:r>
        <w:rPr>
          <w:rFonts w:hint="eastAsia" w:cs="宋体" w:asciiTheme="majorEastAsia" w:hAnsiTheme="majorEastAsia" w:eastAsiaTheme="majorEastAsia"/>
          <w:color w:val="auto"/>
          <w:sz w:val="24"/>
          <w:highlight w:val="none"/>
        </w:rPr>
        <w:t>我方在此声明，所递交的投标文件及有关资料内容完整、真实和准确，且不存在第</w:t>
      </w:r>
      <w:r>
        <w:rPr>
          <w:rFonts w:cs="宋体" w:asciiTheme="majorEastAsia" w:hAnsiTheme="majorEastAsia" w:eastAsiaTheme="majorEastAsia"/>
          <w:color w:val="auto"/>
          <w:sz w:val="24"/>
          <w:highlight w:val="none"/>
        </w:rPr>
        <w:t xml:space="preserve">2 </w:t>
      </w:r>
      <w:r>
        <w:rPr>
          <w:rFonts w:hint="eastAsia" w:cs="宋体" w:asciiTheme="majorEastAsia" w:hAnsiTheme="majorEastAsia" w:eastAsiaTheme="majorEastAsia"/>
          <w:color w:val="auto"/>
          <w:sz w:val="24"/>
          <w:highlight w:val="none"/>
        </w:rPr>
        <w:t>章投标人须知第</w:t>
      </w:r>
      <w:r>
        <w:rPr>
          <w:rFonts w:cs="宋体" w:asciiTheme="majorEastAsia" w:hAnsiTheme="majorEastAsia" w:eastAsiaTheme="majorEastAsia"/>
          <w:color w:val="auto"/>
          <w:sz w:val="24"/>
          <w:highlight w:val="none"/>
        </w:rPr>
        <w:t>1.4.</w:t>
      </w:r>
      <w:r>
        <w:rPr>
          <w:rFonts w:hint="eastAsia" w:cs="宋体" w:asciiTheme="majorEastAsia" w:hAnsiTheme="majorEastAsia" w:eastAsiaTheme="majorEastAsia"/>
          <w:color w:val="auto"/>
          <w:sz w:val="24"/>
          <w:highlight w:val="none"/>
        </w:rPr>
        <w:t>3</w:t>
      </w:r>
      <w:r>
        <w:rPr>
          <w:rFonts w:hint="eastAsia" w:ascii="宋体" w:hAnsi="宋体" w:cs="宋体"/>
          <w:color w:val="auto"/>
          <w:sz w:val="24"/>
          <w:highlight w:val="none"/>
          <w:lang w:val="en-US" w:eastAsia="zh-CN"/>
        </w:rPr>
        <w:t>及1.4.4</w:t>
      </w:r>
      <w:r>
        <w:rPr>
          <w:rFonts w:hint="eastAsia" w:ascii="宋体" w:hAnsi="宋体" w:cs="宋体"/>
          <w:color w:val="auto"/>
          <w:sz w:val="24"/>
          <w:highlight w:val="none"/>
        </w:rPr>
        <w:t>款</w:t>
      </w:r>
      <w:r>
        <w:rPr>
          <w:rFonts w:hint="eastAsia" w:cs="宋体" w:asciiTheme="majorEastAsia" w:hAnsiTheme="majorEastAsia" w:eastAsiaTheme="majorEastAsia"/>
          <w:color w:val="auto"/>
          <w:sz w:val="24"/>
          <w:highlight w:val="none"/>
        </w:rPr>
        <w:t>规定的任何一种情形。</w:t>
      </w:r>
    </w:p>
    <w:p w14:paraId="669507C5">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cs="宋体" w:asciiTheme="majorEastAsia" w:hAnsiTheme="majorEastAsia" w:eastAsiaTheme="majorEastAsia"/>
          <w:color w:val="auto"/>
          <w:sz w:val="24"/>
          <w:highlight w:val="none"/>
        </w:rPr>
      </w:pPr>
      <w:r>
        <w:rPr>
          <w:rFonts w:cs="宋体" w:asciiTheme="majorEastAsia" w:hAnsiTheme="majorEastAsia" w:eastAsiaTheme="majorEastAsia"/>
          <w:color w:val="auto"/>
          <w:sz w:val="24"/>
          <w:highlight w:val="none"/>
        </w:rPr>
        <w:t>6.</w:t>
      </w:r>
      <w:r>
        <w:rPr>
          <w:rFonts w:hint="eastAsia" w:cs="宋体" w:asciiTheme="majorEastAsia" w:hAnsiTheme="majorEastAsia" w:eastAsiaTheme="majorEastAsia"/>
          <w:color w:val="auto"/>
          <w:sz w:val="24"/>
          <w:highlight w:val="none"/>
        </w:rPr>
        <w:t>（其它补充说明）。</w:t>
      </w:r>
    </w:p>
    <w:p w14:paraId="1604E26E">
      <w:pPr>
        <w:pStyle w:val="5"/>
        <w:rPr>
          <w:color w:val="auto"/>
          <w:highlight w:val="none"/>
        </w:rPr>
      </w:pPr>
    </w:p>
    <w:p w14:paraId="16EE326D">
      <w:pPr>
        <w:keepNext w:val="0"/>
        <w:keepLines w:val="0"/>
        <w:pageBreakBefore w:val="0"/>
        <w:widowControl w:val="0"/>
        <w:kinsoku/>
        <w:wordWrap/>
        <w:overflowPunct/>
        <w:topLinePunct w:val="0"/>
        <w:autoSpaceDE/>
        <w:autoSpaceDN/>
        <w:bidi w:val="0"/>
        <w:adjustRightInd/>
        <w:snapToGrid/>
        <w:spacing w:line="480" w:lineRule="exact"/>
        <w:ind w:right="0" w:firstLine="3600" w:firstLineChars="1500"/>
        <w:textAlignment w:val="auto"/>
        <w:rPr>
          <w:rFonts w:ascii="宋体" w:cs="宋体"/>
          <w:color w:val="auto"/>
          <w:sz w:val="24"/>
          <w:highlight w:val="none"/>
        </w:rPr>
      </w:pPr>
      <w:bookmarkStart w:id="121" w:name="_Toc48667493"/>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bookmarkEnd w:id="121"/>
      <w:r>
        <w:rPr>
          <w:rFonts w:ascii="宋体" w:hAnsi="宋体" w:cs="宋体"/>
          <w:color w:val="auto"/>
          <w:sz w:val="24"/>
          <w:highlight w:val="none"/>
        </w:rPr>
        <w:t xml:space="preserve"> </w:t>
      </w:r>
    </w:p>
    <w:p w14:paraId="13D31B21">
      <w:pPr>
        <w:keepNext w:val="0"/>
        <w:keepLines w:val="0"/>
        <w:pageBreakBefore w:val="0"/>
        <w:widowControl w:val="0"/>
        <w:kinsoku/>
        <w:wordWrap/>
        <w:overflowPunct/>
        <w:topLinePunct w:val="0"/>
        <w:autoSpaceDE/>
        <w:autoSpaceDN/>
        <w:bidi w:val="0"/>
        <w:adjustRightInd/>
        <w:snapToGrid/>
        <w:spacing w:line="480" w:lineRule="exact"/>
        <w:ind w:right="0"/>
        <w:jc w:val="center"/>
        <w:textAlignment w:val="auto"/>
        <w:rPr>
          <w:rFonts w:ascii="宋体" w:cs="宋体"/>
          <w:color w:val="auto"/>
          <w:sz w:val="24"/>
          <w:highlight w:val="none"/>
        </w:rPr>
      </w:pPr>
      <w:r>
        <w:rPr>
          <w:rFonts w:hint="eastAsia" w:ascii="宋体" w:hAnsi="宋体" w:cs="宋体"/>
          <w:color w:val="auto"/>
          <w:sz w:val="24"/>
          <w:highlight w:val="none"/>
        </w:rPr>
        <w:t xml:space="preserve">                       </w:t>
      </w:r>
      <w:bookmarkStart w:id="122" w:name="_Toc48667494"/>
      <w:r>
        <w:rPr>
          <w:rFonts w:hint="eastAsia" w:ascii="宋体" w:hAnsi="宋体" w:cs="宋体"/>
          <w:color w:val="auto"/>
          <w:sz w:val="24"/>
          <w:highlight w:val="none"/>
        </w:rPr>
        <w:t>法定代表人或其授权委托人：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bookmarkEnd w:id="122"/>
      <w:r>
        <w:rPr>
          <w:rFonts w:hint="eastAsia" w:ascii="宋体" w:hAnsi="宋体" w:cs="宋体"/>
          <w:color w:val="auto"/>
          <w:sz w:val="24"/>
          <w:highlight w:val="none"/>
        </w:rPr>
        <w:t>（签字）</w:t>
      </w:r>
      <w:r>
        <w:rPr>
          <w:rFonts w:ascii="宋体" w:hAnsi="宋体" w:cs="宋体"/>
          <w:color w:val="auto"/>
          <w:sz w:val="24"/>
          <w:highlight w:val="none"/>
        </w:rPr>
        <w:t xml:space="preserve"> </w:t>
      </w:r>
    </w:p>
    <w:p w14:paraId="5B3E86EC">
      <w:pPr>
        <w:keepNext w:val="0"/>
        <w:keepLines w:val="0"/>
        <w:pageBreakBefore w:val="0"/>
        <w:widowControl w:val="0"/>
        <w:kinsoku/>
        <w:wordWrap/>
        <w:overflowPunct/>
        <w:topLinePunct w:val="0"/>
        <w:autoSpaceDE/>
        <w:autoSpaceDN/>
        <w:bidi w:val="0"/>
        <w:adjustRightInd/>
        <w:snapToGrid/>
        <w:spacing w:line="480" w:lineRule="exact"/>
        <w:ind w:right="0" w:firstLine="820" w:firstLineChars="342"/>
        <w:textAlignment w:val="auto"/>
        <w:rPr>
          <w:rFonts w:ascii="宋体" w:cs="宋体"/>
          <w:color w:val="auto"/>
          <w:sz w:val="24"/>
          <w:highlight w:val="none"/>
          <w:u w:val="single"/>
        </w:rPr>
      </w:pPr>
      <w:r>
        <w:rPr>
          <w:rFonts w:ascii="宋体" w:hAnsi="宋体" w:cs="宋体"/>
          <w:color w:val="auto"/>
          <w:sz w:val="24"/>
          <w:highlight w:val="none"/>
        </w:rPr>
        <w:t xml:space="preserve">                       </w:t>
      </w:r>
      <w:bookmarkStart w:id="123" w:name="_Toc48667495"/>
      <w:r>
        <w:rPr>
          <w:rFonts w:hint="eastAsia" w:ascii="宋体" w:hAnsi="宋体" w:cs="宋体"/>
          <w:color w:val="auto"/>
          <w:sz w:val="24"/>
          <w:highlight w:val="none"/>
        </w:rPr>
        <w:t>地</w:t>
      </w:r>
      <w:r>
        <w:rPr>
          <w:rFonts w:ascii="宋体" w:hAnsi="宋体" w:cs="宋体"/>
          <w:color w:val="auto"/>
          <w:sz w:val="24"/>
          <w:highlight w:val="none"/>
        </w:rPr>
        <w:t xml:space="preserve">       </w:t>
      </w:r>
      <w:r>
        <w:rPr>
          <w:rFonts w:hint="eastAsia" w:ascii="宋体" w:hAnsi="宋体" w:cs="宋体"/>
          <w:color w:val="auto"/>
          <w:sz w:val="24"/>
          <w:highlight w:val="none"/>
        </w:rPr>
        <w:t>址：</w:t>
      </w:r>
      <w:bookmarkEnd w:id="123"/>
      <w:r>
        <w:rPr>
          <w:rFonts w:hint="eastAsia" w:ascii="宋体" w:hAnsi="宋体" w:cs="宋体"/>
          <w:color w:val="auto"/>
          <w:sz w:val="24"/>
          <w:highlight w:val="none"/>
          <w:u w:val="single"/>
        </w:rPr>
        <w:t xml:space="preserve">                      </w:t>
      </w:r>
    </w:p>
    <w:p w14:paraId="1089FD4D">
      <w:pPr>
        <w:keepNext w:val="0"/>
        <w:keepLines w:val="0"/>
        <w:pageBreakBefore w:val="0"/>
        <w:widowControl w:val="0"/>
        <w:kinsoku/>
        <w:wordWrap/>
        <w:overflowPunct/>
        <w:topLinePunct w:val="0"/>
        <w:autoSpaceDE/>
        <w:autoSpaceDN/>
        <w:bidi w:val="0"/>
        <w:adjustRightInd/>
        <w:snapToGrid/>
        <w:spacing w:line="480" w:lineRule="exact"/>
        <w:ind w:right="0" w:firstLine="820" w:firstLineChars="342"/>
        <w:textAlignment w:val="auto"/>
        <w:rPr>
          <w:rFonts w:ascii="宋体" w:cs="宋体"/>
          <w:color w:val="auto"/>
          <w:sz w:val="24"/>
          <w:highlight w:val="none"/>
          <w:u w:val="single"/>
        </w:rPr>
      </w:pPr>
      <w:r>
        <w:rPr>
          <w:rFonts w:ascii="宋体" w:hAnsi="宋体" w:cs="宋体"/>
          <w:color w:val="auto"/>
          <w:sz w:val="24"/>
          <w:highlight w:val="none"/>
        </w:rPr>
        <w:t xml:space="preserve">                       </w:t>
      </w:r>
      <w:bookmarkStart w:id="124" w:name="_Toc48667497"/>
      <w:r>
        <w:rPr>
          <w:rFonts w:hint="eastAsia" w:ascii="宋体" w:hAnsi="宋体" w:cs="宋体"/>
          <w:color w:val="auto"/>
          <w:sz w:val="24"/>
          <w:highlight w:val="none"/>
        </w:rPr>
        <w:t>电</w:t>
      </w:r>
      <w:r>
        <w:rPr>
          <w:rFonts w:ascii="宋体" w:hAnsi="宋体" w:cs="宋体"/>
          <w:color w:val="auto"/>
          <w:sz w:val="24"/>
          <w:highlight w:val="none"/>
        </w:rPr>
        <w:t xml:space="preserve">       </w:t>
      </w:r>
      <w:r>
        <w:rPr>
          <w:rFonts w:hint="eastAsia" w:ascii="宋体" w:hAnsi="宋体" w:cs="宋体"/>
          <w:color w:val="auto"/>
          <w:sz w:val="24"/>
          <w:highlight w:val="none"/>
        </w:rPr>
        <w:t>话：</w:t>
      </w:r>
      <w:bookmarkEnd w:id="124"/>
      <w:r>
        <w:rPr>
          <w:rFonts w:hint="eastAsia" w:ascii="宋体" w:hAnsi="宋体" w:cs="宋体"/>
          <w:color w:val="auto"/>
          <w:sz w:val="24"/>
          <w:highlight w:val="none"/>
          <w:u w:val="single"/>
        </w:rPr>
        <w:t xml:space="preserve">                      </w:t>
      </w:r>
    </w:p>
    <w:p w14:paraId="6E0B1261">
      <w:pPr>
        <w:keepNext w:val="0"/>
        <w:keepLines w:val="0"/>
        <w:pageBreakBefore w:val="0"/>
        <w:widowControl w:val="0"/>
        <w:kinsoku/>
        <w:wordWrap/>
        <w:overflowPunct/>
        <w:topLinePunct w:val="0"/>
        <w:autoSpaceDE/>
        <w:autoSpaceDN/>
        <w:bidi w:val="0"/>
        <w:adjustRightInd/>
        <w:snapToGrid/>
        <w:spacing w:line="480" w:lineRule="exact"/>
        <w:ind w:right="0" w:firstLine="820" w:firstLineChars="342"/>
        <w:textAlignment w:val="auto"/>
        <w:rPr>
          <w:rFonts w:ascii="宋体" w:cs="宋体"/>
          <w:color w:val="auto"/>
          <w:sz w:val="24"/>
          <w:highlight w:val="none"/>
          <w:u w:val="single"/>
        </w:rPr>
      </w:pPr>
      <w:r>
        <w:rPr>
          <w:rFonts w:ascii="宋体" w:hAnsi="宋体" w:cs="宋体"/>
          <w:color w:val="auto"/>
          <w:sz w:val="24"/>
          <w:highlight w:val="none"/>
        </w:rPr>
        <w:t xml:space="preserve">                       </w:t>
      </w:r>
      <w:bookmarkStart w:id="125" w:name="_Toc48667498"/>
      <w:r>
        <w:rPr>
          <w:rFonts w:hint="eastAsia" w:ascii="宋体" w:hAnsi="宋体" w:cs="宋体"/>
          <w:color w:val="auto"/>
          <w:sz w:val="24"/>
          <w:highlight w:val="none"/>
        </w:rPr>
        <w:t>传</w:t>
      </w:r>
      <w:r>
        <w:rPr>
          <w:rFonts w:ascii="宋体" w:hAnsi="宋体" w:cs="宋体"/>
          <w:color w:val="auto"/>
          <w:sz w:val="24"/>
          <w:highlight w:val="none"/>
        </w:rPr>
        <w:t xml:space="preserve">       </w:t>
      </w:r>
      <w:r>
        <w:rPr>
          <w:rFonts w:hint="eastAsia" w:ascii="宋体" w:hAnsi="宋体" w:cs="宋体"/>
          <w:color w:val="auto"/>
          <w:sz w:val="24"/>
          <w:highlight w:val="none"/>
        </w:rPr>
        <w:t>真：</w:t>
      </w:r>
      <w:bookmarkEnd w:id="125"/>
      <w:r>
        <w:rPr>
          <w:rFonts w:hint="eastAsia" w:ascii="宋体" w:hAnsi="宋体" w:cs="宋体"/>
          <w:color w:val="auto"/>
          <w:sz w:val="24"/>
          <w:highlight w:val="none"/>
          <w:u w:val="single"/>
        </w:rPr>
        <w:t xml:space="preserve">                      </w:t>
      </w:r>
    </w:p>
    <w:p w14:paraId="34B8AE34">
      <w:pPr>
        <w:keepNext w:val="0"/>
        <w:keepLines w:val="0"/>
        <w:pageBreakBefore w:val="0"/>
        <w:widowControl w:val="0"/>
        <w:kinsoku/>
        <w:wordWrap/>
        <w:overflowPunct/>
        <w:topLinePunct w:val="0"/>
        <w:autoSpaceDE/>
        <w:autoSpaceDN/>
        <w:bidi w:val="0"/>
        <w:adjustRightInd/>
        <w:snapToGrid/>
        <w:spacing w:line="480" w:lineRule="exact"/>
        <w:ind w:right="0" w:firstLine="820" w:firstLineChars="342"/>
        <w:textAlignment w:val="auto"/>
        <w:rPr>
          <w:rFonts w:ascii="宋体" w:cs="宋体"/>
          <w:color w:val="auto"/>
          <w:sz w:val="24"/>
          <w:highlight w:val="none"/>
          <w:u w:val="single"/>
        </w:rPr>
      </w:pPr>
      <w:r>
        <w:rPr>
          <w:rFonts w:ascii="宋体" w:hAnsi="宋体" w:cs="宋体"/>
          <w:color w:val="auto"/>
          <w:sz w:val="24"/>
          <w:highlight w:val="none"/>
        </w:rPr>
        <w:t xml:space="preserve">                       </w:t>
      </w:r>
      <w:bookmarkStart w:id="126" w:name="_Toc48667499"/>
      <w:r>
        <w:rPr>
          <w:rFonts w:hint="eastAsia" w:ascii="宋体" w:hAnsi="宋体" w:cs="宋体"/>
          <w:color w:val="auto"/>
          <w:sz w:val="24"/>
          <w:highlight w:val="none"/>
        </w:rPr>
        <w:t>邮</w:t>
      </w:r>
      <w:r>
        <w:rPr>
          <w:rFonts w:ascii="宋体" w:hAnsi="宋体" w:cs="宋体"/>
          <w:color w:val="auto"/>
          <w:sz w:val="24"/>
          <w:highlight w:val="none"/>
        </w:rPr>
        <w:t xml:space="preserve"> </w:t>
      </w:r>
      <w:r>
        <w:rPr>
          <w:rFonts w:hint="eastAsia" w:ascii="宋体" w:hAnsi="宋体" w:cs="宋体"/>
          <w:color w:val="auto"/>
          <w:sz w:val="24"/>
          <w:highlight w:val="none"/>
        </w:rPr>
        <w:t>政</w:t>
      </w:r>
      <w:r>
        <w:rPr>
          <w:rFonts w:ascii="宋体" w:hAnsi="宋体" w:cs="宋体"/>
          <w:color w:val="auto"/>
          <w:sz w:val="24"/>
          <w:highlight w:val="none"/>
        </w:rPr>
        <w:t xml:space="preserve"> </w:t>
      </w:r>
      <w:r>
        <w:rPr>
          <w:rFonts w:hint="eastAsia" w:ascii="宋体" w:hAnsi="宋体" w:cs="宋体"/>
          <w:color w:val="auto"/>
          <w:sz w:val="24"/>
          <w:highlight w:val="none"/>
        </w:rPr>
        <w:t>编</w:t>
      </w:r>
      <w:r>
        <w:rPr>
          <w:rFonts w:ascii="宋体" w:hAnsi="宋体" w:cs="宋体"/>
          <w:color w:val="auto"/>
          <w:sz w:val="24"/>
          <w:highlight w:val="none"/>
        </w:rPr>
        <w:t xml:space="preserve"> </w:t>
      </w:r>
      <w:r>
        <w:rPr>
          <w:rFonts w:hint="eastAsia" w:ascii="宋体" w:hAnsi="宋体" w:cs="宋体"/>
          <w:color w:val="auto"/>
          <w:sz w:val="24"/>
          <w:highlight w:val="none"/>
        </w:rPr>
        <w:t>码：</w:t>
      </w:r>
      <w:bookmarkEnd w:id="126"/>
      <w:r>
        <w:rPr>
          <w:rFonts w:hint="eastAsia" w:ascii="宋体" w:hAnsi="宋体" w:cs="宋体"/>
          <w:color w:val="auto"/>
          <w:sz w:val="24"/>
          <w:highlight w:val="none"/>
          <w:u w:val="single"/>
        </w:rPr>
        <w:t xml:space="preserve">                      </w:t>
      </w:r>
    </w:p>
    <w:p w14:paraId="2B0133C4">
      <w:pPr>
        <w:keepNext w:val="0"/>
        <w:keepLines w:val="0"/>
        <w:pageBreakBefore w:val="0"/>
        <w:widowControl w:val="0"/>
        <w:kinsoku/>
        <w:wordWrap/>
        <w:overflowPunct/>
        <w:topLinePunct w:val="0"/>
        <w:autoSpaceDE/>
        <w:autoSpaceDN/>
        <w:bidi w:val="0"/>
        <w:adjustRightInd/>
        <w:snapToGrid/>
        <w:spacing w:line="480" w:lineRule="exact"/>
        <w:ind w:right="0"/>
        <w:jc w:val="center"/>
        <w:textAlignment w:val="auto"/>
        <w:rPr>
          <w:rFonts w:ascii="宋体" w:cs="宋体"/>
          <w:color w:val="auto"/>
          <w:sz w:val="24"/>
          <w:highlight w:val="none"/>
        </w:rPr>
      </w:pPr>
      <w:bookmarkStart w:id="127" w:name="_Toc48667500"/>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bookmarkEnd w:id="127"/>
    </w:p>
    <w:p w14:paraId="449831B1">
      <w:pPr>
        <w:spacing w:line="360" w:lineRule="auto"/>
        <w:ind w:firstLine="820"/>
        <w:rPr>
          <w:rFonts w:cs="宋体" w:asciiTheme="majorEastAsia" w:hAnsiTheme="majorEastAsia" w:eastAsiaTheme="majorEastAsia"/>
          <w:b/>
          <w:color w:val="auto"/>
          <w:highlight w:val="none"/>
        </w:rPr>
      </w:pPr>
    </w:p>
    <w:p w14:paraId="73A5A5B1">
      <w:pPr>
        <w:rPr>
          <w:rFonts w:hint="eastAsia" w:cs="宋体" w:asciiTheme="majorEastAsia" w:hAnsiTheme="majorEastAsia" w:eastAsiaTheme="majorEastAsia"/>
          <w:b/>
          <w:color w:val="auto"/>
          <w:sz w:val="32"/>
          <w:highlight w:val="none"/>
        </w:rPr>
      </w:pPr>
      <w:r>
        <w:rPr>
          <w:rFonts w:hint="eastAsia" w:cs="宋体" w:asciiTheme="majorEastAsia" w:hAnsiTheme="majorEastAsia" w:eastAsiaTheme="majorEastAsia"/>
          <w:b/>
          <w:color w:val="auto"/>
          <w:sz w:val="32"/>
          <w:highlight w:val="none"/>
        </w:rPr>
        <w:br w:type="page"/>
      </w:r>
    </w:p>
    <w:p w14:paraId="3A7CCC79">
      <w:pPr>
        <w:spacing w:line="480" w:lineRule="auto"/>
        <w:rPr>
          <w:rFonts w:cs="宋体" w:asciiTheme="majorEastAsia" w:hAnsiTheme="majorEastAsia" w:eastAsiaTheme="majorEastAsia"/>
          <w:b/>
          <w:color w:val="auto"/>
          <w:sz w:val="32"/>
          <w:highlight w:val="none"/>
        </w:rPr>
      </w:pPr>
      <w:r>
        <w:rPr>
          <w:rFonts w:hint="eastAsia" w:cs="宋体" w:asciiTheme="majorEastAsia" w:hAnsiTheme="majorEastAsia" w:eastAsiaTheme="majorEastAsia"/>
          <w:b/>
          <w:color w:val="auto"/>
          <w:sz w:val="32"/>
          <w:highlight w:val="none"/>
        </w:rPr>
        <w:t>（二）投标函附录一</w:t>
      </w:r>
    </w:p>
    <w:tbl>
      <w:tblPr>
        <w:tblStyle w:val="20"/>
        <w:tblW w:w="0" w:type="auto"/>
        <w:tblInd w:w="-8" w:type="dxa"/>
        <w:tblLayout w:type="autofit"/>
        <w:tblCellMar>
          <w:top w:w="0" w:type="dxa"/>
          <w:left w:w="10" w:type="dxa"/>
          <w:bottom w:w="0" w:type="dxa"/>
          <w:right w:w="10" w:type="dxa"/>
        </w:tblCellMar>
      </w:tblPr>
      <w:tblGrid>
        <w:gridCol w:w="1450"/>
        <w:gridCol w:w="2864"/>
        <w:gridCol w:w="5008"/>
      </w:tblGrid>
      <w:tr w14:paraId="3E9D5336">
        <w:tblPrEx>
          <w:tblCellMar>
            <w:top w:w="0" w:type="dxa"/>
            <w:left w:w="10" w:type="dxa"/>
            <w:bottom w:w="0" w:type="dxa"/>
            <w:right w:w="10" w:type="dxa"/>
          </w:tblCellMar>
        </w:tblPrEx>
        <w:trPr>
          <w:trHeight w:val="567" w:hRule="atLeast"/>
        </w:trPr>
        <w:tc>
          <w:tcPr>
            <w:tcW w:w="14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DDE5D5C">
            <w:pPr>
              <w:spacing w:line="480" w:lineRule="auto"/>
              <w:ind w:left="-90"/>
              <w:jc w:val="center"/>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pacing w:val="2"/>
                <w:sz w:val="24"/>
                <w:szCs w:val="24"/>
                <w:highlight w:val="none"/>
              </w:rPr>
              <w:t>序号</w:t>
            </w:r>
          </w:p>
        </w:tc>
        <w:tc>
          <w:tcPr>
            <w:tcW w:w="7872"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FCB07A">
            <w:pPr>
              <w:spacing w:line="480" w:lineRule="auto"/>
              <w:ind w:left="-90"/>
              <w:jc w:val="center"/>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pacing w:val="2"/>
                <w:sz w:val="24"/>
                <w:szCs w:val="24"/>
                <w:highlight w:val="none"/>
              </w:rPr>
              <w:t>内容</w:t>
            </w:r>
          </w:p>
        </w:tc>
      </w:tr>
      <w:tr w14:paraId="017F2F04">
        <w:tblPrEx>
          <w:tblCellMar>
            <w:top w:w="0" w:type="dxa"/>
            <w:left w:w="10" w:type="dxa"/>
            <w:bottom w:w="0" w:type="dxa"/>
            <w:right w:w="10" w:type="dxa"/>
          </w:tblCellMar>
        </w:tblPrEx>
        <w:trPr>
          <w:trHeight w:val="567" w:hRule="atLeast"/>
        </w:trPr>
        <w:tc>
          <w:tcPr>
            <w:tcW w:w="14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F129EB8">
            <w:pPr>
              <w:spacing w:line="480" w:lineRule="auto"/>
              <w:ind w:left="-90"/>
              <w:jc w:val="center"/>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pacing w:val="2"/>
                <w:sz w:val="24"/>
                <w:szCs w:val="24"/>
                <w:highlight w:val="none"/>
              </w:rPr>
              <w:t>1</w:t>
            </w:r>
          </w:p>
        </w:tc>
        <w:tc>
          <w:tcPr>
            <w:tcW w:w="28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0E3D427">
            <w:pPr>
              <w:spacing w:line="480" w:lineRule="auto"/>
              <w:ind w:left="-90"/>
              <w:jc w:val="center"/>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施工企业资质等级</w:t>
            </w:r>
          </w:p>
        </w:tc>
        <w:tc>
          <w:tcPr>
            <w:tcW w:w="500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3E95F95">
            <w:pPr>
              <w:spacing w:line="480" w:lineRule="auto"/>
              <w:ind w:left="-90"/>
              <w:jc w:val="center"/>
              <w:rPr>
                <w:rFonts w:cs="宋体" w:asciiTheme="majorEastAsia" w:hAnsiTheme="majorEastAsia" w:eastAsiaTheme="majorEastAsia"/>
                <w:color w:val="auto"/>
                <w:sz w:val="24"/>
                <w:szCs w:val="24"/>
                <w:highlight w:val="none"/>
              </w:rPr>
            </w:pPr>
          </w:p>
        </w:tc>
      </w:tr>
      <w:tr w14:paraId="268D2861">
        <w:tblPrEx>
          <w:tblCellMar>
            <w:top w:w="0" w:type="dxa"/>
            <w:left w:w="10" w:type="dxa"/>
            <w:bottom w:w="0" w:type="dxa"/>
            <w:right w:w="10" w:type="dxa"/>
          </w:tblCellMar>
        </w:tblPrEx>
        <w:trPr>
          <w:trHeight w:val="441" w:hRule="atLeast"/>
        </w:trPr>
        <w:tc>
          <w:tcPr>
            <w:tcW w:w="1450"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E681173">
            <w:pPr>
              <w:spacing w:line="480" w:lineRule="auto"/>
              <w:ind w:left="-90"/>
              <w:jc w:val="center"/>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pacing w:val="2"/>
                <w:sz w:val="24"/>
                <w:szCs w:val="24"/>
                <w:highlight w:val="none"/>
              </w:rPr>
              <w:t>2</w:t>
            </w:r>
          </w:p>
        </w:tc>
        <w:tc>
          <w:tcPr>
            <w:tcW w:w="2864"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4A5FD5A">
            <w:pPr>
              <w:spacing w:line="480" w:lineRule="auto"/>
              <w:ind w:left="-90"/>
              <w:jc w:val="center"/>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pacing w:val="2"/>
                <w:sz w:val="24"/>
                <w:szCs w:val="24"/>
                <w:highlight w:val="none"/>
              </w:rPr>
              <w:t>项目经理</w:t>
            </w:r>
          </w:p>
        </w:tc>
        <w:tc>
          <w:tcPr>
            <w:tcW w:w="500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FFFB432">
            <w:pPr>
              <w:spacing w:line="480" w:lineRule="auto"/>
              <w:ind w:left="-90" w:firstLine="244"/>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pacing w:val="2"/>
                <w:sz w:val="24"/>
                <w:szCs w:val="24"/>
                <w:highlight w:val="none"/>
              </w:rPr>
              <w:t>姓名：</w:t>
            </w:r>
          </w:p>
        </w:tc>
      </w:tr>
      <w:tr w14:paraId="63E809ED">
        <w:tblPrEx>
          <w:tblCellMar>
            <w:top w:w="0" w:type="dxa"/>
            <w:left w:w="10" w:type="dxa"/>
            <w:bottom w:w="0" w:type="dxa"/>
            <w:right w:w="10" w:type="dxa"/>
          </w:tblCellMar>
        </w:tblPrEx>
        <w:trPr>
          <w:trHeight w:val="461" w:hRule="atLeast"/>
        </w:trPr>
        <w:tc>
          <w:tcPr>
            <w:tcW w:w="145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9B7519">
            <w:pPr>
              <w:spacing w:line="360" w:lineRule="auto"/>
              <w:jc w:val="center"/>
              <w:rPr>
                <w:rFonts w:cs="宋体" w:asciiTheme="majorEastAsia" w:hAnsiTheme="majorEastAsia" w:eastAsiaTheme="majorEastAsia"/>
                <w:color w:val="auto"/>
                <w:sz w:val="24"/>
                <w:szCs w:val="24"/>
                <w:highlight w:val="none"/>
              </w:rPr>
            </w:pPr>
          </w:p>
        </w:tc>
        <w:tc>
          <w:tcPr>
            <w:tcW w:w="2864"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EA5884F">
            <w:pPr>
              <w:spacing w:line="360" w:lineRule="auto"/>
              <w:jc w:val="center"/>
              <w:rPr>
                <w:rFonts w:cs="宋体" w:asciiTheme="majorEastAsia" w:hAnsiTheme="majorEastAsia" w:eastAsiaTheme="majorEastAsia"/>
                <w:color w:val="auto"/>
                <w:sz w:val="24"/>
                <w:szCs w:val="24"/>
                <w:highlight w:val="none"/>
              </w:rPr>
            </w:pPr>
          </w:p>
        </w:tc>
        <w:tc>
          <w:tcPr>
            <w:tcW w:w="500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27B7DE">
            <w:pPr>
              <w:spacing w:line="480" w:lineRule="auto"/>
              <w:ind w:left="-90" w:firstLine="244"/>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pacing w:val="2"/>
                <w:sz w:val="24"/>
                <w:szCs w:val="24"/>
                <w:highlight w:val="none"/>
              </w:rPr>
              <w:t>专业：</w:t>
            </w:r>
          </w:p>
        </w:tc>
      </w:tr>
      <w:tr w14:paraId="2DCEC707">
        <w:tblPrEx>
          <w:tblCellMar>
            <w:top w:w="0" w:type="dxa"/>
            <w:left w:w="10" w:type="dxa"/>
            <w:bottom w:w="0" w:type="dxa"/>
            <w:right w:w="10" w:type="dxa"/>
          </w:tblCellMar>
        </w:tblPrEx>
        <w:trPr>
          <w:trHeight w:val="438" w:hRule="atLeast"/>
        </w:trPr>
        <w:tc>
          <w:tcPr>
            <w:tcW w:w="145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3D6492D">
            <w:pPr>
              <w:spacing w:line="360" w:lineRule="auto"/>
              <w:jc w:val="center"/>
              <w:rPr>
                <w:rFonts w:cs="宋体" w:asciiTheme="majorEastAsia" w:hAnsiTheme="majorEastAsia" w:eastAsiaTheme="majorEastAsia"/>
                <w:color w:val="auto"/>
                <w:sz w:val="24"/>
                <w:szCs w:val="24"/>
                <w:highlight w:val="none"/>
              </w:rPr>
            </w:pPr>
          </w:p>
        </w:tc>
        <w:tc>
          <w:tcPr>
            <w:tcW w:w="2864"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60BA58C">
            <w:pPr>
              <w:spacing w:line="360" w:lineRule="auto"/>
              <w:jc w:val="center"/>
              <w:rPr>
                <w:rFonts w:cs="宋体" w:asciiTheme="majorEastAsia" w:hAnsiTheme="majorEastAsia" w:eastAsiaTheme="majorEastAsia"/>
                <w:color w:val="auto"/>
                <w:sz w:val="24"/>
                <w:szCs w:val="24"/>
                <w:highlight w:val="none"/>
              </w:rPr>
            </w:pPr>
          </w:p>
        </w:tc>
        <w:tc>
          <w:tcPr>
            <w:tcW w:w="500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32E80D">
            <w:pPr>
              <w:spacing w:line="480" w:lineRule="auto"/>
              <w:ind w:left="-90" w:firstLine="244"/>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pacing w:val="2"/>
                <w:sz w:val="24"/>
                <w:szCs w:val="24"/>
                <w:highlight w:val="none"/>
              </w:rPr>
              <w:t>注册建造师等级：</w:t>
            </w:r>
          </w:p>
        </w:tc>
      </w:tr>
      <w:tr w14:paraId="2A8F3A98">
        <w:tblPrEx>
          <w:tblCellMar>
            <w:top w:w="0" w:type="dxa"/>
            <w:left w:w="10" w:type="dxa"/>
            <w:bottom w:w="0" w:type="dxa"/>
            <w:right w:w="10" w:type="dxa"/>
          </w:tblCellMar>
        </w:tblPrEx>
        <w:trPr>
          <w:trHeight w:val="432" w:hRule="atLeast"/>
        </w:trPr>
        <w:tc>
          <w:tcPr>
            <w:tcW w:w="14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60510FB">
            <w:pPr>
              <w:spacing w:line="480" w:lineRule="auto"/>
              <w:ind w:left="-90"/>
              <w:jc w:val="center"/>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pacing w:val="2"/>
                <w:sz w:val="24"/>
                <w:szCs w:val="24"/>
                <w:highlight w:val="none"/>
              </w:rPr>
              <w:t>3</w:t>
            </w:r>
          </w:p>
        </w:tc>
        <w:tc>
          <w:tcPr>
            <w:tcW w:w="28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78D9FBF">
            <w:pPr>
              <w:spacing w:line="480" w:lineRule="auto"/>
              <w:jc w:val="center"/>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pacing w:val="2"/>
                <w:sz w:val="24"/>
                <w:szCs w:val="24"/>
                <w:highlight w:val="none"/>
              </w:rPr>
              <w:t>对招标文件有关投标有效期、合同条款及招标范围等实质性内容是否响应（是或否）</w:t>
            </w:r>
          </w:p>
        </w:tc>
        <w:tc>
          <w:tcPr>
            <w:tcW w:w="500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3C982A">
            <w:pPr>
              <w:spacing w:line="480" w:lineRule="auto"/>
              <w:ind w:left="-90"/>
              <w:jc w:val="center"/>
              <w:rPr>
                <w:rFonts w:cs="宋体" w:asciiTheme="majorEastAsia" w:hAnsiTheme="majorEastAsia" w:eastAsiaTheme="majorEastAsia"/>
                <w:color w:val="auto"/>
                <w:sz w:val="24"/>
                <w:szCs w:val="24"/>
                <w:highlight w:val="none"/>
              </w:rPr>
            </w:pPr>
          </w:p>
        </w:tc>
      </w:tr>
      <w:tr w14:paraId="52300B98">
        <w:tblPrEx>
          <w:tblCellMar>
            <w:top w:w="0" w:type="dxa"/>
            <w:left w:w="10" w:type="dxa"/>
            <w:bottom w:w="0" w:type="dxa"/>
            <w:right w:w="10" w:type="dxa"/>
          </w:tblCellMar>
        </w:tblPrEx>
        <w:trPr>
          <w:trHeight w:val="218" w:hRule="atLeast"/>
        </w:trPr>
        <w:tc>
          <w:tcPr>
            <w:tcW w:w="1450"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A509121">
            <w:pPr>
              <w:spacing w:line="480" w:lineRule="auto"/>
              <w:ind w:left="-90"/>
              <w:jc w:val="center"/>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4</w:t>
            </w:r>
          </w:p>
        </w:tc>
        <w:tc>
          <w:tcPr>
            <w:tcW w:w="2864"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00ACCB">
            <w:pPr>
              <w:spacing w:line="480" w:lineRule="auto"/>
              <w:ind w:left="-90"/>
              <w:jc w:val="center"/>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投标保证（人民币）</w:t>
            </w:r>
          </w:p>
        </w:tc>
        <w:tc>
          <w:tcPr>
            <w:tcW w:w="500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83E3577">
            <w:pPr>
              <w:spacing w:line="480" w:lineRule="auto"/>
              <w:ind w:left="-90"/>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　金额：　　　　万元</w:t>
            </w:r>
          </w:p>
        </w:tc>
      </w:tr>
      <w:tr w14:paraId="47C7BD0E">
        <w:tblPrEx>
          <w:tblCellMar>
            <w:top w:w="0" w:type="dxa"/>
            <w:left w:w="10" w:type="dxa"/>
            <w:bottom w:w="0" w:type="dxa"/>
            <w:right w:w="10" w:type="dxa"/>
          </w:tblCellMar>
        </w:tblPrEx>
        <w:trPr>
          <w:trHeight w:val="217" w:hRule="atLeast"/>
        </w:trPr>
        <w:tc>
          <w:tcPr>
            <w:tcW w:w="145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20320F8">
            <w:pPr>
              <w:spacing w:line="360" w:lineRule="auto"/>
              <w:jc w:val="center"/>
              <w:rPr>
                <w:rFonts w:cs="宋体" w:asciiTheme="majorEastAsia" w:hAnsiTheme="majorEastAsia" w:eastAsiaTheme="majorEastAsia"/>
                <w:color w:val="auto"/>
                <w:sz w:val="24"/>
                <w:szCs w:val="24"/>
                <w:highlight w:val="none"/>
              </w:rPr>
            </w:pPr>
          </w:p>
        </w:tc>
        <w:tc>
          <w:tcPr>
            <w:tcW w:w="2864"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36EEE94">
            <w:pPr>
              <w:spacing w:line="360" w:lineRule="auto"/>
              <w:jc w:val="center"/>
              <w:rPr>
                <w:rFonts w:cs="宋体" w:asciiTheme="majorEastAsia" w:hAnsiTheme="majorEastAsia" w:eastAsiaTheme="majorEastAsia"/>
                <w:color w:val="auto"/>
                <w:sz w:val="24"/>
                <w:szCs w:val="24"/>
                <w:highlight w:val="none"/>
              </w:rPr>
            </w:pPr>
          </w:p>
        </w:tc>
        <w:tc>
          <w:tcPr>
            <w:tcW w:w="500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22E2B0">
            <w:pPr>
              <w:spacing w:line="480" w:lineRule="auto"/>
              <w:ind w:left="-90" w:firstLine="240"/>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方式：</w:t>
            </w:r>
          </w:p>
        </w:tc>
      </w:tr>
      <w:tr w14:paraId="08F531AB">
        <w:tblPrEx>
          <w:tblCellMar>
            <w:top w:w="0" w:type="dxa"/>
            <w:left w:w="10" w:type="dxa"/>
            <w:bottom w:w="0" w:type="dxa"/>
            <w:right w:w="10" w:type="dxa"/>
          </w:tblCellMar>
        </w:tblPrEx>
        <w:trPr>
          <w:trHeight w:val="567" w:hRule="atLeast"/>
        </w:trPr>
        <w:tc>
          <w:tcPr>
            <w:tcW w:w="14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5567B61">
            <w:pPr>
              <w:spacing w:line="480" w:lineRule="auto"/>
              <w:ind w:left="-90"/>
              <w:jc w:val="center"/>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5</w:t>
            </w:r>
          </w:p>
        </w:tc>
        <w:tc>
          <w:tcPr>
            <w:tcW w:w="28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9233E15">
            <w:pPr>
              <w:spacing w:line="480" w:lineRule="auto"/>
              <w:jc w:val="center"/>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pacing w:val="2"/>
                <w:sz w:val="24"/>
                <w:szCs w:val="24"/>
                <w:highlight w:val="none"/>
              </w:rPr>
              <w:t>工期（日历天）</w:t>
            </w:r>
          </w:p>
        </w:tc>
        <w:tc>
          <w:tcPr>
            <w:tcW w:w="500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F70932">
            <w:pPr>
              <w:spacing w:line="480" w:lineRule="auto"/>
              <w:jc w:val="center"/>
              <w:rPr>
                <w:rFonts w:cs="宋体" w:asciiTheme="majorEastAsia" w:hAnsiTheme="majorEastAsia" w:eastAsiaTheme="majorEastAsia"/>
                <w:color w:val="auto"/>
                <w:sz w:val="24"/>
                <w:szCs w:val="24"/>
                <w:highlight w:val="none"/>
              </w:rPr>
            </w:pPr>
          </w:p>
        </w:tc>
      </w:tr>
      <w:tr w14:paraId="42F2F2BE">
        <w:tblPrEx>
          <w:tblCellMar>
            <w:top w:w="0" w:type="dxa"/>
            <w:left w:w="10" w:type="dxa"/>
            <w:bottom w:w="0" w:type="dxa"/>
            <w:right w:w="10" w:type="dxa"/>
          </w:tblCellMar>
        </w:tblPrEx>
        <w:trPr>
          <w:trHeight w:val="567" w:hRule="atLeast"/>
        </w:trPr>
        <w:tc>
          <w:tcPr>
            <w:tcW w:w="14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75A4A54">
            <w:pPr>
              <w:spacing w:line="480" w:lineRule="auto"/>
              <w:jc w:val="center"/>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6</w:t>
            </w:r>
          </w:p>
        </w:tc>
        <w:tc>
          <w:tcPr>
            <w:tcW w:w="28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4B3D659">
            <w:pPr>
              <w:spacing w:line="480" w:lineRule="auto"/>
              <w:jc w:val="center"/>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质量等级</w:t>
            </w:r>
          </w:p>
        </w:tc>
        <w:tc>
          <w:tcPr>
            <w:tcW w:w="500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F5E737F">
            <w:pPr>
              <w:spacing w:line="480" w:lineRule="auto"/>
              <w:jc w:val="center"/>
              <w:rPr>
                <w:rFonts w:cs="宋体" w:asciiTheme="majorEastAsia" w:hAnsiTheme="majorEastAsia" w:eastAsiaTheme="majorEastAsia"/>
                <w:color w:val="auto"/>
                <w:sz w:val="24"/>
                <w:szCs w:val="24"/>
                <w:highlight w:val="none"/>
              </w:rPr>
            </w:pPr>
          </w:p>
        </w:tc>
      </w:tr>
    </w:tbl>
    <w:p w14:paraId="3379A2B4">
      <w:pPr>
        <w:spacing w:line="480" w:lineRule="auto"/>
        <w:rPr>
          <w:rFonts w:cs="宋体" w:asciiTheme="majorEastAsia" w:hAnsiTheme="majorEastAsia" w:eastAsiaTheme="majorEastAsia"/>
          <w:color w:val="auto"/>
          <w:highlight w:val="none"/>
        </w:rPr>
      </w:pPr>
    </w:p>
    <w:p w14:paraId="62D12F75">
      <w:pPr>
        <w:spacing w:line="480" w:lineRule="auto"/>
        <w:jc w:val="center"/>
        <w:rPr>
          <w:rFonts w:cs="宋体" w:asciiTheme="majorEastAsia" w:hAnsiTheme="majorEastAsia" w:eastAsiaTheme="majorEastAsia"/>
          <w:b/>
          <w:color w:val="auto"/>
          <w:sz w:val="32"/>
          <w:highlight w:val="none"/>
        </w:rPr>
      </w:pPr>
    </w:p>
    <w:p w14:paraId="688B1937">
      <w:pPr>
        <w:spacing w:line="480" w:lineRule="auto"/>
        <w:jc w:val="center"/>
        <w:rPr>
          <w:rFonts w:cs="宋体" w:asciiTheme="majorEastAsia" w:hAnsiTheme="majorEastAsia" w:eastAsiaTheme="majorEastAsia"/>
          <w:b/>
          <w:color w:val="auto"/>
          <w:sz w:val="32"/>
          <w:highlight w:val="none"/>
        </w:rPr>
      </w:pPr>
    </w:p>
    <w:p w14:paraId="4AE94C00">
      <w:pPr>
        <w:spacing w:line="480" w:lineRule="auto"/>
        <w:jc w:val="center"/>
        <w:rPr>
          <w:rFonts w:cs="宋体" w:asciiTheme="majorEastAsia" w:hAnsiTheme="majorEastAsia" w:eastAsiaTheme="majorEastAsia"/>
          <w:b/>
          <w:color w:val="auto"/>
          <w:sz w:val="32"/>
          <w:highlight w:val="none"/>
        </w:rPr>
      </w:pPr>
    </w:p>
    <w:p w14:paraId="692D56DB">
      <w:pPr>
        <w:spacing w:line="480" w:lineRule="auto"/>
        <w:jc w:val="center"/>
        <w:rPr>
          <w:rFonts w:cs="宋体" w:asciiTheme="majorEastAsia" w:hAnsiTheme="majorEastAsia" w:eastAsiaTheme="majorEastAsia"/>
          <w:b/>
          <w:color w:val="auto"/>
          <w:sz w:val="32"/>
          <w:highlight w:val="none"/>
        </w:rPr>
      </w:pPr>
    </w:p>
    <w:p w14:paraId="2DDB629A">
      <w:pPr>
        <w:spacing w:line="480" w:lineRule="auto"/>
        <w:jc w:val="center"/>
        <w:rPr>
          <w:rFonts w:cs="宋体" w:asciiTheme="majorEastAsia" w:hAnsiTheme="majorEastAsia" w:eastAsiaTheme="majorEastAsia"/>
          <w:b/>
          <w:color w:val="auto"/>
          <w:sz w:val="32"/>
          <w:highlight w:val="none"/>
        </w:rPr>
      </w:pPr>
    </w:p>
    <w:p w14:paraId="154C3E77">
      <w:pPr>
        <w:spacing w:line="480" w:lineRule="auto"/>
        <w:jc w:val="center"/>
        <w:rPr>
          <w:rFonts w:cs="宋体" w:asciiTheme="majorEastAsia" w:hAnsiTheme="majorEastAsia" w:eastAsiaTheme="majorEastAsia"/>
          <w:b/>
          <w:color w:val="auto"/>
          <w:sz w:val="32"/>
          <w:highlight w:val="none"/>
        </w:rPr>
      </w:pPr>
    </w:p>
    <w:p w14:paraId="768244A0">
      <w:pPr>
        <w:spacing w:line="480" w:lineRule="exact"/>
        <w:rPr>
          <w:rFonts w:cs="宋体" w:asciiTheme="majorEastAsia" w:hAnsiTheme="majorEastAsia" w:eastAsiaTheme="majorEastAsia"/>
          <w:b/>
          <w:color w:val="auto"/>
          <w:sz w:val="32"/>
          <w:szCs w:val="32"/>
          <w:highlight w:val="none"/>
        </w:rPr>
      </w:pPr>
      <w:r>
        <w:rPr>
          <w:rFonts w:cs="宋体" w:asciiTheme="majorEastAsia" w:hAnsiTheme="majorEastAsia" w:eastAsiaTheme="majorEastAsia"/>
          <w:b/>
          <w:color w:val="auto"/>
          <w:sz w:val="32"/>
          <w:highlight w:val="none"/>
        </w:rPr>
        <w:br w:type="page"/>
      </w:r>
      <w:r>
        <w:rPr>
          <w:rFonts w:hint="eastAsia" w:cs="宋体" w:asciiTheme="majorEastAsia" w:hAnsiTheme="majorEastAsia" w:eastAsiaTheme="majorEastAsia"/>
          <w:b/>
          <w:color w:val="auto"/>
          <w:sz w:val="32"/>
          <w:szCs w:val="32"/>
          <w:highlight w:val="none"/>
        </w:rPr>
        <w:t>（三）投标函附录二</w:t>
      </w:r>
    </w:p>
    <w:p w14:paraId="597B58A6">
      <w:pPr>
        <w:spacing w:line="480" w:lineRule="exact"/>
        <w:rPr>
          <w:rFonts w:cs="宋体" w:asciiTheme="majorEastAsia" w:hAnsiTheme="majorEastAsia" w:eastAsiaTheme="majorEastAsia"/>
          <w:color w:val="auto"/>
          <w:sz w:val="24"/>
          <w:highlight w:val="none"/>
        </w:rPr>
      </w:pPr>
    </w:p>
    <w:p w14:paraId="26419AC0">
      <w:pPr>
        <w:jc w:val="center"/>
        <w:rPr>
          <w:rFonts w:cs="宋体" w:asciiTheme="majorEastAsia" w:hAnsiTheme="majorEastAsia" w:eastAsiaTheme="majorEastAsia"/>
          <w:b/>
          <w:color w:val="auto"/>
          <w:szCs w:val="21"/>
          <w:highlight w:val="none"/>
          <w:bdr w:val="single" w:color="auto" w:sz="4" w:space="0"/>
        </w:rPr>
      </w:pPr>
      <w:r>
        <w:rPr>
          <w:rFonts w:hint="eastAsia" w:cs="宋体" w:asciiTheme="majorEastAsia" w:hAnsiTheme="majorEastAsia" w:eastAsiaTheme="majorEastAsia"/>
          <w:b/>
          <w:color w:val="auto"/>
          <w:sz w:val="36"/>
          <w:szCs w:val="36"/>
          <w:highlight w:val="none"/>
          <w:u w:val="single"/>
          <w:lang w:val="en-US" w:eastAsia="zh-CN"/>
        </w:rPr>
        <w:t xml:space="preserve">      </w:t>
      </w:r>
      <w:r>
        <w:rPr>
          <w:rFonts w:hint="eastAsia" w:cs="宋体" w:asciiTheme="majorEastAsia" w:hAnsiTheme="majorEastAsia" w:eastAsiaTheme="majorEastAsia"/>
          <w:b/>
          <w:color w:val="auto"/>
          <w:sz w:val="36"/>
          <w:szCs w:val="36"/>
          <w:highlight w:val="none"/>
          <w:u w:val="single"/>
        </w:rPr>
        <w:t>（项目名称）</w:t>
      </w:r>
      <w:r>
        <w:rPr>
          <w:rFonts w:hint="eastAsia" w:cs="宋体" w:asciiTheme="majorEastAsia" w:hAnsiTheme="majorEastAsia" w:eastAsiaTheme="majorEastAsia"/>
          <w:b/>
          <w:color w:val="auto"/>
          <w:sz w:val="36"/>
          <w:szCs w:val="36"/>
          <w:highlight w:val="none"/>
        </w:rPr>
        <w:t>农民工工资支付承诺书</w:t>
      </w:r>
    </w:p>
    <w:p w14:paraId="0ADCE63F">
      <w:pPr>
        <w:jc w:val="center"/>
        <w:rPr>
          <w:rFonts w:cs="宋体" w:asciiTheme="majorEastAsia" w:hAnsiTheme="majorEastAsia" w:eastAsiaTheme="majorEastAsia"/>
          <w:b/>
          <w:color w:val="auto"/>
          <w:szCs w:val="21"/>
          <w:highlight w:val="none"/>
          <w:bdr w:val="single" w:color="auto" w:sz="4" w:space="0"/>
        </w:rPr>
      </w:pPr>
    </w:p>
    <w:p w14:paraId="7309BA91">
      <w:pPr>
        <w:spacing w:line="440" w:lineRule="exact"/>
        <w:ind w:firstLine="480" w:firstLineChars="200"/>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为进一步贯彻落实《国务院办公厅关于切实解决企业拖欠农民工工资问题的紧急通知》之有关精神，为防范建设工程项目发生拖欠工资问题，落实好国家和省、市关于工资支付的有关规定，依法保障劳动者合法权益，特作如下承诺并保证履行：</w:t>
      </w:r>
    </w:p>
    <w:p w14:paraId="39012674">
      <w:pPr>
        <w:spacing w:line="440" w:lineRule="exact"/>
        <w:ind w:firstLine="480" w:firstLineChars="200"/>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1、本公司保证自觉遵守劳动保障法规和建设市场管理规定，自觉服从人力资源和社会保障部门和水利行政主管部门的监督管理，自觉接受建设单位和监理单位对工程项目工资支付情况的监督。</w:t>
      </w:r>
    </w:p>
    <w:p w14:paraId="65DA2095">
      <w:pPr>
        <w:spacing w:line="440" w:lineRule="exact"/>
        <w:ind w:firstLine="480" w:firstLineChars="200"/>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2、本公司保证依法招用工，依法签订劳动合同，依法规范用工管理与工资支付行为，我公司将在工程所在地银行开设农民工工资专用账户，建立健全施工现场人员名册备查制度、农民工记工考勤卡制度和工资发放监督公示牌制度。</w:t>
      </w:r>
    </w:p>
    <w:p w14:paraId="6660BF8D">
      <w:pPr>
        <w:spacing w:line="440" w:lineRule="exact"/>
        <w:ind w:firstLine="480" w:firstLineChars="200"/>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3、本公司确保所承建项目的所有劳动者都能依法按时足额领取工资。若出现拖欠劳动者工资情况，由</w:t>
      </w:r>
      <w:r>
        <w:rPr>
          <w:rFonts w:hint="eastAsia" w:cs="宋体" w:asciiTheme="majorEastAsia" w:hAnsiTheme="majorEastAsia" w:eastAsiaTheme="majorEastAsia"/>
          <w:color w:val="auto"/>
          <w:sz w:val="24"/>
          <w:szCs w:val="24"/>
          <w:highlight w:val="none"/>
          <w:lang w:eastAsia="zh-CN"/>
        </w:rPr>
        <w:t>水利行政主管部门</w:t>
      </w:r>
      <w:r>
        <w:rPr>
          <w:rFonts w:hint="eastAsia" w:cs="宋体" w:asciiTheme="majorEastAsia" w:hAnsiTheme="majorEastAsia" w:eastAsiaTheme="majorEastAsia"/>
          <w:color w:val="auto"/>
          <w:sz w:val="24"/>
          <w:szCs w:val="24"/>
          <w:highlight w:val="none"/>
        </w:rPr>
        <w:t>从本企业的履约保证金、质量保留金中划拨资金（提款）用于支付欠薪。</w:t>
      </w:r>
    </w:p>
    <w:p w14:paraId="75873B8D">
      <w:pPr>
        <w:spacing w:line="440" w:lineRule="exact"/>
        <w:ind w:firstLine="480" w:firstLineChars="200"/>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4、如因农民工工资发放不到位或处置不力，导致农民工有不同形式的上访、闹访、集访等恶性事件的发生，我公司愿意承担由此造成的一切不良后果，并根据《广东省水利厅关于水利建设市场信用的管理办法》的通知（粤水规范字[2019]1号），记入本企业不良记录档案。</w:t>
      </w:r>
    </w:p>
    <w:p w14:paraId="4AD3E5B7">
      <w:pPr>
        <w:spacing w:line="440" w:lineRule="exact"/>
        <w:ind w:firstLine="480" w:firstLineChars="200"/>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5、我公司承诺不因任何原因以拖欠农民工工资为由，唆使或促成农民工罢工、上访和恶意讨薪事件的发生。如有发生所产生的一切不良后果由我公司承担。</w:t>
      </w:r>
    </w:p>
    <w:p w14:paraId="42AE6AD4">
      <w:pPr>
        <w:spacing w:line="440" w:lineRule="exact"/>
        <w:ind w:firstLine="480" w:firstLineChars="200"/>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6、我公司承诺不因任何原因特别是不以拖欠农民工工资为由，要求提前退还履约保证金或质量保留金。</w:t>
      </w:r>
    </w:p>
    <w:p w14:paraId="0DF75216">
      <w:pPr>
        <w:spacing w:line="360" w:lineRule="auto"/>
        <w:ind w:firstLine="435"/>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7、按施工承包合同工程造价3%（不超过300万元）的比例一次性将资金存入工资保证金专用账户。</w:t>
      </w:r>
    </w:p>
    <w:p w14:paraId="747302A8">
      <w:pPr>
        <w:spacing w:line="360" w:lineRule="auto"/>
        <w:ind w:firstLine="435"/>
        <w:rPr>
          <w:rFonts w:cs="宋体" w:asciiTheme="majorEastAsia" w:hAnsiTheme="majorEastAsia" w:eastAsiaTheme="majorEastAsia"/>
          <w:color w:val="auto"/>
          <w:sz w:val="24"/>
          <w:szCs w:val="24"/>
          <w:highlight w:val="none"/>
        </w:rPr>
      </w:pPr>
    </w:p>
    <w:p w14:paraId="39A840D5">
      <w:pPr>
        <w:shd w:val="clear" w:color="auto" w:fill="FAFAFA"/>
        <w:spacing w:line="360" w:lineRule="auto"/>
        <w:textAlignment w:val="baseline"/>
        <w:rPr>
          <w:rFonts w:cs="宋体" w:asciiTheme="majorEastAsia" w:hAnsiTheme="majorEastAsia" w:eastAsiaTheme="majorEastAsia"/>
          <w:color w:val="auto"/>
          <w:sz w:val="24"/>
          <w:szCs w:val="24"/>
          <w:highlight w:val="none"/>
        </w:rPr>
      </w:pPr>
    </w:p>
    <w:p w14:paraId="30CFB784">
      <w:pPr>
        <w:shd w:val="clear" w:color="auto" w:fill="FAFAFA"/>
        <w:spacing w:line="360" w:lineRule="auto"/>
        <w:textAlignment w:val="baseline"/>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投标人：</w:t>
      </w:r>
      <w:r>
        <w:rPr>
          <w:rFonts w:hint="eastAsia" w:cs="宋体" w:asciiTheme="majorEastAsia" w:hAnsiTheme="majorEastAsia" w:eastAsiaTheme="majorEastAsia"/>
          <w:color w:val="auto"/>
          <w:sz w:val="24"/>
          <w:szCs w:val="24"/>
          <w:highlight w:val="none"/>
          <w:u w:val="single"/>
        </w:rPr>
        <w:t xml:space="preserve"> </w:t>
      </w:r>
      <w:r>
        <w:rPr>
          <w:rFonts w:hint="eastAsia" w:cs="宋体" w:asciiTheme="majorEastAsia" w:hAnsiTheme="majorEastAsia" w:eastAsiaTheme="majorEastAsia"/>
          <w:color w:val="auto"/>
          <w:sz w:val="24"/>
          <w:szCs w:val="24"/>
          <w:highlight w:val="none"/>
          <w:u w:val="single"/>
          <w:lang w:val="en-US" w:eastAsia="zh-CN"/>
        </w:rPr>
        <w:t xml:space="preserve">    </w:t>
      </w:r>
      <w:r>
        <w:rPr>
          <w:rFonts w:hint="eastAsia" w:cs="宋体" w:asciiTheme="majorEastAsia" w:hAnsiTheme="majorEastAsia" w:eastAsiaTheme="majorEastAsia"/>
          <w:color w:val="auto"/>
          <w:sz w:val="24"/>
          <w:szCs w:val="24"/>
          <w:highlight w:val="none"/>
        </w:rPr>
        <w:t>(盖章)         法定代表人或其授权代理人：</w:t>
      </w:r>
      <w:r>
        <w:rPr>
          <w:rFonts w:hint="eastAsia" w:cs="宋体" w:asciiTheme="majorEastAsia" w:hAnsiTheme="majorEastAsia" w:eastAsiaTheme="majorEastAsia"/>
          <w:color w:val="auto"/>
          <w:sz w:val="24"/>
          <w:szCs w:val="24"/>
          <w:highlight w:val="none"/>
          <w:u w:val="single"/>
        </w:rPr>
        <w:t xml:space="preserve"> </w:t>
      </w:r>
      <w:r>
        <w:rPr>
          <w:rFonts w:hint="eastAsia" w:cs="宋体" w:asciiTheme="majorEastAsia" w:hAnsiTheme="majorEastAsia" w:eastAsiaTheme="majorEastAsia"/>
          <w:color w:val="auto"/>
          <w:sz w:val="24"/>
          <w:szCs w:val="24"/>
          <w:highlight w:val="none"/>
          <w:u w:val="single"/>
          <w:lang w:val="en-US" w:eastAsia="zh-CN"/>
        </w:rPr>
        <w:t xml:space="preserve">    </w:t>
      </w:r>
      <w:r>
        <w:rPr>
          <w:rFonts w:hint="eastAsia" w:cs="宋体" w:asciiTheme="majorEastAsia" w:hAnsiTheme="majorEastAsia" w:eastAsiaTheme="majorEastAsia"/>
          <w:color w:val="auto"/>
          <w:sz w:val="24"/>
          <w:szCs w:val="24"/>
          <w:highlight w:val="none"/>
        </w:rPr>
        <w:t xml:space="preserve"> (签</w:t>
      </w:r>
      <w:r>
        <w:rPr>
          <w:rFonts w:hint="eastAsia" w:cs="宋体" w:asciiTheme="majorEastAsia" w:hAnsiTheme="majorEastAsia" w:eastAsiaTheme="majorEastAsia"/>
          <w:color w:val="auto"/>
          <w:sz w:val="24"/>
          <w:szCs w:val="24"/>
          <w:highlight w:val="none"/>
          <w:lang w:val="en-US" w:eastAsia="zh-CN"/>
        </w:rPr>
        <w:t>字</w:t>
      </w:r>
      <w:r>
        <w:rPr>
          <w:rFonts w:hint="eastAsia" w:cs="宋体" w:asciiTheme="majorEastAsia" w:hAnsiTheme="majorEastAsia" w:eastAsiaTheme="majorEastAsia"/>
          <w:color w:val="auto"/>
          <w:sz w:val="24"/>
          <w:szCs w:val="24"/>
          <w:highlight w:val="none"/>
        </w:rPr>
        <w:t>)</w:t>
      </w:r>
    </w:p>
    <w:p w14:paraId="55A57304">
      <w:pPr>
        <w:shd w:val="clear" w:color="auto" w:fill="FAFAFA"/>
        <w:spacing w:line="360" w:lineRule="auto"/>
        <w:textAlignment w:val="baseline"/>
        <w:rPr>
          <w:rFonts w:cs="宋体" w:asciiTheme="majorEastAsia" w:hAnsiTheme="majorEastAsia" w:eastAsiaTheme="majorEastAsia"/>
          <w:color w:val="auto"/>
          <w:sz w:val="24"/>
          <w:szCs w:val="24"/>
          <w:highlight w:val="none"/>
        </w:rPr>
      </w:pPr>
    </w:p>
    <w:p w14:paraId="06C85720">
      <w:pPr>
        <w:shd w:val="clear" w:color="auto" w:fill="FAFAFA"/>
        <w:spacing w:line="360" w:lineRule="auto"/>
        <w:textAlignment w:val="baseline"/>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日期：    年    月    日</w:t>
      </w:r>
    </w:p>
    <w:p w14:paraId="561F0735">
      <w:pPr>
        <w:spacing w:line="480" w:lineRule="auto"/>
        <w:jc w:val="center"/>
        <w:rPr>
          <w:rFonts w:hint="eastAsia" w:cs="宋体" w:asciiTheme="majorEastAsia" w:hAnsiTheme="majorEastAsia" w:eastAsiaTheme="majorEastAsia"/>
          <w:color w:val="auto"/>
          <w:highlight w:val="none"/>
          <w:lang w:eastAsia="zh-CN"/>
        </w:rPr>
      </w:pPr>
      <w:r>
        <w:rPr>
          <w:rFonts w:cs="宋体" w:asciiTheme="majorEastAsia" w:hAnsiTheme="majorEastAsia" w:eastAsiaTheme="majorEastAsia"/>
          <w:b/>
          <w:color w:val="auto"/>
          <w:sz w:val="32"/>
          <w:highlight w:val="none"/>
        </w:rPr>
        <w:br w:type="page"/>
      </w:r>
      <w:r>
        <w:rPr>
          <w:rFonts w:hint="eastAsia" w:cs="宋体" w:asciiTheme="majorEastAsia" w:hAnsiTheme="majorEastAsia" w:eastAsiaTheme="majorEastAsia"/>
          <w:b/>
          <w:color w:val="auto"/>
          <w:sz w:val="32"/>
          <w:highlight w:val="none"/>
          <w:lang w:val="en-US" w:eastAsia="zh-CN"/>
        </w:rPr>
        <w:t>三</w:t>
      </w:r>
      <w:r>
        <w:rPr>
          <w:rFonts w:hint="eastAsia" w:cs="宋体" w:asciiTheme="majorEastAsia" w:hAnsiTheme="majorEastAsia" w:eastAsiaTheme="majorEastAsia"/>
          <w:b/>
          <w:color w:val="auto"/>
          <w:sz w:val="32"/>
          <w:highlight w:val="none"/>
        </w:rPr>
        <w:t>、</w:t>
      </w:r>
      <w:r>
        <w:rPr>
          <w:rFonts w:hint="eastAsia" w:cs="宋体" w:asciiTheme="majorEastAsia" w:hAnsiTheme="majorEastAsia" w:eastAsiaTheme="majorEastAsia"/>
          <w:b/>
          <w:color w:val="auto"/>
          <w:sz w:val="32"/>
          <w:highlight w:val="none"/>
          <w:lang w:eastAsia="zh-CN"/>
        </w:rPr>
        <w:t>法定代表人身份证明或附有法定代表人身份证明的授权委托书</w:t>
      </w:r>
    </w:p>
    <w:p w14:paraId="07CCBB96">
      <w:pPr>
        <w:spacing w:line="480" w:lineRule="auto"/>
        <w:jc w:val="center"/>
        <w:rPr>
          <w:rFonts w:cs="宋体" w:asciiTheme="majorEastAsia" w:hAnsiTheme="majorEastAsia" w:eastAsiaTheme="majorEastAsia"/>
          <w:b/>
          <w:bCs/>
          <w:color w:val="auto"/>
          <w:highlight w:val="none"/>
        </w:rPr>
      </w:pPr>
      <w:r>
        <w:rPr>
          <w:rFonts w:hint="eastAsia" w:cs="宋体" w:asciiTheme="majorEastAsia" w:hAnsiTheme="majorEastAsia" w:eastAsiaTheme="majorEastAsia"/>
          <w:b/>
          <w:bCs/>
          <w:color w:val="auto"/>
          <w:sz w:val="24"/>
          <w:szCs w:val="24"/>
          <w:highlight w:val="none"/>
        </w:rPr>
        <w:t>（一）法定代表人证明书</w:t>
      </w:r>
    </w:p>
    <w:p w14:paraId="35340366">
      <w:pPr>
        <w:spacing w:line="480" w:lineRule="exact"/>
        <w:rPr>
          <w:rFonts w:hint="eastAsia" w:ascii="宋体" w:hAnsi="宋体" w:cs="宋体"/>
          <w:color w:val="000000"/>
          <w:sz w:val="24"/>
          <w:highlight w:val="none"/>
          <w:u w:val="single"/>
        </w:rPr>
      </w:pPr>
      <w:r>
        <w:rPr>
          <w:rFonts w:hint="eastAsia" w:ascii="宋体" w:hAnsi="宋体" w:cs="宋体"/>
          <w:color w:val="000000"/>
          <w:sz w:val="24"/>
          <w:highlight w:val="none"/>
        </w:rPr>
        <w:t>投标人名称：</w:t>
      </w:r>
      <w:r>
        <w:rPr>
          <w:rFonts w:hint="eastAsia" w:ascii="宋体" w:hAnsi="宋体" w:cs="宋体"/>
          <w:color w:val="000000"/>
          <w:sz w:val="24"/>
          <w:highlight w:val="none"/>
          <w:u w:val="single"/>
        </w:rPr>
        <w:t xml:space="preserve">                           </w:t>
      </w:r>
    </w:p>
    <w:p w14:paraId="22BB275E">
      <w:pPr>
        <w:spacing w:line="480" w:lineRule="exact"/>
        <w:rPr>
          <w:rFonts w:hint="eastAsia" w:ascii="宋体" w:hAnsi="宋体" w:cs="宋体"/>
          <w:color w:val="000000"/>
          <w:sz w:val="24"/>
          <w:highlight w:val="none"/>
        </w:rPr>
      </w:pPr>
      <w:r>
        <w:rPr>
          <w:rFonts w:hint="eastAsia" w:ascii="宋体" w:hAnsi="宋体" w:cs="宋体"/>
          <w:color w:val="000000"/>
          <w:sz w:val="24"/>
          <w:highlight w:val="none"/>
        </w:rPr>
        <w:t>单位性质：</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p>
    <w:p w14:paraId="472164C1">
      <w:pPr>
        <w:spacing w:line="480" w:lineRule="exact"/>
        <w:rPr>
          <w:rFonts w:hint="eastAsia" w:ascii="宋体" w:hAnsi="宋体" w:cs="宋体"/>
          <w:color w:val="000000"/>
          <w:sz w:val="24"/>
          <w:highlight w:val="none"/>
          <w:u w:val="single"/>
        </w:rPr>
      </w:pPr>
      <w:r>
        <w:rPr>
          <w:rFonts w:hint="eastAsia" w:ascii="宋体" w:hAnsi="宋体" w:cs="宋体"/>
          <w:color w:val="000000"/>
          <w:sz w:val="24"/>
          <w:highlight w:val="none"/>
        </w:rPr>
        <w:t>地址：</w:t>
      </w:r>
      <w:r>
        <w:rPr>
          <w:rFonts w:hint="eastAsia" w:ascii="宋体" w:hAnsi="宋体" w:cs="宋体"/>
          <w:color w:val="000000"/>
          <w:sz w:val="24"/>
          <w:highlight w:val="none"/>
          <w:u w:val="single"/>
        </w:rPr>
        <w:t xml:space="preserve">                                 </w:t>
      </w:r>
    </w:p>
    <w:p w14:paraId="71678990">
      <w:pPr>
        <w:spacing w:line="480" w:lineRule="exact"/>
        <w:rPr>
          <w:rFonts w:hint="eastAsia" w:ascii="宋体" w:hAnsi="宋体" w:cs="宋体"/>
          <w:color w:val="000000"/>
          <w:sz w:val="24"/>
          <w:highlight w:val="none"/>
        </w:rPr>
      </w:pPr>
      <w:r>
        <w:rPr>
          <w:rFonts w:hint="eastAsia" w:ascii="宋体" w:hAnsi="宋体" w:cs="宋体"/>
          <w:color w:val="000000"/>
          <w:sz w:val="24"/>
          <w:highlight w:val="none"/>
        </w:rPr>
        <w:t>成立时间：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日 </w:t>
      </w:r>
    </w:p>
    <w:p w14:paraId="653E7D82">
      <w:pPr>
        <w:spacing w:line="480" w:lineRule="exact"/>
        <w:rPr>
          <w:rFonts w:hint="eastAsia" w:ascii="宋体" w:hAnsi="宋体" w:cs="宋体"/>
          <w:color w:val="000000"/>
          <w:sz w:val="24"/>
          <w:highlight w:val="none"/>
          <w:u w:val="single"/>
        </w:rPr>
      </w:pPr>
      <w:r>
        <w:rPr>
          <w:rFonts w:hint="eastAsia" w:ascii="宋体" w:hAnsi="宋体" w:cs="宋体"/>
          <w:color w:val="000000"/>
          <w:sz w:val="24"/>
          <w:highlight w:val="none"/>
        </w:rPr>
        <w:t>经营期限：</w:t>
      </w:r>
      <w:r>
        <w:rPr>
          <w:rFonts w:hint="eastAsia" w:ascii="宋体" w:hAnsi="宋体" w:cs="宋体"/>
          <w:color w:val="000000"/>
          <w:sz w:val="24"/>
          <w:highlight w:val="none"/>
          <w:u w:val="single"/>
        </w:rPr>
        <w:t xml:space="preserve">                              </w:t>
      </w:r>
    </w:p>
    <w:p w14:paraId="22010207">
      <w:pPr>
        <w:spacing w:line="480" w:lineRule="exact"/>
        <w:rPr>
          <w:rFonts w:hint="eastAsia" w:ascii="宋体" w:hAnsi="宋体" w:cs="宋体"/>
          <w:color w:val="000000"/>
          <w:sz w:val="24"/>
          <w:highlight w:val="none"/>
        </w:rPr>
      </w:pPr>
      <w:r>
        <w:rPr>
          <w:rFonts w:hint="eastAsia" w:ascii="宋体" w:hAnsi="宋体" w:cs="宋体"/>
          <w:color w:val="000000"/>
          <w:sz w:val="24"/>
          <w:highlight w:val="none"/>
        </w:rPr>
        <w:t>姓名：</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性别：</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年龄：</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身份证号码：</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p>
    <w:p w14:paraId="777EB81E">
      <w:pPr>
        <w:spacing w:line="480" w:lineRule="auto"/>
        <w:rPr>
          <w:rFonts w:cs="宋体" w:asciiTheme="majorEastAsia" w:hAnsiTheme="majorEastAsia" w:eastAsiaTheme="majorEastAsia"/>
          <w:color w:val="auto"/>
          <w:sz w:val="24"/>
          <w:highlight w:val="none"/>
        </w:rPr>
      </w:pPr>
      <w:r>
        <w:rPr>
          <w:rFonts w:hint="eastAsia" w:ascii="宋体" w:hAnsi="宋体" w:cs="宋体"/>
          <w:color w:val="000000"/>
          <w:sz w:val="24"/>
          <w:highlight w:val="none"/>
        </w:rPr>
        <w:t>职务：</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系</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（投标人名称）的法定代表人。</w:t>
      </w:r>
    </w:p>
    <w:p w14:paraId="16AA0CCD">
      <w:pPr>
        <w:spacing w:line="480" w:lineRule="auto"/>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特此证明。</w:t>
      </w:r>
    </w:p>
    <w:p w14:paraId="5ACDC599">
      <w:pPr>
        <w:spacing w:line="480" w:lineRule="auto"/>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附：法定代表人身份证</w:t>
      </w:r>
      <w:r>
        <w:rPr>
          <w:rFonts w:hint="eastAsia" w:cs="宋体" w:asciiTheme="majorEastAsia" w:hAnsiTheme="majorEastAsia" w:eastAsiaTheme="majorEastAsia"/>
          <w:color w:val="auto"/>
          <w:sz w:val="24"/>
          <w:szCs w:val="24"/>
          <w:highlight w:val="none"/>
          <w:lang w:val="en-US" w:eastAsia="zh-CN"/>
        </w:rPr>
        <w:t>扫描件</w:t>
      </w:r>
    </w:p>
    <w:tbl>
      <w:tblPr>
        <w:tblStyle w:val="20"/>
        <w:tblW w:w="0" w:type="auto"/>
        <w:jc w:val="center"/>
        <w:tblLayout w:type="autofit"/>
        <w:tblCellMar>
          <w:top w:w="0" w:type="dxa"/>
          <w:left w:w="10" w:type="dxa"/>
          <w:bottom w:w="0" w:type="dxa"/>
          <w:right w:w="10" w:type="dxa"/>
        </w:tblCellMar>
      </w:tblPr>
      <w:tblGrid>
        <w:gridCol w:w="5862"/>
      </w:tblGrid>
      <w:tr w14:paraId="08B32BE6">
        <w:trPr>
          <w:trHeight w:val="3272" w:hRule="atLeast"/>
          <w:jc w:val="center"/>
        </w:trPr>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15454F3">
            <w:pPr>
              <w:ind w:firstLine="502"/>
              <w:rPr>
                <w:rFonts w:cs="宋体" w:asciiTheme="majorEastAsia" w:hAnsiTheme="majorEastAsia" w:eastAsiaTheme="majorEastAsia"/>
                <w:color w:val="auto"/>
                <w:highlight w:val="none"/>
              </w:rPr>
            </w:pPr>
          </w:p>
          <w:p w14:paraId="3671D4E9">
            <w:pPr>
              <w:ind w:firstLine="502"/>
              <w:rPr>
                <w:rFonts w:cs="宋体" w:asciiTheme="majorEastAsia" w:hAnsiTheme="majorEastAsia" w:eastAsiaTheme="majorEastAsia"/>
                <w:color w:val="auto"/>
                <w:highlight w:val="none"/>
              </w:rPr>
            </w:pPr>
          </w:p>
          <w:p w14:paraId="19BEE0EE">
            <w:pPr>
              <w:ind w:firstLine="502"/>
              <w:rPr>
                <w:rFonts w:cs="宋体" w:asciiTheme="majorEastAsia" w:hAnsiTheme="majorEastAsia" w:eastAsiaTheme="majorEastAsia"/>
                <w:color w:val="auto"/>
                <w:highlight w:val="none"/>
              </w:rPr>
            </w:pPr>
          </w:p>
          <w:p w14:paraId="63906770">
            <w:pPr>
              <w:ind w:firstLine="502"/>
              <w:rPr>
                <w:rFonts w:cs="宋体" w:asciiTheme="majorEastAsia" w:hAnsiTheme="majorEastAsia" w:eastAsiaTheme="majorEastAsia"/>
                <w:color w:val="auto"/>
                <w:highlight w:val="none"/>
              </w:rPr>
            </w:pPr>
          </w:p>
          <w:p w14:paraId="4CC49703">
            <w:pPr>
              <w:jc w:val="center"/>
              <w:rPr>
                <w:rFonts w:hint="eastAsia" w:cs="宋体" w:asciiTheme="majorEastAsia" w:hAnsiTheme="majorEastAsia" w:eastAsiaTheme="majorEastAsia"/>
                <w:color w:val="auto"/>
                <w:highlight w:val="none"/>
                <w:lang w:eastAsia="zh-CN"/>
              </w:rPr>
            </w:pPr>
            <w:r>
              <w:rPr>
                <w:rFonts w:hint="eastAsia" w:cs="宋体" w:asciiTheme="majorEastAsia" w:hAnsiTheme="majorEastAsia" w:eastAsiaTheme="majorEastAsia"/>
                <w:color w:val="auto"/>
                <w:sz w:val="24"/>
                <w:szCs w:val="24"/>
                <w:highlight w:val="none"/>
              </w:rPr>
              <w:t>附法定代表人身份证正面及背面</w:t>
            </w:r>
            <w:r>
              <w:rPr>
                <w:rFonts w:hint="eastAsia" w:cs="宋体" w:asciiTheme="majorEastAsia" w:hAnsiTheme="majorEastAsia" w:eastAsiaTheme="majorEastAsia"/>
                <w:color w:val="auto"/>
                <w:sz w:val="24"/>
                <w:szCs w:val="24"/>
                <w:highlight w:val="none"/>
                <w:lang w:val="en-US" w:eastAsia="zh-CN"/>
              </w:rPr>
              <w:t>扫描件</w:t>
            </w:r>
          </w:p>
        </w:tc>
      </w:tr>
    </w:tbl>
    <w:p w14:paraId="5FB069B3">
      <w:pPr>
        <w:spacing w:line="480" w:lineRule="auto"/>
        <w:rPr>
          <w:rFonts w:cs="宋体" w:asciiTheme="majorEastAsia" w:hAnsiTheme="majorEastAsia" w:eastAsiaTheme="majorEastAsia"/>
          <w:color w:val="auto"/>
          <w:sz w:val="24"/>
          <w:highlight w:val="none"/>
        </w:rPr>
      </w:pPr>
    </w:p>
    <w:p w14:paraId="123B9D81">
      <w:pPr>
        <w:spacing w:line="480" w:lineRule="exact"/>
        <w:jc w:val="right"/>
        <w:rPr>
          <w:rFonts w:hint="eastAsia" w:ascii="宋体" w:hAnsi="宋体" w:cs="宋体"/>
          <w:color w:val="000000"/>
          <w:sz w:val="24"/>
          <w:highlight w:val="none"/>
        </w:rPr>
      </w:pPr>
      <w:r>
        <w:rPr>
          <w:rFonts w:hint="eastAsia" w:ascii="宋体" w:hAnsi="宋体" w:cs="宋体"/>
          <w:color w:val="000000"/>
          <w:sz w:val="24"/>
          <w:highlight w:val="none"/>
        </w:rPr>
        <w:t>投标人：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（盖单位章） </w:t>
      </w:r>
    </w:p>
    <w:p w14:paraId="71970656">
      <w:pPr>
        <w:spacing w:line="480" w:lineRule="exact"/>
        <w:jc w:val="right"/>
        <w:rPr>
          <w:rFonts w:hint="eastAsia" w:ascii="宋体" w:hAnsi="宋体" w:cs="宋体"/>
          <w:color w:val="000000"/>
          <w:sz w:val="24"/>
          <w:highlight w:val="none"/>
        </w:rPr>
      </w:pPr>
    </w:p>
    <w:p w14:paraId="2A3E7FB1">
      <w:pPr>
        <w:spacing w:line="480" w:lineRule="exact"/>
        <w:jc w:val="right"/>
        <w:rPr>
          <w:rFonts w:hint="eastAsia" w:ascii="宋体" w:hAnsi="宋体" w:cs="宋体"/>
          <w:color w:val="000000"/>
          <w:sz w:val="24"/>
          <w:highlight w:val="none"/>
        </w:rPr>
      </w:pP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w:t>
      </w:r>
    </w:p>
    <w:p w14:paraId="2A7F0845">
      <w:pPr>
        <w:spacing w:line="480" w:lineRule="auto"/>
        <w:jc w:val="center"/>
        <w:rPr>
          <w:rFonts w:cs="宋体" w:asciiTheme="majorEastAsia" w:hAnsiTheme="majorEastAsia" w:eastAsiaTheme="majorEastAsia"/>
          <w:color w:val="auto"/>
          <w:sz w:val="24"/>
          <w:highlight w:val="none"/>
        </w:rPr>
      </w:pPr>
    </w:p>
    <w:p w14:paraId="637F3997">
      <w:pPr>
        <w:rPr>
          <w:rFonts w:hint="eastAsia"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br w:type="page"/>
      </w:r>
    </w:p>
    <w:p w14:paraId="6AAAF7E7">
      <w:pPr>
        <w:spacing w:line="480" w:lineRule="auto"/>
        <w:jc w:val="center"/>
        <w:rPr>
          <w:rFonts w:cs="宋体" w:asciiTheme="majorEastAsia" w:hAnsiTheme="majorEastAsia" w:eastAsiaTheme="majorEastAsia"/>
          <w:b/>
          <w:bCs/>
          <w:color w:val="auto"/>
          <w:sz w:val="24"/>
          <w:highlight w:val="none"/>
        </w:rPr>
      </w:pPr>
      <w:r>
        <w:rPr>
          <w:rFonts w:hint="eastAsia" w:cs="宋体" w:asciiTheme="majorEastAsia" w:hAnsiTheme="majorEastAsia" w:eastAsiaTheme="majorEastAsia"/>
          <w:b/>
          <w:bCs/>
          <w:color w:val="auto"/>
          <w:sz w:val="24"/>
          <w:highlight w:val="none"/>
        </w:rPr>
        <w:t>（二）授权委托书</w:t>
      </w:r>
    </w:p>
    <w:p w14:paraId="6B6E0547">
      <w:pPr>
        <w:spacing w:line="480" w:lineRule="auto"/>
        <w:rPr>
          <w:rFonts w:cs="宋体" w:asciiTheme="majorEastAsia" w:hAnsiTheme="majorEastAsia" w:eastAsiaTheme="majorEastAsia"/>
          <w:color w:val="auto"/>
          <w:highlight w:val="none"/>
        </w:rPr>
      </w:pPr>
    </w:p>
    <w:p w14:paraId="78F23F21">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rPr>
        <w:t xml:space="preserve">本人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（姓名）系</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（投标人名称）的法定代表人，现委托</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rPr>
        <w:t>（姓名）为我方代理人。代理人根据授权，以我方名义签署、澄清、说明、补 正、递交、撤回、修改</w:t>
      </w:r>
      <w:r>
        <w:rPr>
          <w:rFonts w:hint="eastAsia" w:ascii="宋体" w:hAnsi="宋体" w:cs="宋体"/>
          <w:color w:val="000000"/>
          <w:sz w:val="24"/>
          <w:highlight w:val="none"/>
          <w:u w:val="single"/>
        </w:rPr>
        <w:t xml:space="preserve">         （项目名称）        </w:t>
      </w:r>
      <w:r>
        <w:rPr>
          <w:rFonts w:hint="eastAsia" w:ascii="宋体" w:hAnsi="宋体" w:cs="宋体"/>
          <w:color w:val="000000"/>
          <w:sz w:val="24"/>
          <w:highlight w:val="none"/>
        </w:rPr>
        <w:t xml:space="preserve">投标文件、签订合同和处理有关事宜，其法律后果由我方承担。 </w:t>
      </w:r>
    </w:p>
    <w:p w14:paraId="0773CB5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rPr>
        <w:t>委托期限：</w:t>
      </w:r>
      <w:r>
        <w:rPr>
          <w:rFonts w:hint="eastAsia" w:ascii="宋体" w:hAnsi="宋体" w:cs="宋体"/>
          <w:color w:val="000000"/>
          <w:sz w:val="24"/>
          <w:highlight w:val="none"/>
          <w:u w:val="single"/>
        </w:rPr>
        <w:t xml:space="preserve"> 至投标有效期的期满之日止 </w:t>
      </w:r>
      <w:r>
        <w:rPr>
          <w:rFonts w:hint="eastAsia" w:ascii="宋体" w:hAnsi="宋体" w:cs="宋体"/>
          <w:color w:val="000000"/>
          <w:sz w:val="24"/>
          <w:highlight w:val="none"/>
        </w:rPr>
        <w:t xml:space="preserve">。 </w:t>
      </w:r>
    </w:p>
    <w:p w14:paraId="09A28F7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rPr>
        <w:t xml:space="preserve">代理人无转委托权。 </w:t>
      </w:r>
    </w:p>
    <w:p w14:paraId="018DAA3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附：授权委托人身份证</w:t>
      </w:r>
      <w:r>
        <w:rPr>
          <w:rFonts w:hint="eastAsia" w:cs="宋体" w:asciiTheme="majorEastAsia" w:hAnsiTheme="majorEastAsia" w:eastAsiaTheme="majorEastAsia"/>
          <w:color w:val="auto"/>
          <w:sz w:val="24"/>
          <w:szCs w:val="24"/>
          <w:highlight w:val="none"/>
          <w:lang w:val="en-US" w:eastAsia="zh-CN"/>
        </w:rPr>
        <w:t>扫描件</w:t>
      </w:r>
    </w:p>
    <w:tbl>
      <w:tblPr>
        <w:tblStyle w:val="20"/>
        <w:tblW w:w="0" w:type="auto"/>
        <w:jc w:val="center"/>
        <w:tblLayout w:type="autofit"/>
        <w:tblCellMar>
          <w:top w:w="0" w:type="dxa"/>
          <w:left w:w="10" w:type="dxa"/>
          <w:bottom w:w="0" w:type="dxa"/>
          <w:right w:w="10" w:type="dxa"/>
        </w:tblCellMar>
      </w:tblPr>
      <w:tblGrid>
        <w:gridCol w:w="5862"/>
      </w:tblGrid>
      <w:tr w14:paraId="3BCF813C">
        <w:tblPrEx>
          <w:tblCellMar>
            <w:top w:w="0" w:type="dxa"/>
            <w:left w:w="10" w:type="dxa"/>
            <w:bottom w:w="0" w:type="dxa"/>
            <w:right w:w="10" w:type="dxa"/>
          </w:tblCellMar>
        </w:tblPrEx>
        <w:trPr>
          <w:trHeight w:val="2794" w:hRule="atLeast"/>
          <w:jc w:val="center"/>
        </w:trPr>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1CDADA3">
            <w:pPr>
              <w:ind w:firstLine="502"/>
              <w:rPr>
                <w:rFonts w:cs="宋体" w:asciiTheme="majorEastAsia" w:hAnsiTheme="majorEastAsia" w:eastAsiaTheme="majorEastAsia"/>
                <w:color w:val="auto"/>
                <w:highlight w:val="none"/>
              </w:rPr>
            </w:pPr>
          </w:p>
          <w:p w14:paraId="63E13BD5">
            <w:pPr>
              <w:ind w:firstLine="502"/>
              <w:rPr>
                <w:rFonts w:cs="宋体" w:asciiTheme="majorEastAsia" w:hAnsiTheme="majorEastAsia" w:eastAsiaTheme="majorEastAsia"/>
                <w:color w:val="auto"/>
                <w:highlight w:val="none"/>
              </w:rPr>
            </w:pPr>
          </w:p>
          <w:p w14:paraId="14FA9CE9">
            <w:pPr>
              <w:ind w:firstLine="502"/>
              <w:rPr>
                <w:rFonts w:cs="宋体" w:asciiTheme="majorEastAsia" w:hAnsiTheme="majorEastAsia" w:eastAsiaTheme="majorEastAsia"/>
                <w:color w:val="auto"/>
                <w:highlight w:val="none"/>
              </w:rPr>
            </w:pPr>
          </w:p>
          <w:p w14:paraId="68F0FF34">
            <w:pPr>
              <w:ind w:firstLine="502"/>
              <w:rPr>
                <w:rFonts w:cs="宋体" w:asciiTheme="majorEastAsia" w:hAnsiTheme="majorEastAsia" w:eastAsiaTheme="majorEastAsia"/>
                <w:color w:val="auto"/>
                <w:highlight w:val="none"/>
              </w:rPr>
            </w:pPr>
          </w:p>
          <w:p w14:paraId="5161F8CC">
            <w:pPr>
              <w:jc w:val="center"/>
              <w:rPr>
                <w:rFonts w:hint="eastAsia" w:cs="宋体" w:asciiTheme="majorEastAsia" w:hAnsiTheme="majorEastAsia" w:eastAsiaTheme="majorEastAsia"/>
                <w:color w:val="auto"/>
                <w:highlight w:val="none"/>
                <w:lang w:eastAsia="zh-CN"/>
              </w:rPr>
            </w:pPr>
            <w:r>
              <w:rPr>
                <w:rFonts w:hint="eastAsia" w:cs="宋体" w:asciiTheme="majorEastAsia" w:hAnsiTheme="majorEastAsia" w:eastAsiaTheme="majorEastAsia"/>
                <w:color w:val="auto"/>
                <w:sz w:val="24"/>
                <w:szCs w:val="24"/>
                <w:highlight w:val="none"/>
              </w:rPr>
              <w:t>附代理人身份证正面及背面</w:t>
            </w:r>
            <w:r>
              <w:rPr>
                <w:rFonts w:hint="eastAsia" w:cs="宋体" w:asciiTheme="majorEastAsia" w:hAnsiTheme="majorEastAsia" w:eastAsiaTheme="majorEastAsia"/>
                <w:color w:val="auto"/>
                <w:sz w:val="24"/>
                <w:szCs w:val="24"/>
                <w:highlight w:val="none"/>
                <w:lang w:val="en-US" w:eastAsia="zh-CN"/>
              </w:rPr>
              <w:t>扫描件</w:t>
            </w:r>
          </w:p>
        </w:tc>
      </w:tr>
    </w:tbl>
    <w:p w14:paraId="1AA458FE">
      <w:pPr>
        <w:spacing w:line="480" w:lineRule="auto"/>
        <w:rPr>
          <w:rFonts w:cs="宋体" w:asciiTheme="majorEastAsia" w:hAnsiTheme="majorEastAsia" w:eastAsiaTheme="majorEastAsia"/>
          <w:color w:val="auto"/>
          <w:sz w:val="24"/>
          <w:highlight w:val="none"/>
        </w:rPr>
      </w:pPr>
    </w:p>
    <w:p w14:paraId="1A9B5619">
      <w:pPr>
        <w:spacing w:line="480" w:lineRule="exact"/>
        <w:jc w:val="center"/>
        <w:rPr>
          <w:rFonts w:hint="eastAsia" w:ascii="宋体" w:hAnsi="宋体" w:cs="宋体"/>
          <w:color w:val="000000"/>
          <w:sz w:val="24"/>
          <w:highlight w:val="none"/>
        </w:rPr>
      </w:pP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投标人：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（盖单位章） </w:t>
      </w:r>
    </w:p>
    <w:p w14:paraId="210A3B0E">
      <w:pPr>
        <w:spacing w:line="480" w:lineRule="exact"/>
        <w:rPr>
          <w:rFonts w:hint="eastAsia" w:ascii="宋体" w:hAnsi="宋体" w:cs="宋体"/>
          <w:color w:val="000000"/>
          <w:sz w:val="24"/>
          <w:highlight w:val="none"/>
        </w:rPr>
      </w:pPr>
      <w:r>
        <w:rPr>
          <w:rFonts w:hint="eastAsia" w:ascii="宋体" w:hAnsi="宋体" w:cs="宋体"/>
          <w:color w:val="000000"/>
          <w:sz w:val="24"/>
          <w:highlight w:val="none"/>
        </w:rPr>
        <w:t xml:space="preserve">                                    法定代表人：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（签字） </w:t>
      </w:r>
    </w:p>
    <w:p w14:paraId="3B09E9E6">
      <w:pPr>
        <w:spacing w:line="480" w:lineRule="exact"/>
        <w:rPr>
          <w:rFonts w:hint="eastAsia" w:ascii="宋体" w:hAnsi="宋体" w:cs="宋体"/>
          <w:color w:val="000000"/>
          <w:sz w:val="24"/>
          <w:highlight w:val="none"/>
          <w:u w:val="single"/>
        </w:rPr>
      </w:pPr>
      <w:r>
        <w:rPr>
          <w:rFonts w:hint="eastAsia" w:ascii="宋体" w:hAnsi="宋体" w:cs="宋体"/>
          <w:color w:val="000000"/>
          <w:sz w:val="24"/>
          <w:highlight w:val="none"/>
        </w:rPr>
        <w:t xml:space="preserve">                                    身份证号码：</w:t>
      </w:r>
      <w:r>
        <w:rPr>
          <w:rFonts w:hint="eastAsia" w:ascii="宋体" w:hAnsi="宋体" w:cs="宋体"/>
          <w:color w:val="000000"/>
          <w:sz w:val="24"/>
          <w:highlight w:val="none"/>
          <w:u w:val="single"/>
        </w:rPr>
        <w:t xml:space="preserve">                                    </w:t>
      </w:r>
    </w:p>
    <w:p w14:paraId="68DB00A7">
      <w:pPr>
        <w:spacing w:line="480" w:lineRule="exact"/>
        <w:rPr>
          <w:rFonts w:hint="eastAsia" w:ascii="宋体" w:hAnsi="宋体" w:cs="宋体"/>
          <w:color w:val="000000"/>
          <w:sz w:val="24"/>
          <w:highlight w:val="none"/>
        </w:rPr>
      </w:pPr>
      <w:r>
        <w:rPr>
          <w:rFonts w:hint="eastAsia" w:ascii="宋体" w:hAnsi="宋体" w:cs="宋体"/>
          <w:color w:val="000000"/>
          <w:sz w:val="24"/>
          <w:highlight w:val="none"/>
        </w:rPr>
        <w:t xml:space="preserve">                                    授权委托人：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（签字） </w:t>
      </w:r>
    </w:p>
    <w:p w14:paraId="1CD6462A">
      <w:pPr>
        <w:spacing w:line="480" w:lineRule="exact"/>
        <w:rPr>
          <w:rFonts w:hint="eastAsia" w:ascii="宋体" w:hAnsi="宋体" w:cs="宋体"/>
          <w:color w:val="000000"/>
          <w:sz w:val="24"/>
          <w:highlight w:val="none"/>
          <w:u w:val="single"/>
        </w:rPr>
      </w:pPr>
      <w:r>
        <w:rPr>
          <w:rFonts w:hint="eastAsia" w:ascii="宋体" w:hAnsi="宋体" w:cs="宋体"/>
          <w:color w:val="000000"/>
          <w:sz w:val="24"/>
          <w:highlight w:val="none"/>
        </w:rPr>
        <w:t xml:space="preserve">                                    身份证号码：</w:t>
      </w:r>
      <w:r>
        <w:rPr>
          <w:rFonts w:hint="eastAsia" w:ascii="宋体" w:hAnsi="宋体" w:cs="宋体"/>
          <w:color w:val="000000"/>
          <w:sz w:val="24"/>
          <w:highlight w:val="none"/>
          <w:u w:val="single"/>
        </w:rPr>
        <w:t xml:space="preserve">                                    </w:t>
      </w:r>
    </w:p>
    <w:p w14:paraId="579E5A69">
      <w:pPr>
        <w:spacing w:line="480" w:lineRule="exact"/>
        <w:rPr>
          <w:rFonts w:hint="eastAsia" w:ascii="宋体" w:hAnsi="宋体" w:cs="宋体"/>
          <w:color w:val="000000"/>
          <w:sz w:val="24"/>
          <w:highlight w:val="none"/>
        </w:rPr>
      </w:pP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w:t>
      </w:r>
    </w:p>
    <w:p w14:paraId="327BD207">
      <w:pPr>
        <w:spacing w:line="440" w:lineRule="auto"/>
        <w:rPr>
          <w:rFonts w:hint="eastAsia" w:cs="宋体" w:asciiTheme="majorEastAsia" w:hAnsiTheme="majorEastAsia" w:eastAsiaTheme="majorEastAsia"/>
          <w:color w:val="auto"/>
          <w:sz w:val="24"/>
          <w:szCs w:val="24"/>
          <w:highlight w:val="none"/>
        </w:rPr>
      </w:pPr>
    </w:p>
    <w:p w14:paraId="31C98232">
      <w:pPr>
        <w:spacing w:line="440" w:lineRule="auto"/>
        <w:rPr>
          <w:rFonts w:hint="eastAsia" w:cs="宋体" w:asciiTheme="majorEastAsia" w:hAnsiTheme="majorEastAsia" w:eastAsiaTheme="majorEastAsia"/>
          <w:color w:val="auto"/>
          <w:sz w:val="24"/>
          <w:szCs w:val="24"/>
          <w:highlight w:val="none"/>
        </w:rPr>
      </w:pPr>
    </w:p>
    <w:p w14:paraId="4153FE0F">
      <w:pPr>
        <w:spacing w:line="440" w:lineRule="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注：如法人负责投标相关事宜，则无需提供授权委托书。</w:t>
      </w:r>
    </w:p>
    <w:p w14:paraId="57E4CD1C">
      <w:pPr>
        <w:widowControl/>
        <w:jc w:val="center"/>
        <w:rPr>
          <w:rFonts w:cs="宋体" w:asciiTheme="majorEastAsia" w:hAnsiTheme="majorEastAsia" w:eastAsiaTheme="majorEastAsia"/>
          <w:b/>
          <w:color w:val="auto"/>
          <w:sz w:val="32"/>
          <w:highlight w:val="none"/>
        </w:rPr>
      </w:pPr>
      <w:r>
        <w:rPr>
          <w:rFonts w:cs="宋体" w:asciiTheme="majorEastAsia" w:hAnsiTheme="majorEastAsia" w:eastAsiaTheme="majorEastAsia"/>
          <w:color w:val="auto"/>
          <w:highlight w:val="none"/>
        </w:rPr>
        <w:br w:type="page"/>
      </w:r>
      <w:r>
        <w:rPr>
          <w:rFonts w:hint="eastAsia" w:cs="宋体" w:asciiTheme="majorEastAsia" w:hAnsiTheme="majorEastAsia" w:eastAsiaTheme="majorEastAsia"/>
          <w:b/>
          <w:color w:val="auto"/>
          <w:sz w:val="32"/>
          <w:highlight w:val="none"/>
          <w:lang w:val="en-US" w:eastAsia="zh-CN"/>
        </w:rPr>
        <w:t>四</w:t>
      </w:r>
      <w:r>
        <w:rPr>
          <w:rFonts w:hint="eastAsia" w:cs="宋体" w:asciiTheme="majorEastAsia" w:hAnsiTheme="majorEastAsia" w:eastAsiaTheme="majorEastAsia"/>
          <w:b/>
          <w:color w:val="auto"/>
          <w:sz w:val="32"/>
          <w:highlight w:val="none"/>
        </w:rPr>
        <w:t>、投标保证缴纳证明</w:t>
      </w:r>
    </w:p>
    <w:p w14:paraId="34C22829">
      <w:pPr>
        <w:spacing w:line="480" w:lineRule="auto"/>
        <w:jc w:val="center"/>
        <w:rPr>
          <w:rFonts w:cs="宋体" w:asciiTheme="majorEastAsia" w:hAnsiTheme="majorEastAsia" w:eastAsiaTheme="majorEastAsia"/>
          <w:b/>
          <w:color w:val="auto"/>
          <w:sz w:val="32"/>
          <w:highlight w:val="none"/>
        </w:rPr>
      </w:pPr>
    </w:p>
    <w:p w14:paraId="546DE328">
      <w:pPr>
        <w:spacing w:line="480" w:lineRule="auto"/>
        <w:ind w:firstLine="435"/>
        <w:rPr>
          <w:rFonts w:cs="宋体" w:asciiTheme="majorEastAsia" w:hAnsiTheme="majorEastAsia" w:eastAsiaTheme="majorEastAsia"/>
          <w:b/>
          <w:color w:val="auto"/>
          <w:sz w:val="32"/>
          <w:highlight w:val="none"/>
        </w:rPr>
      </w:pPr>
      <w:r>
        <w:rPr>
          <w:rFonts w:hint="eastAsia" w:cs="宋体" w:asciiTheme="majorEastAsia" w:hAnsiTheme="majorEastAsia" w:eastAsiaTheme="majorEastAsia"/>
          <w:color w:val="auto"/>
          <w:sz w:val="24"/>
          <w:highlight w:val="none"/>
        </w:rPr>
        <w:t>附韶关市公共资源交易一体化平台《韶关市公共资源交易一体化平台保证金缴纳信息》页面截图及相关缴纳证明（采用投标保证金的，附银行转账单截图；采用投标保证担保的，附银行保函扫描件；采用投标保证保险的，附电子保单扫描件）。</w:t>
      </w:r>
    </w:p>
    <w:p w14:paraId="62E533A3">
      <w:pPr>
        <w:rPr>
          <w:rFonts w:cs="宋体" w:asciiTheme="majorEastAsia" w:hAnsiTheme="majorEastAsia" w:eastAsiaTheme="majorEastAsia"/>
          <w:b/>
          <w:color w:val="auto"/>
          <w:sz w:val="32"/>
          <w:highlight w:val="none"/>
        </w:rPr>
      </w:pPr>
      <w:r>
        <w:rPr>
          <w:rFonts w:hint="eastAsia" w:cs="宋体" w:asciiTheme="majorEastAsia" w:hAnsiTheme="majorEastAsia" w:eastAsiaTheme="majorEastAsia"/>
          <w:b/>
          <w:color w:val="auto"/>
          <w:sz w:val="32"/>
          <w:highlight w:val="none"/>
        </w:rPr>
        <w:br w:type="page"/>
      </w:r>
    </w:p>
    <w:p w14:paraId="59CFBA9F">
      <w:pPr>
        <w:spacing w:line="480" w:lineRule="auto"/>
        <w:jc w:val="center"/>
        <w:rPr>
          <w:rFonts w:cs="宋体" w:asciiTheme="majorEastAsia" w:hAnsiTheme="majorEastAsia" w:eastAsiaTheme="majorEastAsia"/>
          <w:b/>
          <w:color w:val="auto"/>
          <w:sz w:val="32"/>
          <w:highlight w:val="none"/>
        </w:rPr>
      </w:pPr>
      <w:r>
        <w:rPr>
          <w:rFonts w:hint="eastAsia" w:cs="宋体" w:asciiTheme="majorEastAsia" w:hAnsiTheme="majorEastAsia" w:eastAsiaTheme="majorEastAsia"/>
          <w:b/>
          <w:color w:val="auto"/>
          <w:sz w:val="32"/>
          <w:highlight w:val="none"/>
          <w:lang w:val="en-US" w:eastAsia="zh-CN"/>
        </w:rPr>
        <w:t>五</w:t>
      </w:r>
      <w:r>
        <w:rPr>
          <w:rFonts w:hint="eastAsia" w:cs="宋体" w:asciiTheme="majorEastAsia" w:hAnsiTheme="majorEastAsia" w:eastAsiaTheme="majorEastAsia"/>
          <w:b/>
          <w:color w:val="auto"/>
          <w:sz w:val="32"/>
          <w:highlight w:val="none"/>
        </w:rPr>
        <w:t>、项目管理机构表</w:t>
      </w:r>
    </w:p>
    <w:p w14:paraId="04CBDED8">
      <w:pPr>
        <w:spacing w:line="480" w:lineRule="auto"/>
        <w:rPr>
          <w:rFonts w:cs="宋体" w:asciiTheme="majorEastAsia" w:hAnsiTheme="majorEastAsia" w:eastAsiaTheme="majorEastAsia"/>
          <w:color w:val="auto"/>
          <w:sz w:val="24"/>
          <w:highlight w:val="none"/>
        </w:rPr>
      </w:pPr>
    </w:p>
    <w:p w14:paraId="5419BCA6">
      <w:pPr>
        <w:spacing w:line="480" w:lineRule="auto"/>
        <w:rPr>
          <w:rFonts w:cs="宋体" w:asciiTheme="majorEastAsia" w:hAnsiTheme="majorEastAsia" w:eastAsiaTheme="majorEastAsia"/>
          <w:b/>
          <w:color w:val="auto"/>
          <w:sz w:val="24"/>
          <w:highlight w:val="none"/>
        </w:rPr>
      </w:pPr>
      <w:r>
        <w:rPr>
          <w:rFonts w:hint="eastAsia" w:cs="宋体" w:asciiTheme="majorEastAsia" w:hAnsiTheme="majorEastAsia" w:eastAsiaTheme="majorEastAsia"/>
          <w:b/>
          <w:color w:val="auto"/>
          <w:sz w:val="24"/>
          <w:highlight w:val="none"/>
        </w:rPr>
        <w:t>（一）项目管理机构组成表</w:t>
      </w:r>
    </w:p>
    <w:tbl>
      <w:tblPr>
        <w:tblStyle w:val="20"/>
        <w:tblW w:w="0" w:type="auto"/>
        <w:tblInd w:w="-8" w:type="dxa"/>
        <w:tblLayout w:type="autofit"/>
        <w:tblCellMar>
          <w:top w:w="0" w:type="dxa"/>
          <w:left w:w="10" w:type="dxa"/>
          <w:bottom w:w="0" w:type="dxa"/>
          <w:right w:w="10" w:type="dxa"/>
        </w:tblCellMar>
      </w:tblPr>
      <w:tblGrid>
        <w:gridCol w:w="1102"/>
        <w:gridCol w:w="1103"/>
        <w:gridCol w:w="1022"/>
        <w:gridCol w:w="1184"/>
        <w:gridCol w:w="1336"/>
        <w:gridCol w:w="1484"/>
        <w:gridCol w:w="1529"/>
        <w:gridCol w:w="847"/>
      </w:tblGrid>
      <w:tr w14:paraId="71BD6C83">
        <w:tblPrEx>
          <w:tblCellMar>
            <w:top w:w="0" w:type="dxa"/>
            <w:left w:w="10" w:type="dxa"/>
            <w:bottom w:w="0" w:type="dxa"/>
            <w:right w:w="10" w:type="dxa"/>
          </w:tblCellMar>
        </w:tblPrEx>
        <w:trPr>
          <w:cantSplit/>
          <w:trHeight w:val="435" w:hRule="atLeast"/>
        </w:trPr>
        <w:tc>
          <w:tcPr>
            <w:tcW w:w="1102"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9808AC">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职务</w:t>
            </w:r>
          </w:p>
        </w:tc>
        <w:tc>
          <w:tcPr>
            <w:tcW w:w="110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1C0319">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名称</w:t>
            </w:r>
          </w:p>
        </w:tc>
        <w:tc>
          <w:tcPr>
            <w:tcW w:w="1022"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5D9DE7">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职称</w:t>
            </w:r>
          </w:p>
        </w:tc>
        <w:tc>
          <w:tcPr>
            <w:tcW w:w="553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AC67AF">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执业或职业资格证明</w:t>
            </w:r>
          </w:p>
        </w:tc>
        <w:tc>
          <w:tcPr>
            <w:tcW w:w="847"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F77783">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备注</w:t>
            </w:r>
          </w:p>
        </w:tc>
      </w:tr>
      <w:tr w14:paraId="32731DFC">
        <w:tblPrEx>
          <w:tblCellMar>
            <w:top w:w="0" w:type="dxa"/>
            <w:left w:w="10" w:type="dxa"/>
            <w:bottom w:w="0" w:type="dxa"/>
            <w:right w:w="10" w:type="dxa"/>
          </w:tblCellMar>
        </w:tblPrEx>
        <w:trPr>
          <w:cantSplit/>
          <w:trHeight w:val="424" w:hRule="atLeast"/>
        </w:trPr>
        <w:tc>
          <w:tcPr>
            <w:tcW w:w="110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78FF61">
            <w:pPr>
              <w:jc w:val="center"/>
              <w:rPr>
                <w:rFonts w:cs="宋体" w:asciiTheme="majorEastAsia" w:hAnsiTheme="majorEastAsia" w:eastAsiaTheme="majorEastAsia"/>
                <w:color w:val="auto"/>
                <w:sz w:val="22"/>
                <w:highlight w:val="none"/>
              </w:rPr>
            </w:pPr>
          </w:p>
        </w:tc>
        <w:tc>
          <w:tcPr>
            <w:tcW w:w="110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FA5492">
            <w:pPr>
              <w:jc w:val="center"/>
              <w:rPr>
                <w:rFonts w:cs="宋体" w:asciiTheme="majorEastAsia" w:hAnsiTheme="majorEastAsia" w:eastAsiaTheme="majorEastAsia"/>
                <w:color w:val="auto"/>
                <w:sz w:val="22"/>
                <w:highlight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631BE5">
            <w:pPr>
              <w:jc w:val="center"/>
              <w:rPr>
                <w:rFonts w:cs="宋体" w:asciiTheme="majorEastAsia" w:hAnsiTheme="majorEastAsia" w:eastAsiaTheme="majorEastAsia"/>
                <w:color w:val="auto"/>
                <w:sz w:val="22"/>
                <w:highlight w:val="none"/>
              </w:rPr>
            </w:pPr>
          </w:p>
        </w:tc>
        <w:tc>
          <w:tcPr>
            <w:tcW w:w="11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DD5979">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证书名称</w:t>
            </w: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8EAE32">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级别</w:t>
            </w:r>
          </w:p>
        </w:tc>
        <w:tc>
          <w:tcPr>
            <w:tcW w:w="14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D8AD3A">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证号</w:t>
            </w:r>
          </w:p>
        </w:tc>
        <w:tc>
          <w:tcPr>
            <w:tcW w:w="15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0DD8E0">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专业</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B22836">
            <w:pPr>
              <w:jc w:val="center"/>
              <w:rPr>
                <w:rFonts w:cs="宋体" w:asciiTheme="majorEastAsia" w:hAnsiTheme="majorEastAsia" w:eastAsiaTheme="majorEastAsia"/>
                <w:color w:val="auto"/>
                <w:sz w:val="22"/>
                <w:highlight w:val="none"/>
              </w:rPr>
            </w:pPr>
          </w:p>
        </w:tc>
      </w:tr>
      <w:tr w14:paraId="3763AF86">
        <w:tblPrEx>
          <w:tblCellMar>
            <w:top w:w="0" w:type="dxa"/>
            <w:left w:w="10" w:type="dxa"/>
            <w:bottom w:w="0" w:type="dxa"/>
            <w:right w:w="10" w:type="dxa"/>
          </w:tblCellMar>
        </w:tblPrEx>
        <w:trPr>
          <w:trHeight w:val="520" w:hRule="atLeast"/>
        </w:trPr>
        <w:tc>
          <w:tcPr>
            <w:tcW w:w="11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CDF30D">
            <w:pPr>
              <w:jc w:val="center"/>
              <w:rPr>
                <w:rFonts w:cs="宋体" w:asciiTheme="majorEastAsia" w:hAnsiTheme="majorEastAsia" w:eastAsiaTheme="majorEastAsia"/>
                <w:color w:val="auto"/>
                <w:sz w:val="22"/>
                <w:highlight w:val="none"/>
              </w:rPr>
            </w:pPr>
          </w:p>
        </w:tc>
        <w:tc>
          <w:tcPr>
            <w:tcW w:w="11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EE14AA">
            <w:pPr>
              <w:jc w:val="center"/>
              <w:rPr>
                <w:rFonts w:cs="宋体" w:asciiTheme="majorEastAsia" w:hAnsiTheme="majorEastAsia" w:eastAsiaTheme="majorEastAsia"/>
                <w:color w:val="auto"/>
                <w:sz w:val="22"/>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4432DD">
            <w:pPr>
              <w:jc w:val="center"/>
              <w:rPr>
                <w:rFonts w:cs="宋体" w:asciiTheme="majorEastAsia" w:hAnsiTheme="majorEastAsia" w:eastAsiaTheme="majorEastAsia"/>
                <w:color w:val="auto"/>
                <w:sz w:val="22"/>
                <w:highlight w:val="none"/>
              </w:rPr>
            </w:pPr>
          </w:p>
        </w:tc>
        <w:tc>
          <w:tcPr>
            <w:tcW w:w="11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E9D0A9">
            <w:pPr>
              <w:jc w:val="center"/>
              <w:rPr>
                <w:rFonts w:cs="宋体" w:asciiTheme="majorEastAsia" w:hAnsiTheme="majorEastAsia" w:eastAsiaTheme="majorEastAsia"/>
                <w:color w:val="auto"/>
                <w:sz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D6C660">
            <w:pPr>
              <w:jc w:val="center"/>
              <w:rPr>
                <w:rFonts w:cs="宋体" w:asciiTheme="majorEastAsia" w:hAnsiTheme="majorEastAsia" w:eastAsiaTheme="majorEastAsia"/>
                <w:color w:val="auto"/>
                <w:sz w:val="22"/>
                <w:highlight w:val="none"/>
              </w:rPr>
            </w:pPr>
          </w:p>
        </w:tc>
        <w:tc>
          <w:tcPr>
            <w:tcW w:w="14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D2D527">
            <w:pPr>
              <w:jc w:val="center"/>
              <w:rPr>
                <w:rFonts w:cs="宋体" w:asciiTheme="majorEastAsia" w:hAnsiTheme="majorEastAsia" w:eastAsiaTheme="majorEastAsia"/>
                <w:color w:val="auto"/>
                <w:sz w:val="22"/>
                <w:highlight w:val="none"/>
              </w:rPr>
            </w:pPr>
          </w:p>
        </w:tc>
        <w:tc>
          <w:tcPr>
            <w:tcW w:w="15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244475">
            <w:pPr>
              <w:jc w:val="center"/>
              <w:rPr>
                <w:rFonts w:cs="宋体" w:asciiTheme="majorEastAsia" w:hAnsiTheme="majorEastAsia" w:eastAsiaTheme="majorEastAsia"/>
                <w:color w:val="auto"/>
                <w:sz w:val="22"/>
                <w:highlight w:val="none"/>
              </w:rPr>
            </w:pPr>
          </w:p>
        </w:tc>
        <w:tc>
          <w:tcPr>
            <w:tcW w:w="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9D71E8">
            <w:pPr>
              <w:jc w:val="center"/>
              <w:rPr>
                <w:rFonts w:cs="宋体" w:asciiTheme="majorEastAsia" w:hAnsiTheme="majorEastAsia" w:eastAsiaTheme="majorEastAsia"/>
                <w:color w:val="auto"/>
                <w:sz w:val="22"/>
                <w:highlight w:val="none"/>
              </w:rPr>
            </w:pPr>
          </w:p>
        </w:tc>
      </w:tr>
      <w:tr w14:paraId="5EB3F711">
        <w:tblPrEx>
          <w:tblCellMar>
            <w:top w:w="0" w:type="dxa"/>
            <w:left w:w="10" w:type="dxa"/>
            <w:bottom w:w="0" w:type="dxa"/>
            <w:right w:w="10" w:type="dxa"/>
          </w:tblCellMar>
        </w:tblPrEx>
        <w:trPr>
          <w:trHeight w:val="495" w:hRule="atLeast"/>
        </w:trPr>
        <w:tc>
          <w:tcPr>
            <w:tcW w:w="11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6747D8">
            <w:pPr>
              <w:jc w:val="center"/>
              <w:rPr>
                <w:rFonts w:cs="宋体" w:asciiTheme="majorEastAsia" w:hAnsiTheme="majorEastAsia" w:eastAsiaTheme="majorEastAsia"/>
                <w:color w:val="auto"/>
                <w:sz w:val="22"/>
                <w:highlight w:val="none"/>
              </w:rPr>
            </w:pPr>
          </w:p>
        </w:tc>
        <w:tc>
          <w:tcPr>
            <w:tcW w:w="11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C6E446">
            <w:pPr>
              <w:jc w:val="center"/>
              <w:rPr>
                <w:rFonts w:cs="宋体" w:asciiTheme="majorEastAsia" w:hAnsiTheme="majorEastAsia" w:eastAsiaTheme="majorEastAsia"/>
                <w:color w:val="auto"/>
                <w:sz w:val="22"/>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1B2E24">
            <w:pPr>
              <w:jc w:val="center"/>
              <w:rPr>
                <w:rFonts w:cs="宋体" w:asciiTheme="majorEastAsia" w:hAnsiTheme="majorEastAsia" w:eastAsiaTheme="majorEastAsia"/>
                <w:color w:val="auto"/>
                <w:sz w:val="22"/>
                <w:highlight w:val="none"/>
              </w:rPr>
            </w:pPr>
          </w:p>
        </w:tc>
        <w:tc>
          <w:tcPr>
            <w:tcW w:w="11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8D383A">
            <w:pPr>
              <w:jc w:val="center"/>
              <w:rPr>
                <w:rFonts w:cs="宋体" w:asciiTheme="majorEastAsia" w:hAnsiTheme="majorEastAsia" w:eastAsiaTheme="majorEastAsia"/>
                <w:color w:val="auto"/>
                <w:sz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505675">
            <w:pPr>
              <w:jc w:val="center"/>
              <w:rPr>
                <w:rFonts w:cs="宋体" w:asciiTheme="majorEastAsia" w:hAnsiTheme="majorEastAsia" w:eastAsiaTheme="majorEastAsia"/>
                <w:color w:val="auto"/>
                <w:sz w:val="22"/>
                <w:highlight w:val="none"/>
              </w:rPr>
            </w:pPr>
          </w:p>
        </w:tc>
        <w:tc>
          <w:tcPr>
            <w:tcW w:w="14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C167D0">
            <w:pPr>
              <w:jc w:val="center"/>
              <w:rPr>
                <w:rFonts w:cs="宋体" w:asciiTheme="majorEastAsia" w:hAnsiTheme="majorEastAsia" w:eastAsiaTheme="majorEastAsia"/>
                <w:color w:val="auto"/>
                <w:sz w:val="22"/>
                <w:highlight w:val="none"/>
              </w:rPr>
            </w:pPr>
          </w:p>
        </w:tc>
        <w:tc>
          <w:tcPr>
            <w:tcW w:w="15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2EB101">
            <w:pPr>
              <w:jc w:val="center"/>
              <w:rPr>
                <w:rFonts w:cs="宋体" w:asciiTheme="majorEastAsia" w:hAnsiTheme="majorEastAsia" w:eastAsiaTheme="majorEastAsia"/>
                <w:color w:val="auto"/>
                <w:sz w:val="22"/>
                <w:highlight w:val="none"/>
              </w:rPr>
            </w:pPr>
          </w:p>
        </w:tc>
        <w:tc>
          <w:tcPr>
            <w:tcW w:w="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EF05AD">
            <w:pPr>
              <w:jc w:val="center"/>
              <w:rPr>
                <w:rFonts w:cs="宋体" w:asciiTheme="majorEastAsia" w:hAnsiTheme="majorEastAsia" w:eastAsiaTheme="majorEastAsia"/>
                <w:color w:val="auto"/>
                <w:sz w:val="22"/>
                <w:highlight w:val="none"/>
              </w:rPr>
            </w:pPr>
          </w:p>
        </w:tc>
      </w:tr>
      <w:tr w14:paraId="5FB34F68">
        <w:tblPrEx>
          <w:tblCellMar>
            <w:top w:w="0" w:type="dxa"/>
            <w:left w:w="10" w:type="dxa"/>
            <w:bottom w:w="0" w:type="dxa"/>
            <w:right w:w="10" w:type="dxa"/>
          </w:tblCellMar>
        </w:tblPrEx>
        <w:trPr>
          <w:trHeight w:val="520" w:hRule="atLeast"/>
        </w:trPr>
        <w:tc>
          <w:tcPr>
            <w:tcW w:w="11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783991">
            <w:pPr>
              <w:rPr>
                <w:rFonts w:cs="宋体" w:asciiTheme="majorEastAsia" w:hAnsiTheme="majorEastAsia" w:eastAsiaTheme="majorEastAsia"/>
                <w:color w:val="auto"/>
                <w:sz w:val="22"/>
                <w:highlight w:val="none"/>
              </w:rPr>
            </w:pPr>
          </w:p>
        </w:tc>
        <w:tc>
          <w:tcPr>
            <w:tcW w:w="11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9211A6">
            <w:pPr>
              <w:rPr>
                <w:rFonts w:cs="宋体" w:asciiTheme="majorEastAsia" w:hAnsiTheme="majorEastAsia" w:eastAsiaTheme="majorEastAsia"/>
                <w:color w:val="auto"/>
                <w:sz w:val="22"/>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26EF1F">
            <w:pPr>
              <w:rPr>
                <w:rFonts w:cs="宋体" w:asciiTheme="majorEastAsia" w:hAnsiTheme="majorEastAsia" w:eastAsiaTheme="majorEastAsia"/>
                <w:color w:val="auto"/>
                <w:sz w:val="22"/>
                <w:highlight w:val="none"/>
              </w:rPr>
            </w:pPr>
          </w:p>
        </w:tc>
        <w:tc>
          <w:tcPr>
            <w:tcW w:w="11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CE882E">
            <w:pPr>
              <w:rPr>
                <w:rFonts w:cs="宋体" w:asciiTheme="majorEastAsia" w:hAnsiTheme="majorEastAsia" w:eastAsiaTheme="majorEastAsia"/>
                <w:color w:val="auto"/>
                <w:sz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BE6D45">
            <w:pPr>
              <w:rPr>
                <w:rFonts w:cs="宋体" w:asciiTheme="majorEastAsia" w:hAnsiTheme="majorEastAsia" w:eastAsiaTheme="majorEastAsia"/>
                <w:color w:val="auto"/>
                <w:sz w:val="22"/>
                <w:highlight w:val="none"/>
              </w:rPr>
            </w:pPr>
          </w:p>
        </w:tc>
        <w:tc>
          <w:tcPr>
            <w:tcW w:w="14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50D990">
            <w:pPr>
              <w:rPr>
                <w:rFonts w:cs="宋体" w:asciiTheme="majorEastAsia" w:hAnsiTheme="majorEastAsia" w:eastAsiaTheme="majorEastAsia"/>
                <w:color w:val="auto"/>
                <w:sz w:val="22"/>
                <w:highlight w:val="none"/>
              </w:rPr>
            </w:pPr>
          </w:p>
        </w:tc>
        <w:tc>
          <w:tcPr>
            <w:tcW w:w="15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13F3A1">
            <w:pPr>
              <w:jc w:val="center"/>
              <w:rPr>
                <w:rFonts w:cs="宋体" w:asciiTheme="majorEastAsia" w:hAnsiTheme="majorEastAsia" w:eastAsiaTheme="majorEastAsia"/>
                <w:color w:val="auto"/>
                <w:sz w:val="22"/>
                <w:highlight w:val="none"/>
              </w:rPr>
            </w:pPr>
          </w:p>
        </w:tc>
        <w:tc>
          <w:tcPr>
            <w:tcW w:w="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9ACE07">
            <w:pPr>
              <w:rPr>
                <w:rFonts w:cs="宋体" w:asciiTheme="majorEastAsia" w:hAnsiTheme="majorEastAsia" w:eastAsiaTheme="majorEastAsia"/>
                <w:color w:val="auto"/>
                <w:sz w:val="22"/>
                <w:highlight w:val="none"/>
              </w:rPr>
            </w:pPr>
          </w:p>
        </w:tc>
      </w:tr>
      <w:tr w14:paraId="0B093AC3">
        <w:tblPrEx>
          <w:tblCellMar>
            <w:top w:w="0" w:type="dxa"/>
            <w:left w:w="10" w:type="dxa"/>
            <w:bottom w:w="0" w:type="dxa"/>
            <w:right w:w="10" w:type="dxa"/>
          </w:tblCellMar>
        </w:tblPrEx>
        <w:trPr>
          <w:trHeight w:val="495" w:hRule="atLeast"/>
        </w:trPr>
        <w:tc>
          <w:tcPr>
            <w:tcW w:w="11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F4E644">
            <w:pPr>
              <w:rPr>
                <w:rFonts w:cs="宋体" w:asciiTheme="majorEastAsia" w:hAnsiTheme="majorEastAsia" w:eastAsiaTheme="majorEastAsia"/>
                <w:color w:val="auto"/>
                <w:sz w:val="22"/>
                <w:highlight w:val="none"/>
              </w:rPr>
            </w:pPr>
          </w:p>
        </w:tc>
        <w:tc>
          <w:tcPr>
            <w:tcW w:w="11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D8834A">
            <w:pPr>
              <w:rPr>
                <w:rFonts w:cs="宋体" w:asciiTheme="majorEastAsia" w:hAnsiTheme="majorEastAsia" w:eastAsiaTheme="majorEastAsia"/>
                <w:color w:val="auto"/>
                <w:sz w:val="22"/>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3B51E3">
            <w:pPr>
              <w:rPr>
                <w:rFonts w:cs="宋体" w:asciiTheme="majorEastAsia" w:hAnsiTheme="majorEastAsia" w:eastAsiaTheme="majorEastAsia"/>
                <w:color w:val="auto"/>
                <w:sz w:val="22"/>
                <w:highlight w:val="none"/>
              </w:rPr>
            </w:pPr>
          </w:p>
        </w:tc>
        <w:tc>
          <w:tcPr>
            <w:tcW w:w="11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D02104">
            <w:pPr>
              <w:rPr>
                <w:rFonts w:cs="宋体" w:asciiTheme="majorEastAsia" w:hAnsiTheme="majorEastAsia" w:eastAsiaTheme="majorEastAsia"/>
                <w:color w:val="auto"/>
                <w:sz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5E4072">
            <w:pPr>
              <w:rPr>
                <w:rFonts w:cs="宋体" w:asciiTheme="majorEastAsia" w:hAnsiTheme="majorEastAsia" w:eastAsiaTheme="majorEastAsia"/>
                <w:color w:val="auto"/>
                <w:sz w:val="22"/>
                <w:highlight w:val="none"/>
              </w:rPr>
            </w:pPr>
          </w:p>
        </w:tc>
        <w:tc>
          <w:tcPr>
            <w:tcW w:w="14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A90D27">
            <w:pPr>
              <w:rPr>
                <w:rFonts w:cs="宋体" w:asciiTheme="majorEastAsia" w:hAnsiTheme="majorEastAsia" w:eastAsiaTheme="majorEastAsia"/>
                <w:color w:val="auto"/>
                <w:sz w:val="22"/>
                <w:highlight w:val="none"/>
              </w:rPr>
            </w:pPr>
          </w:p>
        </w:tc>
        <w:tc>
          <w:tcPr>
            <w:tcW w:w="15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0D15A3">
            <w:pPr>
              <w:jc w:val="center"/>
              <w:rPr>
                <w:rFonts w:cs="宋体" w:asciiTheme="majorEastAsia" w:hAnsiTheme="majorEastAsia" w:eastAsiaTheme="majorEastAsia"/>
                <w:color w:val="auto"/>
                <w:sz w:val="22"/>
                <w:highlight w:val="none"/>
              </w:rPr>
            </w:pPr>
          </w:p>
        </w:tc>
        <w:tc>
          <w:tcPr>
            <w:tcW w:w="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6BA47F">
            <w:pPr>
              <w:rPr>
                <w:rFonts w:cs="宋体" w:asciiTheme="majorEastAsia" w:hAnsiTheme="majorEastAsia" w:eastAsiaTheme="majorEastAsia"/>
                <w:color w:val="auto"/>
                <w:sz w:val="22"/>
                <w:highlight w:val="none"/>
              </w:rPr>
            </w:pPr>
          </w:p>
        </w:tc>
      </w:tr>
      <w:tr w14:paraId="486CE6B4">
        <w:tblPrEx>
          <w:tblCellMar>
            <w:top w:w="0" w:type="dxa"/>
            <w:left w:w="10" w:type="dxa"/>
            <w:bottom w:w="0" w:type="dxa"/>
            <w:right w:w="10" w:type="dxa"/>
          </w:tblCellMar>
        </w:tblPrEx>
        <w:trPr>
          <w:trHeight w:val="520" w:hRule="atLeast"/>
        </w:trPr>
        <w:tc>
          <w:tcPr>
            <w:tcW w:w="11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51C480">
            <w:pPr>
              <w:rPr>
                <w:rFonts w:cs="宋体" w:asciiTheme="majorEastAsia" w:hAnsiTheme="majorEastAsia" w:eastAsiaTheme="majorEastAsia"/>
                <w:color w:val="auto"/>
                <w:sz w:val="22"/>
                <w:highlight w:val="none"/>
              </w:rPr>
            </w:pPr>
          </w:p>
        </w:tc>
        <w:tc>
          <w:tcPr>
            <w:tcW w:w="11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D86486">
            <w:pPr>
              <w:rPr>
                <w:rFonts w:cs="宋体" w:asciiTheme="majorEastAsia" w:hAnsiTheme="majorEastAsia" w:eastAsiaTheme="majorEastAsia"/>
                <w:color w:val="auto"/>
                <w:sz w:val="22"/>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437F00">
            <w:pPr>
              <w:rPr>
                <w:rFonts w:cs="宋体" w:asciiTheme="majorEastAsia" w:hAnsiTheme="majorEastAsia" w:eastAsiaTheme="majorEastAsia"/>
                <w:color w:val="auto"/>
                <w:sz w:val="22"/>
                <w:highlight w:val="none"/>
              </w:rPr>
            </w:pPr>
          </w:p>
        </w:tc>
        <w:tc>
          <w:tcPr>
            <w:tcW w:w="11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2F4A07">
            <w:pPr>
              <w:rPr>
                <w:rFonts w:cs="宋体" w:asciiTheme="majorEastAsia" w:hAnsiTheme="majorEastAsia" w:eastAsiaTheme="majorEastAsia"/>
                <w:color w:val="auto"/>
                <w:sz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0A8D7F">
            <w:pPr>
              <w:rPr>
                <w:rFonts w:cs="宋体" w:asciiTheme="majorEastAsia" w:hAnsiTheme="majorEastAsia" w:eastAsiaTheme="majorEastAsia"/>
                <w:color w:val="auto"/>
                <w:sz w:val="22"/>
                <w:highlight w:val="none"/>
              </w:rPr>
            </w:pPr>
          </w:p>
        </w:tc>
        <w:tc>
          <w:tcPr>
            <w:tcW w:w="14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10CAC3">
            <w:pPr>
              <w:rPr>
                <w:rFonts w:cs="宋体" w:asciiTheme="majorEastAsia" w:hAnsiTheme="majorEastAsia" w:eastAsiaTheme="majorEastAsia"/>
                <w:color w:val="auto"/>
                <w:sz w:val="22"/>
                <w:highlight w:val="none"/>
              </w:rPr>
            </w:pPr>
          </w:p>
        </w:tc>
        <w:tc>
          <w:tcPr>
            <w:tcW w:w="15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CE82CC">
            <w:pPr>
              <w:jc w:val="center"/>
              <w:rPr>
                <w:rFonts w:cs="宋体" w:asciiTheme="majorEastAsia" w:hAnsiTheme="majorEastAsia" w:eastAsiaTheme="majorEastAsia"/>
                <w:color w:val="auto"/>
                <w:sz w:val="22"/>
                <w:highlight w:val="none"/>
              </w:rPr>
            </w:pPr>
          </w:p>
        </w:tc>
        <w:tc>
          <w:tcPr>
            <w:tcW w:w="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A3C370">
            <w:pPr>
              <w:rPr>
                <w:rFonts w:cs="宋体" w:asciiTheme="majorEastAsia" w:hAnsiTheme="majorEastAsia" w:eastAsiaTheme="majorEastAsia"/>
                <w:color w:val="auto"/>
                <w:sz w:val="22"/>
                <w:highlight w:val="none"/>
              </w:rPr>
            </w:pPr>
          </w:p>
        </w:tc>
      </w:tr>
      <w:tr w14:paraId="456FC9F9">
        <w:tblPrEx>
          <w:tblCellMar>
            <w:top w:w="0" w:type="dxa"/>
            <w:left w:w="10" w:type="dxa"/>
            <w:bottom w:w="0" w:type="dxa"/>
            <w:right w:w="10" w:type="dxa"/>
          </w:tblCellMar>
        </w:tblPrEx>
        <w:trPr>
          <w:trHeight w:val="495" w:hRule="atLeast"/>
        </w:trPr>
        <w:tc>
          <w:tcPr>
            <w:tcW w:w="11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0E6676">
            <w:pPr>
              <w:rPr>
                <w:rFonts w:cs="宋体" w:asciiTheme="majorEastAsia" w:hAnsiTheme="majorEastAsia" w:eastAsiaTheme="majorEastAsia"/>
                <w:color w:val="auto"/>
                <w:sz w:val="22"/>
                <w:highlight w:val="none"/>
              </w:rPr>
            </w:pPr>
          </w:p>
        </w:tc>
        <w:tc>
          <w:tcPr>
            <w:tcW w:w="11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59DD45">
            <w:pPr>
              <w:rPr>
                <w:rFonts w:cs="宋体" w:asciiTheme="majorEastAsia" w:hAnsiTheme="majorEastAsia" w:eastAsiaTheme="majorEastAsia"/>
                <w:color w:val="auto"/>
                <w:sz w:val="22"/>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54BE59">
            <w:pPr>
              <w:rPr>
                <w:rFonts w:cs="宋体" w:asciiTheme="majorEastAsia" w:hAnsiTheme="majorEastAsia" w:eastAsiaTheme="majorEastAsia"/>
                <w:color w:val="auto"/>
                <w:sz w:val="22"/>
                <w:highlight w:val="none"/>
              </w:rPr>
            </w:pPr>
          </w:p>
        </w:tc>
        <w:tc>
          <w:tcPr>
            <w:tcW w:w="11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D6798E">
            <w:pPr>
              <w:rPr>
                <w:rFonts w:cs="宋体" w:asciiTheme="majorEastAsia" w:hAnsiTheme="majorEastAsia" w:eastAsiaTheme="majorEastAsia"/>
                <w:color w:val="auto"/>
                <w:sz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2F3191">
            <w:pPr>
              <w:rPr>
                <w:rFonts w:cs="宋体" w:asciiTheme="majorEastAsia" w:hAnsiTheme="majorEastAsia" w:eastAsiaTheme="majorEastAsia"/>
                <w:color w:val="auto"/>
                <w:sz w:val="22"/>
                <w:highlight w:val="none"/>
              </w:rPr>
            </w:pPr>
          </w:p>
        </w:tc>
        <w:tc>
          <w:tcPr>
            <w:tcW w:w="14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45EA4A">
            <w:pPr>
              <w:rPr>
                <w:rFonts w:cs="宋体" w:asciiTheme="majorEastAsia" w:hAnsiTheme="majorEastAsia" w:eastAsiaTheme="majorEastAsia"/>
                <w:color w:val="auto"/>
                <w:sz w:val="22"/>
                <w:highlight w:val="none"/>
              </w:rPr>
            </w:pPr>
          </w:p>
        </w:tc>
        <w:tc>
          <w:tcPr>
            <w:tcW w:w="15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048831">
            <w:pPr>
              <w:jc w:val="center"/>
              <w:rPr>
                <w:rFonts w:cs="宋体" w:asciiTheme="majorEastAsia" w:hAnsiTheme="majorEastAsia" w:eastAsiaTheme="majorEastAsia"/>
                <w:color w:val="auto"/>
                <w:sz w:val="22"/>
                <w:highlight w:val="none"/>
              </w:rPr>
            </w:pPr>
          </w:p>
        </w:tc>
        <w:tc>
          <w:tcPr>
            <w:tcW w:w="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E888CF">
            <w:pPr>
              <w:rPr>
                <w:rFonts w:cs="宋体" w:asciiTheme="majorEastAsia" w:hAnsiTheme="majorEastAsia" w:eastAsiaTheme="majorEastAsia"/>
                <w:color w:val="auto"/>
                <w:sz w:val="22"/>
                <w:highlight w:val="none"/>
              </w:rPr>
            </w:pPr>
          </w:p>
        </w:tc>
      </w:tr>
      <w:tr w14:paraId="7923F33A">
        <w:tblPrEx>
          <w:tblCellMar>
            <w:top w:w="0" w:type="dxa"/>
            <w:left w:w="10" w:type="dxa"/>
            <w:bottom w:w="0" w:type="dxa"/>
            <w:right w:w="10" w:type="dxa"/>
          </w:tblCellMar>
        </w:tblPrEx>
        <w:trPr>
          <w:trHeight w:val="495" w:hRule="atLeast"/>
        </w:trPr>
        <w:tc>
          <w:tcPr>
            <w:tcW w:w="11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14699B">
            <w:pPr>
              <w:rPr>
                <w:rFonts w:cs="宋体" w:asciiTheme="majorEastAsia" w:hAnsiTheme="majorEastAsia" w:eastAsiaTheme="majorEastAsia"/>
                <w:color w:val="auto"/>
                <w:sz w:val="22"/>
                <w:highlight w:val="none"/>
              </w:rPr>
            </w:pPr>
          </w:p>
        </w:tc>
        <w:tc>
          <w:tcPr>
            <w:tcW w:w="11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90FC10">
            <w:pPr>
              <w:rPr>
                <w:rFonts w:cs="宋体" w:asciiTheme="majorEastAsia" w:hAnsiTheme="majorEastAsia" w:eastAsiaTheme="majorEastAsia"/>
                <w:color w:val="auto"/>
                <w:sz w:val="22"/>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B6E299">
            <w:pPr>
              <w:rPr>
                <w:rFonts w:cs="宋体" w:asciiTheme="majorEastAsia" w:hAnsiTheme="majorEastAsia" w:eastAsiaTheme="majorEastAsia"/>
                <w:color w:val="auto"/>
                <w:sz w:val="22"/>
                <w:highlight w:val="none"/>
              </w:rPr>
            </w:pPr>
          </w:p>
        </w:tc>
        <w:tc>
          <w:tcPr>
            <w:tcW w:w="11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15F6FB">
            <w:pPr>
              <w:rPr>
                <w:rFonts w:cs="宋体" w:asciiTheme="majorEastAsia" w:hAnsiTheme="majorEastAsia" w:eastAsiaTheme="majorEastAsia"/>
                <w:color w:val="auto"/>
                <w:sz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00781A">
            <w:pPr>
              <w:rPr>
                <w:rFonts w:cs="宋体" w:asciiTheme="majorEastAsia" w:hAnsiTheme="majorEastAsia" w:eastAsiaTheme="majorEastAsia"/>
                <w:color w:val="auto"/>
                <w:sz w:val="22"/>
                <w:highlight w:val="none"/>
              </w:rPr>
            </w:pPr>
          </w:p>
        </w:tc>
        <w:tc>
          <w:tcPr>
            <w:tcW w:w="14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81CBC7">
            <w:pPr>
              <w:rPr>
                <w:rFonts w:cs="宋体" w:asciiTheme="majorEastAsia" w:hAnsiTheme="majorEastAsia" w:eastAsiaTheme="majorEastAsia"/>
                <w:color w:val="auto"/>
                <w:sz w:val="22"/>
                <w:highlight w:val="none"/>
              </w:rPr>
            </w:pPr>
          </w:p>
        </w:tc>
        <w:tc>
          <w:tcPr>
            <w:tcW w:w="15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E23FDC">
            <w:pPr>
              <w:jc w:val="center"/>
              <w:rPr>
                <w:rFonts w:cs="宋体" w:asciiTheme="majorEastAsia" w:hAnsiTheme="majorEastAsia" w:eastAsiaTheme="majorEastAsia"/>
                <w:color w:val="auto"/>
                <w:sz w:val="22"/>
                <w:highlight w:val="none"/>
              </w:rPr>
            </w:pPr>
          </w:p>
        </w:tc>
        <w:tc>
          <w:tcPr>
            <w:tcW w:w="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88F61F">
            <w:pPr>
              <w:rPr>
                <w:rFonts w:cs="宋体" w:asciiTheme="majorEastAsia" w:hAnsiTheme="majorEastAsia" w:eastAsiaTheme="majorEastAsia"/>
                <w:color w:val="auto"/>
                <w:sz w:val="22"/>
                <w:highlight w:val="none"/>
              </w:rPr>
            </w:pPr>
          </w:p>
        </w:tc>
      </w:tr>
      <w:tr w14:paraId="444A1FF6">
        <w:tblPrEx>
          <w:tblCellMar>
            <w:top w:w="0" w:type="dxa"/>
            <w:left w:w="10" w:type="dxa"/>
            <w:bottom w:w="0" w:type="dxa"/>
            <w:right w:w="10" w:type="dxa"/>
          </w:tblCellMar>
        </w:tblPrEx>
        <w:trPr>
          <w:trHeight w:val="520" w:hRule="atLeast"/>
        </w:trPr>
        <w:tc>
          <w:tcPr>
            <w:tcW w:w="11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7D74DB">
            <w:pPr>
              <w:rPr>
                <w:rFonts w:cs="宋体" w:asciiTheme="majorEastAsia" w:hAnsiTheme="majorEastAsia" w:eastAsiaTheme="majorEastAsia"/>
                <w:color w:val="auto"/>
                <w:sz w:val="22"/>
                <w:highlight w:val="none"/>
              </w:rPr>
            </w:pPr>
          </w:p>
        </w:tc>
        <w:tc>
          <w:tcPr>
            <w:tcW w:w="11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666D1B">
            <w:pPr>
              <w:rPr>
                <w:rFonts w:cs="宋体" w:asciiTheme="majorEastAsia" w:hAnsiTheme="majorEastAsia" w:eastAsiaTheme="majorEastAsia"/>
                <w:color w:val="auto"/>
                <w:sz w:val="22"/>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C5CF14">
            <w:pPr>
              <w:rPr>
                <w:rFonts w:cs="宋体" w:asciiTheme="majorEastAsia" w:hAnsiTheme="majorEastAsia" w:eastAsiaTheme="majorEastAsia"/>
                <w:color w:val="auto"/>
                <w:sz w:val="22"/>
                <w:highlight w:val="none"/>
              </w:rPr>
            </w:pPr>
          </w:p>
        </w:tc>
        <w:tc>
          <w:tcPr>
            <w:tcW w:w="11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413495">
            <w:pPr>
              <w:rPr>
                <w:rFonts w:cs="宋体" w:asciiTheme="majorEastAsia" w:hAnsiTheme="majorEastAsia" w:eastAsiaTheme="majorEastAsia"/>
                <w:color w:val="auto"/>
                <w:sz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0C66D7">
            <w:pPr>
              <w:rPr>
                <w:rFonts w:cs="宋体" w:asciiTheme="majorEastAsia" w:hAnsiTheme="majorEastAsia" w:eastAsiaTheme="majorEastAsia"/>
                <w:color w:val="auto"/>
                <w:sz w:val="22"/>
                <w:highlight w:val="none"/>
              </w:rPr>
            </w:pPr>
          </w:p>
        </w:tc>
        <w:tc>
          <w:tcPr>
            <w:tcW w:w="14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8A4F5D">
            <w:pPr>
              <w:rPr>
                <w:rFonts w:cs="宋体" w:asciiTheme="majorEastAsia" w:hAnsiTheme="majorEastAsia" w:eastAsiaTheme="majorEastAsia"/>
                <w:color w:val="auto"/>
                <w:sz w:val="22"/>
                <w:highlight w:val="none"/>
              </w:rPr>
            </w:pPr>
          </w:p>
        </w:tc>
        <w:tc>
          <w:tcPr>
            <w:tcW w:w="15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7AFC8C">
            <w:pPr>
              <w:jc w:val="center"/>
              <w:rPr>
                <w:rFonts w:cs="宋体" w:asciiTheme="majorEastAsia" w:hAnsiTheme="majorEastAsia" w:eastAsiaTheme="majorEastAsia"/>
                <w:color w:val="auto"/>
                <w:sz w:val="22"/>
                <w:highlight w:val="none"/>
              </w:rPr>
            </w:pPr>
          </w:p>
        </w:tc>
        <w:tc>
          <w:tcPr>
            <w:tcW w:w="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576FF8">
            <w:pPr>
              <w:rPr>
                <w:rFonts w:cs="宋体" w:asciiTheme="majorEastAsia" w:hAnsiTheme="majorEastAsia" w:eastAsiaTheme="majorEastAsia"/>
                <w:color w:val="auto"/>
                <w:sz w:val="22"/>
                <w:highlight w:val="none"/>
              </w:rPr>
            </w:pPr>
          </w:p>
        </w:tc>
      </w:tr>
      <w:tr w14:paraId="29B77F01">
        <w:tblPrEx>
          <w:tblCellMar>
            <w:top w:w="0" w:type="dxa"/>
            <w:left w:w="10" w:type="dxa"/>
            <w:bottom w:w="0" w:type="dxa"/>
            <w:right w:w="10" w:type="dxa"/>
          </w:tblCellMar>
        </w:tblPrEx>
        <w:trPr>
          <w:trHeight w:val="495" w:hRule="atLeast"/>
        </w:trPr>
        <w:tc>
          <w:tcPr>
            <w:tcW w:w="11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58C4BC">
            <w:pPr>
              <w:rPr>
                <w:rFonts w:cs="宋体" w:asciiTheme="majorEastAsia" w:hAnsiTheme="majorEastAsia" w:eastAsiaTheme="majorEastAsia"/>
                <w:color w:val="auto"/>
                <w:sz w:val="22"/>
                <w:highlight w:val="none"/>
              </w:rPr>
            </w:pPr>
          </w:p>
        </w:tc>
        <w:tc>
          <w:tcPr>
            <w:tcW w:w="11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6ABDFB">
            <w:pPr>
              <w:rPr>
                <w:rFonts w:cs="宋体" w:asciiTheme="majorEastAsia" w:hAnsiTheme="majorEastAsia" w:eastAsiaTheme="majorEastAsia"/>
                <w:color w:val="auto"/>
                <w:sz w:val="22"/>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18DB61">
            <w:pPr>
              <w:rPr>
                <w:rFonts w:cs="宋体" w:asciiTheme="majorEastAsia" w:hAnsiTheme="majorEastAsia" w:eastAsiaTheme="majorEastAsia"/>
                <w:color w:val="auto"/>
                <w:sz w:val="22"/>
                <w:highlight w:val="none"/>
              </w:rPr>
            </w:pPr>
          </w:p>
        </w:tc>
        <w:tc>
          <w:tcPr>
            <w:tcW w:w="11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EDA03A">
            <w:pPr>
              <w:rPr>
                <w:rFonts w:cs="宋体" w:asciiTheme="majorEastAsia" w:hAnsiTheme="majorEastAsia" w:eastAsiaTheme="majorEastAsia"/>
                <w:color w:val="auto"/>
                <w:sz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838E3C">
            <w:pPr>
              <w:rPr>
                <w:rFonts w:cs="宋体" w:asciiTheme="majorEastAsia" w:hAnsiTheme="majorEastAsia" w:eastAsiaTheme="majorEastAsia"/>
                <w:color w:val="auto"/>
                <w:sz w:val="22"/>
                <w:highlight w:val="none"/>
              </w:rPr>
            </w:pPr>
          </w:p>
        </w:tc>
        <w:tc>
          <w:tcPr>
            <w:tcW w:w="14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7D2447">
            <w:pPr>
              <w:rPr>
                <w:rFonts w:cs="宋体" w:asciiTheme="majorEastAsia" w:hAnsiTheme="majorEastAsia" w:eastAsiaTheme="majorEastAsia"/>
                <w:color w:val="auto"/>
                <w:sz w:val="22"/>
                <w:highlight w:val="none"/>
              </w:rPr>
            </w:pPr>
          </w:p>
        </w:tc>
        <w:tc>
          <w:tcPr>
            <w:tcW w:w="15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F89FB6">
            <w:pPr>
              <w:jc w:val="center"/>
              <w:rPr>
                <w:rFonts w:cs="宋体" w:asciiTheme="majorEastAsia" w:hAnsiTheme="majorEastAsia" w:eastAsiaTheme="majorEastAsia"/>
                <w:color w:val="auto"/>
                <w:sz w:val="22"/>
                <w:highlight w:val="none"/>
              </w:rPr>
            </w:pPr>
          </w:p>
        </w:tc>
        <w:tc>
          <w:tcPr>
            <w:tcW w:w="8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7590E3">
            <w:pPr>
              <w:rPr>
                <w:rFonts w:cs="宋体" w:asciiTheme="majorEastAsia" w:hAnsiTheme="majorEastAsia" w:eastAsiaTheme="majorEastAsia"/>
                <w:color w:val="auto"/>
                <w:sz w:val="22"/>
                <w:highlight w:val="none"/>
              </w:rPr>
            </w:pPr>
          </w:p>
        </w:tc>
      </w:tr>
    </w:tbl>
    <w:p w14:paraId="60A2579C">
      <w:pPr>
        <w:spacing w:line="480" w:lineRule="auto"/>
        <w:rPr>
          <w:rFonts w:cs="宋体" w:asciiTheme="majorEastAsia" w:hAnsiTheme="majorEastAsia" w:eastAsiaTheme="majorEastAsia"/>
          <w:color w:val="auto"/>
          <w:sz w:val="24"/>
          <w:highlight w:val="none"/>
        </w:rPr>
      </w:pPr>
    </w:p>
    <w:p w14:paraId="1C479D1A">
      <w:pPr>
        <w:spacing w:line="480" w:lineRule="auto"/>
        <w:rPr>
          <w:rFonts w:cs="宋体" w:asciiTheme="majorEastAsia" w:hAnsiTheme="majorEastAsia" w:eastAsiaTheme="majorEastAsia"/>
          <w:color w:val="auto"/>
          <w:sz w:val="24"/>
          <w:highlight w:val="none"/>
        </w:rPr>
      </w:pPr>
    </w:p>
    <w:p w14:paraId="7137919B">
      <w:pPr>
        <w:spacing w:line="480" w:lineRule="auto"/>
        <w:rPr>
          <w:rFonts w:cs="宋体" w:asciiTheme="majorEastAsia" w:hAnsiTheme="majorEastAsia" w:eastAsiaTheme="majorEastAsia"/>
          <w:color w:val="auto"/>
          <w:sz w:val="24"/>
          <w:highlight w:val="none"/>
        </w:rPr>
      </w:pPr>
    </w:p>
    <w:p w14:paraId="6154AACF">
      <w:pPr>
        <w:spacing w:line="480" w:lineRule="auto"/>
        <w:rPr>
          <w:rFonts w:cs="宋体" w:asciiTheme="majorEastAsia" w:hAnsiTheme="majorEastAsia" w:eastAsiaTheme="majorEastAsia"/>
          <w:color w:val="auto"/>
          <w:sz w:val="24"/>
          <w:highlight w:val="none"/>
        </w:rPr>
      </w:pPr>
    </w:p>
    <w:p w14:paraId="4F59D537">
      <w:pPr>
        <w:spacing w:line="480" w:lineRule="auto"/>
        <w:rPr>
          <w:rFonts w:cs="宋体" w:asciiTheme="majorEastAsia" w:hAnsiTheme="majorEastAsia" w:eastAsiaTheme="majorEastAsia"/>
          <w:b/>
          <w:color w:val="auto"/>
          <w:sz w:val="24"/>
          <w:highlight w:val="none"/>
        </w:rPr>
      </w:pPr>
    </w:p>
    <w:p w14:paraId="6031107E">
      <w:pPr>
        <w:spacing w:line="480" w:lineRule="auto"/>
        <w:rPr>
          <w:rFonts w:cs="宋体" w:asciiTheme="majorEastAsia" w:hAnsiTheme="majorEastAsia" w:eastAsiaTheme="majorEastAsia"/>
          <w:b/>
          <w:color w:val="auto"/>
          <w:sz w:val="24"/>
          <w:highlight w:val="none"/>
        </w:rPr>
      </w:pPr>
    </w:p>
    <w:p w14:paraId="34E9BCF9">
      <w:pPr>
        <w:spacing w:line="480" w:lineRule="auto"/>
        <w:rPr>
          <w:rFonts w:cs="宋体" w:asciiTheme="majorEastAsia" w:hAnsiTheme="majorEastAsia" w:eastAsiaTheme="majorEastAsia"/>
          <w:b/>
          <w:color w:val="auto"/>
          <w:sz w:val="24"/>
          <w:highlight w:val="none"/>
        </w:rPr>
      </w:pPr>
      <w:r>
        <w:rPr>
          <w:rFonts w:cs="宋体" w:asciiTheme="majorEastAsia" w:hAnsiTheme="majorEastAsia" w:eastAsiaTheme="majorEastAsia"/>
          <w:b/>
          <w:color w:val="auto"/>
          <w:sz w:val="24"/>
          <w:highlight w:val="none"/>
        </w:rPr>
        <w:br w:type="page"/>
      </w:r>
      <w:r>
        <w:rPr>
          <w:rFonts w:hint="eastAsia" w:cs="宋体" w:asciiTheme="majorEastAsia" w:hAnsiTheme="majorEastAsia" w:eastAsiaTheme="majorEastAsia"/>
          <w:b/>
          <w:color w:val="auto"/>
          <w:sz w:val="24"/>
          <w:highlight w:val="none"/>
        </w:rPr>
        <w:t>（二）主要人员简历表　　　　</w:t>
      </w:r>
    </w:p>
    <w:p w14:paraId="642AD224">
      <w:pPr>
        <w:spacing w:line="480" w:lineRule="auto"/>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　　</w:t>
      </w:r>
    </w:p>
    <w:tbl>
      <w:tblPr>
        <w:tblStyle w:val="20"/>
        <w:tblW w:w="0" w:type="auto"/>
        <w:tblInd w:w="-8" w:type="dxa"/>
        <w:tblLayout w:type="autofit"/>
        <w:tblCellMar>
          <w:top w:w="0" w:type="dxa"/>
          <w:left w:w="10" w:type="dxa"/>
          <w:bottom w:w="0" w:type="dxa"/>
          <w:right w:w="10" w:type="dxa"/>
        </w:tblCellMar>
      </w:tblPr>
      <w:tblGrid>
        <w:gridCol w:w="1648"/>
        <w:gridCol w:w="248"/>
        <w:gridCol w:w="1095"/>
        <w:gridCol w:w="1416"/>
        <w:gridCol w:w="1339"/>
        <w:gridCol w:w="496"/>
        <w:gridCol w:w="1704"/>
        <w:gridCol w:w="475"/>
        <w:gridCol w:w="1186"/>
      </w:tblGrid>
      <w:tr w14:paraId="0A133086">
        <w:tblPrEx>
          <w:tblCellMar>
            <w:top w:w="0" w:type="dxa"/>
            <w:left w:w="10" w:type="dxa"/>
            <w:bottom w:w="0" w:type="dxa"/>
            <w:right w:w="10" w:type="dxa"/>
          </w:tblCellMar>
        </w:tblPrEx>
        <w:trPr>
          <w:trHeight w:val="534" w:hRule="atLeast"/>
        </w:trPr>
        <w:tc>
          <w:tcPr>
            <w:tcW w:w="16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41FC23">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姓名</w:t>
            </w:r>
          </w:p>
        </w:tc>
        <w:tc>
          <w:tcPr>
            <w:tcW w:w="134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90E415">
            <w:pPr>
              <w:jc w:val="center"/>
              <w:rPr>
                <w:rFonts w:cs="宋体" w:asciiTheme="majorEastAsia" w:hAnsiTheme="majorEastAsia" w:eastAsiaTheme="majorEastAsia"/>
                <w:color w:val="auto"/>
                <w:sz w:val="22"/>
                <w:highlight w:val="none"/>
              </w:rPr>
            </w:pPr>
          </w:p>
        </w:tc>
        <w:tc>
          <w:tcPr>
            <w:tcW w:w="14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329819">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年龄</w:t>
            </w:r>
          </w:p>
        </w:tc>
        <w:tc>
          <w:tcPr>
            <w:tcW w:w="13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F3D430">
            <w:pPr>
              <w:jc w:val="center"/>
              <w:rPr>
                <w:rFonts w:cs="宋体" w:asciiTheme="majorEastAsia" w:hAnsiTheme="majorEastAsia" w:eastAsiaTheme="majorEastAsia"/>
                <w:color w:val="auto"/>
                <w:sz w:val="22"/>
                <w:highlight w:val="none"/>
              </w:rPr>
            </w:pPr>
          </w:p>
        </w:tc>
        <w:tc>
          <w:tcPr>
            <w:tcW w:w="267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972334">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学历</w:t>
            </w:r>
          </w:p>
        </w:tc>
        <w:tc>
          <w:tcPr>
            <w:tcW w:w="11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C932A3">
            <w:pPr>
              <w:jc w:val="center"/>
              <w:rPr>
                <w:rFonts w:cs="宋体" w:asciiTheme="majorEastAsia" w:hAnsiTheme="majorEastAsia" w:eastAsiaTheme="majorEastAsia"/>
                <w:color w:val="auto"/>
                <w:sz w:val="22"/>
                <w:highlight w:val="none"/>
              </w:rPr>
            </w:pPr>
          </w:p>
        </w:tc>
      </w:tr>
      <w:tr w14:paraId="2EC4DC34">
        <w:tblPrEx>
          <w:tblCellMar>
            <w:top w:w="0" w:type="dxa"/>
            <w:left w:w="10" w:type="dxa"/>
            <w:bottom w:w="0" w:type="dxa"/>
            <w:right w:w="10" w:type="dxa"/>
          </w:tblCellMar>
        </w:tblPrEx>
        <w:trPr>
          <w:trHeight w:val="508" w:hRule="atLeast"/>
        </w:trPr>
        <w:tc>
          <w:tcPr>
            <w:tcW w:w="16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6C991D">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执业资格</w:t>
            </w:r>
          </w:p>
        </w:tc>
        <w:tc>
          <w:tcPr>
            <w:tcW w:w="4098"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987893">
            <w:pPr>
              <w:jc w:val="center"/>
              <w:rPr>
                <w:rFonts w:cs="宋体" w:asciiTheme="majorEastAsia" w:hAnsiTheme="majorEastAsia" w:eastAsiaTheme="majorEastAsia"/>
                <w:color w:val="auto"/>
                <w:sz w:val="22"/>
                <w:highlight w:val="none"/>
              </w:rPr>
            </w:pPr>
          </w:p>
        </w:tc>
        <w:tc>
          <w:tcPr>
            <w:tcW w:w="267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712F30">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安全生产考核合格证书</w:t>
            </w:r>
          </w:p>
        </w:tc>
        <w:tc>
          <w:tcPr>
            <w:tcW w:w="11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0708BA">
            <w:pPr>
              <w:jc w:val="center"/>
              <w:rPr>
                <w:rFonts w:cs="宋体" w:asciiTheme="majorEastAsia" w:hAnsiTheme="majorEastAsia" w:eastAsiaTheme="majorEastAsia"/>
                <w:color w:val="auto"/>
                <w:sz w:val="22"/>
                <w:highlight w:val="none"/>
              </w:rPr>
            </w:pPr>
          </w:p>
        </w:tc>
      </w:tr>
      <w:tr w14:paraId="13F03EB0">
        <w:tblPrEx>
          <w:tblCellMar>
            <w:top w:w="0" w:type="dxa"/>
            <w:left w:w="10" w:type="dxa"/>
            <w:bottom w:w="0" w:type="dxa"/>
            <w:right w:w="10" w:type="dxa"/>
          </w:tblCellMar>
        </w:tblPrEx>
        <w:trPr>
          <w:trHeight w:val="534" w:hRule="atLeast"/>
        </w:trPr>
        <w:tc>
          <w:tcPr>
            <w:tcW w:w="16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DECB02">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职称</w:t>
            </w:r>
          </w:p>
        </w:tc>
        <w:tc>
          <w:tcPr>
            <w:tcW w:w="134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48E265">
            <w:pPr>
              <w:jc w:val="center"/>
              <w:rPr>
                <w:rFonts w:cs="宋体" w:asciiTheme="majorEastAsia" w:hAnsiTheme="majorEastAsia" w:eastAsiaTheme="majorEastAsia"/>
                <w:color w:val="auto"/>
                <w:sz w:val="22"/>
                <w:highlight w:val="none"/>
              </w:rPr>
            </w:pPr>
          </w:p>
        </w:tc>
        <w:tc>
          <w:tcPr>
            <w:tcW w:w="14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493C18">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职务</w:t>
            </w:r>
          </w:p>
        </w:tc>
        <w:tc>
          <w:tcPr>
            <w:tcW w:w="13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5B61A7">
            <w:pPr>
              <w:jc w:val="center"/>
              <w:rPr>
                <w:rFonts w:cs="宋体" w:asciiTheme="majorEastAsia" w:hAnsiTheme="majorEastAsia" w:eastAsiaTheme="majorEastAsia"/>
                <w:color w:val="auto"/>
                <w:sz w:val="22"/>
                <w:highlight w:val="none"/>
              </w:rPr>
            </w:pPr>
          </w:p>
        </w:tc>
        <w:tc>
          <w:tcPr>
            <w:tcW w:w="267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26B0A5">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拟在本合同任职</w:t>
            </w:r>
          </w:p>
        </w:tc>
        <w:tc>
          <w:tcPr>
            <w:tcW w:w="11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E37A27">
            <w:pPr>
              <w:jc w:val="center"/>
              <w:rPr>
                <w:rFonts w:cs="宋体" w:asciiTheme="majorEastAsia" w:hAnsiTheme="majorEastAsia" w:eastAsiaTheme="majorEastAsia"/>
                <w:color w:val="auto"/>
                <w:sz w:val="22"/>
                <w:highlight w:val="none"/>
              </w:rPr>
            </w:pPr>
          </w:p>
        </w:tc>
      </w:tr>
      <w:tr w14:paraId="1A9EB066">
        <w:tblPrEx>
          <w:tblCellMar>
            <w:top w:w="0" w:type="dxa"/>
            <w:left w:w="10" w:type="dxa"/>
            <w:bottom w:w="0" w:type="dxa"/>
            <w:right w:w="10" w:type="dxa"/>
          </w:tblCellMar>
        </w:tblPrEx>
        <w:trPr>
          <w:trHeight w:val="534" w:hRule="atLeast"/>
        </w:trPr>
        <w:tc>
          <w:tcPr>
            <w:tcW w:w="16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B37B2A">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毕业学校</w:t>
            </w:r>
          </w:p>
        </w:tc>
        <w:tc>
          <w:tcPr>
            <w:tcW w:w="7959" w:type="dxa"/>
            <w:gridSpan w:val="8"/>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48E40B">
            <w:pPr>
              <w:ind w:firstLine="1320"/>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年毕业于学校专业</w:t>
            </w:r>
          </w:p>
        </w:tc>
      </w:tr>
      <w:tr w14:paraId="06B0BC4E">
        <w:tblPrEx>
          <w:tblCellMar>
            <w:top w:w="0" w:type="dxa"/>
            <w:left w:w="10" w:type="dxa"/>
            <w:bottom w:w="0" w:type="dxa"/>
            <w:right w:w="10" w:type="dxa"/>
          </w:tblCellMar>
        </w:tblPrEx>
        <w:trPr>
          <w:trHeight w:val="534" w:hRule="atLeast"/>
        </w:trPr>
        <w:tc>
          <w:tcPr>
            <w:tcW w:w="9607" w:type="dxa"/>
            <w:gridSpan w:val="9"/>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BDF013">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主要施工管理经历</w:t>
            </w:r>
          </w:p>
        </w:tc>
      </w:tr>
      <w:tr w14:paraId="01A57219">
        <w:tblPrEx>
          <w:tblCellMar>
            <w:top w:w="0" w:type="dxa"/>
            <w:left w:w="10" w:type="dxa"/>
            <w:bottom w:w="0" w:type="dxa"/>
            <w:right w:w="10" w:type="dxa"/>
          </w:tblCellMar>
        </w:tblPrEx>
        <w:trPr>
          <w:trHeight w:val="534" w:hRule="atLeast"/>
        </w:trPr>
        <w:tc>
          <w:tcPr>
            <w:tcW w:w="189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BFAEF7">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时间</w:t>
            </w:r>
          </w:p>
        </w:tc>
        <w:tc>
          <w:tcPr>
            <w:tcW w:w="4346"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677C0B">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参加过的类似项目</w:t>
            </w:r>
          </w:p>
        </w:tc>
        <w:tc>
          <w:tcPr>
            <w:tcW w:w="1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648ABB">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担任职务</w:t>
            </w:r>
          </w:p>
        </w:tc>
        <w:tc>
          <w:tcPr>
            <w:tcW w:w="166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6F60EA">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发包人及联系电话</w:t>
            </w:r>
          </w:p>
        </w:tc>
      </w:tr>
      <w:tr w14:paraId="4C1900E4">
        <w:tblPrEx>
          <w:tblCellMar>
            <w:top w:w="0" w:type="dxa"/>
            <w:left w:w="10" w:type="dxa"/>
            <w:bottom w:w="0" w:type="dxa"/>
            <w:right w:w="10" w:type="dxa"/>
          </w:tblCellMar>
        </w:tblPrEx>
        <w:trPr>
          <w:trHeight w:val="534" w:hRule="atLeast"/>
        </w:trPr>
        <w:tc>
          <w:tcPr>
            <w:tcW w:w="189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258E99">
            <w:pPr>
              <w:jc w:val="center"/>
              <w:rPr>
                <w:rFonts w:cs="宋体" w:asciiTheme="majorEastAsia" w:hAnsiTheme="majorEastAsia" w:eastAsiaTheme="majorEastAsia"/>
                <w:color w:val="auto"/>
                <w:sz w:val="22"/>
                <w:highlight w:val="none"/>
              </w:rPr>
            </w:pPr>
          </w:p>
        </w:tc>
        <w:tc>
          <w:tcPr>
            <w:tcW w:w="4346"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FAE275">
            <w:pPr>
              <w:jc w:val="center"/>
              <w:rPr>
                <w:rFonts w:cs="宋体" w:asciiTheme="majorEastAsia" w:hAnsiTheme="majorEastAsia" w:eastAsiaTheme="majorEastAsia"/>
                <w:color w:val="auto"/>
                <w:sz w:val="22"/>
                <w:highlight w:val="none"/>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1A830A">
            <w:pPr>
              <w:jc w:val="center"/>
              <w:rPr>
                <w:rFonts w:cs="宋体" w:asciiTheme="majorEastAsia" w:hAnsiTheme="majorEastAsia" w:eastAsiaTheme="majorEastAsia"/>
                <w:color w:val="auto"/>
                <w:sz w:val="22"/>
                <w:highlight w:val="none"/>
              </w:rPr>
            </w:pPr>
          </w:p>
        </w:tc>
        <w:tc>
          <w:tcPr>
            <w:tcW w:w="166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F5B6D5">
            <w:pPr>
              <w:jc w:val="center"/>
              <w:rPr>
                <w:rFonts w:cs="宋体" w:asciiTheme="majorEastAsia" w:hAnsiTheme="majorEastAsia" w:eastAsiaTheme="majorEastAsia"/>
                <w:color w:val="auto"/>
                <w:sz w:val="22"/>
                <w:highlight w:val="none"/>
              </w:rPr>
            </w:pPr>
          </w:p>
        </w:tc>
      </w:tr>
      <w:tr w14:paraId="3F2A7D17">
        <w:tblPrEx>
          <w:tblCellMar>
            <w:top w:w="0" w:type="dxa"/>
            <w:left w:w="10" w:type="dxa"/>
            <w:bottom w:w="0" w:type="dxa"/>
            <w:right w:w="10" w:type="dxa"/>
          </w:tblCellMar>
        </w:tblPrEx>
        <w:trPr>
          <w:trHeight w:val="534" w:hRule="atLeast"/>
        </w:trPr>
        <w:tc>
          <w:tcPr>
            <w:tcW w:w="189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9E7B76">
            <w:pPr>
              <w:jc w:val="center"/>
              <w:rPr>
                <w:rFonts w:cs="宋体" w:asciiTheme="majorEastAsia" w:hAnsiTheme="majorEastAsia" w:eastAsiaTheme="majorEastAsia"/>
                <w:color w:val="auto"/>
                <w:sz w:val="22"/>
                <w:highlight w:val="none"/>
              </w:rPr>
            </w:pPr>
          </w:p>
        </w:tc>
        <w:tc>
          <w:tcPr>
            <w:tcW w:w="4346"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09F66E">
            <w:pPr>
              <w:jc w:val="center"/>
              <w:rPr>
                <w:rFonts w:cs="宋体" w:asciiTheme="majorEastAsia" w:hAnsiTheme="majorEastAsia" w:eastAsiaTheme="majorEastAsia"/>
                <w:color w:val="auto"/>
                <w:sz w:val="22"/>
                <w:highlight w:val="none"/>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37B9E3">
            <w:pPr>
              <w:jc w:val="center"/>
              <w:rPr>
                <w:rFonts w:cs="宋体" w:asciiTheme="majorEastAsia" w:hAnsiTheme="majorEastAsia" w:eastAsiaTheme="majorEastAsia"/>
                <w:color w:val="auto"/>
                <w:sz w:val="22"/>
                <w:highlight w:val="none"/>
              </w:rPr>
            </w:pPr>
          </w:p>
        </w:tc>
        <w:tc>
          <w:tcPr>
            <w:tcW w:w="166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DE9CB1">
            <w:pPr>
              <w:jc w:val="center"/>
              <w:rPr>
                <w:rFonts w:cs="宋体" w:asciiTheme="majorEastAsia" w:hAnsiTheme="majorEastAsia" w:eastAsiaTheme="majorEastAsia"/>
                <w:color w:val="auto"/>
                <w:sz w:val="22"/>
                <w:highlight w:val="none"/>
              </w:rPr>
            </w:pPr>
          </w:p>
        </w:tc>
      </w:tr>
      <w:tr w14:paraId="0E8EDAB7">
        <w:tblPrEx>
          <w:tblCellMar>
            <w:top w:w="0" w:type="dxa"/>
            <w:left w:w="10" w:type="dxa"/>
            <w:bottom w:w="0" w:type="dxa"/>
            <w:right w:w="10" w:type="dxa"/>
          </w:tblCellMar>
        </w:tblPrEx>
        <w:trPr>
          <w:trHeight w:val="534" w:hRule="atLeast"/>
        </w:trPr>
        <w:tc>
          <w:tcPr>
            <w:tcW w:w="189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850C3C">
            <w:pPr>
              <w:jc w:val="center"/>
              <w:rPr>
                <w:rFonts w:cs="宋体" w:asciiTheme="majorEastAsia" w:hAnsiTheme="majorEastAsia" w:eastAsiaTheme="majorEastAsia"/>
                <w:color w:val="auto"/>
                <w:sz w:val="22"/>
                <w:highlight w:val="none"/>
              </w:rPr>
            </w:pPr>
          </w:p>
        </w:tc>
        <w:tc>
          <w:tcPr>
            <w:tcW w:w="4346"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25F572">
            <w:pPr>
              <w:jc w:val="center"/>
              <w:rPr>
                <w:rFonts w:cs="宋体" w:asciiTheme="majorEastAsia" w:hAnsiTheme="majorEastAsia" w:eastAsiaTheme="majorEastAsia"/>
                <w:color w:val="auto"/>
                <w:sz w:val="22"/>
                <w:highlight w:val="none"/>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755B0A">
            <w:pPr>
              <w:jc w:val="center"/>
              <w:rPr>
                <w:rFonts w:cs="宋体" w:asciiTheme="majorEastAsia" w:hAnsiTheme="majorEastAsia" w:eastAsiaTheme="majorEastAsia"/>
                <w:color w:val="auto"/>
                <w:sz w:val="22"/>
                <w:highlight w:val="none"/>
              </w:rPr>
            </w:pPr>
          </w:p>
        </w:tc>
        <w:tc>
          <w:tcPr>
            <w:tcW w:w="166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CE239C">
            <w:pPr>
              <w:jc w:val="center"/>
              <w:rPr>
                <w:rFonts w:cs="宋体" w:asciiTheme="majorEastAsia" w:hAnsiTheme="majorEastAsia" w:eastAsiaTheme="majorEastAsia"/>
                <w:color w:val="auto"/>
                <w:sz w:val="22"/>
                <w:highlight w:val="none"/>
              </w:rPr>
            </w:pPr>
          </w:p>
        </w:tc>
      </w:tr>
      <w:tr w14:paraId="3E4C4F75">
        <w:tblPrEx>
          <w:tblCellMar>
            <w:top w:w="0" w:type="dxa"/>
            <w:left w:w="10" w:type="dxa"/>
            <w:bottom w:w="0" w:type="dxa"/>
            <w:right w:w="10" w:type="dxa"/>
          </w:tblCellMar>
        </w:tblPrEx>
        <w:trPr>
          <w:trHeight w:val="534" w:hRule="atLeast"/>
        </w:trPr>
        <w:tc>
          <w:tcPr>
            <w:tcW w:w="189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279C56">
            <w:pPr>
              <w:jc w:val="center"/>
              <w:rPr>
                <w:rFonts w:cs="宋体" w:asciiTheme="majorEastAsia" w:hAnsiTheme="majorEastAsia" w:eastAsiaTheme="majorEastAsia"/>
                <w:color w:val="auto"/>
                <w:sz w:val="22"/>
                <w:highlight w:val="none"/>
              </w:rPr>
            </w:pPr>
          </w:p>
        </w:tc>
        <w:tc>
          <w:tcPr>
            <w:tcW w:w="4346"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F8AD49">
            <w:pPr>
              <w:jc w:val="center"/>
              <w:rPr>
                <w:rFonts w:cs="宋体" w:asciiTheme="majorEastAsia" w:hAnsiTheme="majorEastAsia" w:eastAsiaTheme="majorEastAsia"/>
                <w:color w:val="auto"/>
                <w:sz w:val="22"/>
                <w:highlight w:val="none"/>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327827">
            <w:pPr>
              <w:jc w:val="center"/>
              <w:rPr>
                <w:rFonts w:cs="宋体" w:asciiTheme="majorEastAsia" w:hAnsiTheme="majorEastAsia" w:eastAsiaTheme="majorEastAsia"/>
                <w:color w:val="auto"/>
                <w:sz w:val="22"/>
                <w:highlight w:val="none"/>
              </w:rPr>
            </w:pPr>
          </w:p>
        </w:tc>
        <w:tc>
          <w:tcPr>
            <w:tcW w:w="166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EF7050">
            <w:pPr>
              <w:jc w:val="center"/>
              <w:rPr>
                <w:rFonts w:cs="宋体" w:asciiTheme="majorEastAsia" w:hAnsiTheme="majorEastAsia" w:eastAsiaTheme="majorEastAsia"/>
                <w:color w:val="auto"/>
                <w:sz w:val="22"/>
                <w:highlight w:val="none"/>
              </w:rPr>
            </w:pPr>
          </w:p>
        </w:tc>
      </w:tr>
      <w:tr w14:paraId="4D477798">
        <w:tblPrEx>
          <w:tblCellMar>
            <w:top w:w="0" w:type="dxa"/>
            <w:left w:w="10" w:type="dxa"/>
            <w:bottom w:w="0" w:type="dxa"/>
            <w:right w:w="10" w:type="dxa"/>
          </w:tblCellMar>
        </w:tblPrEx>
        <w:trPr>
          <w:trHeight w:val="534" w:hRule="atLeast"/>
        </w:trPr>
        <w:tc>
          <w:tcPr>
            <w:tcW w:w="189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528C16">
            <w:pPr>
              <w:jc w:val="center"/>
              <w:rPr>
                <w:rFonts w:cs="宋体" w:asciiTheme="majorEastAsia" w:hAnsiTheme="majorEastAsia" w:eastAsiaTheme="majorEastAsia"/>
                <w:color w:val="auto"/>
                <w:sz w:val="22"/>
                <w:highlight w:val="none"/>
              </w:rPr>
            </w:pPr>
          </w:p>
        </w:tc>
        <w:tc>
          <w:tcPr>
            <w:tcW w:w="4346"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B0A6EF">
            <w:pPr>
              <w:jc w:val="center"/>
              <w:rPr>
                <w:rFonts w:cs="宋体" w:asciiTheme="majorEastAsia" w:hAnsiTheme="majorEastAsia" w:eastAsiaTheme="majorEastAsia"/>
                <w:color w:val="auto"/>
                <w:sz w:val="22"/>
                <w:highlight w:val="none"/>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5B4776">
            <w:pPr>
              <w:jc w:val="center"/>
              <w:rPr>
                <w:rFonts w:cs="宋体" w:asciiTheme="majorEastAsia" w:hAnsiTheme="majorEastAsia" w:eastAsiaTheme="majorEastAsia"/>
                <w:color w:val="auto"/>
                <w:sz w:val="22"/>
                <w:highlight w:val="none"/>
              </w:rPr>
            </w:pPr>
          </w:p>
        </w:tc>
        <w:tc>
          <w:tcPr>
            <w:tcW w:w="166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18FF17">
            <w:pPr>
              <w:jc w:val="center"/>
              <w:rPr>
                <w:rFonts w:cs="宋体" w:asciiTheme="majorEastAsia" w:hAnsiTheme="majorEastAsia" w:eastAsiaTheme="majorEastAsia"/>
                <w:color w:val="auto"/>
                <w:sz w:val="22"/>
                <w:highlight w:val="none"/>
              </w:rPr>
            </w:pPr>
          </w:p>
        </w:tc>
      </w:tr>
      <w:tr w14:paraId="1492FE23">
        <w:tblPrEx>
          <w:tblCellMar>
            <w:top w:w="0" w:type="dxa"/>
            <w:left w:w="10" w:type="dxa"/>
            <w:bottom w:w="0" w:type="dxa"/>
            <w:right w:w="10" w:type="dxa"/>
          </w:tblCellMar>
        </w:tblPrEx>
        <w:trPr>
          <w:trHeight w:val="534" w:hRule="atLeast"/>
        </w:trPr>
        <w:tc>
          <w:tcPr>
            <w:tcW w:w="189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B6FA0E">
            <w:pPr>
              <w:jc w:val="center"/>
              <w:rPr>
                <w:rFonts w:cs="宋体" w:asciiTheme="majorEastAsia" w:hAnsiTheme="majorEastAsia" w:eastAsiaTheme="majorEastAsia"/>
                <w:color w:val="auto"/>
                <w:sz w:val="22"/>
                <w:highlight w:val="none"/>
              </w:rPr>
            </w:pPr>
          </w:p>
        </w:tc>
        <w:tc>
          <w:tcPr>
            <w:tcW w:w="4346"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16CCCD">
            <w:pPr>
              <w:jc w:val="center"/>
              <w:rPr>
                <w:rFonts w:cs="宋体" w:asciiTheme="majorEastAsia" w:hAnsiTheme="majorEastAsia" w:eastAsiaTheme="majorEastAsia"/>
                <w:color w:val="auto"/>
                <w:sz w:val="22"/>
                <w:highlight w:val="none"/>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A84C9F">
            <w:pPr>
              <w:jc w:val="center"/>
              <w:rPr>
                <w:rFonts w:cs="宋体" w:asciiTheme="majorEastAsia" w:hAnsiTheme="majorEastAsia" w:eastAsiaTheme="majorEastAsia"/>
                <w:color w:val="auto"/>
                <w:sz w:val="22"/>
                <w:highlight w:val="none"/>
              </w:rPr>
            </w:pPr>
          </w:p>
        </w:tc>
        <w:tc>
          <w:tcPr>
            <w:tcW w:w="166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C5F44E">
            <w:pPr>
              <w:jc w:val="center"/>
              <w:rPr>
                <w:rFonts w:cs="宋体" w:asciiTheme="majorEastAsia" w:hAnsiTheme="majorEastAsia" w:eastAsiaTheme="majorEastAsia"/>
                <w:color w:val="auto"/>
                <w:sz w:val="22"/>
                <w:highlight w:val="none"/>
              </w:rPr>
            </w:pPr>
          </w:p>
        </w:tc>
      </w:tr>
      <w:tr w14:paraId="5F08CF5D">
        <w:tblPrEx>
          <w:tblCellMar>
            <w:top w:w="0" w:type="dxa"/>
            <w:left w:w="10" w:type="dxa"/>
            <w:bottom w:w="0" w:type="dxa"/>
            <w:right w:w="10" w:type="dxa"/>
          </w:tblCellMar>
        </w:tblPrEx>
        <w:trPr>
          <w:trHeight w:val="534" w:hRule="atLeast"/>
        </w:trPr>
        <w:tc>
          <w:tcPr>
            <w:tcW w:w="189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0C9E65">
            <w:pPr>
              <w:jc w:val="center"/>
              <w:rPr>
                <w:rFonts w:cs="宋体" w:asciiTheme="majorEastAsia" w:hAnsiTheme="majorEastAsia" w:eastAsiaTheme="majorEastAsia"/>
                <w:color w:val="auto"/>
                <w:sz w:val="22"/>
                <w:highlight w:val="none"/>
              </w:rPr>
            </w:pPr>
          </w:p>
        </w:tc>
        <w:tc>
          <w:tcPr>
            <w:tcW w:w="4346"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9C40E2">
            <w:pPr>
              <w:jc w:val="center"/>
              <w:rPr>
                <w:rFonts w:cs="宋体" w:asciiTheme="majorEastAsia" w:hAnsiTheme="majorEastAsia" w:eastAsiaTheme="majorEastAsia"/>
                <w:color w:val="auto"/>
                <w:sz w:val="22"/>
                <w:highlight w:val="none"/>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51607A">
            <w:pPr>
              <w:jc w:val="center"/>
              <w:rPr>
                <w:rFonts w:cs="宋体" w:asciiTheme="majorEastAsia" w:hAnsiTheme="majorEastAsia" w:eastAsiaTheme="majorEastAsia"/>
                <w:color w:val="auto"/>
                <w:sz w:val="22"/>
                <w:highlight w:val="none"/>
              </w:rPr>
            </w:pPr>
          </w:p>
        </w:tc>
        <w:tc>
          <w:tcPr>
            <w:tcW w:w="166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8788A3">
            <w:pPr>
              <w:jc w:val="center"/>
              <w:rPr>
                <w:rFonts w:cs="宋体" w:asciiTheme="majorEastAsia" w:hAnsiTheme="majorEastAsia" w:eastAsiaTheme="majorEastAsia"/>
                <w:color w:val="auto"/>
                <w:sz w:val="22"/>
                <w:highlight w:val="none"/>
              </w:rPr>
            </w:pPr>
          </w:p>
        </w:tc>
      </w:tr>
      <w:tr w14:paraId="66F8080E">
        <w:tblPrEx>
          <w:tblCellMar>
            <w:top w:w="0" w:type="dxa"/>
            <w:left w:w="10" w:type="dxa"/>
            <w:bottom w:w="0" w:type="dxa"/>
            <w:right w:w="10" w:type="dxa"/>
          </w:tblCellMar>
        </w:tblPrEx>
        <w:trPr>
          <w:trHeight w:val="534" w:hRule="atLeast"/>
        </w:trPr>
        <w:tc>
          <w:tcPr>
            <w:tcW w:w="189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EFC22C">
            <w:pPr>
              <w:jc w:val="center"/>
              <w:rPr>
                <w:rFonts w:cs="宋体" w:asciiTheme="majorEastAsia" w:hAnsiTheme="majorEastAsia" w:eastAsiaTheme="majorEastAsia"/>
                <w:color w:val="auto"/>
                <w:sz w:val="22"/>
                <w:highlight w:val="none"/>
              </w:rPr>
            </w:pPr>
          </w:p>
        </w:tc>
        <w:tc>
          <w:tcPr>
            <w:tcW w:w="4346"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00DA66">
            <w:pPr>
              <w:jc w:val="center"/>
              <w:rPr>
                <w:rFonts w:cs="宋体" w:asciiTheme="majorEastAsia" w:hAnsiTheme="majorEastAsia" w:eastAsiaTheme="majorEastAsia"/>
                <w:color w:val="auto"/>
                <w:sz w:val="22"/>
                <w:highlight w:val="none"/>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A2CDA3">
            <w:pPr>
              <w:jc w:val="center"/>
              <w:rPr>
                <w:rFonts w:cs="宋体" w:asciiTheme="majorEastAsia" w:hAnsiTheme="majorEastAsia" w:eastAsiaTheme="majorEastAsia"/>
                <w:color w:val="auto"/>
                <w:sz w:val="22"/>
                <w:highlight w:val="none"/>
              </w:rPr>
            </w:pPr>
          </w:p>
        </w:tc>
        <w:tc>
          <w:tcPr>
            <w:tcW w:w="166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A8FB05">
            <w:pPr>
              <w:jc w:val="center"/>
              <w:rPr>
                <w:rFonts w:cs="宋体" w:asciiTheme="majorEastAsia" w:hAnsiTheme="majorEastAsia" w:eastAsiaTheme="majorEastAsia"/>
                <w:color w:val="auto"/>
                <w:sz w:val="22"/>
                <w:highlight w:val="none"/>
              </w:rPr>
            </w:pPr>
          </w:p>
        </w:tc>
      </w:tr>
      <w:tr w14:paraId="0DEBFEE0">
        <w:tblPrEx>
          <w:tblCellMar>
            <w:top w:w="0" w:type="dxa"/>
            <w:left w:w="10" w:type="dxa"/>
            <w:bottom w:w="0" w:type="dxa"/>
            <w:right w:w="10" w:type="dxa"/>
          </w:tblCellMar>
        </w:tblPrEx>
        <w:trPr>
          <w:trHeight w:val="534" w:hRule="atLeast"/>
        </w:trPr>
        <w:tc>
          <w:tcPr>
            <w:tcW w:w="189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B518AB">
            <w:pPr>
              <w:jc w:val="center"/>
              <w:rPr>
                <w:rFonts w:cs="宋体" w:asciiTheme="majorEastAsia" w:hAnsiTheme="majorEastAsia" w:eastAsiaTheme="majorEastAsia"/>
                <w:color w:val="auto"/>
                <w:sz w:val="22"/>
                <w:highlight w:val="none"/>
              </w:rPr>
            </w:pPr>
          </w:p>
        </w:tc>
        <w:tc>
          <w:tcPr>
            <w:tcW w:w="4346"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734F67">
            <w:pPr>
              <w:jc w:val="center"/>
              <w:rPr>
                <w:rFonts w:cs="宋体" w:asciiTheme="majorEastAsia" w:hAnsiTheme="majorEastAsia" w:eastAsiaTheme="majorEastAsia"/>
                <w:color w:val="auto"/>
                <w:sz w:val="22"/>
                <w:highlight w:val="none"/>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8E575F">
            <w:pPr>
              <w:jc w:val="center"/>
              <w:rPr>
                <w:rFonts w:cs="宋体" w:asciiTheme="majorEastAsia" w:hAnsiTheme="majorEastAsia" w:eastAsiaTheme="majorEastAsia"/>
                <w:color w:val="auto"/>
                <w:sz w:val="22"/>
                <w:highlight w:val="none"/>
              </w:rPr>
            </w:pPr>
          </w:p>
        </w:tc>
        <w:tc>
          <w:tcPr>
            <w:tcW w:w="166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03290A">
            <w:pPr>
              <w:jc w:val="center"/>
              <w:rPr>
                <w:rFonts w:cs="宋体" w:asciiTheme="majorEastAsia" w:hAnsiTheme="majorEastAsia" w:eastAsiaTheme="majorEastAsia"/>
                <w:color w:val="auto"/>
                <w:sz w:val="22"/>
                <w:highlight w:val="none"/>
              </w:rPr>
            </w:pPr>
          </w:p>
        </w:tc>
      </w:tr>
      <w:tr w14:paraId="1C7591FC">
        <w:tblPrEx>
          <w:tblCellMar>
            <w:top w:w="0" w:type="dxa"/>
            <w:left w:w="10" w:type="dxa"/>
            <w:bottom w:w="0" w:type="dxa"/>
            <w:right w:w="10" w:type="dxa"/>
          </w:tblCellMar>
        </w:tblPrEx>
        <w:trPr>
          <w:trHeight w:val="534" w:hRule="atLeast"/>
        </w:trPr>
        <w:tc>
          <w:tcPr>
            <w:tcW w:w="189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29B4BF">
            <w:pPr>
              <w:jc w:val="center"/>
              <w:rPr>
                <w:rFonts w:cs="宋体" w:asciiTheme="majorEastAsia" w:hAnsiTheme="majorEastAsia" w:eastAsiaTheme="majorEastAsia"/>
                <w:color w:val="auto"/>
                <w:sz w:val="22"/>
                <w:highlight w:val="none"/>
              </w:rPr>
            </w:pPr>
          </w:p>
        </w:tc>
        <w:tc>
          <w:tcPr>
            <w:tcW w:w="4346"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E7CF5C">
            <w:pPr>
              <w:jc w:val="center"/>
              <w:rPr>
                <w:rFonts w:cs="宋体" w:asciiTheme="majorEastAsia" w:hAnsiTheme="majorEastAsia" w:eastAsiaTheme="majorEastAsia"/>
                <w:color w:val="auto"/>
                <w:sz w:val="22"/>
                <w:highlight w:val="none"/>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90B0A3">
            <w:pPr>
              <w:jc w:val="center"/>
              <w:rPr>
                <w:rFonts w:cs="宋体" w:asciiTheme="majorEastAsia" w:hAnsiTheme="majorEastAsia" w:eastAsiaTheme="majorEastAsia"/>
                <w:color w:val="auto"/>
                <w:sz w:val="22"/>
                <w:highlight w:val="none"/>
              </w:rPr>
            </w:pPr>
          </w:p>
        </w:tc>
        <w:tc>
          <w:tcPr>
            <w:tcW w:w="166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C0E5A9">
            <w:pPr>
              <w:jc w:val="center"/>
              <w:rPr>
                <w:rFonts w:cs="宋体" w:asciiTheme="majorEastAsia" w:hAnsiTheme="majorEastAsia" w:eastAsiaTheme="majorEastAsia"/>
                <w:color w:val="auto"/>
                <w:sz w:val="22"/>
                <w:highlight w:val="none"/>
              </w:rPr>
            </w:pPr>
          </w:p>
        </w:tc>
      </w:tr>
      <w:tr w14:paraId="00164D5A">
        <w:tblPrEx>
          <w:tblCellMar>
            <w:top w:w="0" w:type="dxa"/>
            <w:left w:w="10" w:type="dxa"/>
            <w:bottom w:w="0" w:type="dxa"/>
            <w:right w:w="10" w:type="dxa"/>
          </w:tblCellMar>
        </w:tblPrEx>
        <w:trPr>
          <w:trHeight w:val="534" w:hRule="atLeast"/>
        </w:trPr>
        <w:tc>
          <w:tcPr>
            <w:tcW w:w="189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242FD8">
            <w:pPr>
              <w:jc w:val="center"/>
              <w:rPr>
                <w:rFonts w:cs="宋体" w:asciiTheme="majorEastAsia" w:hAnsiTheme="majorEastAsia" w:eastAsiaTheme="majorEastAsia"/>
                <w:color w:val="auto"/>
                <w:sz w:val="22"/>
                <w:highlight w:val="none"/>
              </w:rPr>
            </w:pPr>
          </w:p>
        </w:tc>
        <w:tc>
          <w:tcPr>
            <w:tcW w:w="4346"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2CC770">
            <w:pPr>
              <w:jc w:val="center"/>
              <w:rPr>
                <w:rFonts w:cs="宋体" w:asciiTheme="majorEastAsia" w:hAnsiTheme="majorEastAsia" w:eastAsiaTheme="majorEastAsia"/>
                <w:color w:val="auto"/>
                <w:sz w:val="22"/>
                <w:highlight w:val="none"/>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6F7655">
            <w:pPr>
              <w:jc w:val="center"/>
              <w:rPr>
                <w:rFonts w:cs="宋体" w:asciiTheme="majorEastAsia" w:hAnsiTheme="majorEastAsia" w:eastAsiaTheme="majorEastAsia"/>
                <w:color w:val="auto"/>
                <w:sz w:val="22"/>
                <w:highlight w:val="none"/>
              </w:rPr>
            </w:pPr>
          </w:p>
        </w:tc>
        <w:tc>
          <w:tcPr>
            <w:tcW w:w="166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7A2D0E">
            <w:pPr>
              <w:jc w:val="center"/>
              <w:rPr>
                <w:rFonts w:cs="宋体" w:asciiTheme="majorEastAsia" w:hAnsiTheme="majorEastAsia" w:eastAsiaTheme="majorEastAsia"/>
                <w:color w:val="auto"/>
                <w:sz w:val="22"/>
                <w:highlight w:val="none"/>
              </w:rPr>
            </w:pPr>
          </w:p>
        </w:tc>
      </w:tr>
      <w:tr w14:paraId="48CD007F">
        <w:tblPrEx>
          <w:tblCellMar>
            <w:top w:w="0" w:type="dxa"/>
            <w:left w:w="10" w:type="dxa"/>
            <w:bottom w:w="0" w:type="dxa"/>
            <w:right w:w="10" w:type="dxa"/>
          </w:tblCellMar>
        </w:tblPrEx>
        <w:trPr>
          <w:trHeight w:val="534" w:hRule="atLeast"/>
        </w:trPr>
        <w:tc>
          <w:tcPr>
            <w:tcW w:w="189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785895">
            <w:pPr>
              <w:jc w:val="center"/>
              <w:rPr>
                <w:rFonts w:cs="宋体" w:asciiTheme="majorEastAsia" w:hAnsiTheme="majorEastAsia" w:eastAsiaTheme="majorEastAsia"/>
                <w:color w:val="auto"/>
                <w:sz w:val="22"/>
                <w:highlight w:val="none"/>
              </w:rPr>
            </w:pPr>
          </w:p>
        </w:tc>
        <w:tc>
          <w:tcPr>
            <w:tcW w:w="4346"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29B87F">
            <w:pPr>
              <w:jc w:val="center"/>
              <w:rPr>
                <w:rFonts w:cs="宋体" w:asciiTheme="majorEastAsia" w:hAnsiTheme="majorEastAsia" w:eastAsiaTheme="majorEastAsia"/>
                <w:color w:val="auto"/>
                <w:sz w:val="22"/>
                <w:highlight w:val="none"/>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438B37">
            <w:pPr>
              <w:jc w:val="center"/>
              <w:rPr>
                <w:rFonts w:cs="宋体" w:asciiTheme="majorEastAsia" w:hAnsiTheme="majorEastAsia" w:eastAsiaTheme="majorEastAsia"/>
                <w:color w:val="auto"/>
                <w:sz w:val="22"/>
                <w:highlight w:val="none"/>
              </w:rPr>
            </w:pPr>
          </w:p>
        </w:tc>
        <w:tc>
          <w:tcPr>
            <w:tcW w:w="166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F5991A">
            <w:pPr>
              <w:jc w:val="center"/>
              <w:rPr>
                <w:rFonts w:cs="宋体" w:asciiTheme="majorEastAsia" w:hAnsiTheme="majorEastAsia" w:eastAsiaTheme="majorEastAsia"/>
                <w:color w:val="auto"/>
                <w:sz w:val="22"/>
                <w:highlight w:val="none"/>
              </w:rPr>
            </w:pPr>
          </w:p>
        </w:tc>
      </w:tr>
    </w:tbl>
    <w:p w14:paraId="5D1B9928">
      <w:pPr>
        <w:spacing w:line="480" w:lineRule="auto"/>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注：主要人员指项目经理、项目技术负责人、安全管理人员（专职安全生产管理人员）等。</w:t>
      </w:r>
    </w:p>
    <w:p w14:paraId="48DA966A">
      <w:pPr>
        <w:spacing w:line="480" w:lineRule="auto"/>
        <w:jc w:val="center"/>
        <w:rPr>
          <w:rFonts w:cs="宋体" w:asciiTheme="majorEastAsia" w:hAnsiTheme="majorEastAsia" w:eastAsiaTheme="majorEastAsia"/>
          <w:b/>
          <w:color w:val="auto"/>
          <w:sz w:val="32"/>
          <w:highlight w:val="none"/>
        </w:rPr>
      </w:pPr>
    </w:p>
    <w:p w14:paraId="1AE23E9D">
      <w:pPr>
        <w:rPr>
          <w:rFonts w:cs="宋体" w:asciiTheme="majorEastAsia" w:hAnsiTheme="majorEastAsia" w:eastAsiaTheme="majorEastAsia"/>
          <w:b/>
          <w:color w:val="auto"/>
          <w:sz w:val="32"/>
          <w:highlight w:val="none"/>
        </w:rPr>
      </w:pPr>
      <w:r>
        <w:rPr>
          <w:rFonts w:hint="eastAsia" w:cs="宋体" w:asciiTheme="majorEastAsia" w:hAnsiTheme="majorEastAsia" w:eastAsiaTheme="majorEastAsia"/>
          <w:b/>
          <w:color w:val="auto"/>
          <w:sz w:val="32"/>
          <w:highlight w:val="none"/>
        </w:rPr>
        <w:br w:type="page"/>
      </w:r>
    </w:p>
    <w:p w14:paraId="471BBF05">
      <w:pPr>
        <w:spacing w:line="480" w:lineRule="auto"/>
        <w:jc w:val="center"/>
        <w:rPr>
          <w:rFonts w:cs="宋体" w:asciiTheme="majorEastAsia" w:hAnsiTheme="majorEastAsia" w:eastAsiaTheme="majorEastAsia"/>
          <w:b/>
          <w:color w:val="auto"/>
          <w:sz w:val="32"/>
          <w:highlight w:val="none"/>
        </w:rPr>
      </w:pPr>
      <w:r>
        <w:rPr>
          <w:rFonts w:hint="eastAsia" w:cs="宋体" w:asciiTheme="majorEastAsia" w:hAnsiTheme="majorEastAsia" w:eastAsiaTheme="majorEastAsia"/>
          <w:b/>
          <w:color w:val="auto"/>
          <w:sz w:val="32"/>
          <w:highlight w:val="none"/>
          <w:lang w:val="en-US" w:eastAsia="zh-CN"/>
        </w:rPr>
        <w:t>六</w:t>
      </w:r>
      <w:r>
        <w:rPr>
          <w:rFonts w:hint="eastAsia" w:cs="宋体" w:asciiTheme="majorEastAsia" w:hAnsiTheme="majorEastAsia" w:eastAsiaTheme="majorEastAsia"/>
          <w:b/>
          <w:color w:val="auto"/>
          <w:sz w:val="32"/>
          <w:highlight w:val="none"/>
        </w:rPr>
        <w:t>、资格审查资料</w:t>
      </w:r>
    </w:p>
    <w:p w14:paraId="153092F7">
      <w:pPr>
        <w:spacing w:line="480" w:lineRule="auto"/>
        <w:rPr>
          <w:rFonts w:cs="宋体" w:asciiTheme="majorEastAsia" w:hAnsiTheme="majorEastAsia" w:eastAsiaTheme="majorEastAsia"/>
          <w:color w:val="auto"/>
          <w:highlight w:val="none"/>
        </w:rPr>
      </w:pPr>
    </w:p>
    <w:p w14:paraId="34DC34A3">
      <w:pPr>
        <w:spacing w:line="480" w:lineRule="auto"/>
        <w:rPr>
          <w:rFonts w:cs="宋体" w:asciiTheme="majorEastAsia" w:hAnsiTheme="majorEastAsia" w:eastAsiaTheme="majorEastAsia"/>
          <w:b/>
          <w:color w:val="auto"/>
          <w:sz w:val="24"/>
          <w:highlight w:val="none"/>
        </w:rPr>
      </w:pPr>
      <w:r>
        <w:rPr>
          <w:rFonts w:hint="eastAsia" w:cs="宋体" w:asciiTheme="majorEastAsia" w:hAnsiTheme="majorEastAsia" w:eastAsiaTheme="majorEastAsia"/>
          <w:b/>
          <w:color w:val="auto"/>
          <w:sz w:val="24"/>
          <w:highlight w:val="none"/>
        </w:rPr>
        <w:t>（一）投标人基本情况表</w:t>
      </w:r>
    </w:p>
    <w:tbl>
      <w:tblPr>
        <w:tblStyle w:val="20"/>
        <w:tblW w:w="0" w:type="auto"/>
        <w:tblInd w:w="-8" w:type="dxa"/>
        <w:tblLayout w:type="autofit"/>
        <w:tblCellMar>
          <w:top w:w="0" w:type="dxa"/>
          <w:left w:w="10" w:type="dxa"/>
          <w:bottom w:w="0" w:type="dxa"/>
          <w:right w:w="10" w:type="dxa"/>
        </w:tblCellMar>
      </w:tblPr>
      <w:tblGrid>
        <w:gridCol w:w="1840"/>
        <w:gridCol w:w="1035"/>
        <w:gridCol w:w="1340"/>
        <w:gridCol w:w="1289"/>
        <w:gridCol w:w="1725"/>
        <w:gridCol w:w="979"/>
        <w:gridCol w:w="1257"/>
      </w:tblGrid>
      <w:tr w14:paraId="036ACAD4">
        <w:tblPrEx>
          <w:tblCellMar>
            <w:top w:w="0" w:type="dxa"/>
            <w:left w:w="10" w:type="dxa"/>
            <w:bottom w:w="0" w:type="dxa"/>
            <w:right w:w="10" w:type="dxa"/>
          </w:tblCellMar>
        </w:tblPrEx>
        <w:trPr>
          <w:trHeight w:val="492" w:hRule="atLeast"/>
        </w:trPr>
        <w:tc>
          <w:tcPr>
            <w:tcW w:w="1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078370">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投标人名称</w:t>
            </w:r>
          </w:p>
        </w:tc>
        <w:tc>
          <w:tcPr>
            <w:tcW w:w="7625"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BA1667">
            <w:pPr>
              <w:jc w:val="center"/>
              <w:rPr>
                <w:rFonts w:cs="宋体" w:asciiTheme="majorEastAsia" w:hAnsiTheme="majorEastAsia" w:eastAsiaTheme="majorEastAsia"/>
                <w:color w:val="auto"/>
                <w:sz w:val="22"/>
                <w:highlight w:val="none"/>
              </w:rPr>
            </w:pPr>
          </w:p>
        </w:tc>
      </w:tr>
      <w:tr w14:paraId="7BA17FFD">
        <w:tblPrEx>
          <w:tblCellMar>
            <w:top w:w="0" w:type="dxa"/>
            <w:left w:w="10" w:type="dxa"/>
            <w:bottom w:w="0" w:type="dxa"/>
            <w:right w:w="10" w:type="dxa"/>
          </w:tblCellMar>
        </w:tblPrEx>
        <w:trPr>
          <w:trHeight w:val="469" w:hRule="atLeast"/>
        </w:trPr>
        <w:tc>
          <w:tcPr>
            <w:tcW w:w="1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DFB3B9">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注册地址</w:t>
            </w:r>
          </w:p>
        </w:tc>
        <w:tc>
          <w:tcPr>
            <w:tcW w:w="3664"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4C453D">
            <w:pPr>
              <w:jc w:val="center"/>
              <w:rPr>
                <w:rFonts w:cs="宋体" w:asciiTheme="majorEastAsia" w:hAnsiTheme="majorEastAsia" w:eastAsiaTheme="majorEastAsia"/>
                <w:color w:val="auto"/>
                <w:sz w:val="22"/>
                <w:highlight w:val="none"/>
              </w:rPr>
            </w:pPr>
          </w:p>
        </w:tc>
        <w:tc>
          <w:tcPr>
            <w:tcW w:w="17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C68712">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邮政编码</w:t>
            </w:r>
          </w:p>
        </w:tc>
        <w:tc>
          <w:tcPr>
            <w:tcW w:w="223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ED249C">
            <w:pPr>
              <w:jc w:val="center"/>
              <w:rPr>
                <w:rFonts w:cs="宋体" w:asciiTheme="majorEastAsia" w:hAnsiTheme="majorEastAsia" w:eastAsiaTheme="majorEastAsia"/>
                <w:color w:val="auto"/>
                <w:sz w:val="22"/>
                <w:highlight w:val="none"/>
              </w:rPr>
            </w:pPr>
          </w:p>
        </w:tc>
      </w:tr>
      <w:tr w14:paraId="5F6AB80D">
        <w:tblPrEx>
          <w:tblCellMar>
            <w:top w:w="0" w:type="dxa"/>
            <w:left w:w="10" w:type="dxa"/>
            <w:bottom w:w="0" w:type="dxa"/>
            <w:right w:w="10" w:type="dxa"/>
          </w:tblCellMar>
        </w:tblPrEx>
        <w:trPr>
          <w:cantSplit/>
          <w:trHeight w:val="492" w:hRule="atLeast"/>
        </w:trPr>
        <w:tc>
          <w:tcPr>
            <w:tcW w:w="184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124946">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联系方式</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4D9895">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联系人</w:t>
            </w:r>
          </w:p>
        </w:tc>
        <w:tc>
          <w:tcPr>
            <w:tcW w:w="262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7D00C2">
            <w:pPr>
              <w:jc w:val="center"/>
              <w:rPr>
                <w:rFonts w:cs="宋体" w:asciiTheme="majorEastAsia" w:hAnsiTheme="majorEastAsia" w:eastAsiaTheme="majorEastAsia"/>
                <w:color w:val="auto"/>
                <w:sz w:val="22"/>
                <w:highlight w:val="none"/>
              </w:rPr>
            </w:pPr>
          </w:p>
        </w:tc>
        <w:tc>
          <w:tcPr>
            <w:tcW w:w="17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02013B">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电话</w:t>
            </w:r>
          </w:p>
        </w:tc>
        <w:tc>
          <w:tcPr>
            <w:tcW w:w="223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F10E06">
            <w:pPr>
              <w:jc w:val="center"/>
              <w:rPr>
                <w:rFonts w:cs="宋体" w:asciiTheme="majorEastAsia" w:hAnsiTheme="majorEastAsia" w:eastAsiaTheme="majorEastAsia"/>
                <w:color w:val="auto"/>
                <w:sz w:val="22"/>
                <w:highlight w:val="none"/>
              </w:rPr>
            </w:pPr>
          </w:p>
        </w:tc>
      </w:tr>
      <w:tr w14:paraId="652953E1">
        <w:tblPrEx>
          <w:tblCellMar>
            <w:top w:w="0" w:type="dxa"/>
            <w:left w:w="10" w:type="dxa"/>
            <w:bottom w:w="0" w:type="dxa"/>
            <w:right w:w="10" w:type="dxa"/>
          </w:tblCellMar>
        </w:tblPrEx>
        <w:trPr>
          <w:cantSplit/>
          <w:trHeight w:val="469" w:hRule="atLeast"/>
        </w:trPr>
        <w:tc>
          <w:tcPr>
            <w:tcW w:w="184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8D7C68">
            <w:pPr>
              <w:jc w:val="center"/>
              <w:rPr>
                <w:rFonts w:cs="宋体" w:asciiTheme="majorEastAsia" w:hAnsiTheme="majorEastAsia" w:eastAsiaTheme="majorEastAsia"/>
                <w:color w:val="auto"/>
                <w:sz w:val="22"/>
                <w:highlight w:val="none"/>
              </w:rPr>
            </w:pPr>
          </w:p>
        </w:tc>
        <w:tc>
          <w:tcPr>
            <w:tcW w:w="10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900983">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传真</w:t>
            </w:r>
          </w:p>
        </w:tc>
        <w:tc>
          <w:tcPr>
            <w:tcW w:w="262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01F07F">
            <w:pPr>
              <w:jc w:val="center"/>
              <w:rPr>
                <w:rFonts w:cs="宋体" w:asciiTheme="majorEastAsia" w:hAnsiTheme="majorEastAsia" w:eastAsiaTheme="majorEastAsia"/>
                <w:color w:val="auto"/>
                <w:sz w:val="22"/>
                <w:highlight w:val="none"/>
              </w:rPr>
            </w:pPr>
          </w:p>
        </w:tc>
        <w:tc>
          <w:tcPr>
            <w:tcW w:w="17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08CDF5">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网址</w:t>
            </w:r>
          </w:p>
        </w:tc>
        <w:tc>
          <w:tcPr>
            <w:tcW w:w="223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AAC2B0">
            <w:pPr>
              <w:jc w:val="center"/>
              <w:rPr>
                <w:rFonts w:cs="宋体" w:asciiTheme="majorEastAsia" w:hAnsiTheme="majorEastAsia" w:eastAsiaTheme="majorEastAsia"/>
                <w:color w:val="auto"/>
                <w:sz w:val="22"/>
                <w:highlight w:val="none"/>
              </w:rPr>
            </w:pPr>
          </w:p>
        </w:tc>
      </w:tr>
      <w:tr w14:paraId="2EF65E78">
        <w:tblPrEx>
          <w:tblCellMar>
            <w:top w:w="0" w:type="dxa"/>
            <w:left w:w="10" w:type="dxa"/>
            <w:bottom w:w="0" w:type="dxa"/>
            <w:right w:w="10" w:type="dxa"/>
          </w:tblCellMar>
        </w:tblPrEx>
        <w:trPr>
          <w:trHeight w:val="492" w:hRule="atLeast"/>
        </w:trPr>
        <w:tc>
          <w:tcPr>
            <w:tcW w:w="1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FA568F">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组织结构</w:t>
            </w:r>
          </w:p>
        </w:tc>
        <w:tc>
          <w:tcPr>
            <w:tcW w:w="7625"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29E930">
            <w:pPr>
              <w:jc w:val="center"/>
              <w:rPr>
                <w:rFonts w:cs="宋体" w:asciiTheme="majorEastAsia" w:hAnsiTheme="majorEastAsia" w:eastAsiaTheme="majorEastAsia"/>
                <w:color w:val="auto"/>
                <w:sz w:val="22"/>
                <w:highlight w:val="none"/>
              </w:rPr>
            </w:pPr>
          </w:p>
        </w:tc>
      </w:tr>
      <w:tr w14:paraId="65CF8E98">
        <w:tblPrEx>
          <w:tblCellMar>
            <w:top w:w="0" w:type="dxa"/>
            <w:left w:w="10" w:type="dxa"/>
            <w:bottom w:w="0" w:type="dxa"/>
            <w:right w:w="10" w:type="dxa"/>
          </w:tblCellMar>
        </w:tblPrEx>
        <w:trPr>
          <w:trHeight w:val="469" w:hRule="atLeast"/>
        </w:trPr>
        <w:tc>
          <w:tcPr>
            <w:tcW w:w="1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D02681">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法定代表人</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2748D0">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姓名</w:t>
            </w:r>
          </w:p>
        </w:tc>
        <w:tc>
          <w:tcPr>
            <w:tcW w:w="1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5E5B4B">
            <w:pPr>
              <w:jc w:val="center"/>
              <w:rPr>
                <w:rFonts w:cs="宋体" w:asciiTheme="majorEastAsia" w:hAnsiTheme="majorEastAsia" w:eastAsiaTheme="majorEastAsia"/>
                <w:color w:val="auto"/>
                <w:sz w:val="22"/>
                <w:highlight w:val="none"/>
              </w:rPr>
            </w:pPr>
          </w:p>
        </w:tc>
        <w:tc>
          <w:tcPr>
            <w:tcW w:w="12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5C9944">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技术职称</w:t>
            </w:r>
          </w:p>
        </w:tc>
        <w:tc>
          <w:tcPr>
            <w:tcW w:w="17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AF82B3">
            <w:pPr>
              <w:jc w:val="center"/>
              <w:rPr>
                <w:rFonts w:cs="宋体" w:asciiTheme="majorEastAsia" w:hAnsiTheme="majorEastAsia" w:eastAsiaTheme="majorEastAsia"/>
                <w:color w:val="auto"/>
                <w:sz w:val="22"/>
                <w:highlight w:val="none"/>
              </w:rPr>
            </w:pPr>
          </w:p>
        </w:tc>
        <w:tc>
          <w:tcPr>
            <w:tcW w:w="9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2482E3">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电话</w:t>
            </w:r>
          </w:p>
        </w:tc>
        <w:tc>
          <w:tcPr>
            <w:tcW w:w="12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BCC753">
            <w:pPr>
              <w:jc w:val="center"/>
              <w:rPr>
                <w:rFonts w:cs="宋体" w:asciiTheme="majorEastAsia" w:hAnsiTheme="majorEastAsia" w:eastAsiaTheme="majorEastAsia"/>
                <w:color w:val="auto"/>
                <w:sz w:val="22"/>
                <w:highlight w:val="none"/>
              </w:rPr>
            </w:pPr>
          </w:p>
        </w:tc>
      </w:tr>
      <w:tr w14:paraId="597820C7">
        <w:tblPrEx>
          <w:tblCellMar>
            <w:top w:w="0" w:type="dxa"/>
            <w:left w:w="10" w:type="dxa"/>
            <w:bottom w:w="0" w:type="dxa"/>
            <w:right w:w="10" w:type="dxa"/>
          </w:tblCellMar>
        </w:tblPrEx>
        <w:trPr>
          <w:trHeight w:val="492" w:hRule="atLeast"/>
        </w:trPr>
        <w:tc>
          <w:tcPr>
            <w:tcW w:w="1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83F944">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技术负责人</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B933DF">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姓名</w:t>
            </w:r>
          </w:p>
        </w:tc>
        <w:tc>
          <w:tcPr>
            <w:tcW w:w="1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4460CD">
            <w:pPr>
              <w:jc w:val="center"/>
              <w:rPr>
                <w:rFonts w:cs="宋体" w:asciiTheme="majorEastAsia" w:hAnsiTheme="majorEastAsia" w:eastAsiaTheme="majorEastAsia"/>
                <w:color w:val="auto"/>
                <w:sz w:val="22"/>
                <w:highlight w:val="none"/>
              </w:rPr>
            </w:pPr>
          </w:p>
        </w:tc>
        <w:tc>
          <w:tcPr>
            <w:tcW w:w="12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DE594B">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技术职称</w:t>
            </w:r>
          </w:p>
        </w:tc>
        <w:tc>
          <w:tcPr>
            <w:tcW w:w="17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296A8A">
            <w:pPr>
              <w:jc w:val="center"/>
              <w:rPr>
                <w:rFonts w:cs="宋体" w:asciiTheme="majorEastAsia" w:hAnsiTheme="majorEastAsia" w:eastAsiaTheme="majorEastAsia"/>
                <w:color w:val="auto"/>
                <w:sz w:val="22"/>
                <w:highlight w:val="none"/>
              </w:rPr>
            </w:pPr>
          </w:p>
        </w:tc>
        <w:tc>
          <w:tcPr>
            <w:tcW w:w="9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49760F">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电话</w:t>
            </w:r>
          </w:p>
        </w:tc>
        <w:tc>
          <w:tcPr>
            <w:tcW w:w="12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54C84E">
            <w:pPr>
              <w:jc w:val="center"/>
              <w:rPr>
                <w:rFonts w:cs="宋体" w:asciiTheme="majorEastAsia" w:hAnsiTheme="majorEastAsia" w:eastAsiaTheme="majorEastAsia"/>
                <w:color w:val="auto"/>
                <w:sz w:val="22"/>
                <w:highlight w:val="none"/>
              </w:rPr>
            </w:pPr>
          </w:p>
        </w:tc>
      </w:tr>
      <w:tr w14:paraId="1B8F8923">
        <w:tblPrEx>
          <w:tblCellMar>
            <w:top w:w="0" w:type="dxa"/>
            <w:left w:w="10" w:type="dxa"/>
            <w:bottom w:w="0" w:type="dxa"/>
            <w:right w:w="10" w:type="dxa"/>
          </w:tblCellMar>
        </w:tblPrEx>
        <w:trPr>
          <w:trHeight w:val="469" w:hRule="atLeast"/>
        </w:trPr>
        <w:tc>
          <w:tcPr>
            <w:tcW w:w="1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0615A4">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成立时间</w:t>
            </w:r>
          </w:p>
        </w:tc>
        <w:tc>
          <w:tcPr>
            <w:tcW w:w="2375"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191A91">
            <w:pPr>
              <w:jc w:val="center"/>
              <w:rPr>
                <w:rFonts w:cs="宋体" w:asciiTheme="majorEastAsia" w:hAnsiTheme="majorEastAsia" w:eastAsiaTheme="majorEastAsia"/>
                <w:color w:val="auto"/>
                <w:sz w:val="22"/>
                <w:highlight w:val="none"/>
              </w:rPr>
            </w:pPr>
          </w:p>
        </w:tc>
        <w:tc>
          <w:tcPr>
            <w:tcW w:w="301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D512EE">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员工总人数</w:t>
            </w:r>
          </w:p>
        </w:tc>
        <w:tc>
          <w:tcPr>
            <w:tcW w:w="223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84B1D1">
            <w:pPr>
              <w:jc w:val="center"/>
              <w:rPr>
                <w:rFonts w:cs="宋体" w:asciiTheme="majorEastAsia" w:hAnsiTheme="majorEastAsia" w:eastAsiaTheme="majorEastAsia"/>
                <w:color w:val="auto"/>
                <w:sz w:val="22"/>
                <w:highlight w:val="none"/>
              </w:rPr>
            </w:pPr>
          </w:p>
        </w:tc>
      </w:tr>
      <w:tr w14:paraId="26333D15">
        <w:tblPrEx>
          <w:tblCellMar>
            <w:top w:w="0" w:type="dxa"/>
            <w:left w:w="10" w:type="dxa"/>
            <w:bottom w:w="0" w:type="dxa"/>
            <w:right w:w="10" w:type="dxa"/>
          </w:tblCellMar>
        </w:tblPrEx>
        <w:trPr>
          <w:cantSplit/>
          <w:trHeight w:val="492" w:hRule="atLeast"/>
        </w:trPr>
        <w:tc>
          <w:tcPr>
            <w:tcW w:w="1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62A6BE">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企业资质等级</w:t>
            </w:r>
          </w:p>
        </w:tc>
        <w:tc>
          <w:tcPr>
            <w:tcW w:w="2375"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6D4112">
            <w:pPr>
              <w:jc w:val="center"/>
              <w:rPr>
                <w:rFonts w:cs="宋体" w:asciiTheme="majorEastAsia" w:hAnsiTheme="majorEastAsia" w:eastAsiaTheme="majorEastAsia"/>
                <w:color w:val="auto"/>
                <w:sz w:val="22"/>
                <w:highlight w:val="none"/>
              </w:rPr>
            </w:pPr>
          </w:p>
        </w:tc>
        <w:tc>
          <w:tcPr>
            <w:tcW w:w="128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CE2D9A">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其中</w:t>
            </w:r>
          </w:p>
        </w:tc>
        <w:tc>
          <w:tcPr>
            <w:tcW w:w="17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B1FD30">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项目经理</w:t>
            </w:r>
          </w:p>
        </w:tc>
        <w:tc>
          <w:tcPr>
            <w:tcW w:w="223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B7284C">
            <w:pPr>
              <w:jc w:val="center"/>
              <w:rPr>
                <w:rFonts w:cs="宋体" w:asciiTheme="majorEastAsia" w:hAnsiTheme="majorEastAsia" w:eastAsiaTheme="majorEastAsia"/>
                <w:color w:val="auto"/>
                <w:sz w:val="22"/>
                <w:highlight w:val="none"/>
              </w:rPr>
            </w:pPr>
          </w:p>
        </w:tc>
      </w:tr>
      <w:tr w14:paraId="1FA7085F">
        <w:tblPrEx>
          <w:tblCellMar>
            <w:top w:w="0" w:type="dxa"/>
            <w:left w:w="10" w:type="dxa"/>
            <w:bottom w:w="0" w:type="dxa"/>
            <w:right w:w="10" w:type="dxa"/>
          </w:tblCellMar>
        </w:tblPrEx>
        <w:trPr>
          <w:cantSplit/>
          <w:trHeight w:val="469" w:hRule="atLeast"/>
        </w:trPr>
        <w:tc>
          <w:tcPr>
            <w:tcW w:w="1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04133E">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营业执照号</w:t>
            </w:r>
          </w:p>
        </w:tc>
        <w:tc>
          <w:tcPr>
            <w:tcW w:w="2375"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25B139">
            <w:pPr>
              <w:jc w:val="center"/>
              <w:rPr>
                <w:rFonts w:cs="宋体" w:asciiTheme="majorEastAsia" w:hAnsiTheme="majorEastAsia" w:eastAsiaTheme="majorEastAsia"/>
                <w:color w:val="auto"/>
                <w:sz w:val="22"/>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39E916">
            <w:pPr>
              <w:jc w:val="center"/>
              <w:rPr>
                <w:rFonts w:cs="宋体" w:asciiTheme="majorEastAsia" w:hAnsiTheme="majorEastAsia" w:eastAsiaTheme="majorEastAsia"/>
                <w:color w:val="auto"/>
                <w:sz w:val="22"/>
                <w:highlight w:val="none"/>
              </w:rPr>
            </w:pPr>
          </w:p>
        </w:tc>
        <w:tc>
          <w:tcPr>
            <w:tcW w:w="17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14E997">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高级职称人员</w:t>
            </w:r>
          </w:p>
        </w:tc>
        <w:tc>
          <w:tcPr>
            <w:tcW w:w="223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90E161">
            <w:pPr>
              <w:jc w:val="center"/>
              <w:rPr>
                <w:rFonts w:cs="宋体" w:asciiTheme="majorEastAsia" w:hAnsiTheme="majorEastAsia" w:eastAsiaTheme="majorEastAsia"/>
                <w:color w:val="auto"/>
                <w:sz w:val="22"/>
                <w:highlight w:val="none"/>
              </w:rPr>
            </w:pPr>
          </w:p>
        </w:tc>
      </w:tr>
      <w:tr w14:paraId="7CFCE88A">
        <w:tblPrEx>
          <w:tblCellMar>
            <w:top w:w="0" w:type="dxa"/>
            <w:left w:w="10" w:type="dxa"/>
            <w:bottom w:w="0" w:type="dxa"/>
            <w:right w:w="10" w:type="dxa"/>
          </w:tblCellMar>
        </w:tblPrEx>
        <w:trPr>
          <w:cantSplit/>
          <w:trHeight w:val="492" w:hRule="atLeast"/>
        </w:trPr>
        <w:tc>
          <w:tcPr>
            <w:tcW w:w="1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E82065">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注册资金</w:t>
            </w:r>
          </w:p>
        </w:tc>
        <w:tc>
          <w:tcPr>
            <w:tcW w:w="2375"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425F39">
            <w:pPr>
              <w:jc w:val="center"/>
              <w:rPr>
                <w:rFonts w:cs="宋体" w:asciiTheme="majorEastAsia" w:hAnsiTheme="majorEastAsia" w:eastAsiaTheme="majorEastAsia"/>
                <w:color w:val="auto"/>
                <w:sz w:val="22"/>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036AC2">
            <w:pPr>
              <w:jc w:val="center"/>
              <w:rPr>
                <w:rFonts w:cs="宋体" w:asciiTheme="majorEastAsia" w:hAnsiTheme="majorEastAsia" w:eastAsiaTheme="majorEastAsia"/>
                <w:color w:val="auto"/>
                <w:sz w:val="22"/>
                <w:highlight w:val="none"/>
              </w:rPr>
            </w:pPr>
          </w:p>
        </w:tc>
        <w:tc>
          <w:tcPr>
            <w:tcW w:w="17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D3AB57">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中级职称人员</w:t>
            </w:r>
          </w:p>
        </w:tc>
        <w:tc>
          <w:tcPr>
            <w:tcW w:w="223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6F4ABE">
            <w:pPr>
              <w:jc w:val="center"/>
              <w:rPr>
                <w:rFonts w:cs="宋体" w:asciiTheme="majorEastAsia" w:hAnsiTheme="majorEastAsia" w:eastAsiaTheme="majorEastAsia"/>
                <w:color w:val="auto"/>
                <w:sz w:val="22"/>
                <w:highlight w:val="none"/>
              </w:rPr>
            </w:pPr>
          </w:p>
        </w:tc>
      </w:tr>
      <w:tr w14:paraId="41148FAB">
        <w:tblPrEx>
          <w:tblCellMar>
            <w:top w:w="0" w:type="dxa"/>
            <w:left w:w="10" w:type="dxa"/>
            <w:bottom w:w="0" w:type="dxa"/>
            <w:right w:w="10" w:type="dxa"/>
          </w:tblCellMar>
        </w:tblPrEx>
        <w:trPr>
          <w:cantSplit/>
          <w:trHeight w:val="469" w:hRule="atLeast"/>
        </w:trPr>
        <w:tc>
          <w:tcPr>
            <w:tcW w:w="1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0832E2">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开户银行</w:t>
            </w:r>
          </w:p>
        </w:tc>
        <w:tc>
          <w:tcPr>
            <w:tcW w:w="2375"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1AD835">
            <w:pPr>
              <w:jc w:val="center"/>
              <w:rPr>
                <w:rFonts w:cs="宋体" w:asciiTheme="majorEastAsia" w:hAnsiTheme="majorEastAsia" w:eastAsiaTheme="majorEastAsia"/>
                <w:color w:val="auto"/>
                <w:sz w:val="22"/>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B89D02">
            <w:pPr>
              <w:jc w:val="center"/>
              <w:rPr>
                <w:rFonts w:cs="宋体" w:asciiTheme="majorEastAsia" w:hAnsiTheme="majorEastAsia" w:eastAsiaTheme="majorEastAsia"/>
                <w:color w:val="auto"/>
                <w:sz w:val="22"/>
                <w:highlight w:val="none"/>
              </w:rPr>
            </w:pPr>
          </w:p>
        </w:tc>
        <w:tc>
          <w:tcPr>
            <w:tcW w:w="17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B7972D">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初级职称人员</w:t>
            </w:r>
          </w:p>
        </w:tc>
        <w:tc>
          <w:tcPr>
            <w:tcW w:w="223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24B49C">
            <w:pPr>
              <w:jc w:val="center"/>
              <w:rPr>
                <w:rFonts w:cs="宋体" w:asciiTheme="majorEastAsia" w:hAnsiTheme="majorEastAsia" w:eastAsiaTheme="majorEastAsia"/>
                <w:color w:val="auto"/>
                <w:sz w:val="22"/>
                <w:highlight w:val="none"/>
              </w:rPr>
            </w:pPr>
          </w:p>
        </w:tc>
      </w:tr>
      <w:tr w14:paraId="10073EEC">
        <w:tblPrEx>
          <w:tblCellMar>
            <w:top w:w="0" w:type="dxa"/>
            <w:left w:w="10" w:type="dxa"/>
            <w:bottom w:w="0" w:type="dxa"/>
            <w:right w:w="10" w:type="dxa"/>
          </w:tblCellMar>
        </w:tblPrEx>
        <w:trPr>
          <w:cantSplit/>
          <w:trHeight w:val="469" w:hRule="atLeast"/>
        </w:trPr>
        <w:tc>
          <w:tcPr>
            <w:tcW w:w="1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4D64F6">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账号</w:t>
            </w:r>
          </w:p>
        </w:tc>
        <w:tc>
          <w:tcPr>
            <w:tcW w:w="2375"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18B5AB">
            <w:pPr>
              <w:jc w:val="center"/>
              <w:rPr>
                <w:rFonts w:cs="宋体" w:asciiTheme="majorEastAsia" w:hAnsiTheme="majorEastAsia" w:eastAsiaTheme="majorEastAsia"/>
                <w:color w:val="auto"/>
                <w:sz w:val="22"/>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75083F">
            <w:pPr>
              <w:jc w:val="center"/>
              <w:rPr>
                <w:rFonts w:cs="宋体" w:asciiTheme="majorEastAsia" w:hAnsiTheme="majorEastAsia" w:eastAsiaTheme="majorEastAsia"/>
                <w:color w:val="auto"/>
                <w:sz w:val="22"/>
                <w:highlight w:val="none"/>
              </w:rPr>
            </w:pPr>
          </w:p>
        </w:tc>
        <w:tc>
          <w:tcPr>
            <w:tcW w:w="17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6A9E90">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技工</w:t>
            </w:r>
          </w:p>
        </w:tc>
        <w:tc>
          <w:tcPr>
            <w:tcW w:w="223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7002EA">
            <w:pPr>
              <w:jc w:val="center"/>
              <w:rPr>
                <w:rFonts w:cs="宋体" w:asciiTheme="majorEastAsia" w:hAnsiTheme="majorEastAsia" w:eastAsiaTheme="majorEastAsia"/>
                <w:color w:val="auto"/>
                <w:sz w:val="22"/>
                <w:highlight w:val="none"/>
              </w:rPr>
            </w:pPr>
          </w:p>
        </w:tc>
      </w:tr>
      <w:tr w14:paraId="2FFC7AF2">
        <w:tblPrEx>
          <w:tblCellMar>
            <w:top w:w="0" w:type="dxa"/>
            <w:left w:w="10" w:type="dxa"/>
            <w:bottom w:w="0" w:type="dxa"/>
            <w:right w:w="10" w:type="dxa"/>
          </w:tblCellMar>
        </w:tblPrEx>
        <w:trPr>
          <w:trHeight w:val="1662" w:hRule="atLeast"/>
        </w:trPr>
        <w:tc>
          <w:tcPr>
            <w:tcW w:w="1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1D5004">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经营范围</w:t>
            </w:r>
          </w:p>
        </w:tc>
        <w:tc>
          <w:tcPr>
            <w:tcW w:w="7625"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25D779">
            <w:pPr>
              <w:jc w:val="center"/>
              <w:rPr>
                <w:rFonts w:cs="宋体" w:asciiTheme="majorEastAsia" w:hAnsiTheme="majorEastAsia" w:eastAsiaTheme="majorEastAsia"/>
                <w:color w:val="auto"/>
                <w:sz w:val="24"/>
                <w:highlight w:val="none"/>
              </w:rPr>
            </w:pPr>
          </w:p>
          <w:p w14:paraId="5FC48F01">
            <w:pPr>
              <w:rPr>
                <w:rFonts w:cs="宋体" w:asciiTheme="majorEastAsia" w:hAnsiTheme="majorEastAsia" w:eastAsiaTheme="majorEastAsia"/>
                <w:color w:val="auto"/>
                <w:highlight w:val="none"/>
              </w:rPr>
            </w:pPr>
          </w:p>
        </w:tc>
      </w:tr>
      <w:tr w14:paraId="16837306">
        <w:tblPrEx>
          <w:tblCellMar>
            <w:top w:w="0" w:type="dxa"/>
            <w:left w:w="10" w:type="dxa"/>
            <w:bottom w:w="0" w:type="dxa"/>
            <w:right w:w="10" w:type="dxa"/>
          </w:tblCellMar>
        </w:tblPrEx>
        <w:trPr>
          <w:trHeight w:val="1330" w:hRule="atLeast"/>
        </w:trPr>
        <w:tc>
          <w:tcPr>
            <w:tcW w:w="1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D10A0D">
            <w:pPr>
              <w:jc w:val="center"/>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sz w:val="24"/>
                <w:highlight w:val="none"/>
              </w:rPr>
              <w:t>备注</w:t>
            </w:r>
          </w:p>
        </w:tc>
        <w:tc>
          <w:tcPr>
            <w:tcW w:w="7625"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E15831">
            <w:pPr>
              <w:jc w:val="center"/>
              <w:rPr>
                <w:rFonts w:cs="宋体" w:asciiTheme="majorEastAsia" w:hAnsiTheme="majorEastAsia" w:eastAsiaTheme="majorEastAsia"/>
                <w:color w:val="auto"/>
                <w:sz w:val="24"/>
                <w:highlight w:val="none"/>
              </w:rPr>
            </w:pPr>
          </w:p>
          <w:p w14:paraId="00139DE5">
            <w:pPr>
              <w:rPr>
                <w:rFonts w:cs="宋体" w:asciiTheme="majorEastAsia" w:hAnsiTheme="majorEastAsia" w:eastAsiaTheme="majorEastAsia"/>
                <w:color w:val="auto"/>
                <w:highlight w:val="none"/>
              </w:rPr>
            </w:pPr>
          </w:p>
        </w:tc>
      </w:tr>
    </w:tbl>
    <w:p w14:paraId="068663E0">
      <w:pPr>
        <w:spacing w:line="480" w:lineRule="auto"/>
        <w:rPr>
          <w:rFonts w:cs="宋体" w:asciiTheme="majorEastAsia" w:hAnsiTheme="majorEastAsia" w:eastAsiaTheme="majorEastAsia"/>
          <w:color w:val="auto"/>
          <w:sz w:val="24"/>
          <w:highlight w:val="none"/>
        </w:rPr>
      </w:pPr>
    </w:p>
    <w:p w14:paraId="18C1439E">
      <w:pPr>
        <w:spacing w:line="480" w:lineRule="auto"/>
        <w:rPr>
          <w:rFonts w:cs="宋体" w:asciiTheme="majorEastAsia" w:hAnsiTheme="majorEastAsia" w:eastAsiaTheme="majorEastAsia"/>
          <w:b/>
          <w:color w:val="auto"/>
          <w:sz w:val="24"/>
          <w:highlight w:val="none"/>
        </w:rPr>
      </w:pPr>
    </w:p>
    <w:p w14:paraId="53A2B8B2">
      <w:pPr>
        <w:rPr>
          <w:rFonts w:cs="宋体" w:asciiTheme="majorEastAsia" w:hAnsiTheme="majorEastAsia" w:eastAsiaTheme="majorEastAsia"/>
          <w:b/>
          <w:color w:val="auto"/>
          <w:sz w:val="24"/>
          <w:highlight w:val="none"/>
        </w:rPr>
      </w:pPr>
      <w:r>
        <w:rPr>
          <w:rFonts w:hint="eastAsia" w:cs="宋体" w:asciiTheme="majorEastAsia" w:hAnsiTheme="majorEastAsia" w:eastAsiaTheme="majorEastAsia"/>
          <w:b/>
          <w:color w:val="auto"/>
          <w:sz w:val="24"/>
          <w:highlight w:val="none"/>
        </w:rPr>
        <w:br w:type="page"/>
      </w:r>
    </w:p>
    <w:p w14:paraId="66E98DF0">
      <w:pPr>
        <w:spacing w:line="480" w:lineRule="auto"/>
        <w:rPr>
          <w:rFonts w:hint="eastAsia" w:cs="宋体" w:asciiTheme="majorEastAsia" w:hAnsiTheme="majorEastAsia" w:eastAsiaTheme="majorEastAsia"/>
          <w:b/>
          <w:color w:val="auto"/>
          <w:sz w:val="24"/>
          <w:highlight w:val="none"/>
          <w:lang w:eastAsia="zh-CN"/>
        </w:rPr>
      </w:pPr>
      <w:r>
        <w:rPr>
          <w:rFonts w:hint="eastAsia" w:cs="宋体" w:asciiTheme="majorEastAsia" w:hAnsiTheme="majorEastAsia" w:eastAsiaTheme="majorEastAsia"/>
          <w:b/>
          <w:color w:val="auto"/>
          <w:sz w:val="24"/>
          <w:highlight w:val="none"/>
        </w:rPr>
        <w:t>（二）、相关材料</w:t>
      </w:r>
    </w:p>
    <w:tbl>
      <w:tblPr>
        <w:tblStyle w:val="20"/>
        <w:tblW w:w="0" w:type="auto"/>
        <w:tblInd w:w="-8" w:type="dxa"/>
        <w:tblLayout w:type="autofit"/>
        <w:tblCellMar>
          <w:top w:w="0" w:type="dxa"/>
          <w:left w:w="10" w:type="dxa"/>
          <w:bottom w:w="0" w:type="dxa"/>
          <w:right w:w="10" w:type="dxa"/>
        </w:tblCellMar>
      </w:tblPr>
      <w:tblGrid>
        <w:gridCol w:w="842"/>
        <w:gridCol w:w="6929"/>
        <w:gridCol w:w="1694"/>
      </w:tblGrid>
      <w:tr w14:paraId="15B46A0A">
        <w:tblPrEx>
          <w:tblCellMar>
            <w:top w:w="0" w:type="dxa"/>
            <w:left w:w="10" w:type="dxa"/>
            <w:bottom w:w="0" w:type="dxa"/>
            <w:right w:w="10" w:type="dxa"/>
          </w:tblCellMar>
        </w:tblPrEx>
        <w:trPr>
          <w:trHeight w:val="495" w:hRule="atLeast"/>
        </w:trPr>
        <w:tc>
          <w:tcPr>
            <w:tcW w:w="8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41B8FD">
            <w:pPr>
              <w:spacing w:line="360" w:lineRule="auto"/>
              <w:jc w:val="center"/>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序号</w:t>
            </w:r>
          </w:p>
        </w:tc>
        <w:tc>
          <w:tcPr>
            <w:tcW w:w="69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56E396">
            <w:pPr>
              <w:spacing w:line="360" w:lineRule="auto"/>
              <w:jc w:val="center"/>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名称</w:t>
            </w:r>
          </w:p>
        </w:tc>
        <w:tc>
          <w:tcPr>
            <w:tcW w:w="16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F0C3F9">
            <w:pPr>
              <w:jc w:val="center"/>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备注</w:t>
            </w:r>
          </w:p>
        </w:tc>
      </w:tr>
      <w:tr w14:paraId="5562B2EC">
        <w:tblPrEx>
          <w:tblCellMar>
            <w:top w:w="0" w:type="dxa"/>
            <w:left w:w="10" w:type="dxa"/>
            <w:bottom w:w="0" w:type="dxa"/>
            <w:right w:w="10" w:type="dxa"/>
          </w:tblCellMar>
        </w:tblPrEx>
        <w:trPr>
          <w:trHeight w:val="516" w:hRule="atLeast"/>
        </w:trPr>
        <w:tc>
          <w:tcPr>
            <w:tcW w:w="8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87821B">
            <w:pPr>
              <w:spacing w:line="360" w:lineRule="auto"/>
              <w:jc w:val="center"/>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1</w:t>
            </w:r>
          </w:p>
        </w:tc>
        <w:tc>
          <w:tcPr>
            <w:tcW w:w="69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F1C65B">
            <w:pPr>
              <w:spacing w:line="360" w:lineRule="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营业执照</w:t>
            </w:r>
          </w:p>
        </w:tc>
        <w:tc>
          <w:tcPr>
            <w:tcW w:w="16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9983E6">
            <w:pPr>
              <w:rPr>
                <w:rFonts w:cs="宋体" w:asciiTheme="majorEastAsia" w:hAnsiTheme="majorEastAsia" w:eastAsiaTheme="majorEastAsia"/>
                <w:color w:val="auto"/>
                <w:sz w:val="24"/>
                <w:szCs w:val="24"/>
                <w:highlight w:val="none"/>
              </w:rPr>
            </w:pPr>
          </w:p>
        </w:tc>
      </w:tr>
      <w:tr w14:paraId="28B88021">
        <w:tblPrEx>
          <w:tblCellMar>
            <w:top w:w="0" w:type="dxa"/>
            <w:left w:w="10" w:type="dxa"/>
            <w:bottom w:w="0" w:type="dxa"/>
            <w:right w:w="10" w:type="dxa"/>
          </w:tblCellMar>
        </w:tblPrEx>
        <w:trPr>
          <w:trHeight w:val="495" w:hRule="atLeast"/>
        </w:trPr>
        <w:tc>
          <w:tcPr>
            <w:tcW w:w="8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BC6DEE">
            <w:pPr>
              <w:spacing w:line="360" w:lineRule="auto"/>
              <w:jc w:val="center"/>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2</w:t>
            </w:r>
          </w:p>
        </w:tc>
        <w:tc>
          <w:tcPr>
            <w:tcW w:w="69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4F6FA9">
            <w:pPr>
              <w:spacing w:line="360" w:lineRule="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安全生产许可证</w:t>
            </w:r>
          </w:p>
        </w:tc>
        <w:tc>
          <w:tcPr>
            <w:tcW w:w="16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C2A839">
            <w:pPr>
              <w:rPr>
                <w:rFonts w:cs="宋体" w:asciiTheme="majorEastAsia" w:hAnsiTheme="majorEastAsia" w:eastAsiaTheme="majorEastAsia"/>
                <w:color w:val="auto"/>
                <w:sz w:val="24"/>
                <w:szCs w:val="24"/>
                <w:highlight w:val="none"/>
              </w:rPr>
            </w:pPr>
          </w:p>
        </w:tc>
      </w:tr>
      <w:tr w14:paraId="6041644B">
        <w:tblPrEx>
          <w:tblCellMar>
            <w:top w:w="0" w:type="dxa"/>
            <w:left w:w="10" w:type="dxa"/>
            <w:bottom w:w="0" w:type="dxa"/>
            <w:right w:w="10" w:type="dxa"/>
          </w:tblCellMar>
        </w:tblPrEx>
        <w:trPr>
          <w:trHeight w:val="450" w:hRule="atLeast"/>
        </w:trPr>
        <w:tc>
          <w:tcPr>
            <w:tcW w:w="8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C00B79">
            <w:pPr>
              <w:spacing w:line="360" w:lineRule="auto"/>
              <w:jc w:val="center"/>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3</w:t>
            </w:r>
          </w:p>
        </w:tc>
        <w:tc>
          <w:tcPr>
            <w:tcW w:w="69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498A33">
            <w:pPr>
              <w:spacing w:line="360" w:lineRule="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资质证书</w:t>
            </w:r>
          </w:p>
        </w:tc>
        <w:tc>
          <w:tcPr>
            <w:tcW w:w="16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655F7A">
            <w:pPr>
              <w:rPr>
                <w:rFonts w:cs="宋体" w:asciiTheme="majorEastAsia" w:hAnsiTheme="majorEastAsia" w:eastAsiaTheme="majorEastAsia"/>
                <w:color w:val="auto"/>
                <w:sz w:val="24"/>
                <w:szCs w:val="24"/>
                <w:highlight w:val="none"/>
              </w:rPr>
            </w:pPr>
          </w:p>
        </w:tc>
      </w:tr>
      <w:tr w14:paraId="477A503A">
        <w:tblPrEx>
          <w:tblCellMar>
            <w:top w:w="0" w:type="dxa"/>
            <w:left w:w="10" w:type="dxa"/>
            <w:bottom w:w="0" w:type="dxa"/>
            <w:right w:w="10" w:type="dxa"/>
          </w:tblCellMar>
        </w:tblPrEx>
        <w:trPr>
          <w:trHeight w:val="495" w:hRule="atLeast"/>
        </w:trPr>
        <w:tc>
          <w:tcPr>
            <w:tcW w:w="8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21E3C2">
            <w:pPr>
              <w:spacing w:line="360" w:lineRule="auto"/>
              <w:jc w:val="center"/>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4</w:t>
            </w:r>
          </w:p>
        </w:tc>
        <w:tc>
          <w:tcPr>
            <w:tcW w:w="69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21A97F">
            <w:pPr>
              <w:spacing w:line="360" w:lineRule="auto"/>
              <w:rPr>
                <w:rFonts w:hint="eastAsia" w:cs="宋体" w:asciiTheme="majorEastAsia" w:hAnsiTheme="majorEastAsia" w:eastAsiaTheme="majorEastAsia"/>
                <w:color w:val="auto"/>
                <w:sz w:val="24"/>
                <w:szCs w:val="24"/>
                <w:highlight w:val="none"/>
                <w:lang w:eastAsia="zh-CN"/>
              </w:rPr>
            </w:pPr>
            <w:r>
              <w:rPr>
                <w:rFonts w:hint="eastAsia" w:cs="宋体" w:asciiTheme="majorEastAsia" w:hAnsiTheme="majorEastAsia" w:eastAsiaTheme="majorEastAsia"/>
                <w:color w:val="auto"/>
                <w:sz w:val="24"/>
                <w:szCs w:val="24"/>
                <w:highlight w:val="none"/>
              </w:rPr>
              <w:t>项目经理注册建造师证、身份证、社会保险证明、安全生产考核合格证书</w:t>
            </w:r>
            <w:r>
              <w:rPr>
                <w:rFonts w:cs="宋体" w:asciiTheme="majorEastAsia" w:hAnsiTheme="majorEastAsia" w:eastAsiaTheme="majorEastAsia"/>
                <w:color w:val="auto"/>
                <w:sz w:val="24"/>
                <w:szCs w:val="24"/>
                <w:highlight w:val="none"/>
              </w:rPr>
              <w:t>B</w:t>
            </w:r>
            <w:r>
              <w:rPr>
                <w:rFonts w:hint="eastAsia" w:cs="宋体" w:asciiTheme="majorEastAsia" w:hAnsiTheme="majorEastAsia" w:eastAsiaTheme="majorEastAsia"/>
                <w:color w:val="auto"/>
                <w:sz w:val="24"/>
                <w:szCs w:val="24"/>
                <w:highlight w:val="none"/>
              </w:rPr>
              <w:t>证</w:t>
            </w:r>
            <w:r>
              <w:rPr>
                <w:rFonts w:hint="eastAsia" w:cs="宋体" w:asciiTheme="majorEastAsia" w:hAnsiTheme="majorEastAsia" w:eastAsiaTheme="majorEastAsia"/>
                <w:color w:val="auto"/>
                <w:sz w:val="24"/>
                <w:szCs w:val="24"/>
                <w:highlight w:val="none"/>
                <w:lang w:eastAsia="zh-CN"/>
              </w:rPr>
              <w:t>、未担任其他在建（包括已列为其他项目第一中标候选人、已中标未开工或已建成未竣工）建设工程项目</w:t>
            </w:r>
            <w:r>
              <w:rPr>
                <w:rFonts w:hint="eastAsia" w:cs="宋体" w:asciiTheme="majorEastAsia" w:hAnsiTheme="majorEastAsia" w:eastAsiaTheme="majorEastAsia"/>
                <w:color w:val="auto"/>
                <w:sz w:val="24"/>
                <w:szCs w:val="24"/>
                <w:highlight w:val="none"/>
                <w:lang w:val="en-US" w:eastAsia="zh-CN"/>
              </w:rPr>
              <w:t>的</w:t>
            </w:r>
            <w:r>
              <w:rPr>
                <w:rFonts w:hint="eastAsia" w:cs="宋体" w:asciiTheme="majorEastAsia" w:hAnsiTheme="majorEastAsia" w:eastAsiaTheme="majorEastAsia"/>
                <w:color w:val="auto"/>
                <w:sz w:val="24"/>
                <w:szCs w:val="24"/>
                <w:highlight w:val="none"/>
                <w:lang w:eastAsia="zh-CN"/>
              </w:rPr>
              <w:t>承诺函</w:t>
            </w:r>
          </w:p>
        </w:tc>
        <w:tc>
          <w:tcPr>
            <w:tcW w:w="16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99D963">
            <w:pPr>
              <w:rPr>
                <w:rFonts w:cs="宋体" w:asciiTheme="majorEastAsia" w:hAnsiTheme="majorEastAsia" w:eastAsiaTheme="majorEastAsia"/>
                <w:color w:val="auto"/>
                <w:sz w:val="24"/>
                <w:szCs w:val="24"/>
                <w:highlight w:val="none"/>
              </w:rPr>
            </w:pPr>
          </w:p>
        </w:tc>
      </w:tr>
      <w:tr w14:paraId="15B060D4">
        <w:tblPrEx>
          <w:tblCellMar>
            <w:top w:w="0" w:type="dxa"/>
            <w:left w:w="10" w:type="dxa"/>
            <w:bottom w:w="0" w:type="dxa"/>
            <w:right w:w="10" w:type="dxa"/>
          </w:tblCellMar>
        </w:tblPrEx>
        <w:trPr>
          <w:trHeight w:val="580" w:hRule="atLeast"/>
        </w:trPr>
        <w:tc>
          <w:tcPr>
            <w:tcW w:w="8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FCAF11">
            <w:pPr>
              <w:spacing w:line="360" w:lineRule="auto"/>
              <w:jc w:val="center"/>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5</w:t>
            </w:r>
          </w:p>
        </w:tc>
        <w:tc>
          <w:tcPr>
            <w:tcW w:w="69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664434">
            <w:pPr>
              <w:spacing w:line="360" w:lineRule="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授权委托人身份证及社会保险证明</w:t>
            </w:r>
          </w:p>
        </w:tc>
        <w:tc>
          <w:tcPr>
            <w:tcW w:w="16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F882BB">
            <w:pPr>
              <w:rPr>
                <w:rFonts w:cs="宋体" w:asciiTheme="majorEastAsia" w:hAnsiTheme="majorEastAsia" w:eastAsiaTheme="majorEastAsia"/>
                <w:color w:val="auto"/>
                <w:sz w:val="24"/>
                <w:szCs w:val="24"/>
                <w:highlight w:val="none"/>
              </w:rPr>
            </w:pPr>
          </w:p>
        </w:tc>
      </w:tr>
      <w:tr w14:paraId="394CE481">
        <w:tblPrEx>
          <w:tblCellMar>
            <w:top w:w="0" w:type="dxa"/>
            <w:left w:w="10" w:type="dxa"/>
            <w:bottom w:w="0" w:type="dxa"/>
            <w:right w:w="10" w:type="dxa"/>
          </w:tblCellMar>
        </w:tblPrEx>
        <w:trPr>
          <w:trHeight w:val="495" w:hRule="atLeast"/>
        </w:trPr>
        <w:tc>
          <w:tcPr>
            <w:tcW w:w="8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BE8A90">
            <w:pPr>
              <w:spacing w:line="360" w:lineRule="auto"/>
              <w:jc w:val="center"/>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6</w:t>
            </w:r>
          </w:p>
        </w:tc>
        <w:tc>
          <w:tcPr>
            <w:tcW w:w="69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C297A6">
            <w:pPr>
              <w:spacing w:line="360" w:lineRule="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项目技术负责人有效的身份证、职称证、社会保险证明</w:t>
            </w:r>
          </w:p>
        </w:tc>
        <w:tc>
          <w:tcPr>
            <w:tcW w:w="16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065C46">
            <w:pPr>
              <w:rPr>
                <w:rFonts w:cs="宋体" w:asciiTheme="majorEastAsia" w:hAnsiTheme="majorEastAsia" w:eastAsiaTheme="majorEastAsia"/>
                <w:color w:val="auto"/>
                <w:sz w:val="24"/>
                <w:szCs w:val="24"/>
                <w:highlight w:val="none"/>
              </w:rPr>
            </w:pPr>
          </w:p>
        </w:tc>
      </w:tr>
      <w:tr w14:paraId="6AD25EA0">
        <w:tblPrEx>
          <w:tblCellMar>
            <w:top w:w="0" w:type="dxa"/>
            <w:left w:w="10" w:type="dxa"/>
            <w:bottom w:w="0" w:type="dxa"/>
            <w:right w:w="10" w:type="dxa"/>
          </w:tblCellMar>
        </w:tblPrEx>
        <w:trPr>
          <w:trHeight w:val="470" w:hRule="atLeast"/>
        </w:trPr>
        <w:tc>
          <w:tcPr>
            <w:tcW w:w="8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41C821">
            <w:pPr>
              <w:spacing w:line="360" w:lineRule="auto"/>
              <w:jc w:val="center"/>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7</w:t>
            </w:r>
          </w:p>
        </w:tc>
        <w:tc>
          <w:tcPr>
            <w:tcW w:w="69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C2AB7A">
            <w:pPr>
              <w:spacing w:line="360" w:lineRule="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安全管理人员（专职安全生产管理人员）身份证、社会保险证明、安全生产考核合格证书</w:t>
            </w:r>
            <w:r>
              <w:rPr>
                <w:rFonts w:cs="宋体" w:asciiTheme="majorEastAsia" w:hAnsiTheme="majorEastAsia" w:eastAsiaTheme="majorEastAsia"/>
                <w:color w:val="auto"/>
                <w:sz w:val="24"/>
                <w:szCs w:val="24"/>
                <w:highlight w:val="none"/>
              </w:rPr>
              <w:t>C</w:t>
            </w:r>
            <w:r>
              <w:rPr>
                <w:rFonts w:hint="eastAsia" w:cs="宋体" w:asciiTheme="majorEastAsia" w:hAnsiTheme="majorEastAsia" w:eastAsiaTheme="majorEastAsia"/>
                <w:color w:val="auto"/>
                <w:sz w:val="24"/>
                <w:szCs w:val="24"/>
                <w:highlight w:val="none"/>
              </w:rPr>
              <w:t>证</w:t>
            </w:r>
          </w:p>
        </w:tc>
        <w:tc>
          <w:tcPr>
            <w:tcW w:w="16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A59A3A">
            <w:pPr>
              <w:rPr>
                <w:rFonts w:cs="宋体" w:asciiTheme="majorEastAsia" w:hAnsiTheme="majorEastAsia" w:eastAsiaTheme="majorEastAsia"/>
                <w:color w:val="auto"/>
                <w:sz w:val="24"/>
                <w:szCs w:val="24"/>
                <w:highlight w:val="none"/>
              </w:rPr>
            </w:pPr>
          </w:p>
        </w:tc>
      </w:tr>
      <w:tr w14:paraId="3C7AF55B">
        <w:tblPrEx>
          <w:tblCellMar>
            <w:top w:w="0" w:type="dxa"/>
            <w:left w:w="10" w:type="dxa"/>
            <w:bottom w:w="0" w:type="dxa"/>
            <w:right w:w="10" w:type="dxa"/>
          </w:tblCellMar>
        </w:tblPrEx>
        <w:trPr>
          <w:trHeight w:val="605" w:hRule="atLeast"/>
        </w:trPr>
        <w:tc>
          <w:tcPr>
            <w:tcW w:w="8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9D8B9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69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83D2DC">
            <w:pPr>
              <w:spacing w:line="360" w:lineRule="auto"/>
              <w:rPr>
                <w:rFonts w:ascii="宋体" w:hAnsi="宋体"/>
                <w:color w:val="auto"/>
                <w:sz w:val="24"/>
                <w:highlight w:val="none"/>
              </w:rPr>
            </w:pPr>
            <w:r>
              <w:rPr>
                <w:rFonts w:hint="eastAsia" w:ascii="宋体" w:hAnsi="宋体"/>
                <w:color w:val="auto"/>
                <w:sz w:val="24"/>
                <w:highlight w:val="none"/>
              </w:rPr>
              <w:t>……</w:t>
            </w:r>
          </w:p>
        </w:tc>
        <w:tc>
          <w:tcPr>
            <w:tcW w:w="16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CA7BC0">
            <w:pPr>
              <w:rPr>
                <w:rFonts w:cs="宋体" w:asciiTheme="majorEastAsia" w:hAnsiTheme="majorEastAsia" w:eastAsiaTheme="majorEastAsia"/>
                <w:color w:val="auto"/>
                <w:sz w:val="24"/>
                <w:szCs w:val="24"/>
                <w:highlight w:val="none"/>
              </w:rPr>
            </w:pPr>
          </w:p>
        </w:tc>
      </w:tr>
    </w:tbl>
    <w:p w14:paraId="6581F58E">
      <w:pPr>
        <w:spacing w:line="360" w:lineRule="auto"/>
        <w:ind w:firstLine="48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注：</w:t>
      </w:r>
    </w:p>
    <w:p w14:paraId="5DB9EA7C">
      <w:pPr>
        <w:pStyle w:val="46"/>
        <w:numPr>
          <w:ilvl w:val="0"/>
          <w:numId w:val="3"/>
        </w:numPr>
        <w:spacing w:line="360" w:lineRule="auto"/>
        <w:ind w:firstLineChars="0"/>
        <w:rPr>
          <w:rFonts w:cs="宋体" w:asciiTheme="majorEastAsia" w:hAnsiTheme="majorEastAsia" w:eastAsiaTheme="majorEastAsia"/>
          <w:b w:val="0"/>
          <w:bCs w:val="0"/>
          <w:color w:val="auto"/>
          <w:sz w:val="24"/>
          <w:highlight w:val="none"/>
        </w:rPr>
      </w:pPr>
      <w:r>
        <w:rPr>
          <w:rFonts w:hint="eastAsia" w:cs="宋体" w:asciiTheme="majorEastAsia" w:hAnsiTheme="majorEastAsia" w:eastAsiaTheme="majorEastAsia"/>
          <w:b w:val="0"/>
          <w:bCs w:val="0"/>
          <w:color w:val="auto"/>
          <w:sz w:val="24"/>
          <w:highlight w:val="none"/>
        </w:rPr>
        <w:t>上表内容仅供参考，投标人应根据招标文件要求自行填写，表格可扩展。</w:t>
      </w:r>
    </w:p>
    <w:p w14:paraId="24079491">
      <w:pPr>
        <w:pStyle w:val="46"/>
        <w:widowControl/>
        <w:numPr>
          <w:ilvl w:val="255"/>
          <w:numId w:val="0"/>
        </w:numPr>
        <w:spacing w:line="360" w:lineRule="auto"/>
        <w:ind w:left="480"/>
        <w:jc w:val="left"/>
        <w:rPr>
          <w:rFonts w:cs="宋体" w:asciiTheme="majorEastAsia" w:hAnsiTheme="majorEastAsia" w:eastAsiaTheme="majorEastAsia"/>
          <w:b w:val="0"/>
          <w:bCs w:val="0"/>
          <w:color w:val="auto"/>
          <w:sz w:val="24"/>
          <w:highlight w:val="none"/>
        </w:rPr>
      </w:pPr>
      <w:r>
        <w:rPr>
          <w:rFonts w:hint="eastAsia" w:cs="宋体" w:asciiTheme="majorEastAsia" w:hAnsiTheme="majorEastAsia" w:eastAsiaTheme="majorEastAsia"/>
          <w:b w:val="0"/>
          <w:bCs w:val="0"/>
          <w:color w:val="auto"/>
          <w:sz w:val="24"/>
          <w:highlight w:val="none"/>
        </w:rPr>
        <w:t>2.投标人参与此项目的所有人员（包括授权委托人）应提供在本单位缴纳的社会保险证明（</w:t>
      </w:r>
      <w:r>
        <w:rPr>
          <w:rFonts w:hint="eastAsia" w:cs="宋体" w:asciiTheme="majorEastAsia" w:hAnsiTheme="majorEastAsia" w:eastAsiaTheme="majorEastAsia"/>
          <w:b w:val="0"/>
          <w:bCs w:val="0"/>
          <w:color w:val="auto"/>
          <w:sz w:val="24"/>
          <w:highlight w:val="none"/>
          <w:lang w:val="en-US" w:eastAsia="zh-CN"/>
        </w:rPr>
        <w:t>近3</w:t>
      </w:r>
      <w:r>
        <w:rPr>
          <w:rFonts w:hint="eastAsia" w:cs="宋体" w:asciiTheme="majorEastAsia" w:hAnsiTheme="majorEastAsia" w:eastAsiaTheme="majorEastAsia"/>
          <w:b w:val="0"/>
          <w:bCs w:val="0"/>
          <w:color w:val="auto"/>
          <w:sz w:val="24"/>
          <w:highlight w:val="none"/>
          <w:lang w:eastAsia="zh-CN"/>
        </w:rPr>
        <w:t>个月</w:t>
      </w:r>
      <w:r>
        <w:rPr>
          <w:rFonts w:hint="eastAsia" w:cs="宋体" w:asciiTheme="majorEastAsia" w:hAnsiTheme="majorEastAsia" w:eastAsiaTheme="majorEastAsia"/>
          <w:b w:val="0"/>
          <w:bCs w:val="0"/>
          <w:color w:val="auto"/>
          <w:sz w:val="24"/>
          <w:highlight w:val="none"/>
        </w:rPr>
        <w:t>，必须</w:t>
      </w:r>
      <w:r>
        <w:rPr>
          <w:rFonts w:hint="eastAsia" w:cs="宋体" w:asciiTheme="majorEastAsia" w:hAnsiTheme="majorEastAsia" w:eastAsiaTheme="majorEastAsia"/>
          <w:b w:val="0"/>
          <w:bCs w:val="0"/>
          <w:color w:val="auto"/>
          <w:sz w:val="24"/>
          <w:highlight w:val="none"/>
          <w:lang w:eastAsia="zh-CN"/>
        </w:rPr>
        <w:t>包</w:t>
      </w:r>
      <w:r>
        <w:rPr>
          <w:rFonts w:hint="eastAsia" w:cs="宋体" w:asciiTheme="majorEastAsia" w:hAnsiTheme="majorEastAsia" w:eastAsiaTheme="majorEastAsia"/>
          <w:b w:val="0"/>
          <w:bCs w:val="0"/>
          <w:color w:val="auto"/>
          <w:sz w:val="24"/>
          <w:highlight w:val="none"/>
        </w:rPr>
        <w:t>含</w:t>
      </w:r>
      <w:r>
        <w:rPr>
          <w:rFonts w:hint="eastAsia" w:cs="宋体" w:asciiTheme="majorEastAsia" w:hAnsiTheme="majorEastAsia" w:eastAsiaTheme="majorEastAsia"/>
          <w:b w:val="0"/>
          <w:bCs w:val="0"/>
          <w:color w:val="auto"/>
          <w:sz w:val="24"/>
          <w:highlight w:val="none"/>
          <w:lang w:val="en-US" w:eastAsia="zh-CN"/>
        </w:rPr>
        <w:t>2025年10月</w:t>
      </w:r>
      <w:r>
        <w:rPr>
          <w:rFonts w:hint="eastAsia" w:cs="宋体" w:asciiTheme="majorEastAsia" w:hAnsiTheme="majorEastAsia" w:eastAsiaTheme="majorEastAsia"/>
          <w:b w:val="0"/>
          <w:bCs w:val="0"/>
          <w:color w:val="auto"/>
          <w:sz w:val="24"/>
          <w:highlight w:val="none"/>
        </w:rPr>
        <w:t>社保证明扫描件）</w:t>
      </w:r>
      <w:r>
        <w:rPr>
          <w:rFonts w:hint="eastAsia" w:cs="宋体" w:asciiTheme="majorEastAsia" w:hAnsiTheme="majorEastAsia" w:eastAsiaTheme="majorEastAsia"/>
          <w:b w:val="0"/>
          <w:bCs w:val="0"/>
          <w:color w:val="auto"/>
          <w:sz w:val="24"/>
          <w:highlight w:val="none"/>
          <w:lang w:eastAsia="zh-CN"/>
        </w:rPr>
        <w:t>，</w:t>
      </w:r>
      <w:r>
        <w:rPr>
          <w:rFonts w:hint="eastAsia" w:ascii="宋体" w:hAnsi="宋体" w:cs="宋体"/>
          <w:b w:val="0"/>
          <w:bCs w:val="0"/>
          <w:color w:val="000000"/>
          <w:sz w:val="24"/>
          <w:highlight w:val="none"/>
        </w:rPr>
        <w:t>如为退休人员无社会保险关系证明的，则需提供其退休证及返聘证明。</w:t>
      </w:r>
    </w:p>
    <w:p w14:paraId="5E38FAE7">
      <w:pPr>
        <w:pStyle w:val="46"/>
        <w:spacing w:line="480" w:lineRule="auto"/>
        <w:ind w:left="840" w:firstLine="0" w:firstLineChars="0"/>
        <w:rPr>
          <w:rFonts w:cs="宋体" w:asciiTheme="majorEastAsia" w:hAnsiTheme="majorEastAsia" w:eastAsiaTheme="majorEastAsia"/>
          <w:b/>
          <w:color w:val="auto"/>
          <w:sz w:val="24"/>
          <w:highlight w:val="none"/>
        </w:rPr>
      </w:pPr>
    </w:p>
    <w:p w14:paraId="2CE7A940">
      <w:pPr>
        <w:pStyle w:val="46"/>
        <w:spacing w:line="480" w:lineRule="auto"/>
        <w:ind w:left="840" w:firstLine="0" w:firstLineChars="0"/>
        <w:rPr>
          <w:rFonts w:cs="宋体" w:asciiTheme="majorEastAsia" w:hAnsiTheme="majorEastAsia" w:eastAsiaTheme="majorEastAsia"/>
          <w:b/>
          <w:color w:val="auto"/>
          <w:sz w:val="24"/>
          <w:highlight w:val="none"/>
        </w:rPr>
      </w:pPr>
    </w:p>
    <w:p w14:paraId="6B423E9B">
      <w:pPr>
        <w:pStyle w:val="46"/>
        <w:spacing w:line="480" w:lineRule="auto"/>
        <w:ind w:left="840" w:firstLine="0" w:firstLineChars="0"/>
        <w:rPr>
          <w:rFonts w:cs="宋体" w:asciiTheme="majorEastAsia" w:hAnsiTheme="majorEastAsia" w:eastAsiaTheme="majorEastAsia"/>
          <w:b/>
          <w:color w:val="auto"/>
          <w:sz w:val="24"/>
          <w:highlight w:val="none"/>
        </w:rPr>
      </w:pPr>
    </w:p>
    <w:p w14:paraId="702B54D0">
      <w:pPr>
        <w:spacing w:line="480" w:lineRule="auto"/>
        <w:ind w:firstLine="480"/>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br w:type="page"/>
      </w:r>
    </w:p>
    <w:p w14:paraId="3768C7EC">
      <w:pPr>
        <w:spacing w:line="360" w:lineRule="auto"/>
        <w:jc w:val="center"/>
        <w:rPr>
          <w:rFonts w:asciiTheme="majorEastAsia" w:hAnsiTheme="majorEastAsia" w:eastAsiaTheme="majorEastAsia"/>
          <w:b/>
          <w:color w:val="auto"/>
          <w:sz w:val="28"/>
          <w:highlight w:val="none"/>
        </w:rPr>
      </w:pPr>
      <w:r>
        <w:rPr>
          <w:rFonts w:hint="eastAsia" w:cs="宋体" w:asciiTheme="majorEastAsia" w:hAnsiTheme="majorEastAsia" w:eastAsiaTheme="majorEastAsia"/>
          <w:b/>
          <w:color w:val="auto"/>
          <w:sz w:val="32"/>
          <w:highlight w:val="none"/>
          <w:lang w:val="en-US" w:eastAsia="zh-CN"/>
        </w:rPr>
        <w:t>七</w:t>
      </w:r>
      <w:r>
        <w:rPr>
          <w:rFonts w:hint="eastAsia" w:cs="宋体" w:asciiTheme="majorEastAsia" w:hAnsiTheme="majorEastAsia" w:eastAsiaTheme="majorEastAsia"/>
          <w:b/>
          <w:color w:val="auto"/>
          <w:sz w:val="32"/>
          <w:highlight w:val="none"/>
        </w:rPr>
        <w:t>、</w:t>
      </w:r>
      <w:r>
        <w:rPr>
          <w:rFonts w:hint="eastAsia" w:cs="宋体" w:asciiTheme="majorEastAsia" w:hAnsiTheme="majorEastAsia" w:eastAsiaTheme="majorEastAsia"/>
          <w:b/>
          <w:color w:val="auto"/>
          <w:sz w:val="28"/>
          <w:highlight w:val="none"/>
        </w:rPr>
        <w:t>投标承诺书</w:t>
      </w:r>
    </w:p>
    <w:p w14:paraId="1F291990">
      <w:pPr>
        <w:spacing w:line="360" w:lineRule="auto"/>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致：</w:t>
      </w:r>
      <w:r>
        <w:rPr>
          <w:rFonts w:hint="eastAsia" w:cs="宋体" w:asciiTheme="majorEastAsia" w:hAnsiTheme="majorEastAsia" w:eastAsiaTheme="majorEastAsia"/>
          <w:color w:val="auto"/>
          <w:sz w:val="24"/>
          <w:highlight w:val="none"/>
          <w:u w:val="single"/>
          <w:lang w:val="en-US" w:eastAsia="zh-CN"/>
        </w:rPr>
        <w:t xml:space="preserve">       </w:t>
      </w:r>
      <w:r>
        <w:rPr>
          <w:rFonts w:hint="eastAsia" w:cs="宋体" w:asciiTheme="majorEastAsia" w:hAnsiTheme="majorEastAsia" w:eastAsiaTheme="majorEastAsia"/>
          <w:color w:val="auto"/>
          <w:sz w:val="24"/>
          <w:highlight w:val="none"/>
          <w:u w:val="single"/>
        </w:rPr>
        <w:t>（招标人）</w:t>
      </w:r>
    </w:p>
    <w:p w14:paraId="65F08431">
      <w:pPr>
        <w:adjustRightInd w:val="0"/>
        <w:snapToGrid w:val="0"/>
        <w:spacing w:line="360" w:lineRule="auto"/>
        <w:ind w:firstLine="480" w:firstLineChars="20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 xml:space="preserve">我方现参加 </w:t>
      </w:r>
      <w:r>
        <w:rPr>
          <w:rFonts w:hint="eastAsia" w:cs="宋体" w:asciiTheme="majorEastAsia" w:hAnsiTheme="majorEastAsia" w:eastAsiaTheme="majorEastAsia"/>
          <w:color w:val="auto"/>
          <w:sz w:val="24"/>
          <w:highlight w:val="none"/>
          <w:u w:val="single"/>
        </w:rPr>
        <w:t xml:space="preserve">  </w:t>
      </w:r>
      <w:r>
        <w:rPr>
          <w:rFonts w:hint="eastAsia" w:cs="宋体" w:asciiTheme="majorEastAsia" w:hAnsiTheme="majorEastAsia" w:eastAsiaTheme="majorEastAsia"/>
          <w:color w:val="auto"/>
          <w:sz w:val="24"/>
          <w:highlight w:val="none"/>
          <w:u w:val="single"/>
          <w:lang w:val="en-US" w:eastAsia="zh-CN"/>
        </w:rPr>
        <w:t xml:space="preserve">  </w:t>
      </w:r>
      <w:r>
        <w:rPr>
          <w:rFonts w:hint="eastAsia" w:cs="宋体" w:asciiTheme="majorEastAsia" w:hAnsiTheme="majorEastAsia" w:eastAsiaTheme="majorEastAsia"/>
          <w:color w:val="auto"/>
          <w:sz w:val="24"/>
          <w:highlight w:val="none"/>
          <w:u w:val="single"/>
        </w:rPr>
        <w:t xml:space="preserve">  (项目名称)</w:t>
      </w:r>
      <w:r>
        <w:rPr>
          <w:rFonts w:hint="eastAsia" w:cs="宋体" w:asciiTheme="majorEastAsia" w:hAnsiTheme="majorEastAsia" w:eastAsiaTheme="majorEastAsia"/>
          <w:color w:val="auto"/>
          <w:sz w:val="24"/>
          <w:highlight w:val="none"/>
        </w:rPr>
        <w:t xml:space="preserve"> 招标及合同文件项目投标，如我方中标，为确保按时、保质、保量完成项目任务，特此作出如下承诺：</w:t>
      </w:r>
    </w:p>
    <w:p w14:paraId="5A79238D">
      <w:pPr>
        <w:adjustRightInd w:val="0"/>
        <w:snapToGrid w:val="0"/>
        <w:spacing w:line="360" w:lineRule="auto"/>
        <w:ind w:firstLine="480" w:firstLineChars="20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kern w:val="0"/>
          <w:sz w:val="24"/>
          <w:highlight w:val="none"/>
        </w:rPr>
        <w:t>1.我方保证</w:t>
      </w:r>
      <w:r>
        <w:rPr>
          <w:rFonts w:hint="eastAsia" w:cs="宋体" w:asciiTheme="majorEastAsia" w:hAnsiTheme="majorEastAsia" w:eastAsiaTheme="majorEastAsia"/>
          <w:color w:val="auto"/>
          <w:sz w:val="24"/>
          <w:highlight w:val="none"/>
        </w:rPr>
        <w:t>在工期</w:t>
      </w:r>
      <w:r>
        <w:rPr>
          <w:rFonts w:hint="eastAsia" w:cs="宋体" w:asciiTheme="majorEastAsia" w:hAnsiTheme="majorEastAsia" w:eastAsiaTheme="majorEastAsia"/>
          <w:color w:val="auto"/>
          <w:sz w:val="24"/>
          <w:highlight w:val="none"/>
          <w:u w:val="single"/>
          <w:lang w:val="en-US" w:eastAsia="zh-CN"/>
        </w:rPr>
        <w:t xml:space="preserve">     </w:t>
      </w:r>
      <w:r>
        <w:rPr>
          <w:rFonts w:hint="eastAsia" w:cs="宋体" w:asciiTheme="majorEastAsia" w:hAnsiTheme="majorEastAsia" w:eastAsiaTheme="majorEastAsia"/>
          <w:color w:val="auto"/>
          <w:sz w:val="24"/>
          <w:highlight w:val="none"/>
        </w:rPr>
        <w:t>日历天内，按合同约定实施和完成工程任务，修补工程中任何缺陷。</w:t>
      </w:r>
    </w:p>
    <w:p w14:paraId="3DACC1A8">
      <w:pPr>
        <w:adjustRightInd w:val="0"/>
        <w:snapToGrid w:val="0"/>
        <w:spacing w:line="360" w:lineRule="auto"/>
        <w:ind w:firstLine="480" w:firstLineChars="20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2.我方保证工程质量达到合格。</w:t>
      </w:r>
    </w:p>
    <w:p w14:paraId="5A37E045">
      <w:pPr>
        <w:adjustRightInd w:val="0"/>
        <w:snapToGrid w:val="0"/>
        <w:spacing w:line="360" w:lineRule="auto"/>
        <w:ind w:firstLine="480" w:firstLineChars="20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3.我方保证在中标候选人公示期满后3个工作日内按韶关市公共资源交易中心的规定办理相关手续后领取中标通知书。</w:t>
      </w:r>
    </w:p>
    <w:p w14:paraId="65120A08">
      <w:pPr>
        <w:adjustRightInd w:val="0"/>
        <w:snapToGrid w:val="0"/>
        <w:spacing w:line="360" w:lineRule="auto"/>
        <w:ind w:firstLine="480" w:firstLineChars="20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4.我方保证自收到中标通知书后30天内与招标人签订书面合同。</w:t>
      </w:r>
    </w:p>
    <w:p w14:paraId="471CF8BA">
      <w:pPr>
        <w:adjustRightInd w:val="0"/>
        <w:snapToGrid w:val="0"/>
        <w:spacing w:line="360" w:lineRule="auto"/>
        <w:ind w:firstLine="480" w:firstLineChars="20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5.我方保证在签订合同之日起一个月内按《韶关市工程建设领域农民工工资保证金管理实施细则》（韶法审〔2023〕19号）规定办理工资保证金登记手续。</w:t>
      </w:r>
    </w:p>
    <w:p w14:paraId="1F6D4FE6">
      <w:pPr>
        <w:adjustRightInd w:val="0"/>
        <w:snapToGrid w:val="0"/>
        <w:spacing w:line="360" w:lineRule="auto"/>
        <w:ind w:firstLine="480" w:firstLineChars="200"/>
        <w:rPr>
          <w:rFonts w:hint="eastAsia"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6.项目人员管理承诺：</w:t>
      </w:r>
    </w:p>
    <w:p w14:paraId="014CC24F">
      <w:pPr>
        <w:adjustRightInd w:val="0"/>
        <w:snapToGrid w:val="0"/>
        <w:spacing w:line="360" w:lineRule="auto"/>
        <w:ind w:firstLine="480" w:firstLineChars="200"/>
        <w:rPr>
          <w:rFonts w:hint="eastAsia"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(1)投标文件中拟派的项目经理、技术负责人及拟投和本项目的其他管理人员全部进驻本项目管理部且所有人员保证依时参加由招标人组织的现场踏勘协调、安全生产、等会议。</w:t>
      </w:r>
    </w:p>
    <w:p w14:paraId="1A23CD9D">
      <w:pPr>
        <w:adjustRightInd w:val="0"/>
        <w:snapToGrid w:val="0"/>
        <w:spacing w:line="360" w:lineRule="auto"/>
        <w:ind w:firstLine="480" w:firstLineChars="200"/>
        <w:rPr>
          <w:rFonts w:hint="eastAsia"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(2)我方保证派项目经理及技术负责人长驻施工现场进行施工现场指导并参加监理例会以便配合与解决与工程有关的一切业务问题。</w:t>
      </w:r>
    </w:p>
    <w:p w14:paraId="7978200B">
      <w:pPr>
        <w:adjustRightInd w:val="0"/>
        <w:snapToGrid w:val="0"/>
        <w:spacing w:line="360" w:lineRule="auto"/>
        <w:ind w:firstLine="480" w:firstLineChars="200"/>
        <w:rPr>
          <w:rFonts w:hint="eastAsia"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(3)我方保证：未经招标人批准不得更换投标文件中所到本项目的专业技术人员。</w:t>
      </w:r>
    </w:p>
    <w:p w14:paraId="239881D5">
      <w:pPr>
        <w:adjustRightInd w:val="0"/>
        <w:snapToGrid w:val="0"/>
        <w:spacing w:line="360" w:lineRule="auto"/>
        <w:ind w:firstLine="480" w:firstLineChars="200"/>
        <w:rPr>
          <w:rFonts w:hint="eastAsia"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若我方违反上述任何条款均视为违约，如经过三次整改或警告仍未彻底解决问题，招标人有权解除合同并上报行业主管部门作不良记录处理，我方承担由此造成的所有责任及经济损失。</w:t>
      </w:r>
    </w:p>
    <w:p w14:paraId="4008006D">
      <w:pPr>
        <w:adjustRightInd w:val="0"/>
        <w:snapToGrid w:val="0"/>
        <w:spacing w:line="360" w:lineRule="auto"/>
        <w:ind w:firstLine="480" w:firstLineChars="200"/>
        <w:rPr>
          <w:rFonts w:hint="eastAsia"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(4)我方保证所有参与本项目的专用技术人员均为我方员工，绝不转包或临时聘用临时闲散参与其中。若我方违反该条款将视为违约，招标人有权解除合同且可将我方列入企业不良行为记录，并承担所有由此引起的责任及经济损失。</w:t>
      </w:r>
    </w:p>
    <w:p w14:paraId="2521E5BB">
      <w:pPr>
        <w:adjustRightInd w:val="0"/>
        <w:snapToGrid w:val="0"/>
        <w:spacing w:line="360" w:lineRule="auto"/>
        <w:ind w:firstLine="480" w:firstLineChars="20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lang w:val="en-US" w:eastAsia="zh-CN"/>
        </w:rPr>
        <w:t>7</w:t>
      </w:r>
      <w:r>
        <w:rPr>
          <w:rFonts w:hint="eastAsia" w:cs="宋体" w:asciiTheme="majorEastAsia" w:hAnsiTheme="majorEastAsia" w:eastAsiaTheme="majorEastAsia"/>
          <w:color w:val="auto"/>
          <w:sz w:val="24"/>
          <w:highlight w:val="none"/>
        </w:rPr>
        <w:t>.工人工资支付分账管理内容</w:t>
      </w:r>
    </w:p>
    <w:p w14:paraId="0BF5268F">
      <w:pPr>
        <w:spacing w:line="360" w:lineRule="auto"/>
        <w:ind w:firstLine="48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依据人力资源社会保障部等十部门关于印发《工程建设领域农民工工资专用账户管理暂行办法》的通知（人社部发〔2021〕53号），总包单位应当在工程施工合同签订之日起 30 日内开立专用账户，并与建设单位、开户银行签订资金管理三方协议。专用账户名称为总包单位名称加工程建设项目名称后加“农民工工资专用账户”。总包单位应当在专用账户开立后的 30 日内报项目所在地专用账户监管部门备案。若未按该办法执行，将上报省市</w:t>
      </w:r>
      <w:r>
        <w:rPr>
          <w:rFonts w:hint="eastAsia" w:cs="宋体" w:asciiTheme="majorEastAsia" w:hAnsiTheme="majorEastAsia" w:eastAsiaTheme="majorEastAsia"/>
          <w:color w:val="auto"/>
          <w:sz w:val="24"/>
          <w:highlight w:val="none"/>
          <w:lang w:eastAsia="zh-CN"/>
        </w:rPr>
        <w:t>水利行政主管部门</w:t>
      </w:r>
      <w:r>
        <w:rPr>
          <w:rFonts w:hint="eastAsia" w:cs="宋体" w:asciiTheme="majorEastAsia" w:hAnsiTheme="majorEastAsia" w:eastAsiaTheme="majorEastAsia"/>
          <w:color w:val="auto"/>
          <w:sz w:val="24"/>
          <w:highlight w:val="none"/>
        </w:rPr>
        <w:t>将此行为列入不良信用记录。</w:t>
      </w:r>
    </w:p>
    <w:p w14:paraId="01BBEA94">
      <w:pPr>
        <w:spacing w:line="360" w:lineRule="auto"/>
        <w:ind w:firstLine="48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若我方未遵守上述承诺，招标人有权取消我方中标资格并上报上级行业主管部门（韶关市水务局）作不良信用记录处理，将我方列入企业不良行为记录，并承担所有由此引起的责任及经济损失。</w:t>
      </w:r>
    </w:p>
    <w:p w14:paraId="2552ED5E">
      <w:pPr>
        <w:spacing w:line="360" w:lineRule="auto"/>
        <w:ind w:firstLine="420"/>
        <w:rPr>
          <w:rFonts w:cs="宋体" w:asciiTheme="majorEastAsia" w:hAnsiTheme="majorEastAsia" w:eastAsiaTheme="majorEastAsia"/>
          <w:color w:val="auto"/>
          <w:highlight w:val="none"/>
        </w:rPr>
      </w:pPr>
    </w:p>
    <w:p w14:paraId="7329098A">
      <w:pPr>
        <w:spacing w:line="360" w:lineRule="auto"/>
        <w:ind w:firstLine="420"/>
        <w:rPr>
          <w:rFonts w:cs="宋体" w:asciiTheme="majorEastAsia" w:hAnsiTheme="majorEastAsia" w:eastAsiaTheme="majorEastAsia"/>
          <w:color w:val="auto"/>
          <w:highlight w:val="none"/>
        </w:rPr>
      </w:pPr>
    </w:p>
    <w:p w14:paraId="32D78F27">
      <w:pPr>
        <w:widowControl/>
        <w:spacing w:line="480" w:lineRule="auto"/>
        <w:ind w:firstLine="480" w:firstLineChars="200"/>
        <w:jc w:val="right"/>
        <w:rPr>
          <w:rFonts w:hint="eastAsia" w:ascii="宋体" w:hAnsi="宋体" w:cs="宋体"/>
          <w:color w:val="000000"/>
          <w:sz w:val="24"/>
          <w:highlight w:val="none"/>
        </w:rPr>
      </w:pPr>
      <w:r>
        <w:rPr>
          <w:rFonts w:hint="eastAsia" w:ascii="宋体" w:hAnsi="宋体" w:cs="宋体"/>
          <w:color w:val="000000"/>
          <w:sz w:val="24"/>
          <w:highlight w:val="none"/>
        </w:rPr>
        <w:t>投标人：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（盖单位章）</w:t>
      </w:r>
    </w:p>
    <w:p w14:paraId="05A0BD4F">
      <w:pPr>
        <w:widowControl/>
        <w:spacing w:line="480" w:lineRule="auto"/>
        <w:ind w:firstLine="480" w:firstLineChars="200"/>
        <w:jc w:val="right"/>
        <w:rPr>
          <w:rFonts w:hint="eastAsia" w:ascii="宋体" w:hAnsi="宋体" w:cs="宋体"/>
          <w:color w:val="000000"/>
          <w:sz w:val="24"/>
          <w:highlight w:val="none"/>
        </w:rPr>
      </w:pPr>
      <w:r>
        <w:rPr>
          <w:rFonts w:hint="eastAsia" w:ascii="宋体" w:hAnsi="宋体" w:cs="宋体"/>
          <w:color w:val="000000"/>
          <w:sz w:val="24"/>
          <w:highlight w:val="none"/>
        </w:rPr>
        <w:t>法定代表人（或授权委托人）：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（签字）</w:t>
      </w:r>
    </w:p>
    <w:p w14:paraId="5B696AE0">
      <w:pPr>
        <w:widowControl/>
        <w:spacing w:line="480" w:lineRule="auto"/>
        <w:ind w:right="480" w:firstLine="5400" w:firstLineChars="2250"/>
        <w:rPr>
          <w:rFonts w:hint="eastAsia" w:ascii="宋体" w:hAnsi="宋体" w:cs="宋体"/>
          <w:b/>
          <w:color w:val="000000"/>
          <w:sz w:val="32"/>
          <w:szCs w:val="32"/>
          <w:highlight w:val="none"/>
        </w:rPr>
      </w:pP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w:t>
      </w:r>
    </w:p>
    <w:p w14:paraId="1BEB5597">
      <w:pPr>
        <w:pStyle w:val="41"/>
        <w:rPr>
          <w:rFonts w:cs="宋体" w:asciiTheme="majorEastAsia" w:hAnsiTheme="majorEastAsia" w:eastAsiaTheme="majorEastAsia"/>
          <w:color w:val="auto"/>
          <w:sz w:val="24"/>
          <w:szCs w:val="24"/>
          <w:highlight w:val="none"/>
        </w:rPr>
      </w:pPr>
    </w:p>
    <w:p w14:paraId="69D66AE8">
      <w:pPr>
        <w:pStyle w:val="41"/>
        <w:rPr>
          <w:rFonts w:cs="宋体" w:asciiTheme="majorEastAsia" w:hAnsiTheme="majorEastAsia" w:eastAsiaTheme="majorEastAsia"/>
          <w:color w:val="auto"/>
          <w:sz w:val="24"/>
          <w:szCs w:val="24"/>
          <w:highlight w:val="none"/>
        </w:rPr>
      </w:pPr>
    </w:p>
    <w:p w14:paraId="35B66D48">
      <w:pPr>
        <w:rPr>
          <w:rFonts w:cs="宋体" w:asciiTheme="majorEastAsia" w:hAnsiTheme="majorEastAsia" w:eastAsiaTheme="majorEastAsia"/>
          <w:color w:val="auto"/>
          <w:sz w:val="24"/>
          <w:highlight w:val="none"/>
        </w:rPr>
      </w:pPr>
      <w:r>
        <w:rPr>
          <w:rFonts w:cs="宋体" w:asciiTheme="majorEastAsia" w:hAnsiTheme="majorEastAsia" w:eastAsiaTheme="majorEastAsia"/>
          <w:color w:val="auto"/>
          <w:sz w:val="24"/>
          <w:highlight w:val="none"/>
        </w:rPr>
        <w:br w:type="page"/>
      </w:r>
    </w:p>
    <w:p w14:paraId="4A9C394E">
      <w:pPr>
        <w:spacing w:line="480" w:lineRule="auto"/>
        <w:jc w:val="center"/>
        <w:rPr>
          <w:rFonts w:cs="宋体" w:asciiTheme="majorEastAsia" w:hAnsiTheme="majorEastAsia" w:eastAsiaTheme="majorEastAsia"/>
          <w:b/>
          <w:color w:val="auto"/>
          <w:sz w:val="32"/>
          <w:highlight w:val="none"/>
        </w:rPr>
      </w:pPr>
      <w:r>
        <w:rPr>
          <w:rFonts w:hint="eastAsia" w:cs="宋体" w:asciiTheme="majorEastAsia" w:hAnsiTheme="majorEastAsia" w:eastAsiaTheme="majorEastAsia"/>
          <w:b/>
          <w:color w:val="auto"/>
          <w:sz w:val="32"/>
          <w:highlight w:val="none"/>
          <w:lang w:val="en-US" w:eastAsia="zh-CN"/>
        </w:rPr>
        <w:t>八</w:t>
      </w:r>
      <w:r>
        <w:rPr>
          <w:rFonts w:hint="eastAsia" w:cs="宋体" w:asciiTheme="majorEastAsia" w:hAnsiTheme="majorEastAsia" w:eastAsiaTheme="majorEastAsia"/>
          <w:b/>
          <w:color w:val="auto"/>
          <w:sz w:val="32"/>
          <w:highlight w:val="none"/>
        </w:rPr>
        <w:t>、其他材料（若有）</w:t>
      </w:r>
    </w:p>
    <w:p w14:paraId="1FBAB8AE">
      <w:pPr>
        <w:ind w:firstLine="420"/>
        <w:rPr>
          <w:rFonts w:cs="宋体" w:asciiTheme="majorEastAsia" w:hAnsiTheme="majorEastAsia" w:eastAsiaTheme="majorEastAsia"/>
          <w:color w:val="auto"/>
          <w:highlight w:val="none"/>
        </w:rPr>
      </w:pPr>
    </w:p>
    <w:p w14:paraId="19C3E001">
      <w:pPr>
        <w:ind w:firstLine="48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招标文件规定的其他资料及投标人根据招标文件认为需要提交的其他资料</w:t>
      </w:r>
    </w:p>
    <w:p w14:paraId="579DA65E">
      <w:pPr>
        <w:ind w:firstLine="420"/>
        <w:rPr>
          <w:rFonts w:cs="宋体" w:asciiTheme="majorEastAsia" w:hAnsiTheme="majorEastAsia" w:eastAsiaTheme="majorEastAsia"/>
          <w:color w:val="auto"/>
          <w:highlight w:val="none"/>
        </w:rPr>
      </w:pPr>
    </w:p>
    <w:p w14:paraId="7DEC927D">
      <w:pPr>
        <w:spacing w:line="480" w:lineRule="auto"/>
        <w:rPr>
          <w:rFonts w:cs="宋体" w:asciiTheme="majorEastAsia" w:hAnsiTheme="majorEastAsia" w:eastAsiaTheme="majorEastAsia"/>
          <w:color w:val="auto"/>
          <w:sz w:val="24"/>
          <w:highlight w:val="none"/>
        </w:rPr>
      </w:pPr>
    </w:p>
    <w:p w14:paraId="47F4A208">
      <w:pPr>
        <w:spacing w:line="480" w:lineRule="auto"/>
        <w:rPr>
          <w:rFonts w:cs="宋体" w:asciiTheme="majorEastAsia" w:hAnsiTheme="majorEastAsia" w:eastAsiaTheme="majorEastAsia"/>
          <w:color w:val="auto"/>
          <w:sz w:val="24"/>
          <w:highlight w:val="none"/>
        </w:rPr>
      </w:pPr>
    </w:p>
    <w:p w14:paraId="279F2B4B">
      <w:pPr>
        <w:spacing w:line="480" w:lineRule="auto"/>
        <w:rPr>
          <w:rFonts w:cs="宋体" w:asciiTheme="majorEastAsia" w:hAnsiTheme="majorEastAsia" w:eastAsiaTheme="majorEastAsia"/>
          <w:color w:val="auto"/>
          <w:sz w:val="24"/>
          <w:highlight w:val="none"/>
        </w:rPr>
      </w:pPr>
    </w:p>
    <w:p w14:paraId="281EA233">
      <w:pPr>
        <w:spacing w:line="480" w:lineRule="auto"/>
        <w:rPr>
          <w:rFonts w:cs="宋体" w:asciiTheme="majorEastAsia" w:hAnsiTheme="majorEastAsia" w:eastAsiaTheme="majorEastAsia"/>
          <w:b/>
          <w:color w:val="auto"/>
          <w:sz w:val="32"/>
          <w:highlight w:val="none"/>
        </w:rPr>
      </w:pPr>
    </w:p>
    <w:p w14:paraId="1F9CED32">
      <w:pPr>
        <w:spacing w:line="360" w:lineRule="auto"/>
        <w:jc w:val="left"/>
        <w:rPr>
          <w:rFonts w:cs="宋体" w:asciiTheme="majorEastAsia" w:hAnsiTheme="majorEastAsia" w:eastAsiaTheme="majorEastAsia"/>
          <w:color w:val="auto"/>
          <w:sz w:val="24"/>
          <w:highlight w:val="none"/>
        </w:rPr>
      </w:pPr>
    </w:p>
    <w:p w14:paraId="47DC83EB">
      <w:pPr>
        <w:spacing w:line="360" w:lineRule="auto"/>
        <w:jc w:val="left"/>
        <w:rPr>
          <w:rFonts w:cs="宋体" w:asciiTheme="majorEastAsia" w:hAnsiTheme="majorEastAsia" w:eastAsiaTheme="majorEastAsia"/>
          <w:color w:val="auto"/>
          <w:sz w:val="24"/>
          <w:highlight w:val="none"/>
        </w:rPr>
      </w:pPr>
    </w:p>
    <w:p w14:paraId="5856141C">
      <w:pPr>
        <w:spacing w:line="360" w:lineRule="auto"/>
        <w:jc w:val="left"/>
        <w:rPr>
          <w:rFonts w:cs="宋体" w:asciiTheme="majorEastAsia" w:hAnsiTheme="majorEastAsia" w:eastAsiaTheme="majorEastAsia"/>
          <w:color w:val="auto"/>
          <w:sz w:val="24"/>
          <w:highlight w:val="none"/>
        </w:rPr>
      </w:pPr>
    </w:p>
    <w:p w14:paraId="58D2DD5C">
      <w:pPr>
        <w:spacing w:line="360" w:lineRule="auto"/>
        <w:jc w:val="left"/>
        <w:rPr>
          <w:rFonts w:cs="宋体" w:asciiTheme="majorEastAsia" w:hAnsiTheme="majorEastAsia" w:eastAsiaTheme="majorEastAsia"/>
          <w:color w:val="auto"/>
          <w:sz w:val="24"/>
          <w:highlight w:val="none"/>
        </w:rPr>
      </w:pPr>
    </w:p>
    <w:p w14:paraId="1E81F21A">
      <w:pPr>
        <w:spacing w:line="360" w:lineRule="auto"/>
        <w:jc w:val="left"/>
        <w:rPr>
          <w:rFonts w:cs="宋体" w:asciiTheme="majorEastAsia" w:hAnsiTheme="majorEastAsia" w:eastAsiaTheme="majorEastAsia"/>
          <w:color w:val="auto"/>
          <w:sz w:val="24"/>
          <w:highlight w:val="none"/>
        </w:rPr>
      </w:pPr>
    </w:p>
    <w:p w14:paraId="7D9D5976">
      <w:pPr>
        <w:spacing w:line="360" w:lineRule="auto"/>
        <w:jc w:val="left"/>
        <w:rPr>
          <w:rFonts w:cs="宋体" w:asciiTheme="majorEastAsia" w:hAnsiTheme="majorEastAsia" w:eastAsiaTheme="majorEastAsia"/>
          <w:color w:val="auto"/>
          <w:sz w:val="24"/>
          <w:highlight w:val="none"/>
        </w:rPr>
      </w:pPr>
    </w:p>
    <w:p w14:paraId="1DF2F789">
      <w:pPr>
        <w:spacing w:line="360" w:lineRule="auto"/>
        <w:jc w:val="left"/>
        <w:rPr>
          <w:rFonts w:cs="宋体" w:asciiTheme="majorEastAsia" w:hAnsiTheme="majorEastAsia" w:eastAsiaTheme="majorEastAsia"/>
          <w:color w:val="auto"/>
          <w:sz w:val="24"/>
          <w:highlight w:val="none"/>
        </w:rPr>
      </w:pPr>
    </w:p>
    <w:p w14:paraId="12757DF9">
      <w:pPr>
        <w:spacing w:line="360" w:lineRule="auto"/>
        <w:jc w:val="left"/>
        <w:rPr>
          <w:rFonts w:cs="宋体" w:asciiTheme="majorEastAsia" w:hAnsiTheme="majorEastAsia" w:eastAsiaTheme="majorEastAsia"/>
          <w:color w:val="auto"/>
          <w:sz w:val="24"/>
          <w:highlight w:val="none"/>
        </w:rPr>
      </w:pPr>
    </w:p>
    <w:p w14:paraId="5EC2144D">
      <w:pPr>
        <w:spacing w:line="360" w:lineRule="auto"/>
        <w:jc w:val="left"/>
        <w:rPr>
          <w:rFonts w:cs="宋体" w:asciiTheme="majorEastAsia" w:hAnsiTheme="majorEastAsia" w:eastAsiaTheme="majorEastAsia"/>
          <w:color w:val="auto"/>
          <w:sz w:val="24"/>
          <w:highlight w:val="none"/>
        </w:rPr>
      </w:pPr>
    </w:p>
    <w:p w14:paraId="3E06770A">
      <w:pPr>
        <w:spacing w:line="360" w:lineRule="auto"/>
        <w:jc w:val="left"/>
        <w:rPr>
          <w:rFonts w:cs="宋体" w:asciiTheme="majorEastAsia" w:hAnsiTheme="majorEastAsia" w:eastAsiaTheme="majorEastAsia"/>
          <w:color w:val="auto"/>
          <w:sz w:val="24"/>
          <w:highlight w:val="none"/>
        </w:rPr>
      </w:pPr>
    </w:p>
    <w:p w14:paraId="43F15FB9">
      <w:pPr>
        <w:spacing w:line="360" w:lineRule="auto"/>
        <w:jc w:val="left"/>
        <w:rPr>
          <w:rFonts w:cs="宋体" w:asciiTheme="majorEastAsia" w:hAnsiTheme="majorEastAsia" w:eastAsiaTheme="majorEastAsia"/>
          <w:color w:val="auto"/>
          <w:sz w:val="24"/>
          <w:highlight w:val="none"/>
        </w:rPr>
      </w:pPr>
    </w:p>
    <w:p w14:paraId="565E63B3">
      <w:pPr>
        <w:spacing w:line="360" w:lineRule="auto"/>
        <w:jc w:val="left"/>
        <w:rPr>
          <w:rFonts w:cs="宋体" w:asciiTheme="majorEastAsia" w:hAnsiTheme="majorEastAsia" w:eastAsiaTheme="majorEastAsia"/>
          <w:color w:val="auto"/>
          <w:sz w:val="24"/>
          <w:highlight w:val="none"/>
        </w:rPr>
      </w:pPr>
    </w:p>
    <w:p w14:paraId="5EB29FE5">
      <w:pPr>
        <w:spacing w:line="360" w:lineRule="auto"/>
        <w:jc w:val="left"/>
        <w:rPr>
          <w:rFonts w:cs="宋体" w:asciiTheme="majorEastAsia" w:hAnsiTheme="majorEastAsia" w:eastAsiaTheme="majorEastAsia"/>
          <w:color w:val="auto"/>
          <w:sz w:val="24"/>
          <w:highlight w:val="none"/>
        </w:rPr>
      </w:pPr>
    </w:p>
    <w:p w14:paraId="334D34B0">
      <w:pPr>
        <w:spacing w:line="360" w:lineRule="auto"/>
        <w:jc w:val="left"/>
        <w:rPr>
          <w:rFonts w:cs="宋体" w:asciiTheme="majorEastAsia" w:hAnsiTheme="majorEastAsia" w:eastAsiaTheme="majorEastAsia"/>
          <w:color w:val="auto"/>
          <w:sz w:val="24"/>
          <w:highlight w:val="none"/>
        </w:rPr>
      </w:pPr>
    </w:p>
    <w:p w14:paraId="4D744B30">
      <w:pPr>
        <w:spacing w:line="360" w:lineRule="auto"/>
        <w:jc w:val="left"/>
        <w:rPr>
          <w:rFonts w:cs="宋体" w:asciiTheme="majorEastAsia" w:hAnsiTheme="majorEastAsia" w:eastAsiaTheme="majorEastAsia"/>
          <w:color w:val="auto"/>
          <w:sz w:val="24"/>
          <w:highlight w:val="none"/>
        </w:rPr>
      </w:pPr>
    </w:p>
    <w:p w14:paraId="724734A9">
      <w:pPr>
        <w:spacing w:line="360" w:lineRule="auto"/>
        <w:jc w:val="left"/>
        <w:rPr>
          <w:rFonts w:cs="宋体" w:asciiTheme="majorEastAsia" w:hAnsiTheme="majorEastAsia" w:eastAsiaTheme="majorEastAsia"/>
          <w:color w:val="auto"/>
          <w:sz w:val="24"/>
          <w:highlight w:val="none"/>
        </w:rPr>
      </w:pPr>
    </w:p>
    <w:p w14:paraId="21E600AE">
      <w:pPr>
        <w:spacing w:line="360" w:lineRule="auto"/>
        <w:jc w:val="left"/>
        <w:rPr>
          <w:rFonts w:cs="宋体" w:asciiTheme="majorEastAsia" w:hAnsiTheme="majorEastAsia" w:eastAsiaTheme="majorEastAsia"/>
          <w:color w:val="auto"/>
          <w:sz w:val="24"/>
          <w:highlight w:val="none"/>
        </w:rPr>
      </w:pPr>
    </w:p>
    <w:p w14:paraId="48E6CBE1">
      <w:pPr>
        <w:spacing w:line="360" w:lineRule="auto"/>
        <w:jc w:val="left"/>
        <w:rPr>
          <w:rFonts w:cs="宋体" w:asciiTheme="majorEastAsia" w:hAnsiTheme="majorEastAsia" w:eastAsiaTheme="majorEastAsia"/>
          <w:color w:val="auto"/>
          <w:sz w:val="24"/>
          <w:highlight w:val="none"/>
        </w:rPr>
      </w:pPr>
    </w:p>
    <w:p w14:paraId="0267829C">
      <w:pPr>
        <w:spacing w:line="360" w:lineRule="auto"/>
        <w:jc w:val="left"/>
        <w:rPr>
          <w:rFonts w:cs="宋体" w:asciiTheme="majorEastAsia" w:hAnsiTheme="majorEastAsia" w:eastAsiaTheme="majorEastAsia"/>
          <w:color w:val="auto"/>
          <w:sz w:val="24"/>
          <w:highlight w:val="none"/>
        </w:rPr>
      </w:pPr>
    </w:p>
    <w:p w14:paraId="358FEA18">
      <w:pPr>
        <w:spacing w:line="360" w:lineRule="auto"/>
        <w:jc w:val="left"/>
        <w:rPr>
          <w:rFonts w:cs="宋体" w:asciiTheme="majorEastAsia" w:hAnsiTheme="majorEastAsia" w:eastAsiaTheme="majorEastAsia"/>
          <w:color w:val="auto"/>
          <w:sz w:val="24"/>
          <w:highlight w:val="none"/>
        </w:rPr>
      </w:pPr>
    </w:p>
    <w:p w14:paraId="7023CF87">
      <w:pPr>
        <w:spacing w:line="360" w:lineRule="auto"/>
        <w:jc w:val="left"/>
        <w:rPr>
          <w:rFonts w:cs="宋体" w:asciiTheme="majorEastAsia" w:hAnsiTheme="majorEastAsia" w:eastAsiaTheme="majorEastAsia"/>
          <w:color w:val="auto"/>
          <w:sz w:val="24"/>
          <w:highlight w:val="none"/>
        </w:rPr>
      </w:pPr>
    </w:p>
    <w:p w14:paraId="0FF2185A">
      <w:pPr>
        <w:spacing w:line="360" w:lineRule="auto"/>
        <w:jc w:val="left"/>
        <w:rPr>
          <w:rFonts w:cs="宋体" w:asciiTheme="majorEastAsia" w:hAnsiTheme="majorEastAsia" w:eastAsiaTheme="majorEastAsia"/>
          <w:color w:val="auto"/>
          <w:sz w:val="24"/>
          <w:highlight w:val="none"/>
        </w:rPr>
      </w:pPr>
    </w:p>
    <w:p w14:paraId="0CDFA40D">
      <w:pPr>
        <w:spacing w:line="360" w:lineRule="auto"/>
        <w:jc w:val="left"/>
        <w:rPr>
          <w:rFonts w:cs="宋体" w:asciiTheme="majorEastAsia" w:hAnsiTheme="majorEastAsia" w:eastAsiaTheme="majorEastAsia"/>
          <w:color w:val="auto"/>
          <w:sz w:val="36"/>
          <w:highlight w:val="none"/>
        </w:rPr>
      </w:pPr>
      <w:r>
        <w:rPr>
          <w:rFonts w:hint="eastAsia" w:cs="宋体" w:asciiTheme="majorEastAsia" w:hAnsiTheme="majorEastAsia" w:eastAsiaTheme="majorEastAsia"/>
          <w:color w:val="auto"/>
          <w:sz w:val="36"/>
          <w:highlight w:val="none"/>
        </w:rPr>
        <w:t>格式2：</w:t>
      </w:r>
    </w:p>
    <w:p w14:paraId="22E8E9DA">
      <w:pPr>
        <w:pStyle w:val="5"/>
        <w:rPr>
          <w:rFonts w:cs="宋体" w:asciiTheme="majorEastAsia" w:hAnsiTheme="majorEastAsia" w:eastAsiaTheme="majorEastAsia"/>
          <w:color w:val="auto"/>
          <w:sz w:val="36"/>
          <w:highlight w:val="none"/>
        </w:rPr>
      </w:pPr>
    </w:p>
    <w:p w14:paraId="53B5E697">
      <w:pPr>
        <w:rPr>
          <w:color w:val="auto"/>
          <w:highlight w:val="none"/>
        </w:rPr>
      </w:pPr>
    </w:p>
    <w:p w14:paraId="2AC79181">
      <w:pPr>
        <w:spacing w:line="360" w:lineRule="auto"/>
        <w:jc w:val="center"/>
        <w:rPr>
          <w:rFonts w:cs="宋体" w:asciiTheme="majorEastAsia" w:hAnsiTheme="majorEastAsia" w:eastAsiaTheme="majorEastAsia"/>
          <w:b/>
          <w:color w:val="auto"/>
          <w:sz w:val="48"/>
          <w:highlight w:val="none"/>
        </w:rPr>
      </w:pPr>
    </w:p>
    <w:p w14:paraId="4250666A">
      <w:pPr>
        <w:spacing w:line="360" w:lineRule="auto"/>
        <w:jc w:val="center"/>
        <w:rPr>
          <w:rFonts w:cs="宋体" w:asciiTheme="majorEastAsia" w:hAnsiTheme="majorEastAsia" w:eastAsiaTheme="majorEastAsia"/>
          <w:color w:val="auto"/>
          <w:highlight w:val="none"/>
          <w:u w:val="single"/>
        </w:rPr>
      </w:pPr>
      <w:r>
        <w:rPr>
          <w:rFonts w:hint="eastAsia" w:cs="宋体" w:asciiTheme="majorEastAsia" w:hAnsiTheme="majorEastAsia" w:eastAsiaTheme="majorEastAsia"/>
          <w:b/>
          <w:color w:val="auto"/>
          <w:sz w:val="48"/>
          <w:highlight w:val="none"/>
          <w:u w:val="single"/>
        </w:rPr>
        <w:t>（项目名称）</w:t>
      </w:r>
      <w:r>
        <w:rPr>
          <w:rFonts w:hint="eastAsia" w:cs="宋体" w:asciiTheme="majorEastAsia" w:hAnsiTheme="majorEastAsia" w:eastAsiaTheme="majorEastAsia"/>
          <w:b/>
          <w:color w:val="auto"/>
          <w:sz w:val="48"/>
          <w:highlight w:val="none"/>
        </w:rPr>
        <w:t>招标</w:t>
      </w:r>
    </w:p>
    <w:p w14:paraId="3365D19F">
      <w:pPr>
        <w:spacing w:line="360" w:lineRule="auto"/>
        <w:rPr>
          <w:rFonts w:cs="宋体" w:asciiTheme="majorEastAsia" w:hAnsiTheme="majorEastAsia" w:eastAsiaTheme="majorEastAsia"/>
          <w:b/>
          <w:color w:val="auto"/>
          <w:sz w:val="32"/>
          <w:highlight w:val="none"/>
        </w:rPr>
      </w:pPr>
    </w:p>
    <w:p w14:paraId="1FDCBC97">
      <w:pPr>
        <w:spacing w:line="360" w:lineRule="auto"/>
        <w:rPr>
          <w:rFonts w:cs="宋体" w:asciiTheme="majorEastAsia" w:hAnsiTheme="majorEastAsia" w:eastAsiaTheme="majorEastAsia"/>
          <w:color w:val="auto"/>
          <w:highlight w:val="none"/>
        </w:rPr>
      </w:pPr>
    </w:p>
    <w:p w14:paraId="19609399">
      <w:pPr>
        <w:jc w:val="center"/>
        <w:rPr>
          <w:rFonts w:asciiTheme="majorEastAsia" w:hAnsiTheme="majorEastAsia" w:eastAsiaTheme="majorEastAsia"/>
          <w:b/>
          <w:color w:val="auto"/>
          <w:highlight w:val="none"/>
        </w:rPr>
      </w:pPr>
    </w:p>
    <w:p w14:paraId="1E9BE677">
      <w:pPr>
        <w:rPr>
          <w:rFonts w:cs="宋体" w:asciiTheme="majorEastAsia" w:hAnsiTheme="majorEastAsia" w:eastAsiaTheme="majorEastAsia"/>
          <w:b/>
          <w:color w:val="auto"/>
          <w:highlight w:val="none"/>
        </w:rPr>
      </w:pPr>
    </w:p>
    <w:p w14:paraId="3C157156">
      <w:pPr>
        <w:spacing w:line="360" w:lineRule="auto"/>
        <w:jc w:val="center"/>
        <w:rPr>
          <w:rFonts w:cs="宋体" w:asciiTheme="majorEastAsia" w:hAnsiTheme="majorEastAsia" w:eastAsiaTheme="majorEastAsia"/>
          <w:color w:val="auto"/>
          <w:sz w:val="72"/>
          <w:highlight w:val="none"/>
        </w:rPr>
      </w:pPr>
    </w:p>
    <w:p w14:paraId="53946F57">
      <w:pPr>
        <w:spacing w:line="360" w:lineRule="auto"/>
        <w:jc w:val="center"/>
        <w:rPr>
          <w:rFonts w:cs="宋体" w:asciiTheme="majorEastAsia" w:hAnsiTheme="majorEastAsia" w:eastAsiaTheme="majorEastAsia"/>
          <w:color w:val="auto"/>
          <w:sz w:val="72"/>
          <w:highlight w:val="none"/>
        </w:rPr>
      </w:pPr>
      <w:r>
        <w:rPr>
          <w:rFonts w:hint="eastAsia" w:cs="宋体" w:asciiTheme="majorEastAsia" w:hAnsiTheme="majorEastAsia" w:eastAsiaTheme="majorEastAsia"/>
          <w:color w:val="auto"/>
          <w:sz w:val="72"/>
          <w:highlight w:val="none"/>
        </w:rPr>
        <w:t>投标文件</w:t>
      </w:r>
    </w:p>
    <w:p w14:paraId="2F8CFE9C">
      <w:pPr>
        <w:spacing w:line="360" w:lineRule="auto"/>
        <w:jc w:val="center"/>
        <w:rPr>
          <w:rFonts w:cs="宋体" w:asciiTheme="majorEastAsia" w:hAnsiTheme="majorEastAsia" w:eastAsiaTheme="majorEastAsia"/>
          <w:color w:val="auto"/>
          <w:sz w:val="52"/>
          <w:highlight w:val="none"/>
        </w:rPr>
      </w:pPr>
    </w:p>
    <w:p w14:paraId="7F8DC818">
      <w:pPr>
        <w:spacing w:line="360" w:lineRule="auto"/>
        <w:jc w:val="center"/>
        <w:rPr>
          <w:rFonts w:ascii="宋体" w:hAnsi="宋体"/>
          <w:b/>
          <w:bCs/>
          <w:color w:val="auto"/>
          <w:sz w:val="44"/>
          <w:szCs w:val="44"/>
          <w:highlight w:val="none"/>
        </w:rPr>
      </w:pPr>
      <w:r>
        <w:rPr>
          <w:rFonts w:hint="eastAsia" w:ascii="宋体" w:hAnsi="宋体"/>
          <w:b/>
          <w:bCs/>
          <w:color w:val="auto"/>
          <w:sz w:val="44"/>
          <w:szCs w:val="44"/>
          <w:highlight w:val="none"/>
        </w:rPr>
        <w:t>（第二册：技术标书）</w:t>
      </w:r>
    </w:p>
    <w:p w14:paraId="5E527F7B">
      <w:pPr>
        <w:spacing w:line="360" w:lineRule="auto"/>
        <w:rPr>
          <w:rFonts w:cs="宋体" w:asciiTheme="majorEastAsia" w:hAnsiTheme="majorEastAsia" w:eastAsiaTheme="majorEastAsia"/>
          <w:color w:val="auto"/>
          <w:highlight w:val="none"/>
        </w:rPr>
      </w:pPr>
    </w:p>
    <w:p w14:paraId="7689EBDC">
      <w:pPr>
        <w:spacing w:line="360" w:lineRule="auto"/>
        <w:ind w:firstLine="420"/>
        <w:rPr>
          <w:rFonts w:cs="宋体" w:asciiTheme="majorEastAsia" w:hAnsiTheme="majorEastAsia" w:eastAsiaTheme="majorEastAsia"/>
          <w:color w:val="auto"/>
          <w:highlight w:val="none"/>
        </w:rPr>
      </w:pPr>
    </w:p>
    <w:p w14:paraId="2116AD5D">
      <w:pPr>
        <w:spacing w:line="360" w:lineRule="auto"/>
        <w:rPr>
          <w:rFonts w:cs="宋体" w:asciiTheme="majorEastAsia" w:hAnsiTheme="majorEastAsia" w:eastAsiaTheme="majorEastAsia"/>
          <w:color w:val="auto"/>
          <w:highlight w:val="none"/>
        </w:rPr>
      </w:pPr>
    </w:p>
    <w:p w14:paraId="459D911F">
      <w:pPr>
        <w:spacing w:line="360" w:lineRule="auto"/>
        <w:ind w:firstLine="1120" w:firstLineChars="400"/>
        <w:jc w:val="both"/>
        <w:rPr>
          <w:rFonts w:cs="宋体" w:asciiTheme="majorEastAsia" w:hAnsiTheme="majorEastAsia" w:eastAsiaTheme="majorEastAsia"/>
          <w:color w:val="auto"/>
          <w:sz w:val="28"/>
          <w:highlight w:val="none"/>
        </w:rPr>
      </w:pPr>
      <w:r>
        <w:rPr>
          <w:rFonts w:hint="eastAsia" w:cs="宋体" w:asciiTheme="majorEastAsia" w:hAnsiTheme="majorEastAsia" w:eastAsiaTheme="majorEastAsia"/>
          <w:color w:val="auto"/>
          <w:sz w:val="28"/>
          <w:highlight w:val="none"/>
        </w:rPr>
        <w:t>投标人：</w:t>
      </w:r>
      <w:r>
        <w:rPr>
          <w:rFonts w:hint="eastAsia" w:ascii="宋体" w:hAnsi="宋体" w:cs="宋体"/>
          <w:color w:val="000000"/>
          <w:sz w:val="28"/>
          <w:szCs w:val="28"/>
          <w:highlight w:val="none"/>
          <w:u w:val="single"/>
        </w:rPr>
        <w:t xml:space="preserve">      （投标人名称）     </w:t>
      </w:r>
      <w:r>
        <w:rPr>
          <w:rFonts w:hint="eastAsia" w:cs="宋体" w:asciiTheme="majorEastAsia" w:hAnsiTheme="majorEastAsia" w:eastAsiaTheme="majorEastAsia"/>
          <w:color w:val="auto"/>
          <w:sz w:val="28"/>
          <w:highlight w:val="none"/>
        </w:rPr>
        <w:t>（盖单位章）</w:t>
      </w:r>
    </w:p>
    <w:p w14:paraId="6D1D9495">
      <w:pPr>
        <w:spacing w:line="360" w:lineRule="auto"/>
        <w:ind w:firstLine="1024" w:firstLineChars="366"/>
        <w:rPr>
          <w:rFonts w:cs="宋体" w:asciiTheme="majorEastAsia" w:hAnsiTheme="majorEastAsia" w:eastAsiaTheme="majorEastAsia"/>
          <w:color w:val="auto"/>
          <w:sz w:val="28"/>
          <w:highlight w:val="none"/>
        </w:rPr>
      </w:pPr>
      <w:r>
        <w:rPr>
          <w:rFonts w:hint="eastAsia" w:cs="宋体" w:asciiTheme="majorEastAsia" w:hAnsiTheme="majorEastAsia" w:eastAsiaTheme="majorEastAsia"/>
          <w:color w:val="auto"/>
          <w:sz w:val="28"/>
          <w:highlight w:val="none"/>
        </w:rPr>
        <w:t>法定代表人或其授权委托人：</w:t>
      </w:r>
      <w:r>
        <w:rPr>
          <w:rFonts w:hint="eastAsia" w:cs="宋体" w:asciiTheme="majorEastAsia" w:hAnsiTheme="majorEastAsia" w:eastAsiaTheme="majorEastAsia"/>
          <w:color w:val="auto"/>
          <w:sz w:val="28"/>
          <w:highlight w:val="none"/>
          <w:u w:val="single"/>
          <w:lang w:val="en-US" w:eastAsia="zh-CN"/>
        </w:rPr>
        <w:t xml:space="preserve">             </w:t>
      </w:r>
      <w:r>
        <w:rPr>
          <w:rFonts w:hint="eastAsia" w:cs="宋体" w:asciiTheme="majorEastAsia" w:hAnsiTheme="majorEastAsia" w:eastAsiaTheme="majorEastAsia"/>
          <w:color w:val="auto"/>
          <w:sz w:val="28"/>
          <w:highlight w:val="none"/>
        </w:rPr>
        <w:t>（签字）</w:t>
      </w:r>
    </w:p>
    <w:p w14:paraId="3E79285A">
      <w:pPr>
        <w:pStyle w:val="40"/>
        <w:rPr>
          <w:rFonts w:eastAsiaTheme="majorEastAsia"/>
          <w:color w:val="auto"/>
          <w:highlight w:val="none"/>
        </w:rPr>
      </w:pPr>
    </w:p>
    <w:p w14:paraId="2535FAC7">
      <w:pPr>
        <w:spacing w:line="360" w:lineRule="auto"/>
        <w:ind w:firstLine="420"/>
        <w:jc w:val="center"/>
        <w:rPr>
          <w:rFonts w:cs="宋体" w:asciiTheme="majorEastAsia" w:hAnsiTheme="majorEastAsia" w:eastAsiaTheme="majorEastAsia"/>
          <w:color w:val="auto"/>
          <w:highlight w:val="none"/>
          <w:u w:val="single"/>
        </w:rPr>
      </w:pPr>
    </w:p>
    <w:p w14:paraId="784651D3">
      <w:pPr>
        <w:spacing w:line="360" w:lineRule="auto"/>
        <w:ind w:firstLine="560"/>
        <w:jc w:val="center"/>
        <w:rPr>
          <w:rFonts w:cs="宋体" w:asciiTheme="majorEastAsia" w:hAnsiTheme="majorEastAsia" w:eastAsiaTheme="majorEastAsia"/>
          <w:color w:val="auto"/>
          <w:sz w:val="28"/>
          <w:highlight w:val="none"/>
        </w:rPr>
      </w:pPr>
      <w:r>
        <w:rPr>
          <w:rFonts w:hint="eastAsia" w:cs="宋体" w:asciiTheme="majorEastAsia" w:hAnsiTheme="majorEastAsia" w:eastAsiaTheme="majorEastAsia"/>
          <w:color w:val="auto"/>
          <w:sz w:val="28"/>
          <w:highlight w:val="none"/>
        </w:rPr>
        <w:t>年</w:t>
      </w:r>
      <w:r>
        <w:rPr>
          <w:rFonts w:hint="eastAsia" w:cs="宋体" w:asciiTheme="majorEastAsia" w:hAnsiTheme="majorEastAsia" w:eastAsiaTheme="majorEastAsia"/>
          <w:color w:val="auto"/>
          <w:sz w:val="28"/>
          <w:highlight w:val="none"/>
          <w:lang w:val="en-US" w:eastAsia="zh-CN"/>
        </w:rPr>
        <w:t xml:space="preserve">  </w:t>
      </w:r>
      <w:r>
        <w:rPr>
          <w:rFonts w:hint="eastAsia" w:cs="宋体" w:asciiTheme="majorEastAsia" w:hAnsiTheme="majorEastAsia" w:eastAsiaTheme="majorEastAsia"/>
          <w:color w:val="auto"/>
          <w:sz w:val="28"/>
          <w:highlight w:val="none"/>
        </w:rPr>
        <w:t>月</w:t>
      </w:r>
      <w:r>
        <w:rPr>
          <w:rFonts w:hint="eastAsia" w:cs="宋体" w:asciiTheme="majorEastAsia" w:hAnsiTheme="majorEastAsia" w:eastAsiaTheme="majorEastAsia"/>
          <w:color w:val="auto"/>
          <w:sz w:val="28"/>
          <w:highlight w:val="none"/>
          <w:lang w:val="en-US" w:eastAsia="zh-CN"/>
        </w:rPr>
        <w:t xml:space="preserve">  </w:t>
      </w:r>
      <w:r>
        <w:rPr>
          <w:rFonts w:hint="eastAsia" w:cs="宋体" w:asciiTheme="majorEastAsia" w:hAnsiTheme="majorEastAsia" w:eastAsiaTheme="majorEastAsia"/>
          <w:color w:val="auto"/>
          <w:sz w:val="28"/>
          <w:highlight w:val="none"/>
        </w:rPr>
        <w:t>日</w:t>
      </w:r>
    </w:p>
    <w:p w14:paraId="21373CF8">
      <w:pPr>
        <w:tabs>
          <w:tab w:val="left" w:pos="7425"/>
        </w:tabs>
        <w:ind w:firstLine="420"/>
        <w:rPr>
          <w:rFonts w:cs="宋体" w:asciiTheme="majorEastAsia" w:hAnsiTheme="majorEastAsia" w:eastAsiaTheme="majorEastAsia"/>
          <w:color w:val="auto"/>
          <w:highlight w:val="none"/>
        </w:rPr>
      </w:pPr>
      <w:r>
        <w:rPr>
          <w:rFonts w:cs="宋体" w:asciiTheme="majorEastAsia" w:hAnsiTheme="majorEastAsia" w:eastAsiaTheme="majorEastAsia"/>
          <w:color w:val="auto"/>
          <w:highlight w:val="none"/>
        </w:rPr>
        <w:tab/>
      </w:r>
    </w:p>
    <w:p w14:paraId="380D0E69">
      <w:pPr>
        <w:rPr>
          <w:rFonts w:cs="宋体" w:asciiTheme="majorEastAsia" w:hAnsiTheme="majorEastAsia" w:eastAsiaTheme="majorEastAsia"/>
          <w:b/>
          <w:color w:val="auto"/>
          <w:sz w:val="32"/>
          <w:highlight w:val="none"/>
        </w:rPr>
      </w:pPr>
      <w:r>
        <w:rPr>
          <w:rFonts w:hint="eastAsia" w:cs="宋体" w:asciiTheme="majorEastAsia" w:hAnsiTheme="majorEastAsia" w:eastAsiaTheme="majorEastAsia"/>
          <w:b/>
          <w:color w:val="auto"/>
          <w:sz w:val="32"/>
          <w:highlight w:val="none"/>
        </w:rPr>
        <w:br w:type="page"/>
      </w:r>
    </w:p>
    <w:p w14:paraId="32FF11CF">
      <w:pPr>
        <w:spacing w:line="480" w:lineRule="auto"/>
        <w:jc w:val="center"/>
        <w:rPr>
          <w:rFonts w:cs="宋体" w:asciiTheme="majorEastAsia" w:hAnsiTheme="majorEastAsia" w:eastAsiaTheme="majorEastAsia"/>
          <w:b/>
          <w:color w:val="auto"/>
          <w:sz w:val="32"/>
          <w:highlight w:val="none"/>
        </w:rPr>
      </w:pPr>
      <w:r>
        <w:rPr>
          <w:rFonts w:hint="eastAsia" w:cs="宋体" w:asciiTheme="majorEastAsia" w:hAnsiTheme="majorEastAsia" w:eastAsiaTheme="majorEastAsia"/>
          <w:b/>
          <w:color w:val="auto"/>
          <w:sz w:val="32"/>
          <w:highlight w:val="none"/>
        </w:rPr>
        <w:t>目录</w:t>
      </w:r>
    </w:p>
    <w:p w14:paraId="2FE80681">
      <w:pPr>
        <w:rPr>
          <w:rFonts w:cs="宋体" w:asciiTheme="majorEastAsia" w:hAnsiTheme="majorEastAsia" w:eastAsiaTheme="majorEastAsia"/>
          <w:color w:val="auto"/>
          <w:highlight w:val="none"/>
        </w:rPr>
      </w:pPr>
    </w:p>
    <w:p w14:paraId="11EAAE22">
      <w:pPr>
        <w:spacing w:line="480" w:lineRule="auto"/>
        <w:ind w:left="726"/>
        <w:rPr>
          <w:rFonts w:cs="宋体" w:asciiTheme="majorEastAsia" w:hAnsiTheme="majorEastAsia" w:eastAsiaTheme="majorEastAsia"/>
          <w:color w:val="auto"/>
          <w:sz w:val="24"/>
          <w:highlight w:val="none"/>
        </w:rPr>
      </w:pPr>
      <w:r>
        <w:rPr>
          <w:rFonts w:hint="eastAsia"/>
          <w:color w:val="auto"/>
          <w:sz w:val="24"/>
          <w:highlight w:val="none"/>
        </w:rPr>
        <w:t>一、施工组织设计内容完整性和编制水平</w:t>
      </w:r>
    </w:p>
    <w:p w14:paraId="640802FE">
      <w:pPr>
        <w:spacing w:line="480" w:lineRule="auto"/>
        <w:ind w:left="726"/>
        <w:rPr>
          <w:color w:val="auto"/>
          <w:sz w:val="24"/>
          <w:highlight w:val="none"/>
        </w:rPr>
      </w:pPr>
      <w:r>
        <w:rPr>
          <w:rFonts w:hint="eastAsia"/>
          <w:color w:val="auto"/>
          <w:sz w:val="24"/>
          <w:highlight w:val="none"/>
        </w:rPr>
        <w:t>二、施工方案与技术措施的合理性、科学性与可行性</w:t>
      </w:r>
    </w:p>
    <w:p w14:paraId="7CBC0FA1">
      <w:pPr>
        <w:spacing w:line="480" w:lineRule="auto"/>
        <w:ind w:left="726"/>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三、质量管理体系与措施</w:t>
      </w:r>
    </w:p>
    <w:p w14:paraId="050C6638">
      <w:pPr>
        <w:spacing w:line="480" w:lineRule="auto"/>
        <w:ind w:left="726"/>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四、安全管理体系与措施</w:t>
      </w:r>
    </w:p>
    <w:p w14:paraId="64C77E01">
      <w:pPr>
        <w:spacing w:line="480" w:lineRule="auto"/>
        <w:ind w:left="726"/>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五、环境保护管理体系与措施</w:t>
      </w:r>
    </w:p>
    <w:p w14:paraId="0BD05E16">
      <w:pPr>
        <w:spacing w:line="480" w:lineRule="auto"/>
        <w:ind w:left="726"/>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六、工程建设进度计划与措施</w:t>
      </w:r>
    </w:p>
    <w:p w14:paraId="641D1E8E">
      <w:pPr>
        <w:spacing w:line="480" w:lineRule="auto"/>
        <w:ind w:left="726"/>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七、资源配备计划</w:t>
      </w:r>
    </w:p>
    <w:p w14:paraId="47731B14">
      <w:pPr>
        <w:spacing w:line="360" w:lineRule="auto"/>
        <w:jc w:val="left"/>
        <w:rPr>
          <w:rFonts w:hint="eastAsia" w:ascii="宋体" w:hAnsi="宋体" w:cs="宋体"/>
          <w:b/>
          <w:bCs/>
          <w:color w:val="000000"/>
          <w:sz w:val="24"/>
          <w:highlight w:val="none"/>
          <w:u w:val="single"/>
        </w:rPr>
      </w:pPr>
    </w:p>
    <w:p w14:paraId="088F8C7D">
      <w:pPr>
        <w:spacing w:line="360" w:lineRule="auto"/>
        <w:jc w:val="left"/>
        <w:rPr>
          <w:rFonts w:hint="eastAsia" w:ascii="宋体" w:hAnsi="宋体" w:cs="宋体"/>
          <w:b/>
          <w:color w:val="000000"/>
          <w:sz w:val="32"/>
          <w:szCs w:val="32"/>
          <w:highlight w:val="none"/>
        </w:rPr>
      </w:pPr>
      <w:r>
        <w:rPr>
          <w:rFonts w:hint="eastAsia" w:ascii="宋体" w:hAnsi="宋体" w:cs="宋体"/>
          <w:b/>
          <w:bCs/>
          <w:color w:val="000000"/>
          <w:sz w:val="24"/>
          <w:highlight w:val="none"/>
          <w:u w:val="single"/>
        </w:rPr>
        <w:t>注：本目录不作为格式目录，投标人可相应修改或补充，为便于评标委员会评审，投标人可自行编制目录并编制页码。</w:t>
      </w:r>
    </w:p>
    <w:p w14:paraId="42939CA2">
      <w:pPr>
        <w:pStyle w:val="41"/>
        <w:rPr>
          <w:color w:val="auto"/>
          <w:highlight w:val="none"/>
        </w:rPr>
      </w:pPr>
    </w:p>
    <w:p w14:paraId="681D8F9E">
      <w:pPr>
        <w:rPr>
          <w:color w:val="auto"/>
          <w:highlight w:val="none"/>
        </w:rPr>
      </w:pPr>
    </w:p>
    <w:sectPr>
      <w:pgSz w:w="11906" w:h="16838"/>
      <w:pgMar w:top="1134" w:right="1134" w:bottom="1134" w:left="1134"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roid Sans Fallback">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公文小标宋简">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6C1FC">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BB771">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14:paraId="037F3749">
                          <w:pPr>
                            <w:pStyle w:val="13"/>
                            <w:rPr>
                              <w:sz w:val="20"/>
                              <w:szCs w:val="24"/>
                            </w:rPr>
                          </w:pPr>
                          <w:r>
                            <w:rPr>
                              <w:sz w:val="21"/>
                              <w:szCs w:val="28"/>
                            </w:rPr>
                            <w:fldChar w:fldCharType="begin"/>
                          </w:r>
                          <w:r>
                            <w:rPr>
                              <w:sz w:val="21"/>
                              <w:szCs w:val="28"/>
                            </w:rPr>
                            <w:instrText xml:space="preserve"> PAGE  \* MERGEFORMAT </w:instrText>
                          </w:r>
                          <w:r>
                            <w:rPr>
                              <w:sz w:val="21"/>
                              <w:szCs w:val="28"/>
                            </w:rPr>
                            <w:fldChar w:fldCharType="separate"/>
                          </w:r>
                          <w:r>
                            <w:rPr>
                              <w:sz w:val="21"/>
                              <w:szCs w:val="28"/>
                            </w:rPr>
                            <w:t>49</w:t>
                          </w:r>
                          <w:r>
                            <w:rPr>
                              <w:sz w:val="21"/>
                              <w:szCs w:val="28"/>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1u5d9AAAAACAQAADwAAAAAAAAABACAAAAAiAAAAZHJzL2Rvd25yZXYueG1s&#10;UEsBAhQAFAAAAAgAh07iQM+/FT8AAgAAEQQAAA4AAAAAAAAAAQAgAAAAHwEAAGRycy9lMm9Eb2Mu&#10;eG1sUEsFBgAAAAAGAAYAWQEAAJEFAAAAAA==&#10;">
              <v:fill on="f" focussize="0,0"/>
              <v:stroke on="f"/>
              <v:imagedata o:title=""/>
              <o:lock v:ext="edit" aspectratio="f"/>
              <v:textbox inset="0mm,0mm,0mm,0mm" style="mso-fit-shape-to-text:t;">
                <w:txbxContent>
                  <w:p w14:paraId="037F3749">
                    <w:pPr>
                      <w:pStyle w:val="13"/>
                      <w:rPr>
                        <w:sz w:val="20"/>
                        <w:szCs w:val="24"/>
                      </w:rPr>
                    </w:pPr>
                    <w:r>
                      <w:rPr>
                        <w:sz w:val="21"/>
                        <w:szCs w:val="28"/>
                      </w:rPr>
                      <w:fldChar w:fldCharType="begin"/>
                    </w:r>
                    <w:r>
                      <w:rPr>
                        <w:sz w:val="21"/>
                        <w:szCs w:val="28"/>
                      </w:rPr>
                      <w:instrText xml:space="preserve"> PAGE  \* MERGEFORMAT </w:instrText>
                    </w:r>
                    <w:r>
                      <w:rPr>
                        <w:sz w:val="21"/>
                        <w:szCs w:val="28"/>
                      </w:rPr>
                      <w:fldChar w:fldCharType="separate"/>
                    </w:r>
                    <w:r>
                      <w:rPr>
                        <w:sz w:val="21"/>
                        <w:szCs w:val="28"/>
                      </w:rPr>
                      <w:t>49</w:t>
                    </w:r>
                    <w:r>
                      <w:rPr>
                        <w:sz w:val="21"/>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6D6846"/>
    <w:multiLevelType w:val="multilevel"/>
    <w:tmpl w:val="0C6D6846"/>
    <w:lvl w:ilvl="0" w:tentative="0">
      <w:start w:val="1"/>
      <w:numFmt w:val="decimal"/>
      <w:lvlText w:val="%1."/>
      <w:lvlJc w:val="left"/>
      <w:pPr>
        <w:ind w:left="840" w:hanging="360"/>
      </w:pPr>
      <w:rPr>
        <w:rFonts w:hint="default" w:ascii="宋体" w:hAnsi="宋体" w:eastAsia="宋体" w:cs="宋体"/>
        <w:b w:val="0"/>
        <w:sz w:val="24"/>
        <w:szCs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62E8E267"/>
    <w:multiLevelType w:val="singleLevel"/>
    <w:tmpl w:val="62E8E267"/>
    <w:lvl w:ilvl="0" w:tentative="0">
      <w:start w:val="1"/>
      <w:numFmt w:val="decimal"/>
      <w:suff w:val="nothing"/>
      <w:lvlText w:val="（%1）"/>
      <w:lvlJc w:val="left"/>
    </w:lvl>
  </w:abstractNum>
  <w:abstractNum w:abstractNumId="2">
    <w:nsid w:val="798F3909"/>
    <w:multiLevelType w:val="multilevel"/>
    <w:tmpl w:val="798F3909"/>
    <w:lvl w:ilvl="0" w:tentative="0">
      <w:start w:val="1"/>
      <w:numFmt w:val="bullet"/>
      <w:lvlText w:val="•"/>
      <w:lvlJc w:val="left"/>
    </w:lvl>
    <w:lvl w:ilvl="1" w:tentative="0">
      <w:start w:val="0"/>
      <w:numFmt w:val="decimal"/>
      <w:lvlText w:val=""/>
      <w:lvlJc w:val="left"/>
      <w:rPr>
        <w:rFonts w:cs="Times New Roman"/>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xMDE5YWMzZmFlNjhjZjFkZDBmN2UxMjU0YjQyMjIifQ=="/>
  </w:docVars>
  <w:rsids>
    <w:rsidRoot w:val="00EF0BC9"/>
    <w:rsid w:val="00016DA1"/>
    <w:rsid w:val="0006689F"/>
    <w:rsid w:val="0009706A"/>
    <w:rsid w:val="000C2AC1"/>
    <w:rsid w:val="000D6305"/>
    <w:rsid w:val="00127B9C"/>
    <w:rsid w:val="00140B63"/>
    <w:rsid w:val="00165EB9"/>
    <w:rsid w:val="00176184"/>
    <w:rsid w:val="001B04B8"/>
    <w:rsid w:val="001C351E"/>
    <w:rsid w:val="002B197B"/>
    <w:rsid w:val="002D09A6"/>
    <w:rsid w:val="003A2119"/>
    <w:rsid w:val="003B25FD"/>
    <w:rsid w:val="003D1D5B"/>
    <w:rsid w:val="005018CD"/>
    <w:rsid w:val="00501DB6"/>
    <w:rsid w:val="005968A8"/>
    <w:rsid w:val="00624808"/>
    <w:rsid w:val="006D2918"/>
    <w:rsid w:val="006E7EDC"/>
    <w:rsid w:val="006F70FA"/>
    <w:rsid w:val="007200AE"/>
    <w:rsid w:val="007313CB"/>
    <w:rsid w:val="007F09CB"/>
    <w:rsid w:val="0084636B"/>
    <w:rsid w:val="0087602D"/>
    <w:rsid w:val="008D3139"/>
    <w:rsid w:val="008E4F9E"/>
    <w:rsid w:val="0097183C"/>
    <w:rsid w:val="009936DC"/>
    <w:rsid w:val="00AD33D1"/>
    <w:rsid w:val="00B137F5"/>
    <w:rsid w:val="00B53219"/>
    <w:rsid w:val="00B6626D"/>
    <w:rsid w:val="00BB4A07"/>
    <w:rsid w:val="00BC558C"/>
    <w:rsid w:val="00C0458E"/>
    <w:rsid w:val="00C73509"/>
    <w:rsid w:val="00D16FA7"/>
    <w:rsid w:val="00D21377"/>
    <w:rsid w:val="00D540D5"/>
    <w:rsid w:val="00D77B2A"/>
    <w:rsid w:val="00DA7A67"/>
    <w:rsid w:val="00DB35B2"/>
    <w:rsid w:val="00DC35A4"/>
    <w:rsid w:val="00DF36AB"/>
    <w:rsid w:val="00E0023C"/>
    <w:rsid w:val="00EF0BC9"/>
    <w:rsid w:val="00F91181"/>
    <w:rsid w:val="00FF2319"/>
    <w:rsid w:val="014D1D6F"/>
    <w:rsid w:val="01B2532D"/>
    <w:rsid w:val="01C04E49"/>
    <w:rsid w:val="023D3A40"/>
    <w:rsid w:val="025816D0"/>
    <w:rsid w:val="0295277A"/>
    <w:rsid w:val="036A1907"/>
    <w:rsid w:val="044A592F"/>
    <w:rsid w:val="04E8759B"/>
    <w:rsid w:val="04F512AE"/>
    <w:rsid w:val="05BD0809"/>
    <w:rsid w:val="064B2B85"/>
    <w:rsid w:val="06A967F3"/>
    <w:rsid w:val="07A45B5F"/>
    <w:rsid w:val="08457973"/>
    <w:rsid w:val="08A40A20"/>
    <w:rsid w:val="08FD2E27"/>
    <w:rsid w:val="09017895"/>
    <w:rsid w:val="09410F65"/>
    <w:rsid w:val="09613832"/>
    <w:rsid w:val="09B90184"/>
    <w:rsid w:val="0A1044A4"/>
    <w:rsid w:val="0A122902"/>
    <w:rsid w:val="0A981059"/>
    <w:rsid w:val="0ADD2F10"/>
    <w:rsid w:val="0AE459F3"/>
    <w:rsid w:val="0B1C2641"/>
    <w:rsid w:val="0B4433FF"/>
    <w:rsid w:val="0B46179F"/>
    <w:rsid w:val="0C4F3999"/>
    <w:rsid w:val="0C8A4947"/>
    <w:rsid w:val="0C8A4F4F"/>
    <w:rsid w:val="0C983626"/>
    <w:rsid w:val="0D6214AA"/>
    <w:rsid w:val="0D9F26FE"/>
    <w:rsid w:val="0E364E11"/>
    <w:rsid w:val="0E696FBF"/>
    <w:rsid w:val="0EF97BEC"/>
    <w:rsid w:val="0F0E18EA"/>
    <w:rsid w:val="0F5F3EF3"/>
    <w:rsid w:val="0FE32D76"/>
    <w:rsid w:val="10BA75EF"/>
    <w:rsid w:val="11401B02"/>
    <w:rsid w:val="11585A86"/>
    <w:rsid w:val="115C4947"/>
    <w:rsid w:val="11F710A1"/>
    <w:rsid w:val="11FF2F15"/>
    <w:rsid w:val="120726C5"/>
    <w:rsid w:val="125A5FFA"/>
    <w:rsid w:val="130C2CBD"/>
    <w:rsid w:val="138C3990"/>
    <w:rsid w:val="13ED41C3"/>
    <w:rsid w:val="14072DAB"/>
    <w:rsid w:val="140F1583"/>
    <w:rsid w:val="14BC2210"/>
    <w:rsid w:val="14DE7FCA"/>
    <w:rsid w:val="14DF2683"/>
    <w:rsid w:val="14F145CB"/>
    <w:rsid w:val="156F6E5A"/>
    <w:rsid w:val="15E84324"/>
    <w:rsid w:val="1602382A"/>
    <w:rsid w:val="1638724C"/>
    <w:rsid w:val="16F13FCB"/>
    <w:rsid w:val="171C7E43"/>
    <w:rsid w:val="17F65611"/>
    <w:rsid w:val="194A035E"/>
    <w:rsid w:val="19A21B2A"/>
    <w:rsid w:val="19C76C42"/>
    <w:rsid w:val="1A20654F"/>
    <w:rsid w:val="1AC14671"/>
    <w:rsid w:val="1AFC4CEC"/>
    <w:rsid w:val="1B85284F"/>
    <w:rsid w:val="1CD14095"/>
    <w:rsid w:val="1CE60291"/>
    <w:rsid w:val="1D397821"/>
    <w:rsid w:val="1D8013C5"/>
    <w:rsid w:val="1E2E2879"/>
    <w:rsid w:val="1F29122A"/>
    <w:rsid w:val="1F760FD4"/>
    <w:rsid w:val="1FBB566F"/>
    <w:rsid w:val="21BA320B"/>
    <w:rsid w:val="21EF55AB"/>
    <w:rsid w:val="21F7620D"/>
    <w:rsid w:val="220D3C83"/>
    <w:rsid w:val="22342FBD"/>
    <w:rsid w:val="224F478B"/>
    <w:rsid w:val="225E003A"/>
    <w:rsid w:val="22943A5C"/>
    <w:rsid w:val="22F329C0"/>
    <w:rsid w:val="22FB3CCD"/>
    <w:rsid w:val="231A7F15"/>
    <w:rsid w:val="236C6787"/>
    <w:rsid w:val="23C91E2B"/>
    <w:rsid w:val="23ED5B1A"/>
    <w:rsid w:val="243573B5"/>
    <w:rsid w:val="25693DDC"/>
    <w:rsid w:val="25755DC7"/>
    <w:rsid w:val="260E3B25"/>
    <w:rsid w:val="26896EB3"/>
    <w:rsid w:val="26EA27E4"/>
    <w:rsid w:val="270218DC"/>
    <w:rsid w:val="27514612"/>
    <w:rsid w:val="275807AF"/>
    <w:rsid w:val="27B506FD"/>
    <w:rsid w:val="27BF2928"/>
    <w:rsid w:val="28A349F9"/>
    <w:rsid w:val="28D63020"/>
    <w:rsid w:val="29B17CD8"/>
    <w:rsid w:val="2A5F64A5"/>
    <w:rsid w:val="2A6632BA"/>
    <w:rsid w:val="2B1A10CF"/>
    <w:rsid w:val="2B536BAA"/>
    <w:rsid w:val="2BD15D21"/>
    <w:rsid w:val="2C4C6934"/>
    <w:rsid w:val="2CC82C80"/>
    <w:rsid w:val="2CDE06F5"/>
    <w:rsid w:val="2D05427F"/>
    <w:rsid w:val="2D1442BC"/>
    <w:rsid w:val="2D2F5C1C"/>
    <w:rsid w:val="2D6B57EC"/>
    <w:rsid w:val="2E162111"/>
    <w:rsid w:val="2E6046B6"/>
    <w:rsid w:val="2E7E6315"/>
    <w:rsid w:val="2EA22EAE"/>
    <w:rsid w:val="2F091041"/>
    <w:rsid w:val="2F933C3C"/>
    <w:rsid w:val="2FC97E7C"/>
    <w:rsid w:val="300D5784"/>
    <w:rsid w:val="303845C1"/>
    <w:rsid w:val="303845D3"/>
    <w:rsid w:val="30A457B2"/>
    <w:rsid w:val="31AD2FE7"/>
    <w:rsid w:val="32FB3683"/>
    <w:rsid w:val="335F1E64"/>
    <w:rsid w:val="33E32A95"/>
    <w:rsid w:val="340D7964"/>
    <w:rsid w:val="34B14942"/>
    <w:rsid w:val="34E268A9"/>
    <w:rsid w:val="35BB6245"/>
    <w:rsid w:val="35C5483A"/>
    <w:rsid w:val="35F265C4"/>
    <w:rsid w:val="35FF7074"/>
    <w:rsid w:val="36AA1648"/>
    <w:rsid w:val="36CC5A63"/>
    <w:rsid w:val="370451FC"/>
    <w:rsid w:val="37182A56"/>
    <w:rsid w:val="371D62BE"/>
    <w:rsid w:val="373158C6"/>
    <w:rsid w:val="37384AB4"/>
    <w:rsid w:val="375D2B5F"/>
    <w:rsid w:val="39452589"/>
    <w:rsid w:val="39494C49"/>
    <w:rsid w:val="395104A1"/>
    <w:rsid w:val="395B4B69"/>
    <w:rsid w:val="395C58AA"/>
    <w:rsid w:val="3A7C4045"/>
    <w:rsid w:val="3A993EAE"/>
    <w:rsid w:val="3AE74C19"/>
    <w:rsid w:val="3B714E2B"/>
    <w:rsid w:val="3BE84FF1"/>
    <w:rsid w:val="3C0F7C94"/>
    <w:rsid w:val="3C5B0AE2"/>
    <w:rsid w:val="3C635B7C"/>
    <w:rsid w:val="3D3D6073"/>
    <w:rsid w:val="3D4E0F7F"/>
    <w:rsid w:val="3DDA1327"/>
    <w:rsid w:val="3E153B5D"/>
    <w:rsid w:val="3E365143"/>
    <w:rsid w:val="3EF0788A"/>
    <w:rsid w:val="3F713FA0"/>
    <w:rsid w:val="3FA113C4"/>
    <w:rsid w:val="404B3E9C"/>
    <w:rsid w:val="40FF6019"/>
    <w:rsid w:val="410A30C4"/>
    <w:rsid w:val="417C089F"/>
    <w:rsid w:val="419453CF"/>
    <w:rsid w:val="419F231C"/>
    <w:rsid w:val="41FA16D6"/>
    <w:rsid w:val="42172C5D"/>
    <w:rsid w:val="429C278D"/>
    <w:rsid w:val="42E023B9"/>
    <w:rsid w:val="43346FD1"/>
    <w:rsid w:val="43421586"/>
    <w:rsid w:val="43B10FDE"/>
    <w:rsid w:val="43B65AD0"/>
    <w:rsid w:val="43C33D49"/>
    <w:rsid w:val="447D6B32"/>
    <w:rsid w:val="448175E1"/>
    <w:rsid w:val="44D206E8"/>
    <w:rsid w:val="45F60406"/>
    <w:rsid w:val="462F1B6A"/>
    <w:rsid w:val="46A71700"/>
    <w:rsid w:val="46AE6F33"/>
    <w:rsid w:val="46B10E7A"/>
    <w:rsid w:val="46D22C08"/>
    <w:rsid w:val="46DA3884"/>
    <w:rsid w:val="46DC2BC3"/>
    <w:rsid w:val="471C20EE"/>
    <w:rsid w:val="47AD2D46"/>
    <w:rsid w:val="490C7F41"/>
    <w:rsid w:val="492B486B"/>
    <w:rsid w:val="49AB6763"/>
    <w:rsid w:val="4B9C6077"/>
    <w:rsid w:val="4B9D30D2"/>
    <w:rsid w:val="4D467EC5"/>
    <w:rsid w:val="4E30647F"/>
    <w:rsid w:val="4E5B34FC"/>
    <w:rsid w:val="4E79234E"/>
    <w:rsid w:val="4E9C44E3"/>
    <w:rsid w:val="4EEF633A"/>
    <w:rsid w:val="4F4D0870"/>
    <w:rsid w:val="4FB235F0"/>
    <w:rsid w:val="4FCD667C"/>
    <w:rsid w:val="50DA5832"/>
    <w:rsid w:val="50EB4351"/>
    <w:rsid w:val="51FF64FD"/>
    <w:rsid w:val="521F4DB1"/>
    <w:rsid w:val="523411BB"/>
    <w:rsid w:val="53676C63"/>
    <w:rsid w:val="53A96AB8"/>
    <w:rsid w:val="53E866B4"/>
    <w:rsid w:val="54105E9A"/>
    <w:rsid w:val="548873CF"/>
    <w:rsid w:val="54B90C5A"/>
    <w:rsid w:val="54D527CC"/>
    <w:rsid w:val="54E87AB4"/>
    <w:rsid w:val="557401FE"/>
    <w:rsid w:val="558F6119"/>
    <w:rsid w:val="559B1E10"/>
    <w:rsid w:val="565959E7"/>
    <w:rsid w:val="56F37AB8"/>
    <w:rsid w:val="57A54F22"/>
    <w:rsid w:val="57C74E56"/>
    <w:rsid w:val="58926B22"/>
    <w:rsid w:val="58C12AF6"/>
    <w:rsid w:val="58D565A1"/>
    <w:rsid w:val="58E660B8"/>
    <w:rsid w:val="5900361E"/>
    <w:rsid w:val="591F781C"/>
    <w:rsid w:val="596671F9"/>
    <w:rsid w:val="596D2336"/>
    <w:rsid w:val="5A2E5F69"/>
    <w:rsid w:val="5A37717F"/>
    <w:rsid w:val="5ABF12B7"/>
    <w:rsid w:val="5BB26521"/>
    <w:rsid w:val="5C4C0928"/>
    <w:rsid w:val="5D8B2FED"/>
    <w:rsid w:val="5DED1C97"/>
    <w:rsid w:val="5E0242E9"/>
    <w:rsid w:val="5EBD3D5F"/>
    <w:rsid w:val="5F50072F"/>
    <w:rsid w:val="5FE34F5E"/>
    <w:rsid w:val="60261490"/>
    <w:rsid w:val="60347715"/>
    <w:rsid w:val="60915C97"/>
    <w:rsid w:val="60CA62C0"/>
    <w:rsid w:val="60D26F24"/>
    <w:rsid w:val="60FF065F"/>
    <w:rsid w:val="611A2DA3"/>
    <w:rsid w:val="62107FB3"/>
    <w:rsid w:val="628506F0"/>
    <w:rsid w:val="628A3F58"/>
    <w:rsid w:val="63556314"/>
    <w:rsid w:val="63A70B3A"/>
    <w:rsid w:val="6441646B"/>
    <w:rsid w:val="64521CA8"/>
    <w:rsid w:val="645E569D"/>
    <w:rsid w:val="64992B79"/>
    <w:rsid w:val="650A1380"/>
    <w:rsid w:val="652341F0"/>
    <w:rsid w:val="65E41BD1"/>
    <w:rsid w:val="65F57DE0"/>
    <w:rsid w:val="66C16538"/>
    <w:rsid w:val="6815073B"/>
    <w:rsid w:val="68394457"/>
    <w:rsid w:val="68923B67"/>
    <w:rsid w:val="68C53F3C"/>
    <w:rsid w:val="69036813"/>
    <w:rsid w:val="69C42446"/>
    <w:rsid w:val="69F34AD9"/>
    <w:rsid w:val="6A3868D2"/>
    <w:rsid w:val="6A48766D"/>
    <w:rsid w:val="6A7D43A3"/>
    <w:rsid w:val="6AA67245"/>
    <w:rsid w:val="6B04360A"/>
    <w:rsid w:val="6B054AC4"/>
    <w:rsid w:val="6B162854"/>
    <w:rsid w:val="6B4B697A"/>
    <w:rsid w:val="6BEC5C84"/>
    <w:rsid w:val="6C4404F1"/>
    <w:rsid w:val="6C4B6506"/>
    <w:rsid w:val="6CF35578"/>
    <w:rsid w:val="6DB4457F"/>
    <w:rsid w:val="6E1B63AC"/>
    <w:rsid w:val="6E207323"/>
    <w:rsid w:val="6E6506EE"/>
    <w:rsid w:val="6F206B27"/>
    <w:rsid w:val="6FFC75E8"/>
    <w:rsid w:val="70057314"/>
    <w:rsid w:val="702335BA"/>
    <w:rsid w:val="706B361B"/>
    <w:rsid w:val="70770AF8"/>
    <w:rsid w:val="707B3132"/>
    <w:rsid w:val="710D46D2"/>
    <w:rsid w:val="71121CE9"/>
    <w:rsid w:val="71196029"/>
    <w:rsid w:val="717C3606"/>
    <w:rsid w:val="723E7543"/>
    <w:rsid w:val="726C367A"/>
    <w:rsid w:val="72872262"/>
    <w:rsid w:val="745B5755"/>
    <w:rsid w:val="7468238A"/>
    <w:rsid w:val="7544268D"/>
    <w:rsid w:val="757468A9"/>
    <w:rsid w:val="75D257FD"/>
    <w:rsid w:val="76085468"/>
    <w:rsid w:val="764B11B9"/>
    <w:rsid w:val="76577571"/>
    <w:rsid w:val="76944F4E"/>
    <w:rsid w:val="77731007"/>
    <w:rsid w:val="779276DF"/>
    <w:rsid w:val="787E7C64"/>
    <w:rsid w:val="79C75740"/>
    <w:rsid w:val="79ED50A1"/>
    <w:rsid w:val="79FD2E0A"/>
    <w:rsid w:val="7A106FE1"/>
    <w:rsid w:val="7A2E7454"/>
    <w:rsid w:val="7A320D06"/>
    <w:rsid w:val="7A5F5EC1"/>
    <w:rsid w:val="7A656F1F"/>
    <w:rsid w:val="7A8157E9"/>
    <w:rsid w:val="7A843E8E"/>
    <w:rsid w:val="7AD85D51"/>
    <w:rsid w:val="7B1623D5"/>
    <w:rsid w:val="7B1D3764"/>
    <w:rsid w:val="7B4C229B"/>
    <w:rsid w:val="7B4C5F2B"/>
    <w:rsid w:val="7B762E74"/>
    <w:rsid w:val="7B93624A"/>
    <w:rsid w:val="7BBA024B"/>
    <w:rsid w:val="7C3A67CF"/>
    <w:rsid w:val="7C43405E"/>
    <w:rsid w:val="7C440ADF"/>
    <w:rsid w:val="7CE02C9B"/>
    <w:rsid w:val="7CEC1490"/>
    <w:rsid w:val="7CF229CE"/>
    <w:rsid w:val="7D4C2098"/>
    <w:rsid w:val="7D851A94"/>
    <w:rsid w:val="7E0D3F64"/>
    <w:rsid w:val="7E21356B"/>
    <w:rsid w:val="7E641ED7"/>
    <w:rsid w:val="7F1B7FBA"/>
    <w:rsid w:val="7FB34C77"/>
    <w:rsid w:val="7FBD72C3"/>
    <w:rsid w:val="7FEE1B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3"/>
    <w:link w:val="24"/>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5"/>
    <w:autoRedefine/>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6"/>
    <w:autoRedefine/>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27"/>
    <w:autoRedefine/>
    <w:qFormat/>
    <w:uiPriority w:val="0"/>
    <w:pPr>
      <w:keepNext/>
      <w:keepLines/>
      <w:spacing w:line="360" w:lineRule="auto"/>
      <w:outlineLvl w:val="3"/>
    </w:pPr>
    <w:rPr>
      <w:rFonts w:ascii="Arial" w:hAnsi="Arial"/>
      <w:b/>
      <w:bCs/>
      <w:szCs w:val="28"/>
    </w:rPr>
  </w:style>
  <w:style w:type="character" w:default="1" w:styleId="21">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link w:val="28"/>
    <w:autoRedefine/>
    <w:qFormat/>
    <w:uiPriority w:val="0"/>
    <w:pPr>
      <w:adjustRightInd w:val="0"/>
      <w:spacing w:line="360" w:lineRule="atLeast"/>
      <w:jc w:val="left"/>
      <w:textAlignment w:val="baseline"/>
    </w:pPr>
    <w:rPr>
      <w:rFonts w:ascii="宋体" w:hAnsi="Times New Roman"/>
      <w:kern w:val="0"/>
      <w:sz w:val="24"/>
      <w:szCs w:val="24"/>
    </w:rPr>
  </w:style>
  <w:style w:type="paragraph" w:styleId="7">
    <w:name w:val="Body Text"/>
    <w:basedOn w:val="1"/>
    <w:next w:val="8"/>
    <w:link w:val="29"/>
    <w:autoRedefine/>
    <w:qFormat/>
    <w:uiPriority w:val="99"/>
    <w:pPr>
      <w:spacing w:before="100" w:beforeAutospacing="1"/>
    </w:pPr>
    <w:rPr>
      <w:rFonts w:ascii="Times New Roman" w:hAnsi="Times New Roman"/>
      <w:szCs w:val="24"/>
    </w:rPr>
  </w:style>
  <w:style w:type="paragraph" w:styleId="8">
    <w:name w:val="Body Text 2"/>
    <w:basedOn w:val="1"/>
    <w:link w:val="30"/>
    <w:autoRedefine/>
    <w:qFormat/>
    <w:uiPriority w:val="0"/>
    <w:pPr>
      <w:spacing w:line="500" w:lineRule="exact"/>
    </w:pPr>
    <w:rPr>
      <w:rFonts w:ascii="宋体"/>
      <w:sz w:val="24"/>
    </w:rPr>
  </w:style>
  <w:style w:type="paragraph" w:styleId="9">
    <w:name w:val="Body Text Indent"/>
    <w:basedOn w:val="1"/>
    <w:link w:val="31"/>
    <w:autoRedefine/>
    <w:qFormat/>
    <w:uiPriority w:val="0"/>
    <w:pPr>
      <w:ind w:firstLine="560" w:firstLineChars="200"/>
    </w:pPr>
  </w:style>
  <w:style w:type="paragraph" w:styleId="10">
    <w:name w:val="toc 3"/>
    <w:basedOn w:val="1"/>
    <w:next w:val="1"/>
    <w:autoRedefine/>
    <w:unhideWhenUsed/>
    <w:qFormat/>
    <w:uiPriority w:val="39"/>
    <w:pPr>
      <w:widowControl/>
      <w:spacing w:after="100" w:line="276" w:lineRule="auto"/>
      <w:ind w:left="440"/>
      <w:jc w:val="left"/>
    </w:pPr>
    <w:rPr>
      <w:kern w:val="0"/>
      <w:sz w:val="22"/>
    </w:rPr>
  </w:style>
  <w:style w:type="paragraph" w:styleId="11">
    <w:name w:val="Plain Text"/>
    <w:basedOn w:val="1"/>
    <w:link w:val="32"/>
    <w:autoRedefine/>
    <w:qFormat/>
    <w:uiPriority w:val="0"/>
    <w:rPr>
      <w:rFonts w:ascii="宋体" w:hAnsi="Courier New"/>
      <w:sz w:val="24"/>
      <w:szCs w:val="20"/>
    </w:rPr>
  </w:style>
  <w:style w:type="paragraph" w:styleId="12">
    <w:name w:val="Balloon Text"/>
    <w:basedOn w:val="1"/>
    <w:link w:val="33"/>
    <w:autoRedefine/>
    <w:semiHidden/>
    <w:unhideWhenUsed/>
    <w:qFormat/>
    <w:uiPriority w:val="99"/>
    <w:rPr>
      <w:sz w:val="18"/>
      <w:szCs w:val="18"/>
    </w:rPr>
  </w:style>
  <w:style w:type="paragraph" w:styleId="13">
    <w:name w:val="footer"/>
    <w:basedOn w:val="1"/>
    <w:link w:val="34"/>
    <w:autoRedefine/>
    <w:unhideWhenUsed/>
    <w:qFormat/>
    <w:uiPriority w:val="99"/>
    <w:pPr>
      <w:tabs>
        <w:tab w:val="center" w:pos="4153"/>
        <w:tab w:val="right" w:pos="8306"/>
      </w:tabs>
      <w:snapToGrid w:val="0"/>
      <w:jc w:val="left"/>
    </w:pPr>
    <w:rPr>
      <w:sz w:val="18"/>
    </w:rPr>
  </w:style>
  <w:style w:type="paragraph" w:styleId="14">
    <w:name w:val="header"/>
    <w:basedOn w:val="1"/>
    <w:link w:val="35"/>
    <w:autoRedefine/>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unhideWhenUsed/>
    <w:qFormat/>
    <w:uiPriority w:val="39"/>
    <w:pPr>
      <w:widowControl/>
      <w:spacing w:after="100" w:line="276" w:lineRule="auto"/>
      <w:jc w:val="left"/>
    </w:pPr>
    <w:rPr>
      <w:kern w:val="0"/>
      <w:sz w:val="22"/>
    </w:rPr>
  </w:style>
  <w:style w:type="paragraph" w:styleId="16">
    <w:name w:val="toc 2"/>
    <w:basedOn w:val="1"/>
    <w:next w:val="1"/>
    <w:autoRedefine/>
    <w:unhideWhenUsed/>
    <w:qFormat/>
    <w:uiPriority w:val="39"/>
    <w:pPr>
      <w:widowControl/>
      <w:spacing w:after="100" w:line="276" w:lineRule="auto"/>
      <w:ind w:left="220"/>
      <w:jc w:val="left"/>
    </w:pPr>
    <w:rPr>
      <w:kern w:val="0"/>
      <w:sz w:val="22"/>
    </w:rPr>
  </w:style>
  <w:style w:type="paragraph" w:styleId="1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8">
    <w:name w:val="Title"/>
    <w:basedOn w:val="1"/>
    <w:next w:val="1"/>
    <w:link w:val="36"/>
    <w:autoRedefine/>
    <w:qFormat/>
    <w:uiPriority w:val="0"/>
    <w:pPr>
      <w:spacing w:before="240" w:after="60"/>
      <w:jc w:val="center"/>
      <w:outlineLvl w:val="0"/>
    </w:pPr>
    <w:rPr>
      <w:rFonts w:ascii="Cambria" w:hAnsi="Cambria"/>
      <w:b/>
      <w:bCs/>
      <w:sz w:val="32"/>
      <w:szCs w:val="32"/>
    </w:rPr>
  </w:style>
  <w:style w:type="paragraph" w:styleId="19">
    <w:name w:val="annotation subject"/>
    <w:basedOn w:val="6"/>
    <w:next w:val="6"/>
    <w:link w:val="53"/>
    <w:autoRedefine/>
    <w:semiHidden/>
    <w:unhideWhenUsed/>
    <w:qFormat/>
    <w:uiPriority w:val="99"/>
    <w:pPr>
      <w:adjustRightInd/>
      <w:spacing w:line="240" w:lineRule="auto"/>
      <w:textAlignment w:val="auto"/>
    </w:pPr>
    <w:rPr>
      <w:rFonts w:ascii="Calibri" w:hAnsi="Calibri"/>
      <w:b/>
      <w:bCs/>
      <w:kern w:val="2"/>
      <w:sz w:val="21"/>
      <w:szCs w:val="22"/>
    </w:rPr>
  </w:style>
  <w:style w:type="character" w:styleId="22">
    <w:name w:val="Hyperlink"/>
    <w:autoRedefine/>
    <w:qFormat/>
    <w:uiPriority w:val="99"/>
    <w:rPr>
      <w:rFonts w:ascii="微软雅黑" w:hAnsi="微软雅黑" w:eastAsia="微软雅黑" w:cs="微软雅黑"/>
      <w:color w:val="000000"/>
      <w:u w:val="none"/>
    </w:rPr>
  </w:style>
  <w:style w:type="character" w:styleId="23">
    <w:name w:val="annotation reference"/>
    <w:basedOn w:val="21"/>
    <w:autoRedefine/>
    <w:semiHidden/>
    <w:unhideWhenUsed/>
    <w:qFormat/>
    <w:uiPriority w:val="99"/>
    <w:rPr>
      <w:sz w:val="21"/>
      <w:szCs w:val="21"/>
    </w:rPr>
  </w:style>
  <w:style w:type="character" w:customStyle="1" w:styleId="24">
    <w:name w:val="标题 1 字符"/>
    <w:basedOn w:val="21"/>
    <w:link w:val="2"/>
    <w:autoRedefine/>
    <w:qFormat/>
    <w:uiPriority w:val="0"/>
    <w:rPr>
      <w:rFonts w:ascii="Calibri" w:hAnsi="Calibri" w:eastAsia="宋体" w:cs="Times New Roman"/>
      <w:b/>
      <w:bCs/>
      <w:kern w:val="44"/>
      <w:sz w:val="44"/>
      <w:szCs w:val="44"/>
    </w:rPr>
  </w:style>
  <w:style w:type="character" w:customStyle="1" w:styleId="25">
    <w:name w:val="标题 2 字符"/>
    <w:basedOn w:val="21"/>
    <w:link w:val="3"/>
    <w:autoRedefine/>
    <w:semiHidden/>
    <w:qFormat/>
    <w:uiPriority w:val="0"/>
    <w:rPr>
      <w:rFonts w:asciiTheme="majorHAnsi" w:hAnsiTheme="majorHAnsi" w:eastAsiaTheme="majorEastAsia" w:cstheme="majorBidi"/>
      <w:b/>
      <w:bCs/>
      <w:sz w:val="32"/>
      <w:szCs w:val="32"/>
    </w:rPr>
  </w:style>
  <w:style w:type="character" w:customStyle="1" w:styleId="26">
    <w:name w:val="标题 3 字符"/>
    <w:basedOn w:val="21"/>
    <w:link w:val="4"/>
    <w:autoRedefine/>
    <w:semiHidden/>
    <w:qFormat/>
    <w:uiPriority w:val="0"/>
    <w:rPr>
      <w:rFonts w:ascii="Calibri" w:hAnsi="Calibri" w:eastAsia="宋体" w:cs="Times New Roman"/>
      <w:b/>
      <w:bCs/>
      <w:sz w:val="32"/>
      <w:szCs w:val="32"/>
    </w:rPr>
  </w:style>
  <w:style w:type="character" w:customStyle="1" w:styleId="27">
    <w:name w:val="标题 4 字符"/>
    <w:basedOn w:val="21"/>
    <w:link w:val="5"/>
    <w:autoRedefine/>
    <w:qFormat/>
    <w:uiPriority w:val="0"/>
    <w:rPr>
      <w:rFonts w:ascii="Arial" w:hAnsi="Arial" w:eastAsia="宋体" w:cs="Times New Roman"/>
      <w:b/>
      <w:bCs/>
      <w:szCs w:val="28"/>
    </w:rPr>
  </w:style>
  <w:style w:type="character" w:customStyle="1" w:styleId="28">
    <w:name w:val="批注文字 字符"/>
    <w:basedOn w:val="21"/>
    <w:link w:val="6"/>
    <w:autoRedefine/>
    <w:qFormat/>
    <w:uiPriority w:val="0"/>
    <w:rPr>
      <w:rFonts w:ascii="宋体" w:hAnsi="Times New Roman" w:eastAsia="宋体" w:cs="Times New Roman"/>
      <w:kern w:val="0"/>
      <w:sz w:val="24"/>
      <w:szCs w:val="24"/>
    </w:rPr>
  </w:style>
  <w:style w:type="character" w:customStyle="1" w:styleId="29">
    <w:name w:val="正文文本 字符"/>
    <w:basedOn w:val="21"/>
    <w:link w:val="7"/>
    <w:autoRedefine/>
    <w:qFormat/>
    <w:uiPriority w:val="99"/>
    <w:rPr>
      <w:rFonts w:ascii="Times New Roman" w:hAnsi="Times New Roman" w:eastAsia="宋体" w:cs="Times New Roman"/>
      <w:szCs w:val="24"/>
    </w:rPr>
  </w:style>
  <w:style w:type="character" w:customStyle="1" w:styleId="30">
    <w:name w:val="正文文本 2 字符"/>
    <w:basedOn w:val="21"/>
    <w:link w:val="8"/>
    <w:autoRedefine/>
    <w:qFormat/>
    <w:uiPriority w:val="0"/>
    <w:rPr>
      <w:rFonts w:ascii="宋体" w:hAnsi="Calibri" w:eastAsia="宋体" w:cs="Times New Roman"/>
      <w:sz w:val="24"/>
    </w:rPr>
  </w:style>
  <w:style w:type="character" w:customStyle="1" w:styleId="31">
    <w:name w:val="正文文本缩进 字符"/>
    <w:basedOn w:val="21"/>
    <w:link w:val="9"/>
    <w:autoRedefine/>
    <w:qFormat/>
    <w:uiPriority w:val="0"/>
    <w:rPr>
      <w:rFonts w:ascii="Calibri" w:hAnsi="Calibri" w:eastAsia="宋体" w:cs="Times New Roman"/>
    </w:rPr>
  </w:style>
  <w:style w:type="character" w:customStyle="1" w:styleId="32">
    <w:name w:val="纯文本 字符"/>
    <w:basedOn w:val="21"/>
    <w:link w:val="11"/>
    <w:autoRedefine/>
    <w:qFormat/>
    <w:uiPriority w:val="0"/>
    <w:rPr>
      <w:rFonts w:ascii="宋体" w:hAnsi="Courier New" w:eastAsia="宋体" w:cs="Times New Roman"/>
      <w:sz w:val="24"/>
      <w:szCs w:val="20"/>
    </w:rPr>
  </w:style>
  <w:style w:type="character" w:customStyle="1" w:styleId="33">
    <w:name w:val="批注框文本 字符"/>
    <w:basedOn w:val="21"/>
    <w:link w:val="12"/>
    <w:autoRedefine/>
    <w:semiHidden/>
    <w:qFormat/>
    <w:uiPriority w:val="99"/>
    <w:rPr>
      <w:rFonts w:ascii="Calibri" w:hAnsi="Calibri" w:eastAsia="宋体" w:cs="Times New Roman"/>
      <w:sz w:val="18"/>
      <w:szCs w:val="18"/>
    </w:rPr>
  </w:style>
  <w:style w:type="character" w:customStyle="1" w:styleId="34">
    <w:name w:val="页脚 字符"/>
    <w:basedOn w:val="21"/>
    <w:link w:val="13"/>
    <w:autoRedefine/>
    <w:qFormat/>
    <w:uiPriority w:val="99"/>
    <w:rPr>
      <w:rFonts w:ascii="Calibri" w:hAnsi="Calibri" w:eastAsia="宋体" w:cs="Times New Roman"/>
      <w:sz w:val="18"/>
    </w:rPr>
  </w:style>
  <w:style w:type="character" w:customStyle="1" w:styleId="35">
    <w:name w:val="页眉 字符"/>
    <w:basedOn w:val="21"/>
    <w:link w:val="14"/>
    <w:autoRedefine/>
    <w:qFormat/>
    <w:uiPriority w:val="99"/>
    <w:rPr>
      <w:rFonts w:ascii="Calibri" w:hAnsi="Calibri" w:eastAsia="宋体" w:cs="Times New Roman"/>
      <w:sz w:val="18"/>
    </w:rPr>
  </w:style>
  <w:style w:type="character" w:customStyle="1" w:styleId="36">
    <w:name w:val="标题 字符"/>
    <w:basedOn w:val="21"/>
    <w:link w:val="18"/>
    <w:autoRedefine/>
    <w:qFormat/>
    <w:uiPriority w:val="0"/>
    <w:rPr>
      <w:rFonts w:ascii="Cambria" w:hAnsi="Cambria" w:eastAsia="宋体" w:cs="Times New Roman"/>
      <w:b/>
      <w:bCs/>
      <w:sz w:val="32"/>
      <w:szCs w:val="32"/>
    </w:rPr>
  </w:style>
  <w:style w:type="paragraph" w:customStyle="1" w:styleId="37">
    <w:name w:val="样式 首行缩进:  2 字符"/>
    <w:autoRedefine/>
    <w:qFormat/>
    <w:uiPriority w:val="0"/>
    <w:pPr>
      <w:widowControl w:val="0"/>
      <w:spacing w:line="360" w:lineRule="auto"/>
      <w:ind w:firstLine="582" w:firstLineChars="200"/>
      <w:jc w:val="both"/>
    </w:pPr>
    <w:rPr>
      <w:rFonts w:ascii="Times New Roman" w:hAnsi="Times New Roman" w:eastAsia="仿宋_GB2312" w:cs="宋体"/>
      <w:kern w:val="10"/>
      <w:sz w:val="28"/>
      <w:szCs w:val="28"/>
      <w:lang w:val="en-US" w:eastAsia="zh-CN" w:bidi="ar-SA"/>
    </w:rPr>
  </w:style>
  <w:style w:type="paragraph" w:customStyle="1" w:styleId="38">
    <w:name w:val="样式 宋体 行距: 1.5 倍行距"/>
    <w:basedOn w:val="1"/>
    <w:next w:val="1"/>
    <w:autoRedefine/>
    <w:qFormat/>
    <w:uiPriority w:val="0"/>
    <w:pPr>
      <w:jc w:val="center"/>
    </w:pPr>
    <w:rPr>
      <w:rFonts w:ascii="Times New Roman" w:hAnsi="Times New Roman"/>
      <w:b/>
    </w:rPr>
  </w:style>
  <w:style w:type="paragraph" w:customStyle="1" w:styleId="39">
    <w:name w:val="Normal Indent1"/>
    <w:basedOn w:val="1"/>
    <w:autoRedefine/>
    <w:qFormat/>
    <w:uiPriority w:val="0"/>
    <w:pPr>
      <w:widowControl/>
      <w:spacing w:line="360" w:lineRule="auto"/>
      <w:ind w:firstLine="420"/>
      <w:jc w:val="left"/>
    </w:pPr>
    <w:rPr>
      <w:rFonts w:ascii="宋体" w:hAnsi="Times New Roman"/>
      <w:kern w:val="0"/>
      <w:sz w:val="20"/>
      <w:szCs w:val="20"/>
    </w:rPr>
  </w:style>
  <w:style w:type="paragraph" w:customStyle="1" w:styleId="40">
    <w:name w:val="正文缩进1"/>
    <w:basedOn w:val="1"/>
    <w:autoRedefine/>
    <w:qFormat/>
    <w:uiPriority w:val="0"/>
    <w:pPr>
      <w:widowControl/>
      <w:spacing w:line="360" w:lineRule="auto"/>
      <w:ind w:firstLine="420"/>
      <w:jc w:val="left"/>
    </w:pPr>
    <w:rPr>
      <w:rFonts w:ascii="宋体" w:hAnsi="Times New Roman"/>
      <w:kern w:val="0"/>
      <w:sz w:val="20"/>
      <w:szCs w:val="20"/>
    </w:rPr>
  </w:style>
  <w:style w:type="paragraph" w:customStyle="1" w:styleId="41">
    <w:name w:val="正文缩进11"/>
    <w:basedOn w:val="1"/>
    <w:autoRedefine/>
    <w:qFormat/>
    <w:uiPriority w:val="0"/>
    <w:pPr>
      <w:widowControl/>
      <w:spacing w:line="360" w:lineRule="auto"/>
      <w:ind w:firstLine="420"/>
      <w:jc w:val="left"/>
    </w:pPr>
    <w:rPr>
      <w:rFonts w:ascii="宋体" w:hAnsi="Times New Roman"/>
      <w:kern w:val="0"/>
      <w:sz w:val="20"/>
      <w:szCs w:val="20"/>
    </w:rPr>
  </w:style>
  <w:style w:type="character" w:customStyle="1" w:styleId="42">
    <w:name w:val="标题 Char1"/>
    <w:autoRedefine/>
    <w:qFormat/>
    <w:uiPriority w:val="0"/>
    <w:rPr>
      <w:rFonts w:ascii="Cambria" w:hAnsi="Cambria" w:cs="Times New Roman"/>
      <w:b/>
      <w:bCs/>
      <w:kern w:val="2"/>
      <w:sz w:val="32"/>
      <w:szCs w:val="32"/>
    </w:rPr>
  </w:style>
  <w:style w:type="paragraph" w:customStyle="1" w:styleId="43">
    <w:name w:val="正文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44">
    <w:name w:val="TOC 标题1"/>
    <w:basedOn w:val="2"/>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5">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styleId="46">
    <w:name w:val="List Paragraph"/>
    <w:basedOn w:val="1"/>
    <w:autoRedefine/>
    <w:qFormat/>
    <w:uiPriority w:val="99"/>
    <w:pPr>
      <w:ind w:firstLine="420" w:firstLineChars="200"/>
    </w:pPr>
  </w:style>
  <w:style w:type="paragraph" w:customStyle="1" w:styleId="47">
    <w:name w:val="usezw"/>
    <w:basedOn w:val="1"/>
    <w:autoRedefine/>
    <w:qFormat/>
    <w:uiPriority w:val="0"/>
    <w:pPr>
      <w:autoSpaceDE w:val="0"/>
      <w:autoSpaceDN w:val="0"/>
      <w:spacing w:line="360" w:lineRule="auto"/>
      <w:ind w:firstLine="480" w:firstLineChars="200"/>
      <w:jc w:val="left"/>
    </w:pPr>
    <w:rPr>
      <w:rFonts w:ascii="宋体" w:hAnsi="宋体" w:cs="宋体"/>
      <w:kern w:val="0"/>
      <w:sz w:val="24"/>
      <w:lang w:val="zh-CN" w:bidi="zh-CN"/>
    </w:rPr>
  </w:style>
  <w:style w:type="paragraph" w:customStyle="1" w:styleId="48">
    <w:name w:val="正文 New New New New New New New New New New New New New New New New New New New New New New New New New New New New New New New New New New New New New New New"/>
    <w:autoRedefine/>
    <w:qFormat/>
    <w:uiPriority w:val="99"/>
    <w:pPr>
      <w:widowControl w:val="0"/>
      <w:jc w:val="both"/>
    </w:pPr>
    <w:rPr>
      <w:rFonts w:ascii="Times New Roman" w:hAnsi="Times New Roman" w:eastAsia="楷体_GB2312" w:cs="Times New Roman"/>
      <w:kern w:val="2"/>
      <w:sz w:val="21"/>
      <w:lang w:val="en-US" w:eastAsia="zh-CN" w:bidi="ar-SA"/>
    </w:rPr>
  </w:style>
  <w:style w:type="paragraph" w:customStyle="1" w:styleId="49">
    <w:name w:val="正文 New New New New New New New New New New New New New New New New New New New New New New New New New New New New New New New New New New New New New New New New"/>
    <w:basedOn w:val="1"/>
    <w:autoRedefine/>
    <w:qFormat/>
    <w:uiPriority w:val="0"/>
    <w:rPr>
      <w:rFonts w:eastAsia="楷体_GB2312" w:cs="Calibri"/>
      <w:szCs w:val="21"/>
    </w:rPr>
  </w:style>
  <w:style w:type="paragraph" w:customStyle="1" w:styleId="50">
    <w:name w:val="正文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character" w:customStyle="1" w:styleId="51">
    <w:name w:val="批注文字 Char1"/>
    <w:basedOn w:val="21"/>
    <w:autoRedefine/>
    <w:semiHidden/>
    <w:qFormat/>
    <w:uiPriority w:val="99"/>
    <w:rPr>
      <w:rFonts w:ascii="Times New Roman" w:hAnsi="Times New Roman" w:eastAsia="宋体" w:cs="Times New Roman"/>
      <w:szCs w:val="24"/>
    </w:rPr>
  </w:style>
  <w:style w:type="paragraph" w:customStyle="1" w:styleId="52">
    <w:name w:val="纯文本1"/>
    <w:basedOn w:val="1"/>
    <w:autoRedefine/>
    <w:qFormat/>
    <w:uiPriority w:val="0"/>
    <w:pPr>
      <w:adjustRightInd w:val="0"/>
      <w:textAlignment w:val="baseline"/>
    </w:pPr>
    <w:rPr>
      <w:rFonts w:ascii="宋体" w:hAnsi="Times New Roman"/>
      <w:kern w:val="0"/>
      <w:sz w:val="24"/>
      <w:szCs w:val="20"/>
    </w:rPr>
  </w:style>
  <w:style w:type="character" w:customStyle="1" w:styleId="53">
    <w:name w:val="批注主题 字符"/>
    <w:basedOn w:val="28"/>
    <w:link w:val="19"/>
    <w:autoRedefine/>
    <w:semiHidden/>
    <w:qFormat/>
    <w:uiPriority w:val="99"/>
    <w:rPr>
      <w:rFonts w:ascii="Calibri" w:hAnsi="Calibri" w:eastAsia="宋体" w:cs="Times New Roman"/>
      <w:b/>
      <w:bCs/>
      <w:kern w:val="2"/>
      <w:sz w:val="21"/>
      <w:szCs w:val="22"/>
    </w:rPr>
  </w:style>
  <w:style w:type="paragraph" w:customStyle="1" w:styleId="54">
    <w:name w:val="Table Paragraph"/>
    <w:basedOn w:val="1"/>
    <w:qFormat/>
    <w:uiPriority w:val="0"/>
    <w:rPr>
      <w:rFonts w:ascii="Droid Sans Fallback" w:hAnsi="Droid Sans Fallback" w:eastAsia="Droid Sans Fallback" w:cs="Droid Sans Fallback"/>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119</Pages>
  <Words>7217</Words>
  <Characters>8267</Characters>
  <Lines>329</Lines>
  <Paragraphs>92</Paragraphs>
  <TotalTime>5</TotalTime>
  <ScaleCrop>false</ScaleCrop>
  <LinksUpToDate>false</LinksUpToDate>
  <CharactersWithSpaces>8379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2024-01-19T03:47:00Z</dcterms:created>
  <dc:creator>Administrator</dc:creator>
  <cp:lastModifiedBy>妮子</cp:lastModifiedBy>
  <cp:lastPrinted>2024-11-29T02:23:00Z</cp:lastPrinted>
  <dcterms:modified xsi:type="dcterms:W3CDTF">2025-11-19T02:06:36Z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B44B6548C77942428BE73183AB587448_13</vt:lpwstr>
  </property>
  <property fmtid="{D5CDD505-2E9C-101B-9397-08002B2CF9AE}" pid="4" name="KSOTemplateDocerSaveRecord">
    <vt:lpwstr>eyJoZGlkIjoiNzJlODJlZWIyMWViOTBjNDFkZDAwODdjNDFmYTk2MjUiLCJ1c2VySWQiOiIxMzczNjgyNDAzIn0=</vt:lpwstr>
  </property>
</Properties>
</file>