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78029">
      <w:pPr>
        <w:pStyle w:val="5"/>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r>
        <w:drawing>
          <wp:inline distT="0" distB="0" distL="114300" distR="114300">
            <wp:extent cx="6137910" cy="8733790"/>
            <wp:effectExtent l="0" t="0" r="15240" b="1016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27"/>
                    <a:stretch>
                      <a:fillRect/>
                    </a:stretch>
                  </pic:blipFill>
                  <pic:spPr>
                    <a:xfrm>
                      <a:off x="0" y="0"/>
                      <a:ext cx="6137910" cy="8733790"/>
                    </a:xfrm>
                    <a:prstGeom prst="rect">
                      <a:avLst/>
                    </a:prstGeom>
                    <a:noFill/>
                    <a:ln>
                      <a:noFill/>
                    </a:ln>
                  </pic:spPr>
                </pic:pic>
              </a:graphicData>
            </a:graphic>
          </wp:inline>
        </w:drawing>
      </w:r>
    </w:p>
    <w:p w14:paraId="306B3DC9">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0A6D314A">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sectPr>
          <w:headerReference r:id="rId3" w:type="default"/>
          <w:footerReference r:id="rId4"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088BE4E2">
      <w:pPr>
        <w:keepNext w:val="0"/>
        <w:keepLines w:val="0"/>
        <w:pageBreakBefore w:val="0"/>
        <w:wordWrap w:val="0"/>
        <w:overflowPunct/>
        <w:topLinePunct w:val="0"/>
        <w:bidi w:val="0"/>
        <w:jc w:val="center"/>
        <w:rPr>
          <w:rFonts w:hint="eastAsia" w:ascii="宋体" w:hAnsi="宋体" w:eastAsia="宋体" w:cs="宋体"/>
          <w:b/>
          <w:bCs/>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sz w:val="28"/>
          <w:szCs w:val="28"/>
          <w:highlight w:val="none"/>
          <w14:textFill>
            <w14:solidFill>
              <w14:schemeClr w14:val="tx1"/>
            </w14:solidFill>
          </w14:textFill>
        </w:rPr>
        <w:t>目录</w:t>
      </w:r>
    </w:p>
    <w:p w14:paraId="776EE4A1">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TOC \o "1-3" \h \u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_Toc19525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第一章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18E5B79">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_Toc13643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第一节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4E94876">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_Toc24326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第二节 重要事项时间地点一览表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72BBEB9">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_Toc9437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第三节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投标人须知正文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_Toc9437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DEE9F96">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_Toc30196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．项目概况、招标范围和标段划分、投标费用等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5E888E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_Toc6096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w:t>
      </w:r>
      <w:r>
        <w:rPr>
          <w:rFonts w:hint="eastAsia" w:ascii="宋体" w:hAnsi="宋体" w:eastAsia="宋体" w:cs="宋体"/>
          <w:bCs w:val="0"/>
          <w:color w:val="000000" w:themeColor="text1"/>
          <w:spacing w:val="0"/>
          <w:szCs w:val="24"/>
          <w:highlight w:val="none"/>
          <w:lang w:eastAsia="zh-CN"/>
          <w14:textFill>
            <w14:solidFill>
              <w14:schemeClr w14:val="tx1"/>
            </w14:solidFill>
          </w14:textFill>
        </w:rPr>
        <w:t>投标人</w:t>
      </w:r>
      <w:r>
        <w:rPr>
          <w:rFonts w:hint="eastAsia" w:ascii="宋体" w:hAnsi="宋体" w:eastAsia="宋体" w:cs="宋体"/>
          <w:bCs w:val="0"/>
          <w:color w:val="000000" w:themeColor="text1"/>
          <w:spacing w:val="0"/>
          <w:szCs w:val="24"/>
          <w:highlight w:val="none"/>
          <w14:textFill>
            <w14:solidFill>
              <w14:schemeClr w14:val="tx1"/>
            </w14:solidFill>
          </w14:textFill>
        </w:rPr>
        <w:t>资质要求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D7D49D">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_Toc15370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3．招标文件的获取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6A6AAA">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_Toc5728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．工期要求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5F1BCE">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_Toc17663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5</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．质量标准和材料、机械要求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778265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_Toc2095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6 ．施工条件及现场踏勘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96B2E17">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_Toc31147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7 ．招标文件的提问和答疑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7579D12">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_Toc15237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8 ．</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最高投标限价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925F4C5">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_Toc7353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9 ．投标报价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_Toc7353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A08356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_Toc1984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10 ．投标文件的编制要求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0E6DB43">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_Toc20976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 xml:space="preserve">11. </w:t>
      </w:r>
      <w:r>
        <w:rPr>
          <w:rFonts w:hint="eastAsia" w:ascii="宋体" w:hAnsi="宋体" w:eastAsia="宋体" w:cs="宋体"/>
          <w:color w:val="000000" w:themeColor="text1"/>
          <w:spacing w:val="0"/>
          <w:szCs w:val="24"/>
          <w:highlight w:val="none"/>
          <w14:textFill>
            <w14:solidFill>
              <w14:schemeClr w14:val="tx1"/>
            </w14:solidFill>
          </w14:textFill>
        </w:rPr>
        <w:t>电子投标：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5AEDB2B">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_Toc27655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12.</w:t>
      </w:r>
      <w:r>
        <w:rPr>
          <w:rFonts w:hint="eastAsia" w:ascii="宋体" w:hAnsi="宋体" w:eastAsia="宋体" w:cs="宋体"/>
          <w:bCs/>
          <w:color w:val="000000" w:themeColor="text1"/>
          <w:spacing w:val="0"/>
          <w:w w:val="101"/>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电子投标及投标解密失败及突发情况的补救方案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06876D5">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_Toc9348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13 ．投标文件的提交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_Toc9348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2C5D1F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_Toc21683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14 ．开标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8AC7486">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_Toc11616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15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_Toc11616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0FB8EA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_Toc17694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zCs w:val="24"/>
          <w:highlight w:val="none"/>
          <w:lang w:eastAsia="zh-CN"/>
          <w14:textFill>
            <w14:solidFill>
              <w14:schemeClr w14:val="tx1"/>
            </w14:solidFill>
          </w14:textFill>
        </w:rPr>
        <w:t>16 ．评标结果公示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92A2322">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_Toc16450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第四节</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否决投标条件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899DC30">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_Toc20652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．资格评审环节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_Toc20652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7FA5B2D">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_Toc32536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．形式评审环节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_Toc32536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1C4BE5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_Toc25928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．响应性评审环节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46C00A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_Toc27917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．其他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_Toc27917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456CF0C">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_Toc15025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第五节 定标规定及细则（本项目采用票决数量法定标）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CC621A">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_Toc10012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snapToGrid/>
          <w:color w:val="000000" w:themeColor="text1"/>
          <w:kern w:val="2"/>
          <w:szCs w:val="24"/>
          <w:highlight w:val="none"/>
          <w:lang w:eastAsia="zh-CN"/>
          <w14:textFill>
            <w14:solidFill>
              <w14:schemeClr w14:val="tx1"/>
            </w14:solidFill>
          </w14:textFill>
        </w:rPr>
        <w:t>第六节 中标确认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AEDF65C">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_Toc5449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第二章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中标人须知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90DA21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_Toc22056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．中标通知书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504E7B5">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_Toc16454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．中标结果公示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E9D3332">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_Toc20203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．履约保证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51C321F">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_Toc624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．合同订立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D96C37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_Toc13877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5 ．放弃中标的处理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_Toc13877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A475046">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_Toc10710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第三章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拟签订合同的主要条款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D8A36EE">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_Toc29782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．工程承包方式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_Toc29782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ABA4682">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_Toc28189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．工程结算原则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6A3A8F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_Toc22696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工程付款办法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514FB5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_Toc9813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4 ．其他专用合同条款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FAA59B7">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_Toc30336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第四章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F7A1B43">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_Toc20347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．房屋建筑工程建设项目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2DD7D00">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_Toc31268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．市政基础设施工程建设项目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4AA8B9B">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_Toc14731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3 ．备查要求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_Toc14731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40058F1">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_Toc23715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第五章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图纸和招标工程量清单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_Toc23715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1E0AF0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_Toc12580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1 ．图纸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8D9E8C3">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_Toc5429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2 ．招标工程量清单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73A5F66">
      <w:pPr>
        <w:pStyle w:val="9"/>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_Toc13179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第六章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B69BF57">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_Toc27563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格式一</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75DBD4B">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_Toc29380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格式二 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203443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_Toc21615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格式三 各项承诺一览表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_Toc21615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694787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_Toc30907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格式四 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9E9FF9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_Toc25947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格式五 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8E1B1CA">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_Toc12961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格式六 联合体协议书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27FA891">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_Toc29268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格式七 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652236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_Toc23002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格式八 项目经理简历表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_Toc23002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FC65E2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_Toc6105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格式九 项目经理任职声明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3493BBB9">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_Toc1750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 项目技术负责人简历表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1F505E1C">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_Toc27361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格式十一 项目管理机构组成表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_Toc27361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24503F78">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_Toc26605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格式十二 建造师查询页（有效期+建造师签字）</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F704B84">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_Toc181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格式十三</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szCs w:val="22"/>
          <w:highlight w:val="none"/>
          <w14:textFill>
            <w14:solidFill>
              <w14:schemeClr w14:val="tx1"/>
            </w14:solidFill>
          </w14:textFill>
        </w:rPr>
        <w:t>危险性较大的分部分项工程清单及超过一定规模的危险性较大的分部分项工程清单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5EA4994D">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_Toc9289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格式十四</w:t>
      </w:r>
      <w:r>
        <w:rPr>
          <w:rFonts w:hint="eastAsia" w:ascii="宋体" w:hAnsi="宋体" w:eastAsia="宋体" w:cs="宋体"/>
          <w:bCs/>
          <w:color w:val="000000" w:themeColor="text1"/>
          <w:spacing w:val="0"/>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pacing w:val="0"/>
          <w:position w:val="3"/>
          <w:szCs w:val="21"/>
          <w:highlight w:val="none"/>
          <w14:textFill>
            <w14:solidFill>
              <w14:schemeClr w14:val="tx1"/>
            </w14:solidFill>
          </w14:textFill>
        </w:rPr>
        <w:t>投标保证金信用承诺函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86</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4C0122E0">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_Toc22197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格式十</w:t>
      </w:r>
      <w:r>
        <w:rPr>
          <w:rFonts w:hint="eastAsia" w:ascii="宋体" w:hAnsi="宋体" w:eastAsia="宋体" w:cs="宋体"/>
          <w:bCs/>
          <w:color w:val="000000" w:themeColor="text1"/>
          <w:spacing w:val="0"/>
          <w:szCs w:val="24"/>
          <w:highlight w:val="none"/>
          <w:lang w:eastAsia="zh-CN"/>
          <w14:textFill>
            <w14:solidFill>
              <w14:schemeClr w14:val="tx1"/>
            </w14:solidFill>
          </w14:textFill>
        </w:rPr>
        <w:t>五</w:t>
      </w:r>
      <w:r>
        <w:rPr>
          <w:rFonts w:hint="eastAsia" w:ascii="宋体" w:hAnsi="宋体" w:eastAsia="宋体" w:cs="宋体"/>
          <w:bCs/>
          <w:color w:val="000000" w:themeColor="text1"/>
          <w:spacing w:val="0"/>
          <w:szCs w:val="24"/>
          <w:highlight w:val="none"/>
          <w14:textFill>
            <w14:solidFill>
              <w14:schemeClr w14:val="tx1"/>
            </w14:solidFill>
          </w14:textFill>
        </w:rPr>
        <w:t xml:space="preserve">  原件一览表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87</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06A03ABA">
      <w:pPr>
        <w:pStyle w:val="6"/>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_Toc29477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Times New Roman" w:hAnsi="宋体" w:eastAsia="Arial" w:cs="Arial"/>
          <w:bCs/>
          <w:snapToGrid w:val="0"/>
          <w:color w:val="000000" w:themeColor="text1"/>
          <w:kern w:val="2"/>
          <w:szCs w:val="21"/>
          <w:highlight w:val="none"/>
          <w:lang w:eastAsia="en-US"/>
          <w14:textFill>
            <w14:solidFill>
              <w14:schemeClr w14:val="tx1"/>
            </w14:solidFill>
          </w14:textFill>
        </w:rPr>
        <w:t>格式十六 定标因素评审资料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88</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6CE082EC">
      <w:pPr>
        <w:pStyle w:val="10"/>
        <w:tabs>
          <w:tab w:val="right" w:leader="dot" w:pos="9746"/>
        </w:tabs>
        <w:rPr>
          <w:color w:val="000000" w:themeColor="text1"/>
          <w:highlight w:val="none"/>
          <w14:textFill>
            <w14:solidFill>
              <w14:schemeClr w14:val="tx1"/>
            </w14:solidFill>
          </w14:textFill>
        </w:rPr>
      </w:pPr>
      <w:r>
        <w:rPr>
          <w:rFonts w:hint="eastAsia" w:ascii="宋体" w:hAnsi="宋体" w:eastAsia="宋体" w:cs="宋体"/>
          <w:color w:val="000000" w:themeColor="text1"/>
          <w:spacing w:val="0"/>
          <w:szCs w:val="24"/>
          <w:highlight w:val="none"/>
          <w14:textFill>
            <w14:solidFill>
              <w14:schemeClr w14:val="tx1"/>
            </w14:solidFill>
          </w14:textFill>
        </w:rPr>
        <w:fldChar w:fldCharType="begin"/>
      </w:r>
      <w:r>
        <w:rPr>
          <w:rFonts w:hint="eastAsia" w:ascii="宋体" w:hAnsi="宋体" w:eastAsia="宋体" w:cs="宋体"/>
          <w:color w:val="000000" w:themeColor="text1"/>
          <w:spacing w:val="0"/>
          <w:szCs w:val="24"/>
          <w:highlight w:val="none"/>
          <w14:textFill>
            <w14:solidFill>
              <w14:schemeClr w14:val="tx1"/>
            </w14:solidFill>
          </w14:textFill>
        </w:rPr>
        <w:instrText xml:space="preserve"> HYPERLINK \l _Toc8487 </w:instrText>
      </w:r>
      <w:r>
        <w:rPr>
          <w:rFonts w:hint="eastAsia" w:ascii="宋体" w:hAnsi="宋体" w:eastAsia="宋体" w:cs="宋体"/>
          <w:color w:val="000000" w:themeColor="text1"/>
          <w:spacing w:val="0"/>
          <w:szCs w:val="24"/>
          <w:highlight w:val="none"/>
          <w14:textFill>
            <w14:solidFill>
              <w14:schemeClr w14:val="tx1"/>
            </w14:solidFill>
          </w14:textFill>
        </w:rPr>
        <w:fldChar w:fldCharType="separate"/>
      </w:r>
      <w:r>
        <w:rPr>
          <w:rFonts w:hint="eastAsia" w:ascii="宋体" w:hAnsi="宋体" w:eastAsia="宋体" w:cs="宋体"/>
          <w:bCs/>
          <w:color w:val="000000" w:themeColor="text1"/>
          <w:spacing w:val="0"/>
          <w:szCs w:val="24"/>
          <w:highlight w:val="none"/>
          <w14:textFill>
            <w14:solidFill>
              <w14:schemeClr w14:val="tx1"/>
            </w14:solidFill>
          </w14:textFill>
        </w:rPr>
        <w:t>第七章</w:t>
      </w:r>
      <w:r>
        <w:rPr>
          <w:rFonts w:hint="eastAsia" w:ascii="宋体" w:hAnsi="宋体" w:eastAsia="宋体" w:cs="宋体"/>
          <w:color w:val="000000" w:themeColor="text1"/>
          <w:spacing w:val="0"/>
          <w:szCs w:val="24"/>
          <w:highlight w:val="none"/>
          <w14:textFill>
            <w14:solidFill>
              <w14:schemeClr w14:val="tx1"/>
            </w14:solidFill>
          </w14:textFill>
        </w:rPr>
        <w:t xml:space="preserve"> </w:t>
      </w:r>
      <w:r>
        <w:rPr>
          <w:rFonts w:hint="eastAsia" w:ascii="宋体" w:hAnsi="宋体" w:eastAsia="宋体" w:cs="宋体"/>
          <w:bCs/>
          <w:color w:val="000000" w:themeColor="text1"/>
          <w:spacing w:val="0"/>
          <w:szCs w:val="24"/>
          <w:highlight w:val="none"/>
          <w14:textFill>
            <w14:solidFill>
              <w14:schemeClr w14:val="tx1"/>
            </w14:solidFill>
          </w14:textFill>
        </w:rPr>
        <w:t>建设工程施工合同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_Toc8487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89</w:t>
      </w:r>
      <w:r>
        <w:rPr>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CE8F2FC">
      <w:pPr>
        <w:keepNext w:val="0"/>
        <w:keepLines w:val="0"/>
        <w:pageBreakBefore w:val="0"/>
        <w:wordWrap w:val="0"/>
        <w:overflowPunct/>
        <w:topLinePunct w:val="0"/>
        <w:bidi w:val="0"/>
        <w:spacing w:line="22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5"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000000" w:themeColor="text1"/>
          <w:spacing w:val="0"/>
          <w:szCs w:val="24"/>
          <w:highlight w:val="none"/>
          <w14:textFill>
            <w14:solidFill>
              <w14:schemeClr w14:val="tx1"/>
            </w14:solidFill>
          </w14:textFill>
        </w:rPr>
        <w:fldChar w:fldCharType="end"/>
      </w:r>
    </w:p>
    <w:p w14:paraId="73063668">
      <w:pPr>
        <w:pStyle w:val="5"/>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highlight w:val="none"/>
          <w14:textFill>
            <w14:solidFill>
              <w14:schemeClr w14:val="tx1"/>
            </w14:solidFill>
          </w14:textFill>
        </w:rPr>
      </w:pPr>
    </w:p>
    <w:p w14:paraId="49639CDB">
      <w:pPr>
        <w:keepNext w:val="0"/>
        <w:keepLines w:val="0"/>
        <w:pageBreakBefore w:val="0"/>
        <w:wordWrap w:val="0"/>
        <w:overflowPunct/>
        <w:topLinePunct w:val="0"/>
        <w:bidi w:val="0"/>
        <w:spacing w:before="78" w:line="219" w:lineRule="auto"/>
        <w:ind w:left="3416"/>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0" w:name="bookmark1"/>
      <w:bookmarkEnd w:id="0"/>
      <w:bookmarkStart w:id="1" w:name="_Toc19525"/>
      <w:r>
        <w:rPr>
          <w:rFonts w:hint="eastAsia" w:ascii="宋体" w:hAnsi="宋体" w:eastAsia="宋体" w:cs="宋体"/>
          <w:b/>
          <w:bCs/>
          <w:color w:val="000000" w:themeColor="text1"/>
          <w:spacing w:val="0"/>
          <w:sz w:val="24"/>
          <w:szCs w:val="24"/>
          <w:highlight w:val="none"/>
          <w14:textFill>
            <w14:solidFill>
              <w14:schemeClr w14:val="tx1"/>
            </w14:solidFill>
          </w14:textFill>
        </w:rPr>
        <w:t>第一章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w:t>
      </w:r>
      <w:bookmarkEnd w:id="1"/>
    </w:p>
    <w:p w14:paraId="0C219C57">
      <w:pPr>
        <w:keepNext w:val="0"/>
        <w:keepLines w:val="0"/>
        <w:pageBreakBefore w:val="0"/>
        <w:wordWrap w:val="0"/>
        <w:overflowPunct/>
        <w:topLinePunct w:val="0"/>
        <w:bidi w:val="0"/>
        <w:spacing w:before="156" w:line="219" w:lineRule="auto"/>
        <w:ind w:left="17"/>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2" w:name="bookmark3"/>
      <w:bookmarkEnd w:id="2"/>
      <w:bookmarkStart w:id="3" w:name="_Toc13643"/>
      <w:r>
        <w:rPr>
          <w:rFonts w:hint="eastAsia" w:ascii="宋体" w:hAnsi="宋体" w:eastAsia="宋体" w:cs="宋体"/>
          <w:b/>
          <w:bCs/>
          <w:color w:val="000000" w:themeColor="text1"/>
          <w:spacing w:val="0"/>
          <w:sz w:val="24"/>
          <w:szCs w:val="24"/>
          <w:highlight w:val="none"/>
          <w14:textFill>
            <w14:solidFill>
              <w14:schemeClr w14:val="tx1"/>
            </w14:solidFill>
          </w14:textFill>
        </w:rPr>
        <w:t>第一节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投标人须知前附表</w:t>
      </w:r>
      <w:bookmarkEnd w:id="3"/>
    </w:p>
    <w:p w14:paraId="451443B4">
      <w:pPr>
        <w:keepNext w:val="0"/>
        <w:keepLines w:val="0"/>
        <w:pageBreakBefore w:val="0"/>
        <w:wordWrap w:val="0"/>
        <w:overflowPunct/>
        <w:topLinePunct w:val="0"/>
        <w:bidi w:val="0"/>
        <w:spacing w:before="25"/>
        <w:rPr>
          <w:rFonts w:hint="eastAsia" w:ascii="宋体" w:hAnsi="宋体" w:eastAsia="宋体" w:cs="宋体"/>
          <w:color w:val="000000" w:themeColor="text1"/>
          <w:spacing w:val="0"/>
          <w:highlight w:val="none"/>
          <w14:textFill>
            <w14:solidFill>
              <w14:schemeClr w14:val="tx1"/>
            </w14:solidFill>
          </w14:textFill>
        </w:rPr>
      </w:pPr>
    </w:p>
    <w:tbl>
      <w:tblPr>
        <w:tblStyle w:val="14"/>
        <w:tblW w:w="100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656"/>
      </w:tblGrid>
      <w:tr w14:paraId="7ACC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4758577E">
            <w:pPr>
              <w:keepNext w:val="0"/>
              <w:keepLines w:val="0"/>
              <w:pageBreakBefore w:val="0"/>
              <w:wordWrap w:val="0"/>
              <w:overflowPunct/>
              <w:topLinePunct w:val="0"/>
              <w:bidi w:val="0"/>
              <w:spacing w:before="203" w:line="209" w:lineRule="auto"/>
              <w:ind w:left="0" w:leftChars="0" w:firstLine="0" w:firstLineChars="0"/>
              <w:jc w:val="cente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序号</w:t>
            </w:r>
          </w:p>
        </w:tc>
        <w:tc>
          <w:tcPr>
            <w:tcW w:w="1860" w:type="dxa"/>
            <w:vAlign w:val="center"/>
          </w:tcPr>
          <w:p w14:paraId="7B8ED52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内容</w:t>
            </w:r>
          </w:p>
        </w:tc>
        <w:tc>
          <w:tcPr>
            <w:tcW w:w="7656" w:type="dxa"/>
            <w:vAlign w:val="center"/>
          </w:tcPr>
          <w:p w14:paraId="0575BAF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说明与要求</w:t>
            </w:r>
          </w:p>
        </w:tc>
      </w:tr>
      <w:tr w14:paraId="53CA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34D199C6">
            <w:pPr>
              <w:keepNext w:val="0"/>
              <w:keepLines w:val="0"/>
              <w:pageBreakBefore w:val="0"/>
              <w:wordWrap w:val="0"/>
              <w:overflowPunct/>
              <w:topLinePunct w:val="0"/>
              <w:bidi w:val="0"/>
              <w:spacing w:before="223"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bookmarkStart w:id="4" w:name="OLE_LINK2" w:colFirst="2" w:colLast="2"/>
            <w:r>
              <w:rPr>
                <w:rFonts w:hint="eastAsia" w:ascii="宋体" w:hAnsi="宋体" w:eastAsia="宋体" w:cs="宋体"/>
                <w:color w:val="000000" w:themeColor="text1"/>
                <w:spacing w:val="0"/>
                <w:sz w:val="21"/>
                <w:szCs w:val="21"/>
                <w:highlight w:val="none"/>
                <w14:textFill>
                  <w14:solidFill>
                    <w14:schemeClr w14:val="tx1"/>
                  </w14:solidFill>
                </w14:textFill>
              </w:rPr>
              <w:t>1</w:t>
            </w:r>
          </w:p>
        </w:tc>
        <w:tc>
          <w:tcPr>
            <w:tcW w:w="1860" w:type="dxa"/>
            <w:vAlign w:val="center"/>
          </w:tcPr>
          <w:p w14:paraId="6E81DB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项目名称</w:t>
            </w:r>
          </w:p>
        </w:tc>
        <w:tc>
          <w:tcPr>
            <w:tcW w:w="7656" w:type="dxa"/>
            <w:vAlign w:val="center"/>
          </w:tcPr>
          <w:p w14:paraId="62C2E40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广东省韶关市仁化县全域人居环境整治建设项目（一期）丹霞街道一标段施工</w:t>
            </w:r>
          </w:p>
        </w:tc>
      </w:tr>
      <w:tr w14:paraId="1C49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5546609D">
            <w:pPr>
              <w:keepNext w:val="0"/>
              <w:keepLines w:val="0"/>
              <w:pageBreakBefore w:val="0"/>
              <w:wordWrap w:val="0"/>
              <w:overflowPunct/>
              <w:topLinePunct w:val="0"/>
              <w:bidi w:val="0"/>
              <w:spacing w:before="222"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860" w:type="dxa"/>
            <w:vAlign w:val="center"/>
          </w:tcPr>
          <w:p w14:paraId="28FBECF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项目业主</w:t>
            </w:r>
          </w:p>
        </w:tc>
        <w:tc>
          <w:tcPr>
            <w:tcW w:w="7656" w:type="dxa"/>
            <w:vAlign w:val="center"/>
          </w:tcPr>
          <w:p w14:paraId="6B4C0B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仁化县丹霞街道办事处</w:t>
            </w:r>
          </w:p>
        </w:tc>
      </w:tr>
      <w:tr w14:paraId="42F2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6" w:hRule="atLeast"/>
        </w:trPr>
        <w:tc>
          <w:tcPr>
            <w:tcW w:w="582" w:type="dxa"/>
            <w:vAlign w:val="center"/>
          </w:tcPr>
          <w:p w14:paraId="2FE483DA">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p>
        </w:tc>
        <w:tc>
          <w:tcPr>
            <w:tcW w:w="1860" w:type="dxa"/>
            <w:vAlign w:val="center"/>
          </w:tcPr>
          <w:p w14:paraId="31041B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项目批准部门及项目批准文号</w:t>
            </w:r>
          </w:p>
        </w:tc>
        <w:tc>
          <w:tcPr>
            <w:tcW w:w="7656" w:type="dxa"/>
            <w:vAlign w:val="center"/>
          </w:tcPr>
          <w:p w14:paraId="53C940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仁化县发展改革和政务数据局</w:t>
            </w:r>
          </w:p>
          <w:p w14:paraId="141A5A4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仁发改和政数投审〔2025〕9号、仁发改和政数投审〔2025〕100号、仁发改和政数投审〔2026〕72号</w:t>
            </w:r>
          </w:p>
        </w:tc>
      </w:tr>
      <w:tr w14:paraId="58FC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065D891">
            <w:pPr>
              <w:keepNext w:val="0"/>
              <w:keepLines w:val="0"/>
              <w:pageBreakBefore w:val="0"/>
              <w:wordWrap w:val="0"/>
              <w:overflowPunct/>
              <w:topLinePunct w:val="0"/>
              <w:bidi w:val="0"/>
              <w:spacing w:before="22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4</w:t>
            </w:r>
          </w:p>
        </w:tc>
        <w:tc>
          <w:tcPr>
            <w:tcW w:w="1860" w:type="dxa"/>
            <w:vAlign w:val="center"/>
          </w:tcPr>
          <w:p w14:paraId="2161DF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建设地点</w:t>
            </w:r>
          </w:p>
        </w:tc>
        <w:tc>
          <w:tcPr>
            <w:tcW w:w="7656" w:type="dxa"/>
            <w:tcMar>
              <w:top w:w="0" w:type="dxa"/>
              <w:left w:w="0" w:type="dxa"/>
              <w:bottom w:w="0" w:type="dxa"/>
              <w:right w:w="0" w:type="dxa"/>
            </w:tcMar>
            <w:vAlign w:val="center"/>
          </w:tcPr>
          <w:p w14:paraId="17B62E4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仁化县丹霞街道</w:t>
            </w:r>
          </w:p>
        </w:tc>
      </w:tr>
      <w:tr w14:paraId="767A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62C389A3">
            <w:pPr>
              <w:keepNext w:val="0"/>
              <w:keepLines w:val="0"/>
              <w:pageBreakBefore w:val="0"/>
              <w:wordWrap w:val="0"/>
              <w:overflowPunct/>
              <w:topLinePunct w:val="0"/>
              <w:bidi w:val="0"/>
              <w:spacing w:before="226" w:line="192"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5</w:t>
            </w:r>
          </w:p>
        </w:tc>
        <w:tc>
          <w:tcPr>
            <w:tcW w:w="1860" w:type="dxa"/>
            <w:vAlign w:val="center"/>
          </w:tcPr>
          <w:p w14:paraId="4E0519E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项目代码</w:t>
            </w:r>
          </w:p>
        </w:tc>
        <w:tc>
          <w:tcPr>
            <w:tcW w:w="7656" w:type="dxa"/>
            <w:vAlign w:val="center"/>
          </w:tcPr>
          <w:p w14:paraId="168A8C9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2502-440224-04-01-128561、2601-440224-04-01-140601</w:t>
            </w:r>
          </w:p>
        </w:tc>
      </w:tr>
      <w:tr w14:paraId="4134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27F55D58">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6</w:t>
            </w:r>
          </w:p>
        </w:tc>
        <w:tc>
          <w:tcPr>
            <w:tcW w:w="1860" w:type="dxa"/>
            <w:vAlign w:val="center"/>
          </w:tcPr>
          <w:p w14:paraId="54684E3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资金来源及落实情况</w:t>
            </w:r>
          </w:p>
        </w:tc>
        <w:tc>
          <w:tcPr>
            <w:tcW w:w="7656" w:type="dxa"/>
            <w:vAlign w:val="center"/>
          </w:tcPr>
          <w:p w14:paraId="0168322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上级资金和县级财政资金安排解决，100%</w:t>
            </w:r>
          </w:p>
        </w:tc>
      </w:tr>
      <w:tr w14:paraId="55E0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3A867CC">
            <w:pPr>
              <w:keepNext w:val="0"/>
              <w:keepLines w:val="0"/>
              <w:pageBreakBefore w:val="0"/>
              <w:wordWrap w:val="0"/>
              <w:overflowPunct/>
              <w:topLinePunct w:val="0"/>
              <w:bidi w:val="0"/>
              <w:spacing w:before="228" w:line="192"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7</w:t>
            </w:r>
          </w:p>
        </w:tc>
        <w:tc>
          <w:tcPr>
            <w:tcW w:w="1860" w:type="dxa"/>
            <w:vAlign w:val="center"/>
          </w:tcPr>
          <w:p w14:paraId="1395956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招标人</w:t>
            </w:r>
          </w:p>
        </w:tc>
        <w:tc>
          <w:tcPr>
            <w:tcW w:w="7656" w:type="dxa"/>
            <w:vAlign w:val="center"/>
          </w:tcPr>
          <w:p w14:paraId="2D9D595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仁化县丹霞街道办事处</w:t>
            </w:r>
          </w:p>
        </w:tc>
      </w:tr>
      <w:tr w14:paraId="38A7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6A89B71E">
            <w:pPr>
              <w:keepNext w:val="0"/>
              <w:keepLines w:val="0"/>
              <w:pageBreakBefore w:val="0"/>
              <w:wordWrap w:val="0"/>
              <w:overflowPunct/>
              <w:topLinePunct w:val="0"/>
              <w:bidi w:val="0"/>
              <w:spacing w:before="224"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8</w:t>
            </w:r>
          </w:p>
        </w:tc>
        <w:tc>
          <w:tcPr>
            <w:tcW w:w="1860" w:type="dxa"/>
            <w:vAlign w:val="center"/>
          </w:tcPr>
          <w:p w14:paraId="35B8FC2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招标代理机构</w:t>
            </w:r>
          </w:p>
        </w:tc>
        <w:tc>
          <w:tcPr>
            <w:tcW w:w="7656" w:type="dxa"/>
            <w:vAlign w:val="center"/>
          </w:tcPr>
          <w:p w14:paraId="7B44CAF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海通国际设计有限公司</w:t>
            </w:r>
          </w:p>
        </w:tc>
      </w:tr>
      <w:tr w14:paraId="45E3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EE48A18">
            <w:pPr>
              <w:keepNext w:val="0"/>
              <w:keepLines w:val="0"/>
              <w:pageBreakBefore w:val="0"/>
              <w:wordWrap w:val="0"/>
              <w:overflowPunct/>
              <w:topLinePunct w:val="0"/>
              <w:bidi w:val="0"/>
              <w:spacing w:before="22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9</w:t>
            </w:r>
          </w:p>
        </w:tc>
        <w:tc>
          <w:tcPr>
            <w:tcW w:w="1860" w:type="dxa"/>
            <w:vAlign w:val="center"/>
          </w:tcPr>
          <w:p w14:paraId="2173F8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设计单位</w:t>
            </w:r>
          </w:p>
        </w:tc>
        <w:tc>
          <w:tcPr>
            <w:tcW w:w="7656" w:type="dxa"/>
            <w:vAlign w:val="center"/>
          </w:tcPr>
          <w:p w14:paraId="363B6A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中大设计集团有限公司</w:t>
            </w:r>
          </w:p>
        </w:tc>
      </w:tr>
      <w:bookmarkEnd w:id="4"/>
      <w:tr w14:paraId="3BFA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1635C0FD">
            <w:pPr>
              <w:keepNext w:val="0"/>
              <w:keepLines w:val="0"/>
              <w:pageBreakBefore w:val="0"/>
              <w:wordWrap w:val="0"/>
              <w:overflowPunct/>
              <w:topLinePunct w:val="0"/>
              <w:bidi w:val="0"/>
              <w:spacing w:before="245"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10</w:t>
            </w:r>
          </w:p>
        </w:tc>
        <w:tc>
          <w:tcPr>
            <w:tcW w:w="1860" w:type="dxa"/>
            <w:vAlign w:val="center"/>
          </w:tcPr>
          <w:p w14:paraId="2495ED4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造价咨询单位</w:t>
            </w:r>
          </w:p>
        </w:tc>
        <w:tc>
          <w:tcPr>
            <w:tcW w:w="7656" w:type="dxa"/>
            <w:vAlign w:val="center"/>
          </w:tcPr>
          <w:p w14:paraId="6BD3EE2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☑非全过程造价咨询</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□全过程造价咨询</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p>
        </w:tc>
      </w:tr>
      <w:tr w14:paraId="3692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09F5224E">
            <w:pPr>
              <w:keepNext w:val="0"/>
              <w:keepLines w:val="0"/>
              <w:pageBreakBefore w:val="0"/>
              <w:wordWrap w:val="0"/>
              <w:overflowPunct/>
              <w:topLinePunct w:val="0"/>
              <w:bidi w:val="0"/>
              <w:spacing w:before="242"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11</w:t>
            </w:r>
          </w:p>
        </w:tc>
        <w:tc>
          <w:tcPr>
            <w:tcW w:w="1860" w:type="dxa"/>
            <w:vAlign w:val="center"/>
          </w:tcPr>
          <w:p w14:paraId="108455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监理单位</w:t>
            </w:r>
          </w:p>
        </w:tc>
        <w:tc>
          <w:tcPr>
            <w:tcW w:w="7656" w:type="dxa"/>
            <w:vAlign w:val="center"/>
          </w:tcPr>
          <w:p w14:paraId="0067EC3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□已确定监理单位</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☑未确定监理单位</w:t>
            </w:r>
          </w:p>
        </w:tc>
      </w:tr>
      <w:tr w14:paraId="2E54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2" w:hRule="atLeast"/>
        </w:trPr>
        <w:tc>
          <w:tcPr>
            <w:tcW w:w="582" w:type="dxa"/>
            <w:vAlign w:val="center"/>
          </w:tcPr>
          <w:p w14:paraId="2D733243">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1</w:t>
            </w: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860" w:type="dxa"/>
            <w:vAlign w:val="center"/>
          </w:tcPr>
          <w:p w14:paraId="526340D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建设内容和规模</w:t>
            </w:r>
          </w:p>
        </w:tc>
        <w:tc>
          <w:tcPr>
            <w:tcW w:w="7656" w:type="dxa"/>
            <w:vAlign w:val="center"/>
          </w:tcPr>
          <w:p w14:paraId="7E68E26D">
            <w:pPr>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bCs/>
                <w:snapToGrid w:val="0"/>
                <w:color w:val="auto"/>
                <w:kern w:val="0"/>
                <w:sz w:val="22"/>
                <w:szCs w:val="22"/>
                <w:highlight w:val="none"/>
                <w:lang w:val="en-US" w:eastAsia="zh-CN"/>
              </w:rPr>
              <w:t>本工程建设拟对主要在丹霞街道县城及周边村进行村容村貌整治提升、农村垃圾收集及分类转运站建设22处、农村道路硬化或修复约1.2km、农村“三线”整治约24km、农村停车场建设约1000m、农村排水系统改造约130m、路灯安装109盏等。</w:t>
            </w:r>
          </w:p>
        </w:tc>
      </w:tr>
      <w:tr w14:paraId="6450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519A5EB">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13</w:t>
            </w:r>
          </w:p>
        </w:tc>
        <w:tc>
          <w:tcPr>
            <w:tcW w:w="1860" w:type="dxa"/>
            <w:vAlign w:val="center"/>
          </w:tcPr>
          <w:p w14:paraId="15BC852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项目总投资</w:t>
            </w:r>
          </w:p>
        </w:tc>
        <w:tc>
          <w:tcPr>
            <w:tcW w:w="7656" w:type="dxa"/>
            <w:vAlign w:val="center"/>
          </w:tcPr>
          <w:p w14:paraId="051183D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200"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bCs/>
                <w:snapToGrid w:val="0"/>
                <w:color w:val="auto"/>
                <w:kern w:val="0"/>
                <w:sz w:val="22"/>
                <w:szCs w:val="22"/>
                <w:highlight w:val="none"/>
                <w:lang w:val="en-US" w:eastAsia="zh-CN"/>
              </w:rPr>
              <w:t>项目概算总投资446.04万元，其中工程费用392.46万元、工程建设其他费用49.17万元、预备费用4.41万元；</w:t>
            </w:r>
          </w:p>
        </w:tc>
      </w:tr>
      <w:tr w14:paraId="09BB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2280C6D3">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14</w:t>
            </w:r>
          </w:p>
        </w:tc>
        <w:tc>
          <w:tcPr>
            <w:tcW w:w="1860" w:type="dxa"/>
            <w:vAlign w:val="center"/>
          </w:tcPr>
          <w:p w14:paraId="58FC51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招标范围</w:t>
            </w:r>
          </w:p>
        </w:tc>
        <w:tc>
          <w:tcPr>
            <w:tcW w:w="7656" w:type="dxa"/>
            <w:vAlign w:val="center"/>
          </w:tcPr>
          <w:p w14:paraId="2CC19A7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按审查合格的施工图纸及工程量清单内容施工</w:t>
            </w:r>
          </w:p>
        </w:tc>
      </w:tr>
      <w:tr w14:paraId="3290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334CDB2D">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15</w:t>
            </w:r>
          </w:p>
        </w:tc>
        <w:tc>
          <w:tcPr>
            <w:tcW w:w="1860" w:type="dxa"/>
            <w:vAlign w:val="center"/>
          </w:tcPr>
          <w:p w14:paraId="56FA5F4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标段划分</w:t>
            </w:r>
          </w:p>
        </w:tc>
        <w:tc>
          <w:tcPr>
            <w:tcW w:w="7656" w:type="dxa"/>
            <w:vAlign w:val="center"/>
          </w:tcPr>
          <w:p w14:paraId="5B21ACD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本招标项目不划分标段。 </w:t>
            </w:r>
          </w:p>
        </w:tc>
      </w:tr>
      <w:tr w14:paraId="5A1C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01C9B2F3">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16</w:t>
            </w:r>
          </w:p>
        </w:tc>
        <w:tc>
          <w:tcPr>
            <w:tcW w:w="1860" w:type="dxa"/>
            <w:vAlign w:val="center"/>
          </w:tcPr>
          <w:p w14:paraId="20F526C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工期</w:t>
            </w:r>
          </w:p>
        </w:tc>
        <w:tc>
          <w:tcPr>
            <w:tcW w:w="7656" w:type="dxa"/>
            <w:vAlign w:val="top"/>
          </w:tcPr>
          <w:p w14:paraId="2ACB4A1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本招标项目招标工期为</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60个日历天</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。具体如下：</w:t>
            </w:r>
          </w:p>
          <w:p w14:paraId="320C3CB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☑总工期：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60</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天 （日历天）。</w:t>
            </w:r>
          </w:p>
          <w:p w14:paraId="4BF2E4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□计划开工日期：</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日（具体开工日期以合同为准）</w:t>
            </w:r>
          </w:p>
          <w:p w14:paraId="35D8577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□计划竣工日期：</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年</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月</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日</w:t>
            </w:r>
          </w:p>
          <w:p w14:paraId="3D418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yellow"/>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□除上述总工期外，发包人还要求以下阶段工期：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w:t>
            </w:r>
          </w:p>
        </w:tc>
      </w:tr>
      <w:tr w14:paraId="59EF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582" w:type="dxa"/>
            <w:vAlign w:val="center"/>
          </w:tcPr>
          <w:p w14:paraId="416E216C">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17</w:t>
            </w:r>
          </w:p>
        </w:tc>
        <w:tc>
          <w:tcPr>
            <w:tcW w:w="1860" w:type="dxa"/>
            <w:vAlign w:val="center"/>
          </w:tcPr>
          <w:p w14:paraId="529D0ED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质量标准</w:t>
            </w:r>
          </w:p>
        </w:tc>
        <w:tc>
          <w:tcPr>
            <w:tcW w:w="7656" w:type="dxa"/>
            <w:vAlign w:val="top"/>
          </w:tcPr>
          <w:p w14:paraId="7B9EFA3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yellow"/>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符合现行国家有关工程施工质量验收规范和标准的要求，达到验收合格标准。</w:t>
            </w:r>
          </w:p>
        </w:tc>
      </w:tr>
      <w:tr w14:paraId="07BA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2FAF8482">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18</w:t>
            </w:r>
          </w:p>
        </w:tc>
        <w:tc>
          <w:tcPr>
            <w:tcW w:w="1860" w:type="dxa"/>
            <w:vMerge w:val="restart"/>
            <w:vAlign w:val="center"/>
          </w:tcPr>
          <w:p w14:paraId="684E171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合同类型</w:t>
            </w:r>
          </w:p>
        </w:tc>
        <w:tc>
          <w:tcPr>
            <w:tcW w:w="7656" w:type="dxa"/>
            <w:vAlign w:val="top"/>
          </w:tcPr>
          <w:p w14:paraId="5B0CC98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☑单价合同：发承包双方约定以工程量清单及其综合单价进行合同价款计算、调整和确认的建设工程施工合同。</w:t>
            </w:r>
          </w:p>
          <w:p w14:paraId="37B161E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6B7E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001972E5">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p>
        </w:tc>
        <w:tc>
          <w:tcPr>
            <w:tcW w:w="1860" w:type="dxa"/>
            <w:vMerge w:val="continue"/>
            <w:vAlign w:val="center"/>
          </w:tcPr>
          <w:p w14:paraId="114EAAC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p>
        </w:tc>
        <w:tc>
          <w:tcPr>
            <w:tcW w:w="7656" w:type="dxa"/>
            <w:vAlign w:val="top"/>
          </w:tcPr>
          <w:p w14:paraId="208620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□总价合同：发承包双方约定以施工图及其预算和有关条件进行合同价款计算、调整和确认的建设工程施工合同。 </w:t>
            </w:r>
          </w:p>
          <w:p w14:paraId="0E5FC1B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注：总价合同是以施工图纸、规范为基础，在工程任务内容明确、发包人的要求条件清楚、计价标准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548B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4F5536D8">
            <w:pPr>
              <w:keepNext w:val="0"/>
              <w:keepLines w:val="0"/>
              <w:pageBreakBefore w:val="0"/>
              <w:wordWrap w:val="0"/>
              <w:overflowPunct/>
              <w:topLinePunct w:val="0"/>
              <w:bidi w:val="0"/>
              <w:spacing w:before="19"/>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19</w:t>
            </w:r>
          </w:p>
        </w:tc>
        <w:tc>
          <w:tcPr>
            <w:tcW w:w="1860" w:type="dxa"/>
            <w:vAlign w:val="center"/>
          </w:tcPr>
          <w:p w14:paraId="0F7CD5C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房屋建筑工程绿色建筑标准</w:t>
            </w:r>
          </w:p>
        </w:tc>
        <w:tc>
          <w:tcPr>
            <w:tcW w:w="7656" w:type="dxa"/>
            <w:vAlign w:val="center"/>
          </w:tcPr>
          <w:p w14:paraId="523371B7">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不</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纳入绿色建设实施范围。</w:t>
            </w:r>
          </w:p>
        </w:tc>
      </w:tr>
      <w:tr w14:paraId="44A5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CD2CF21">
            <w:pPr>
              <w:keepNext w:val="0"/>
              <w:keepLines w:val="0"/>
              <w:pageBreakBefore w:val="0"/>
              <w:wordWrap w:val="0"/>
              <w:overflowPunct/>
              <w:topLinePunct w:val="0"/>
              <w:bidi w:val="0"/>
              <w:spacing w:before="58" w:line="195"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19. 1</w:t>
            </w:r>
          </w:p>
        </w:tc>
        <w:tc>
          <w:tcPr>
            <w:tcW w:w="1860" w:type="dxa"/>
            <w:vAlign w:val="center"/>
          </w:tcPr>
          <w:p w14:paraId="4D336BF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装配式建筑标准</w:t>
            </w:r>
          </w:p>
        </w:tc>
        <w:tc>
          <w:tcPr>
            <w:tcW w:w="7656" w:type="dxa"/>
            <w:vAlign w:val="center"/>
          </w:tcPr>
          <w:p w14:paraId="7FEA00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不</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纳入装配式建造建设实施范围。</w:t>
            </w:r>
          </w:p>
        </w:tc>
      </w:tr>
      <w:tr w14:paraId="2E1C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4746E48">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20</w:t>
            </w:r>
          </w:p>
        </w:tc>
        <w:tc>
          <w:tcPr>
            <w:tcW w:w="1860" w:type="dxa"/>
            <w:vAlign w:val="center"/>
          </w:tcPr>
          <w:p w14:paraId="649F4D0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发包人提供材料和工程设备</w:t>
            </w:r>
          </w:p>
        </w:tc>
        <w:tc>
          <w:tcPr>
            <w:tcW w:w="7656" w:type="dxa"/>
            <w:vAlign w:val="center"/>
          </w:tcPr>
          <w:p w14:paraId="77FB08D3">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发包人提供材料和工程设备： ☑无     □有：</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 xml:space="preserve">     </w:t>
            </w:r>
          </w:p>
        </w:tc>
      </w:tr>
      <w:tr w14:paraId="119B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2622591F">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21</w:t>
            </w:r>
          </w:p>
        </w:tc>
        <w:tc>
          <w:tcPr>
            <w:tcW w:w="1860" w:type="dxa"/>
            <w:vAlign w:val="center"/>
          </w:tcPr>
          <w:p w14:paraId="6A6F9E6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承包人提供材料和工程设备</w:t>
            </w:r>
          </w:p>
        </w:tc>
        <w:tc>
          <w:tcPr>
            <w:tcW w:w="7656" w:type="dxa"/>
            <w:vAlign w:val="top"/>
          </w:tcPr>
          <w:p w14:paraId="7329718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716D254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□其它说明：鼓励承包人积极采购环保产品进行施工。</w:t>
            </w:r>
          </w:p>
        </w:tc>
      </w:tr>
      <w:tr w14:paraId="3B0B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582" w:type="dxa"/>
            <w:vAlign w:val="center"/>
          </w:tcPr>
          <w:p w14:paraId="23CFF5B2">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22</w:t>
            </w:r>
          </w:p>
        </w:tc>
        <w:tc>
          <w:tcPr>
            <w:tcW w:w="1860" w:type="dxa"/>
            <w:vAlign w:val="center"/>
          </w:tcPr>
          <w:p w14:paraId="08D2DAC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最高投标限价</w:t>
            </w:r>
          </w:p>
        </w:tc>
        <w:tc>
          <w:tcPr>
            <w:tcW w:w="7656" w:type="dxa"/>
            <w:vAlign w:val="center"/>
          </w:tcPr>
          <w:p w14:paraId="73FF3F4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本招标项目的</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最高投标限价</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、工程量清单、</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施工图纸</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在投标截止时间15天前以补充公告的形式在广东省招标投标监管网（http://zbtb.gd.gov.cn）、全国公共资源交易平台（广东省·韶关市）（https://ygp.gdzwfw.gov.cn/ggzy-portal/#/440200/index）网站公布。</w:t>
            </w:r>
          </w:p>
        </w:tc>
      </w:tr>
      <w:tr w14:paraId="0706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5" w:hRule="atLeast"/>
        </w:trPr>
        <w:tc>
          <w:tcPr>
            <w:tcW w:w="582" w:type="dxa"/>
            <w:vAlign w:val="center"/>
          </w:tcPr>
          <w:p w14:paraId="14D57F0A">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23</w:t>
            </w:r>
          </w:p>
        </w:tc>
        <w:tc>
          <w:tcPr>
            <w:tcW w:w="1860" w:type="dxa"/>
            <w:vAlign w:val="center"/>
          </w:tcPr>
          <w:p w14:paraId="4EDFFA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投标人的投标报价</w:t>
            </w:r>
          </w:p>
        </w:tc>
        <w:tc>
          <w:tcPr>
            <w:tcW w:w="7656" w:type="dxa"/>
            <w:vAlign w:val="center"/>
          </w:tcPr>
          <w:p w14:paraId="449D52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270EDCA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投标报价方式： ☑工程量清单报</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 xml:space="preserve">  □其他：</w:t>
            </w:r>
          </w:p>
          <w:p w14:paraId="134467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投标报价时，应按《广东省建设工程计价依据（2018）》规定的费率报价，若招标工程量清单明确说明不计算预算包干费或另外确定预算包干费费率的，则按招标工程量清单报价。</w:t>
            </w:r>
          </w:p>
        </w:tc>
      </w:tr>
      <w:tr w14:paraId="3A26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78D804F4">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24</w:t>
            </w:r>
          </w:p>
        </w:tc>
        <w:tc>
          <w:tcPr>
            <w:tcW w:w="1860" w:type="dxa"/>
            <w:vAlign w:val="center"/>
          </w:tcPr>
          <w:p w14:paraId="75D5610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投标报价风险</w:t>
            </w:r>
          </w:p>
        </w:tc>
        <w:tc>
          <w:tcPr>
            <w:tcW w:w="7656" w:type="dxa"/>
            <w:vAlign w:val="center"/>
          </w:tcPr>
          <w:p w14:paraId="09F129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☑投标人依据招标文件约定自行考虑风险因素，一旦中标，投标报价（合同价）除合同另有约定外将不因市场变化而调整。</w:t>
            </w:r>
          </w:p>
          <w:p w14:paraId="4AE8FF5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☑投标报价中应包括工程量清单项目所发生的人工费、材料费、机具费、管理费、利润、措施项目费、其它项目费、税金、暂列金额、暂估价以及所有风险、责任等各项费用。</w:t>
            </w:r>
          </w:p>
          <w:p w14:paraId="0FDFC6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☑人工费、材料费、机具费、管理费、利润、措施项目费（不含安全生产措施费）投标人漏报或不报，招标人视为有关费用已包括在工程量清单项目的其它单价及合价中不予另外增加。</w:t>
            </w:r>
          </w:p>
          <w:p w14:paraId="1D4B24B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☑措施项目中的安全生产措施费，必须按国家、省级、市级（即工程所在地）行业建设主管部门的规定计算，不得作为竞争性费用。</w:t>
            </w:r>
          </w:p>
          <w:p w14:paraId="2BDA8BB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☑投标人应按照招标文件提供的工程量清单逐项填写单价和合价，投标人未填写的项目，招标人将视为此项费用已包括在工程量清单项目的其它单价及合价中不予另外增加。</w:t>
            </w:r>
          </w:p>
          <w:p w14:paraId="0598AA6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042F334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☑招标人向投标人提供的有关施工现场资料及数据，是招标人现有的能使投标人利用的资料，招标人对投标人据此作出的推论及理解概不负责。</w:t>
            </w:r>
          </w:p>
          <w:p w14:paraId="12C047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7883DF1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☑错漏项的认定。中标人已标价工程量清单中，任一清单项目未填报价格或价格为零的，招标人将视为此项费用已包括在工程量清单项目的其它单价及合价中不予另外增加。</w:t>
            </w:r>
          </w:p>
        </w:tc>
      </w:tr>
      <w:tr w14:paraId="4F80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2A703940">
            <w:pPr>
              <w:keepNext w:val="0"/>
              <w:keepLines w:val="0"/>
              <w:pageBreakBefore w:val="0"/>
              <w:wordWrap w:val="0"/>
              <w:overflowPunct/>
              <w:topLinePunct w:val="0"/>
              <w:bidi w:val="0"/>
              <w:spacing w:before="284"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25</w:t>
            </w:r>
          </w:p>
        </w:tc>
        <w:tc>
          <w:tcPr>
            <w:tcW w:w="1860" w:type="dxa"/>
            <w:vAlign w:val="center"/>
          </w:tcPr>
          <w:p w14:paraId="169F8CD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投标费用</w:t>
            </w:r>
          </w:p>
        </w:tc>
        <w:tc>
          <w:tcPr>
            <w:tcW w:w="7656" w:type="dxa"/>
            <w:vAlign w:val="center"/>
          </w:tcPr>
          <w:p w14:paraId="6A66A49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投标人自行承担编制与递交投标文件的一切费用。</w:t>
            </w:r>
          </w:p>
        </w:tc>
      </w:tr>
      <w:tr w14:paraId="5958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vAlign w:val="center"/>
          </w:tcPr>
          <w:p w14:paraId="39B3D201">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26</w:t>
            </w:r>
          </w:p>
        </w:tc>
        <w:tc>
          <w:tcPr>
            <w:tcW w:w="1860" w:type="dxa"/>
            <w:vAlign w:val="center"/>
          </w:tcPr>
          <w:p w14:paraId="728110B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投标人资格要求</w:t>
            </w:r>
          </w:p>
        </w:tc>
        <w:tc>
          <w:tcPr>
            <w:tcW w:w="7656" w:type="dxa"/>
            <w:vAlign w:val="center"/>
          </w:tcPr>
          <w:p w14:paraId="6EC3B73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1.本次招标</w:t>
            </w:r>
            <w:r>
              <w:rPr>
                <w:rFonts w:hint="eastAsia" w:ascii="宋体" w:hAnsi="宋体" w:eastAsia="宋体" w:cs="宋体"/>
                <w:b/>
                <w:bCs/>
                <w:snapToGrid w:val="0"/>
                <w:color w:val="000000" w:themeColor="text1"/>
                <w:spacing w:val="0"/>
                <w:kern w:val="0"/>
                <w:sz w:val="21"/>
                <w:szCs w:val="21"/>
                <w:highlight w:val="none"/>
                <w:lang w:eastAsia="zh-CN"/>
                <w14:textFill>
                  <w14:solidFill>
                    <w14:schemeClr w14:val="tx1"/>
                  </w14:solidFill>
                </w14:textFill>
              </w:rPr>
              <w:t>不接受</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联合体投标。</w:t>
            </w:r>
          </w:p>
          <w:p w14:paraId="4BF154B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2.资质要求</w:t>
            </w:r>
          </w:p>
          <w:p w14:paraId="3402416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2.1 投标人须具备独立法人资格，按国家法律经营。</w:t>
            </w:r>
          </w:p>
          <w:p w14:paraId="5ED3A23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2.2 投标人须持有建设行政主管部门颁发的企业资质证书及安全生产许可证。</w:t>
            </w:r>
          </w:p>
          <w:p w14:paraId="594AE2C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2.3 投标人须具备以下资质：具有建设行政主管部门颁发的市政公用工程施工总承包</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或建筑工程施工总承包三</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级以上（含</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三</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级）资质。</w:t>
            </w:r>
          </w:p>
          <w:p w14:paraId="0DAB829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E1B7DB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3.相关人员要求</w:t>
            </w:r>
          </w:p>
          <w:p w14:paraId="34B5145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3.1  拟派项目经理为</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市政公用工程</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或建筑工程</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建设工程项目的项目经理。</w:t>
            </w:r>
          </w:p>
          <w:p w14:paraId="526D95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3.2 拟派项目技术负责人须具备</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市政工程</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或建筑工程</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相关专业</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级以上（含</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中</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级）技术职称。</w:t>
            </w:r>
          </w:p>
          <w:p w14:paraId="7E279E0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1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人。</w:t>
            </w:r>
          </w:p>
          <w:p w14:paraId="4F35C3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3.4 投标人（包括组成联合体的所有成员单位）与其拟派往本项目管理机构的所有人员之间必须具备合法、唯一的劳动聘用关系。拟派人员中具备注册执业资格的，其注册单位须与投标人保持一致。</w:t>
            </w:r>
          </w:p>
          <w:p w14:paraId="68CF7C1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4.禁止投标条款：</w:t>
            </w:r>
          </w:p>
          <w:p w14:paraId="756E14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4.1  投标人不得存在下列情形之一：</w:t>
            </w:r>
          </w:p>
          <w:p w14:paraId="68C2B4A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（1）为招标人不具有独立法人资格的附属机构（单位）；</w:t>
            </w:r>
          </w:p>
          <w:p w14:paraId="44593C8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（2）为本招标项目前期准备提供设计或咨询服务的；</w:t>
            </w:r>
          </w:p>
          <w:p w14:paraId="59CFF19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（3）与本招标项目的其他投标人为同一个单位负责人；</w:t>
            </w:r>
          </w:p>
          <w:p w14:paraId="2AE6D68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（4）与本招标项目的其他投标人存在控股、管理关系；</w:t>
            </w:r>
          </w:p>
          <w:p w14:paraId="38CFB62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（5）为本招标项目的监理人；</w:t>
            </w:r>
          </w:p>
          <w:p w14:paraId="1419324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（6）为本招标项目的代建人；</w:t>
            </w:r>
          </w:p>
          <w:p w14:paraId="170099A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（7）为本招标项目的招标代理机构；</w:t>
            </w:r>
          </w:p>
          <w:p w14:paraId="062B5CB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（8）与本招标项目的监理人或代建人或招标代理机构同为一个 法定代表人；</w:t>
            </w:r>
          </w:p>
          <w:p w14:paraId="76338A8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（9）与本招标项目的监理人或代建人或招标代理机构存在控股或参股关系；</w:t>
            </w:r>
          </w:p>
          <w:p w14:paraId="2A915A3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（10）与本招标项目的监理人或代建人或招标代理机构存在相互任职或工作关系；</w:t>
            </w:r>
          </w:p>
          <w:p w14:paraId="2D49455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（11）被依法暂停或者取消投标资格；</w:t>
            </w:r>
          </w:p>
          <w:p w14:paraId="335907D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（12）被责令停产停业、暂扣或者吊销许可证、暂扣或者吊销执照；</w:t>
            </w:r>
          </w:p>
          <w:p w14:paraId="146AB4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（13）进入清算程序，或被宣告破产，或其他丧失履约能力的情形；</w:t>
            </w:r>
          </w:p>
          <w:p w14:paraId="730679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4202D8C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587EA45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4.2  招标人拒绝以下名单中的单位参加本次投标：</w:t>
            </w:r>
          </w:p>
          <w:tbl>
            <w:tblPr>
              <w:tblStyle w:val="14"/>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510"/>
              <w:gridCol w:w="3371"/>
            </w:tblGrid>
            <w:tr w14:paraId="526D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77" w:type="dxa"/>
                  <w:vAlign w:val="center"/>
                </w:tcPr>
                <w:p w14:paraId="60DBAAF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3510" w:type="dxa"/>
                  <w:vAlign w:val="center"/>
                </w:tcPr>
                <w:p w14:paraId="7B05472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3371" w:type="dxa"/>
                  <w:vAlign w:val="center"/>
                </w:tcPr>
                <w:p w14:paraId="4FE91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1DBB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5735F3E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1</w:t>
                  </w:r>
                </w:p>
              </w:tc>
              <w:tc>
                <w:tcPr>
                  <w:tcW w:w="3510" w:type="dxa"/>
                  <w:vAlign w:val="center"/>
                </w:tcPr>
                <w:p w14:paraId="25D93D7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仁化县丹霞街道办事处</w:t>
                  </w:r>
                </w:p>
              </w:tc>
              <w:tc>
                <w:tcPr>
                  <w:tcW w:w="3371" w:type="dxa"/>
                  <w:vAlign w:val="center"/>
                </w:tcPr>
                <w:p w14:paraId="42F41EC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625F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27F653D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2</w:t>
                  </w:r>
                </w:p>
              </w:tc>
              <w:tc>
                <w:tcPr>
                  <w:tcW w:w="3510" w:type="dxa"/>
                  <w:vAlign w:val="center"/>
                </w:tcPr>
                <w:p w14:paraId="74BC464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海通国际设计有限公司</w:t>
                  </w:r>
                </w:p>
              </w:tc>
              <w:tc>
                <w:tcPr>
                  <w:tcW w:w="3371" w:type="dxa"/>
                  <w:vAlign w:val="center"/>
                </w:tcPr>
                <w:p w14:paraId="15ADD93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0D97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7" w:type="dxa"/>
                  <w:vAlign w:val="center"/>
                </w:tcPr>
                <w:p w14:paraId="681D054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3</w:t>
                  </w:r>
                </w:p>
              </w:tc>
              <w:tc>
                <w:tcPr>
                  <w:tcW w:w="3510" w:type="dxa"/>
                  <w:vAlign w:val="center"/>
                </w:tcPr>
                <w:p w14:paraId="53846CB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中设建联工程设计有限公司</w:t>
                  </w:r>
                </w:p>
              </w:tc>
              <w:tc>
                <w:tcPr>
                  <w:tcW w:w="3371" w:type="dxa"/>
                  <w:vAlign w:val="center"/>
                </w:tcPr>
                <w:p w14:paraId="0BBAABD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为本招标项目的可行性研究报告编制单位</w:t>
                  </w:r>
                </w:p>
              </w:tc>
            </w:tr>
            <w:tr w14:paraId="2DAD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58ABAC6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4</w:t>
                  </w:r>
                </w:p>
              </w:tc>
              <w:tc>
                <w:tcPr>
                  <w:tcW w:w="3510" w:type="dxa"/>
                  <w:vAlign w:val="center"/>
                </w:tcPr>
                <w:p w14:paraId="5559883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中大设计集团有限公司</w:t>
                  </w:r>
                </w:p>
              </w:tc>
              <w:tc>
                <w:tcPr>
                  <w:tcW w:w="3371" w:type="dxa"/>
                  <w:vAlign w:val="center"/>
                </w:tcPr>
                <w:p w14:paraId="58EF012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为本招标项目的勘察设计单位</w:t>
                  </w:r>
                </w:p>
              </w:tc>
            </w:tr>
            <w:tr w14:paraId="7588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6D458D8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spacing w:val="0"/>
                      <w:kern w:val="0"/>
                      <w:sz w:val="21"/>
                      <w:szCs w:val="21"/>
                      <w:highlight w:val="none"/>
                      <w:lang w:val="en-US" w:eastAsia="zh-CN" w:bidi="ar-SA"/>
                    </w:rPr>
                    <w:t>5</w:t>
                  </w:r>
                </w:p>
              </w:tc>
              <w:tc>
                <w:tcPr>
                  <w:tcW w:w="3510" w:type="dxa"/>
                  <w:vAlign w:val="center"/>
                </w:tcPr>
                <w:p w14:paraId="4C796E8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spacing w:val="0"/>
                      <w:kern w:val="0"/>
                      <w:sz w:val="21"/>
                      <w:szCs w:val="21"/>
                      <w:highlight w:val="none"/>
                      <w:lang w:val="en-US" w:eastAsia="zh-CN" w:bidi="ar-SA"/>
                    </w:rPr>
                    <w:fldChar w:fldCharType="begin"/>
                  </w:r>
                  <w:r>
                    <w:rPr>
                      <w:rFonts w:hint="eastAsia" w:ascii="宋体" w:hAnsi="宋体" w:eastAsia="宋体" w:cs="宋体"/>
                      <w:snapToGrid w:val="0"/>
                      <w:color w:val="000000"/>
                      <w:spacing w:val="0"/>
                      <w:kern w:val="0"/>
                      <w:sz w:val="21"/>
                      <w:szCs w:val="21"/>
                      <w:highlight w:val="none"/>
                      <w:lang w:val="en-US" w:eastAsia="zh-CN" w:bidi="ar-SA"/>
                    </w:rPr>
                    <w:instrText xml:space="preserve"> HYPERLINK "https://ygp.gdzwfw.gov.cn/zjfwcs/gd-zjcs-pub/zjfw/serviceView/91440101MA5CMK1671?backUrl=agentList" </w:instrText>
                  </w:r>
                  <w:r>
                    <w:rPr>
                      <w:rFonts w:hint="eastAsia" w:ascii="宋体" w:hAnsi="宋体" w:eastAsia="宋体" w:cs="宋体"/>
                      <w:snapToGrid w:val="0"/>
                      <w:color w:val="000000"/>
                      <w:spacing w:val="0"/>
                      <w:kern w:val="0"/>
                      <w:sz w:val="21"/>
                      <w:szCs w:val="21"/>
                      <w:highlight w:val="none"/>
                      <w:lang w:val="en-US" w:eastAsia="zh-CN" w:bidi="ar-SA"/>
                    </w:rPr>
                    <w:fldChar w:fldCharType="separate"/>
                  </w:r>
                  <w:r>
                    <w:rPr>
                      <w:rFonts w:hint="default" w:ascii="宋体" w:hAnsi="宋体" w:eastAsia="宋体" w:cs="宋体"/>
                      <w:snapToGrid w:val="0"/>
                      <w:color w:val="000000"/>
                      <w:spacing w:val="0"/>
                      <w:kern w:val="0"/>
                      <w:sz w:val="21"/>
                      <w:szCs w:val="21"/>
                      <w:highlight w:val="none"/>
                      <w:lang w:val="en-US" w:eastAsia="zh-CN" w:bidi="ar-SA"/>
                    </w:rPr>
                    <w:t>广东粤湾施工图审查有限公司</w:t>
                  </w:r>
                  <w:r>
                    <w:rPr>
                      <w:rFonts w:hint="default" w:ascii="宋体" w:hAnsi="宋体" w:eastAsia="宋体" w:cs="宋体"/>
                      <w:snapToGrid w:val="0"/>
                      <w:color w:val="000000"/>
                      <w:spacing w:val="0"/>
                      <w:kern w:val="0"/>
                      <w:sz w:val="21"/>
                      <w:szCs w:val="21"/>
                      <w:highlight w:val="none"/>
                      <w:lang w:val="en-US" w:eastAsia="zh-CN" w:bidi="ar-SA"/>
                    </w:rPr>
                    <w:fldChar w:fldCharType="end"/>
                  </w:r>
                </w:p>
              </w:tc>
              <w:tc>
                <w:tcPr>
                  <w:tcW w:w="3371" w:type="dxa"/>
                  <w:vAlign w:val="center"/>
                </w:tcPr>
                <w:p w14:paraId="4159F82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spacing w:val="0"/>
                      <w:kern w:val="0"/>
                      <w:sz w:val="21"/>
                      <w:szCs w:val="21"/>
                      <w:highlight w:val="none"/>
                      <w:lang w:val="en-US" w:eastAsia="zh-CN" w:bidi="ar-SA"/>
                    </w:rPr>
                    <w:t>为本招标项目的施工图审查单位</w:t>
                  </w:r>
                </w:p>
              </w:tc>
            </w:tr>
          </w:tbl>
          <w:p w14:paraId="7E7C597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5.其他要求</w:t>
            </w:r>
          </w:p>
          <w:p w14:paraId="15FDD12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省外企业须按照《广东省住房和城乡建设厅关于取消省外建筑企业和人员进粤信息备案有关工作的通知》（粤建市﹝2015﹞52 号）规定在“进粤企业和人员诚信信息登记平台 ”录入相关信息并通过数据规范检查。</w:t>
            </w:r>
          </w:p>
        </w:tc>
      </w:tr>
      <w:tr w14:paraId="67DD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582" w:type="dxa"/>
            <w:vAlign w:val="center"/>
          </w:tcPr>
          <w:p w14:paraId="703F9879">
            <w:pPr>
              <w:keepNext w:val="0"/>
              <w:keepLines w:val="0"/>
              <w:pageBreakBefore w:val="0"/>
              <w:wordWrap w:val="0"/>
              <w:overflowPunct/>
              <w:topLinePunct w:val="0"/>
              <w:bidi w:val="0"/>
              <w:spacing w:before="19"/>
              <w:jc w:val="center"/>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27</w:t>
            </w:r>
          </w:p>
        </w:tc>
        <w:tc>
          <w:tcPr>
            <w:tcW w:w="1860" w:type="dxa"/>
            <w:vAlign w:val="center"/>
          </w:tcPr>
          <w:p w14:paraId="4CB5E43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投标有效期</w:t>
            </w:r>
          </w:p>
        </w:tc>
        <w:tc>
          <w:tcPr>
            <w:tcW w:w="7656" w:type="dxa"/>
            <w:vAlign w:val="center"/>
          </w:tcPr>
          <w:p w14:paraId="3D83EF0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本次招标的投标有效期为</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90</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xml:space="preserve"> 个日历天。</w:t>
            </w:r>
          </w:p>
        </w:tc>
      </w:tr>
      <w:tr w14:paraId="6150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vAlign w:val="center"/>
          </w:tcPr>
          <w:p w14:paraId="75B295D4">
            <w:pPr>
              <w:keepNext w:val="0"/>
              <w:keepLines w:val="0"/>
              <w:pageBreakBefore w:val="0"/>
              <w:wordWrap w:val="0"/>
              <w:overflowPunct/>
              <w:topLinePunct w:val="0"/>
              <w:bidi w:val="0"/>
              <w:spacing w:before="69" w:line="188" w:lineRule="auto"/>
              <w:ind w:left="205"/>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28</w:t>
            </w:r>
          </w:p>
        </w:tc>
        <w:tc>
          <w:tcPr>
            <w:tcW w:w="1860" w:type="dxa"/>
            <w:vAlign w:val="center"/>
          </w:tcPr>
          <w:p w14:paraId="4BFBD8CB">
            <w:pPr>
              <w:widowControl w:val="0"/>
              <w:kinsoku/>
              <w:wordWrap w:val="0"/>
              <w:autoSpaceDE/>
              <w:autoSpaceDN/>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投标文件组成</w:t>
            </w:r>
          </w:p>
        </w:tc>
        <w:tc>
          <w:tcPr>
            <w:tcW w:w="7656" w:type="dxa"/>
            <w:vAlign w:val="center"/>
          </w:tcPr>
          <w:p w14:paraId="142ADE0B">
            <w:pPr>
              <w:widowControl w:val="0"/>
              <w:kinsoku/>
              <w:wordWrap w:val="0"/>
              <w:autoSpaceDE/>
              <w:autoSpaceDN/>
              <w:spacing w:line="400" w:lineRule="exact"/>
              <w:ind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投标文件包括商务标书、经济标书、施工组织设计、定标文件四个分册。</w:t>
            </w:r>
          </w:p>
        </w:tc>
      </w:tr>
      <w:tr w14:paraId="5A82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30846F92">
            <w:pPr>
              <w:keepNext w:val="0"/>
              <w:keepLines w:val="0"/>
              <w:pageBreakBefore w:val="0"/>
              <w:wordWrap w:val="0"/>
              <w:overflowPunct/>
              <w:topLinePunct w:val="0"/>
              <w:bidi w:val="0"/>
              <w:spacing w:before="69" w:line="188" w:lineRule="auto"/>
              <w:ind w:left="205"/>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29</w:t>
            </w:r>
          </w:p>
        </w:tc>
        <w:tc>
          <w:tcPr>
            <w:tcW w:w="1860" w:type="dxa"/>
            <w:vAlign w:val="center"/>
          </w:tcPr>
          <w:p w14:paraId="0FC3CC3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施工组织设计评审方式</w:t>
            </w:r>
          </w:p>
        </w:tc>
        <w:tc>
          <w:tcPr>
            <w:tcW w:w="7656" w:type="dxa"/>
            <w:vAlign w:val="center"/>
          </w:tcPr>
          <w:p w14:paraId="4C6491C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本次招标施工组织设计</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 xml:space="preserve"> 不采用 </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“暗标”方式进行评审。</w:t>
            </w:r>
          </w:p>
        </w:tc>
      </w:tr>
      <w:tr w14:paraId="253B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vAlign w:val="center"/>
          </w:tcPr>
          <w:p w14:paraId="78D49806">
            <w:pPr>
              <w:keepNext w:val="0"/>
              <w:keepLines w:val="0"/>
              <w:pageBreakBefore w:val="0"/>
              <w:wordWrap w:val="0"/>
              <w:overflowPunct/>
              <w:topLinePunct w:val="0"/>
              <w:bidi w:val="0"/>
              <w:spacing w:before="69" w:line="188" w:lineRule="auto"/>
              <w:ind w:left="209"/>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30</w:t>
            </w:r>
          </w:p>
        </w:tc>
        <w:tc>
          <w:tcPr>
            <w:tcW w:w="1860" w:type="dxa"/>
            <w:vAlign w:val="center"/>
          </w:tcPr>
          <w:p w14:paraId="65ACF68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评标委员会</w:t>
            </w:r>
          </w:p>
        </w:tc>
        <w:tc>
          <w:tcPr>
            <w:tcW w:w="7656" w:type="dxa"/>
            <w:vAlign w:val="top"/>
          </w:tcPr>
          <w:p w14:paraId="61B142C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评标委员会由 5 人组成，其中招标人代表 0 人，专家 5 人。专家从广东省综合评标评审专家库</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（韶关</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市</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区域）、（</w:t>
            </w:r>
            <w:r>
              <w:rPr>
                <w:rFonts w:hint="eastAsia" w:ascii="宋体" w:hAnsi="宋体" w:eastAsia="宋体" w:cs="宋体"/>
                <w:snapToGrid w:val="0"/>
                <w:color w:val="000000" w:themeColor="text1"/>
                <w:spacing w:val="0"/>
                <w:kern w:val="0"/>
                <w:sz w:val="21"/>
                <w:szCs w:val="21"/>
                <w:highlight w:val="none"/>
                <w:u w:val="single"/>
                <w:lang w:val="en-US" w:eastAsia="zh-CN"/>
                <w14:textFill>
                  <w14:solidFill>
                    <w14:schemeClr w14:val="tx1"/>
                  </w14:solidFill>
                </w14:textFill>
              </w:rPr>
              <w:t>广东省内异地评标区域</w:t>
            </w:r>
            <w:r>
              <w:rPr>
                <w:rFonts w:hint="eastAsia" w:ascii="宋体" w:hAnsi="宋体" w:eastAsia="宋体" w:cs="宋体"/>
                <w:snapToGrid w:val="0"/>
                <w:color w:val="000000" w:themeColor="text1"/>
                <w:spacing w:val="0"/>
                <w:kern w:val="0"/>
                <w:sz w:val="21"/>
                <w:szCs w:val="21"/>
                <w:highlight w:val="none"/>
                <w:u w:val="single"/>
                <w:lang w:eastAsia="zh-CN"/>
                <w14:textFill>
                  <w14:solidFill>
                    <w14:schemeClr w14:val="tx1"/>
                  </w14:solidFill>
                </w14:textFill>
              </w:rPr>
              <w:t>）</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中随机抽取，其中技术类专家 3 人，经济类专家 2 人。</w:t>
            </w:r>
          </w:p>
          <w:p w14:paraId="5859F59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根据《广东省远程异地评标招标项目范围规定(试行)》(粤发改规(2026)8号)</w:t>
            </w: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文件要求</w:t>
            </w: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，本项目采用远程异地评标方式进行评标，评标委员会员分别在主场和副场通过电子交易系统远程参加评标活动。</w:t>
            </w:r>
          </w:p>
        </w:tc>
      </w:tr>
      <w:tr w14:paraId="4DBB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52927E18">
            <w:pPr>
              <w:keepNext w:val="0"/>
              <w:keepLines w:val="0"/>
              <w:pageBreakBefore w:val="0"/>
              <w:wordWrap w:val="0"/>
              <w:overflowPunct/>
              <w:topLinePunct w:val="0"/>
              <w:bidi w:val="0"/>
              <w:spacing w:before="258" w:line="188" w:lineRule="auto"/>
              <w:ind w:left="209"/>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31</w:t>
            </w:r>
          </w:p>
        </w:tc>
        <w:tc>
          <w:tcPr>
            <w:tcW w:w="1860" w:type="dxa"/>
            <w:vAlign w:val="center"/>
          </w:tcPr>
          <w:p w14:paraId="3720AA4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评标方法</w:t>
            </w:r>
          </w:p>
        </w:tc>
        <w:tc>
          <w:tcPr>
            <w:tcW w:w="7656" w:type="dxa"/>
            <w:vAlign w:val="center"/>
          </w:tcPr>
          <w:p w14:paraId="3B1753D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 A＋B 值评标法  □经评审的最低投标价法   ☑综合评估法</w:t>
            </w:r>
          </w:p>
        </w:tc>
      </w:tr>
      <w:tr w14:paraId="06F9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34AFF4A1">
            <w:pPr>
              <w:wordWrap w:val="0"/>
              <w:spacing w:before="69" w:line="188" w:lineRule="auto"/>
              <w:ind w:left="209" w:leftChars="0"/>
              <w:jc w:val="both"/>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32</w:t>
            </w:r>
          </w:p>
        </w:tc>
        <w:tc>
          <w:tcPr>
            <w:tcW w:w="1860" w:type="dxa"/>
            <w:vAlign w:val="center"/>
          </w:tcPr>
          <w:p w14:paraId="54159718">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定</w:t>
            </w:r>
            <w:r>
              <w:rPr>
                <w:rFonts w:hint="eastAsia" w:ascii="宋体" w:hAnsi="宋体" w:eastAsia="宋体" w:cs="宋体"/>
                <w:color w:val="000000" w:themeColor="text1"/>
                <w:highlight w:val="none"/>
                <w14:textFill>
                  <w14:solidFill>
                    <w14:schemeClr w14:val="tx1"/>
                  </w14:solidFill>
                </w14:textFill>
              </w:rPr>
              <w:t>标委员会</w:t>
            </w:r>
          </w:p>
        </w:tc>
        <w:tc>
          <w:tcPr>
            <w:tcW w:w="7656" w:type="dxa"/>
            <w:vAlign w:val="center"/>
          </w:tcPr>
          <w:p w14:paraId="1AB55988">
            <w:pPr>
              <w:widowControl w:val="0"/>
              <w:kinsoku/>
              <w:autoSpaceDE/>
              <w:autoSpaceDN/>
              <w:adjustRightInd/>
              <w:snapToGrid/>
              <w:spacing w:line="400" w:lineRule="exact"/>
              <w:ind w:left="105" w:leftChars="50" w:right="105" w:rightChars="50"/>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本项目定标委员会组成人员为</w:t>
            </w:r>
            <w:r>
              <w:rPr>
                <w:rFonts w:hint="eastAsia" w:ascii="宋体" w:hAnsi="宋体" w:eastAsia="宋体" w:cs="宋体"/>
                <w:color w:val="000000" w:themeColor="text1"/>
                <w:highlight w:val="none"/>
                <w:u w:val="single"/>
                <w:lang w:eastAsia="zh-CN"/>
                <w14:textFill>
                  <w14:solidFill>
                    <w14:schemeClr w14:val="tx1"/>
                  </w14:solidFill>
                </w14:textFill>
              </w:rPr>
              <w:t xml:space="preserve"> 7 </w:t>
            </w:r>
            <w:r>
              <w:rPr>
                <w:rFonts w:hint="eastAsia" w:ascii="宋体" w:hAnsi="宋体" w:eastAsia="宋体" w:cs="宋体"/>
                <w:color w:val="000000" w:themeColor="text1"/>
                <w:highlight w:val="none"/>
                <w:lang w:eastAsia="zh-CN"/>
                <w14:textFill>
                  <w14:solidFill>
                    <w14:schemeClr w14:val="tx1"/>
                  </w14:solidFill>
                </w14:textFill>
              </w:rPr>
              <w:t>人。</w:t>
            </w:r>
          </w:p>
        </w:tc>
      </w:tr>
      <w:tr w14:paraId="574D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0D91F791">
            <w:pPr>
              <w:widowControl w:val="0"/>
              <w:kinsoku/>
              <w:wordWrap w:val="0"/>
              <w:autoSpaceDE/>
              <w:autoSpaceDN/>
              <w:adjustRightInd/>
              <w:snapToGrid/>
              <w:spacing w:line="400" w:lineRule="exact"/>
              <w:jc w:val="center"/>
              <w:textAlignment w:val="auto"/>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33</w:t>
            </w:r>
          </w:p>
        </w:tc>
        <w:tc>
          <w:tcPr>
            <w:tcW w:w="1860" w:type="dxa"/>
            <w:vAlign w:val="center"/>
          </w:tcPr>
          <w:p w14:paraId="79AAF6E1">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定标办法</w:t>
            </w:r>
          </w:p>
        </w:tc>
        <w:tc>
          <w:tcPr>
            <w:tcW w:w="7656" w:type="dxa"/>
            <w:vAlign w:val="center"/>
          </w:tcPr>
          <w:p w14:paraId="1209EC1A">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本项目采用</w:t>
            </w:r>
            <w:r>
              <w:rPr>
                <w:rFonts w:hint="eastAsia" w:ascii="宋体" w:hAnsi="宋体" w:eastAsia="宋体" w:cs="宋体"/>
                <w:b/>
                <w:color w:val="000000" w:themeColor="text1"/>
                <w:highlight w:val="none"/>
                <w:lang w:eastAsia="zh-CN"/>
                <w14:textFill>
                  <w14:solidFill>
                    <w14:schemeClr w14:val="tx1"/>
                  </w14:solidFill>
                </w14:textFill>
              </w:rPr>
              <w:t>评定分离</w:t>
            </w:r>
            <w:r>
              <w:rPr>
                <w:rFonts w:hint="eastAsia" w:ascii="宋体" w:hAnsi="宋体" w:eastAsia="宋体" w:cs="宋体"/>
                <w:bCs/>
                <w:color w:val="000000" w:themeColor="text1"/>
                <w:highlight w:val="none"/>
                <w:lang w:eastAsia="zh-CN"/>
                <w14:textFill>
                  <w14:solidFill>
                    <w14:schemeClr w14:val="tx1"/>
                  </w14:solidFill>
                </w14:textFill>
              </w:rPr>
              <w:t>，应选定下列定标办法：</w:t>
            </w:r>
          </w:p>
          <w:p w14:paraId="5BD1FC33">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☑票决数量法</w:t>
            </w:r>
          </w:p>
          <w:p w14:paraId="20E3BCC8">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□票决计分法</w:t>
            </w:r>
          </w:p>
          <w:p w14:paraId="2AE3A62C">
            <w:pPr>
              <w:widowControl w:val="0"/>
              <w:kinsoku/>
              <w:autoSpaceDE/>
              <w:autoSpaceDN/>
              <w:adjustRightInd/>
              <w:snapToGrid/>
              <w:spacing w:line="400" w:lineRule="exact"/>
              <w:ind w:left="105" w:leftChars="50" w:right="105" w:rightChars="50"/>
              <w:textAlignment w:val="auto"/>
              <w:rPr>
                <w:rFonts w:hint="eastAsia" w:ascii="宋体" w:hAnsi="宋体" w:eastAsia="宋体" w:cs="宋体"/>
                <w:bCs/>
                <w:color w:val="000000" w:themeColor="text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□集体议事法</w:t>
            </w:r>
          </w:p>
          <w:p w14:paraId="247111D6">
            <w:pPr>
              <w:widowControl w:val="0"/>
              <w:kinsoku/>
              <w:autoSpaceDE/>
              <w:autoSpaceDN/>
              <w:adjustRightInd/>
              <w:snapToGrid/>
              <w:spacing w:line="400" w:lineRule="exact"/>
              <w:ind w:left="105" w:leftChars="50" w:right="105" w:rightChars="50"/>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bCs/>
                <w:color w:val="000000" w:themeColor="text1"/>
                <w:highlight w:val="none"/>
                <w:lang w:eastAsia="zh-CN"/>
                <w14:textFill>
                  <w14:solidFill>
                    <w14:schemeClr w14:val="tx1"/>
                  </w14:solidFill>
                </w14:textFill>
              </w:rPr>
              <w:t>□其他方法：</w:t>
            </w:r>
          </w:p>
        </w:tc>
      </w:tr>
      <w:tr w14:paraId="3464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53B59C7D">
            <w:pPr>
              <w:widowControl w:val="0"/>
              <w:kinsoku/>
              <w:wordWrap w:val="0"/>
              <w:autoSpaceDE/>
              <w:autoSpaceDN/>
              <w:adjustRightInd/>
              <w:snapToGrid/>
              <w:spacing w:line="400" w:lineRule="exact"/>
              <w:jc w:val="center"/>
              <w:textAlignment w:val="auto"/>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eastAsia="zh-CN"/>
                <w14:textFill>
                  <w14:solidFill>
                    <w14:schemeClr w14:val="tx1"/>
                  </w14:solidFill>
                </w14:textFill>
              </w:rPr>
              <w:t>4</w:t>
            </w:r>
          </w:p>
        </w:tc>
        <w:tc>
          <w:tcPr>
            <w:tcW w:w="1860" w:type="dxa"/>
            <w:vAlign w:val="center"/>
          </w:tcPr>
          <w:p w14:paraId="7F0B1E34">
            <w:pPr>
              <w:widowControl w:val="0"/>
              <w:kinsoku/>
              <w:wordWrap w:val="0"/>
              <w:autoSpaceDE/>
              <w:autoSpaceDN/>
              <w:adjustRightInd/>
              <w:snapToGrid/>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投标文件编制及份数要求</w:t>
            </w:r>
          </w:p>
        </w:tc>
        <w:tc>
          <w:tcPr>
            <w:tcW w:w="7656" w:type="dxa"/>
            <w:vAlign w:val="center"/>
          </w:tcPr>
          <w:p w14:paraId="2375DD06">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投标人须上传（递交）投标文件：</w:t>
            </w:r>
          </w:p>
          <w:p w14:paraId="1FF287EC">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1、电子投标文件一套：</w:t>
            </w:r>
          </w:p>
          <w:p w14:paraId="4CAA3894">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（1）商务标书1份；</w:t>
            </w:r>
          </w:p>
          <w:p w14:paraId="5BCEFDEC">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（2）经济标书1份；</w:t>
            </w:r>
          </w:p>
          <w:p w14:paraId="431B3130">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（3）施工组织设计1份； </w:t>
            </w:r>
          </w:p>
          <w:p w14:paraId="22E63715">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（4）定标文件1份；</w:t>
            </w:r>
          </w:p>
          <w:p w14:paraId="0B6AF076">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2、对应评审要求的分项响应文件（如有）。</w:t>
            </w:r>
          </w:p>
          <w:p w14:paraId="603DA691">
            <w:pPr>
              <w:widowControl w:val="0"/>
              <w:kinsoku/>
              <w:wordWrap w:val="0"/>
              <w:autoSpaceDE/>
              <w:autoSpaceDN/>
              <w:spacing w:line="400" w:lineRule="exact"/>
              <w:ind w:firstLine="191" w:firstLineChars="91"/>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1C1A8E4A">
            <w:pPr>
              <w:widowControl w:val="0"/>
              <w:kinsoku/>
              <w:wordWrap w:val="0"/>
              <w:autoSpaceDE/>
              <w:autoSpaceDN/>
              <w:spacing w:line="400" w:lineRule="exact"/>
              <w:ind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注：投标人被确定为中标人后，应从交易系统打印两套纸质投标文件（含签名盖章页），内容同电子投标文件，在签订本招标项目承包合同前提交给招标人。（除招标文件约定外，纸质标书须与电子标书一致，不一致的以电子标书为准）。</w:t>
            </w:r>
          </w:p>
        </w:tc>
      </w:tr>
      <w:tr w14:paraId="4E70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35" w:hRule="atLeast"/>
        </w:trPr>
        <w:tc>
          <w:tcPr>
            <w:tcW w:w="582" w:type="dxa"/>
            <w:vAlign w:val="center"/>
          </w:tcPr>
          <w:p w14:paraId="56B959FD">
            <w:pPr>
              <w:keepNext w:val="0"/>
              <w:keepLines w:val="0"/>
              <w:pageBreakBefore w:val="0"/>
              <w:wordWrap w:val="0"/>
              <w:overflowPunct/>
              <w:topLinePunct w:val="0"/>
              <w:bidi w:val="0"/>
              <w:spacing w:before="57" w:line="195"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5</w:t>
            </w:r>
          </w:p>
        </w:tc>
        <w:tc>
          <w:tcPr>
            <w:tcW w:w="1860" w:type="dxa"/>
            <w:vAlign w:val="center"/>
          </w:tcPr>
          <w:p w14:paraId="5FAEFF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招标文件要求提交的用于评审的证书、证件、证明原件</w:t>
            </w:r>
          </w:p>
        </w:tc>
        <w:tc>
          <w:tcPr>
            <w:tcW w:w="7656" w:type="dxa"/>
            <w:vAlign w:val="top"/>
          </w:tcPr>
          <w:p w14:paraId="71660F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2D98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0C69718A">
            <w:pPr>
              <w:keepNext w:val="0"/>
              <w:keepLines w:val="0"/>
              <w:pageBreakBefore w:val="0"/>
              <w:wordWrap w:val="0"/>
              <w:overflowPunct/>
              <w:topLinePunct w:val="0"/>
              <w:bidi w:val="0"/>
              <w:spacing w:before="69" w:line="188" w:lineRule="auto"/>
              <w:ind w:left="209"/>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6</w:t>
            </w:r>
          </w:p>
        </w:tc>
        <w:tc>
          <w:tcPr>
            <w:tcW w:w="1860" w:type="dxa"/>
            <w:vAlign w:val="center"/>
          </w:tcPr>
          <w:p w14:paraId="20A44A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招标代理费</w:t>
            </w:r>
          </w:p>
        </w:tc>
        <w:tc>
          <w:tcPr>
            <w:tcW w:w="7656" w:type="dxa"/>
            <w:vAlign w:val="center"/>
          </w:tcPr>
          <w:p w14:paraId="0F863CA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招标代理服务费依据《招标代理服务收费管理暂行办法》（计价格[2002]1980号）以中标价为基数计算，由中标单位支付招标代理服务费用。</w:t>
            </w:r>
          </w:p>
        </w:tc>
      </w:tr>
      <w:tr w14:paraId="7AAB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582" w:type="dxa"/>
            <w:vAlign w:val="center"/>
          </w:tcPr>
          <w:p w14:paraId="75B13CC6">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7</w:t>
            </w:r>
          </w:p>
        </w:tc>
        <w:tc>
          <w:tcPr>
            <w:tcW w:w="1860" w:type="dxa"/>
            <w:vAlign w:val="center"/>
          </w:tcPr>
          <w:p w14:paraId="198B1BD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招标人</w:t>
            </w:r>
          </w:p>
          <w:p w14:paraId="2C622AED">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3B814ABA">
            <w:pPr>
              <w:keepNext w:val="0"/>
              <w:keepLines/>
              <w:pageBreakBefore w:val="0"/>
              <w:widowControl/>
              <w:kinsoku/>
              <w:wordWrap w:val="0"/>
              <w:overflowPunct/>
              <w:topLinePunct/>
              <w:autoSpaceDE/>
              <w:autoSpaceDN/>
              <w:bidi w:val="0"/>
              <w:adjustRightInd w:val="0"/>
              <w:snapToGrid w:val="0"/>
              <w:spacing w:line="360" w:lineRule="exact"/>
              <w:ind w:left="0" w:leftChars="0" w:firstLine="220" w:firstLineChars="100"/>
              <w:jc w:val="left"/>
              <w:textAlignment w:val="auto"/>
              <w:rPr>
                <w:rFonts w:hint="eastAsia" w:ascii="宋体" w:hAnsi="宋体" w:eastAsia="宋体" w:cs="宋体"/>
                <w:b w:val="0"/>
                <w:bCs w:val="0"/>
                <w:snapToGrid w:val="0"/>
                <w:color w:val="auto"/>
                <w:kern w:val="0"/>
                <w:sz w:val="22"/>
                <w:szCs w:val="22"/>
                <w:highlight w:val="none"/>
                <w:lang w:val="en-US" w:eastAsia="zh-CN" w:bidi="ar-SA"/>
              </w:rPr>
            </w:pPr>
            <w:r>
              <w:rPr>
                <w:rFonts w:hint="eastAsia" w:ascii="宋体" w:hAnsi="宋体" w:eastAsia="宋体" w:cs="宋体"/>
                <w:b w:val="0"/>
                <w:bCs w:val="0"/>
                <w:snapToGrid w:val="0"/>
                <w:color w:val="auto"/>
                <w:kern w:val="0"/>
                <w:sz w:val="22"/>
                <w:szCs w:val="22"/>
                <w:highlight w:val="none"/>
                <w:lang w:val="en-US" w:eastAsia="zh-CN" w:bidi="ar-SA"/>
              </w:rPr>
              <w:t>单位名称：仁化县丹霞街道办事处</w:t>
            </w:r>
          </w:p>
          <w:p w14:paraId="3930B701">
            <w:pPr>
              <w:keepNext w:val="0"/>
              <w:keepLines/>
              <w:pageBreakBefore w:val="0"/>
              <w:widowControl/>
              <w:kinsoku/>
              <w:wordWrap w:val="0"/>
              <w:overflowPunct/>
              <w:topLinePunct/>
              <w:autoSpaceDE/>
              <w:autoSpaceDN/>
              <w:bidi w:val="0"/>
              <w:adjustRightInd w:val="0"/>
              <w:snapToGrid w:val="0"/>
              <w:spacing w:line="360" w:lineRule="exact"/>
              <w:ind w:left="0" w:leftChars="0" w:firstLine="220" w:firstLineChars="100"/>
              <w:jc w:val="left"/>
              <w:textAlignment w:val="auto"/>
              <w:rPr>
                <w:rFonts w:hint="eastAsia" w:ascii="宋体" w:hAnsi="宋体" w:eastAsia="宋体" w:cs="宋体"/>
                <w:b w:val="0"/>
                <w:bCs w:val="0"/>
                <w:snapToGrid w:val="0"/>
                <w:color w:val="auto"/>
                <w:kern w:val="0"/>
                <w:sz w:val="22"/>
                <w:szCs w:val="22"/>
                <w:highlight w:val="none"/>
                <w:lang w:val="en-US" w:eastAsia="zh-CN" w:bidi="ar-SA"/>
              </w:rPr>
            </w:pPr>
            <w:r>
              <w:rPr>
                <w:rFonts w:hint="eastAsia" w:ascii="宋体" w:hAnsi="宋体" w:eastAsia="宋体" w:cs="宋体"/>
                <w:b w:val="0"/>
                <w:bCs w:val="0"/>
                <w:snapToGrid w:val="0"/>
                <w:color w:val="auto"/>
                <w:kern w:val="0"/>
                <w:sz w:val="22"/>
                <w:szCs w:val="22"/>
                <w:highlight w:val="none"/>
                <w:lang w:val="en-US" w:eastAsia="zh-CN" w:bidi="ar-SA"/>
              </w:rPr>
              <w:t>办公地址：广东省韶关市仁化县仁桥东路1号</w:t>
            </w:r>
          </w:p>
          <w:p w14:paraId="1E34AFF1">
            <w:pPr>
              <w:keepNext w:val="0"/>
              <w:keepLines/>
              <w:pageBreakBefore w:val="0"/>
              <w:widowControl/>
              <w:kinsoku/>
              <w:wordWrap w:val="0"/>
              <w:overflowPunct/>
              <w:topLinePunct/>
              <w:autoSpaceDE/>
              <w:autoSpaceDN/>
              <w:bidi w:val="0"/>
              <w:adjustRightInd w:val="0"/>
              <w:snapToGrid w:val="0"/>
              <w:spacing w:line="360" w:lineRule="exact"/>
              <w:ind w:left="0" w:leftChars="0" w:firstLine="220" w:firstLineChars="100"/>
              <w:jc w:val="left"/>
              <w:textAlignment w:val="auto"/>
              <w:rPr>
                <w:rFonts w:hint="eastAsia" w:ascii="宋体" w:hAnsi="宋体" w:eastAsia="宋体" w:cs="宋体"/>
                <w:b w:val="0"/>
                <w:bCs w:val="0"/>
                <w:snapToGrid w:val="0"/>
                <w:color w:val="auto"/>
                <w:kern w:val="0"/>
                <w:sz w:val="22"/>
                <w:szCs w:val="22"/>
                <w:highlight w:val="none"/>
                <w:lang w:val="en-US" w:eastAsia="zh-CN" w:bidi="ar-SA"/>
              </w:rPr>
            </w:pPr>
            <w:r>
              <w:rPr>
                <w:rFonts w:hint="eastAsia" w:ascii="宋体" w:hAnsi="宋体" w:eastAsia="宋体" w:cs="宋体"/>
                <w:b w:val="0"/>
                <w:bCs w:val="0"/>
                <w:snapToGrid w:val="0"/>
                <w:color w:val="auto"/>
                <w:kern w:val="0"/>
                <w:sz w:val="22"/>
                <w:szCs w:val="22"/>
                <w:highlight w:val="none"/>
                <w:lang w:val="en-US" w:eastAsia="zh-CN" w:bidi="ar-SA"/>
              </w:rPr>
              <w:t>联系人（部门）：黎工</w:t>
            </w:r>
          </w:p>
          <w:p w14:paraId="6407AA6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200"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b w:val="0"/>
                <w:bCs w:val="0"/>
                <w:snapToGrid w:val="0"/>
                <w:color w:val="auto"/>
                <w:kern w:val="0"/>
                <w:sz w:val="22"/>
                <w:szCs w:val="22"/>
                <w:highlight w:val="none"/>
                <w:lang w:val="en-US" w:eastAsia="zh-CN" w:bidi="ar-SA"/>
              </w:rPr>
              <w:t>联系电话：0751-6391106</w:t>
            </w:r>
          </w:p>
        </w:tc>
      </w:tr>
      <w:tr w14:paraId="133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1022974A">
            <w:pPr>
              <w:keepNext w:val="0"/>
              <w:keepLines w:val="0"/>
              <w:pageBreakBefore w:val="0"/>
              <w:wordWrap w:val="0"/>
              <w:overflowPunct/>
              <w:topLinePunct w:val="0"/>
              <w:bidi w:val="0"/>
              <w:spacing w:before="69" w:line="188" w:lineRule="auto"/>
              <w:jc w:val="center"/>
              <w:rPr>
                <w:rFonts w:hint="default"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38</w:t>
            </w:r>
          </w:p>
        </w:tc>
        <w:tc>
          <w:tcPr>
            <w:tcW w:w="1860" w:type="dxa"/>
            <w:vAlign w:val="center"/>
          </w:tcPr>
          <w:p w14:paraId="7F3AD70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招标代理机构</w:t>
            </w:r>
          </w:p>
          <w:p w14:paraId="0B6588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联系方式</w:t>
            </w:r>
          </w:p>
        </w:tc>
        <w:tc>
          <w:tcPr>
            <w:tcW w:w="7656" w:type="dxa"/>
            <w:vAlign w:val="center"/>
          </w:tcPr>
          <w:p w14:paraId="49801267">
            <w:pPr>
              <w:keepNext w:val="0"/>
              <w:keepLines/>
              <w:pageBreakBefore w:val="0"/>
              <w:widowControl/>
              <w:kinsoku/>
              <w:wordWrap w:val="0"/>
              <w:overflowPunct/>
              <w:topLinePunct/>
              <w:autoSpaceDE/>
              <w:autoSpaceDN/>
              <w:bidi w:val="0"/>
              <w:adjustRightInd w:val="0"/>
              <w:snapToGrid w:val="0"/>
              <w:spacing w:line="360" w:lineRule="exact"/>
              <w:ind w:left="0" w:leftChars="0" w:firstLine="220" w:firstLineChars="100"/>
              <w:jc w:val="left"/>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单位名称：海通国际设计有限公司</w:t>
            </w:r>
          </w:p>
          <w:p w14:paraId="2094019F">
            <w:pPr>
              <w:keepNext w:val="0"/>
              <w:keepLines/>
              <w:pageBreakBefore w:val="0"/>
              <w:widowControl/>
              <w:kinsoku/>
              <w:wordWrap w:val="0"/>
              <w:overflowPunct/>
              <w:topLinePunct/>
              <w:autoSpaceDE/>
              <w:autoSpaceDN/>
              <w:bidi w:val="0"/>
              <w:adjustRightInd w:val="0"/>
              <w:snapToGrid w:val="0"/>
              <w:spacing w:line="360" w:lineRule="exact"/>
              <w:ind w:left="0" w:leftChars="0" w:firstLine="220" w:firstLineChars="100"/>
              <w:jc w:val="left"/>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办公地址：广东省深圳市福田区沙头街道天安社区泰然九路盛唐商务大厦东座1306</w:t>
            </w:r>
          </w:p>
          <w:p w14:paraId="36A004C0">
            <w:pPr>
              <w:keepNext w:val="0"/>
              <w:keepLines/>
              <w:pageBreakBefore w:val="0"/>
              <w:widowControl/>
              <w:kinsoku/>
              <w:wordWrap w:val="0"/>
              <w:overflowPunct/>
              <w:topLinePunct/>
              <w:autoSpaceDE/>
              <w:autoSpaceDN/>
              <w:bidi w:val="0"/>
              <w:adjustRightInd w:val="0"/>
              <w:snapToGrid w:val="0"/>
              <w:spacing w:line="360" w:lineRule="exact"/>
              <w:ind w:left="0" w:leftChars="0" w:firstLine="220" w:firstLineChars="100"/>
              <w:jc w:val="left"/>
              <w:textAlignment w:val="auto"/>
              <w:rPr>
                <w:rFonts w:hint="eastAsia" w:ascii="宋体" w:hAnsi="宋体" w:eastAsia="宋体" w:cs="宋体"/>
                <w:snapToGrid w:val="0"/>
                <w:color w:val="auto"/>
                <w:kern w:val="0"/>
                <w:sz w:val="22"/>
                <w:szCs w:val="22"/>
                <w:highlight w:val="none"/>
                <w:lang w:val="en-US" w:eastAsia="zh-CN" w:bidi="ar-SA"/>
              </w:rPr>
            </w:pPr>
            <w:r>
              <w:rPr>
                <w:rFonts w:hint="eastAsia" w:ascii="宋体" w:hAnsi="宋体" w:eastAsia="宋体" w:cs="宋体"/>
                <w:snapToGrid w:val="0"/>
                <w:color w:val="auto"/>
                <w:kern w:val="0"/>
                <w:sz w:val="22"/>
                <w:szCs w:val="22"/>
                <w:highlight w:val="none"/>
                <w:lang w:val="en-US" w:eastAsia="zh-CN" w:bidi="ar-SA"/>
              </w:rPr>
              <w:t>联系人（部门）：陈工</w:t>
            </w:r>
          </w:p>
          <w:p w14:paraId="492807F6">
            <w:pPr>
              <w:keepNext w:val="0"/>
              <w:keepLines w:val="0"/>
              <w:pageBreakBefore w:val="0"/>
              <w:widowControl w:val="0"/>
              <w:kinsoku/>
              <w:wordWrap w:val="0"/>
              <w:overflowPunct/>
              <w:topLinePunct w:val="0"/>
              <w:autoSpaceDE/>
              <w:autoSpaceDN/>
              <w:bidi w:val="0"/>
              <w:adjustRightInd w:val="0"/>
              <w:snapToGrid w:val="0"/>
              <w:spacing w:line="400" w:lineRule="exact"/>
              <w:ind w:firstLine="220" w:firstLineChars="100"/>
              <w:jc w:val="left"/>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auto"/>
                <w:kern w:val="0"/>
                <w:sz w:val="22"/>
                <w:szCs w:val="22"/>
                <w:highlight w:val="none"/>
                <w:lang w:val="en-US" w:eastAsia="zh-CN" w:bidi="ar-SA"/>
              </w:rPr>
              <w:t>联系电话：0751-8768123</w:t>
            </w:r>
          </w:p>
        </w:tc>
      </w:tr>
      <w:tr w14:paraId="4E2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7AEA0C33">
            <w:pPr>
              <w:keepNext w:val="0"/>
              <w:keepLines w:val="0"/>
              <w:pageBreakBefore w:val="0"/>
              <w:wordWrap w:val="0"/>
              <w:overflowPunct/>
              <w:topLinePunct w:val="0"/>
              <w:bidi w:val="0"/>
              <w:spacing w:before="69" w:line="188" w:lineRule="auto"/>
              <w:jc w:val="center"/>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9</w:t>
            </w:r>
          </w:p>
        </w:tc>
        <w:tc>
          <w:tcPr>
            <w:tcW w:w="1860" w:type="dxa"/>
            <w:vAlign w:val="center"/>
          </w:tcPr>
          <w:p w14:paraId="7DFD452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交易场所联系方式</w:t>
            </w:r>
          </w:p>
        </w:tc>
        <w:tc>
          <w:tcPr>
            <w:tcW w:w="7656" w:type="dxa"/>
            <w:vAlign w:val="center"/>
          </w:tcPr>
          <w:p w14:paraId="53A4662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单位名称：韶关市公共资源交易中心仁化分中心</w:t>
            </w:r>
          </w:p>
          <w:p w14:paraId="5A6EFA0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办公地址：仁化县丹霞大道228号12楼韶关市公共资源交易中心仁化分中心</w:t>
            </w:r>
          </w:p>
          <w:p w14:paraId="1F7A3A3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联系人（部门）：吴工</w:t>
            </w:r>
          </w:p>
          <w:p w14:paraId="0950E96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14:textFill>
                  <w14:solidFill>
                    <w14:schemeClr w14:val="tx1"/>
                  </w14:solidFill>
                </w14:textFill>
              </w:rPr>
              <w:t>联系电话：0751—6354032</w:t>
            </w:r>
          </w:p>
        </w:tc>
      </w:tr>
      <w:tr w14:paraId="04B8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3E200AD1">
            <w:pPr>
              <w:keepNext w:val="0"/>
              <w:keepLines w:val="0"/>
              <w:pageBreakBefore w:val="0"/>
              <w:wordWrap w:val="0"/>
              <w:overflowPunct/>
              <w:topLinePunct w:val="0"/>
              <w:bidi w:val="0"/>
              <w:spacing w:before="69" w:line="188" w:lineRule="auto"/>
              <w:jc w:val="center"/>
              <w:rPr>
                <w:rFonts w:hint="default"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40</w:t>
            </w:r>
          </w:p>
        </w:tc>
        <w:tc>
          <w:tcPr>
            <w:tcW w:w="1860" w:type="dxa"/>
            <w:vAlign w:val="center"/>
          </w:tcPr>
          <w:p w14:paraId="49D0B38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行政监督部</w:t>
            </w:r>
          </w:p>
          <w:p w14:paraId="5F176A1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t>门联系方式</w:t>
            </w:r>
          </w:p>
        </w:tc>
        <w:tc>
          <w:tcPr>
            <w:tcW w:w="7656" w:type="dxa"/>
            <w:vAlign w:val="center"/>
          </w:tcPr>
          <w:p w14:paraId="42C72F5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单位名称：仁化县住房和城乡建设管理局</w:t>
            </w:r>
          </w:p>
          <w:p w14:paraId="319F3FC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办公地址：仁化县丹霞大道228号仁化县行政服务中心6楼</w:t>
            </w:r>
          </w:p>
          <w:p w14:paraId="024CAFC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联系人（部门）：建筑业监督管理股</w:t>
            </w:r>
          </w:p>
          <w:p w14:paraId="54FFC68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000000" w:themeColor="text1"/>
                <w:spacing w:val="0"/>
                <w:ker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sz w:val="21"/>
                <w:highlight w:val="none"/>
                <w:lang w:val="en-US" w:eastAsia="zh-CN"/>
                <w14:textFill>
                  <w14:solidFill>
                    <w14:schemeClr w14:val="tx1"/>
                  </w14:solidFill>
                </w14:textFill>
              </w:rPr>
              <w:t>联系电话：0751-6354573</w:t>
            </w:r>
          </w:p>
        </w:tc>
      </w:tr>
    </w:tbl>
    <w:p w14:paraId="7235C323">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5" w:name="bookmark115"/>
      <w:bookmarkEnd w:id="5"/>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1789A482">
      <w:pPr>
        <w:keepNext w:val="0"/>
        <w:keepLines w:val="0"/>
        <w:pageBreakBefore w:val="0"/>
        <w:wordWrap w:val="0"/>
        <w:overflowPunct/>
        <w:topLinePunct w:val="0"/>
        <w:bidi w:val="0"/>
        <w:spacing w:before="156" w:line="219" w:lineRule="auto"/>
        <w:ind w:left="17"/>
        <w:jc w:val="left"/>
        <w:outlineLvl w:val="1"/>
        <w:rPr>
          <w:rFonts w:hint="eastAsia" w:ascii="宋体" w:hAnsi="宋体" w:eastAsia="宋体" w:cs="宋体"/>
          <w:color w:val="000000" w:themeColor="text1"/>
          <w:spacing w:val="0"/>
          <w:highlight w:val="none"/>
          <w14:textFill>
            <w14:solidFill>
              <w14:schemeClr w14:val="tx1"/>
            </w14:solidFill>
          </w14:textFill>
        </w:rPr>
      </w:pPr>
      <w:bookmarkStart w:id="6" w:name="_Toc24326"/>
      <w:r>
        <w:rPr>
          <w:rFonts w:hint="eastAsia" w:ascii="宋体" w:hAnsi="宋体" w:eastAsia="宋体" w:cs="宋体"/>
          <w:b/>
          <w:bCs/>
          <w:color w:val="000000" w:themeColor="text1"/>
          <w:spacing w:val="0"/>
          <w:sz w:val="24"/>
          <w:szCs w:val="24"/>
          <w:highlight w:val="none"/>
          <w14:textFill>
            <w14:solidFill>
              <w14:schemeClr w14:val="tx1"/>
            </w14:solidFill>
          </w14:textFill>
        </w:rPr>
        <w:t>第二节 重要事项时间地点一览表</w:t>
      </w:r>
      <w:bookmarkEnd w:id="6"/>
    </w:p>
    <w:p w14:paraId="44D452CF">
      <w:pPr>
        <w:pStyle w:val="5"/>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tbl>
      <w:tblPr>
        <w:tblStyle w:val="14"/>
        <w:tblW w:w="103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40"/>
        <w:gridCol w:w="1726"/>
        <w:gridCol w:w="8133"/>
      </w:tblGrid>
      <w:tr w14:paraId="2810537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593C325A">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1</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244C667F">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招标公告</w:t>
            </w:r>
          </w:p>
          <w:p w14:paraId="06F52756">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发布时间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18A82632">
            <w:pPr>
              <w:widowControl w:val="0"/>
              <w:wordWrap w:val="0"/>
              <w:adjustRightInd w:val="0"/>
              <w:snapToGrid w:val="0"/>
              <w:spacing w:line="400" w:lineRule="exact"/>
              <w:ind w:firstLine="220" w:firstLineChars="100"/>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23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608F5E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5BB7FFD">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2</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BF1A24C">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获取招标文件截止时间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13F1109">
            <w:pPr>
              <w:widowControl w:val="0"/>
              <w:wordWrap w:val="0"/>
              <w:adjustRightInd w:val="0"/>
              <w:snapToGrid w:val="0"/>
              <w:spacing w:line="400" w:lineRule="exact"/>
              <w:ind w:firstLine="220" w:firstLineChars="100"/>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01EB01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5"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0C816B26">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3</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0F646321">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网上提问</w:t>
            </w:r>
          </w:p>
          <w:p w14:paraId="0E14C4C3">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5546C40">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11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分</w:t>
            </w:r>
          </w:p>
        </w:tc>
      </w:tr>
      <w:tr w14:paraId="16A3C80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6AD420F7">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4</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6A2B5994">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网上答疑</w:t>
            </w:r>
          </w:p>
          <w:p w14:paraId="1C7B813E">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A39D692">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7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分至</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10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16</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snapToGrid w:val="0"/>
                <w:color w:val="000000" w:themeColor="text1"/>
                <w:kern w:val="0"/>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分</w:t>
            </w:r>
          </w:p>
        </w:tc>
      </w:tr>
      <w:tr w14:paraId="1E97BF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7E6CF477">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5</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04AE71E6">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投标保证缴</w:t>
            </w:r>
          </w:p>
          <w:p w14:paraId="6E0B8FBD">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纳截止时间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771D8C7E">
            <w:pPr>
              <w:widowControl w:val="0"/>
              <w:wordWrap w:val="0"/>
              <w:adjustRightInd w:val="0"/>
              <w:snapToGrid w:val="0"/>
              <w:spacing w:line="400" w:lineRule="exact"/>
              <w:ind w:firstLine="220" w:firstLineChars="100"/>
              <w:jc w:val="both"/>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投标保证金到账截止时间：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16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w:t>
            </w:r>
          </w:p>
          <w:p w14:paraId="08D15D8C">
            <w:pPr>
              <w:widowControl w:val="0"/>
              <w:wordWrap w:val="0"/>
              <w:adjustRightInd w:val="0"/>
              <w:snapToGrid w:val="0"/>
              <w:spacing w:line="400" w:lineRule="exact"/>
              <w:ind w:firstLine="220" w:firstLineChars="100"/>
              <w:jc w:val="both"/>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投标保证担保上传截止时间：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月1</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6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w:t>
            </w:r>
          </w:p>
          <w:p w14:paraId="4913E1FC">
            <w:pPr>
              <w:widowControl w:val="0"/>
              <w:wordWrap w:val="0"/>
              <w:adjustRightInd w:val="0"/>
              <w:snapToGrid w:val="0"/>
              <w:spacing w:line="400" w:lineRule="exact"/>
              <w:ind w:firstLine="220" w:firstLineChars="100"/>
              <w:jc w:val="both"/>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投标保证保险投保截止时间：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16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w:t>
            </w:r>
          </w:p>
        </w:tc>
      </w:tr>
      <w:tr w14:paraId="0FF99E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8CE1411">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6</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9B3B28D">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电子投标</w:t>
            </w:r>
          </w:p>
          <w:p w14:paraId="77A8CAAD">
            <w:pPr>
              <w:widowControl w:val="0"/>
              <w:wordWrap w:val="0"/>
              <w:adjustRightInd w:val="0"/>
              <w:snapToGrid w:val="0"/>
              <w:spacing w:line="360" w:lineRule="exact"/>
              <w:jc w:val="center"/>
              <w:rPr>
                <w:rFonts w:hint="eastAsia" w:asciiTheme="minorEastAsia" w:hAnsiTheme="minorEastAsia" w:eastAsiaTheme="minorEastAsia" w:cstheme="minorEastAsia"/>
                <w:strike/>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截止时间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876FBEA">
            <w:pPr>
              <w:widowControl w:val="0"/>
              <w:wordWrap w:val="0"/>
              <w:adjustRightInd w:val="0"/>
              <w:snapToGrid w:val="0"/>
              <w:spacing w:line="400" w:lineRule="exact"/>
              <w:ind w:firstLine="110" w:firstLineChars="50"/>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11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1D7A94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93"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51C2D949">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7</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48EDEAC3">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投标相关资料（如有）递交时间</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BB9E5B2">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11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17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00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至</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17</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67E0A7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7"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1923E05">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8</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302BDFCA">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投标相关资料（如有）递交地点</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7C8A753B">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2"/>
                <w:szCs w:val="22"/>
                <w:highlight w:val="none"/>
                <w:u w:val="none"/>
                <w:lang w:val="en-US" w:eastAsia="zh-CN" w:bidi="ar-SA"/>
                <w14:textFill>
                  <w14:solidFill>
                    <w14:schemeClr w14:val="tx1"/>
                  </w14:solidFill>
                </w14:textFill>
              </w:rPr>
              <w:t>递交场所：韶关市公共资源交易中心仁化分中心</w:t>
            </w:r>
          </w:p>
          <w:p w14:paraId="0FED30E2">
            <w:pPr>
              <w:widowControl w:val="0"/>
              <w:wordWrap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t>地址</w:t>
            </w:r>
            <w:r>
              <w:rPr>
                <w:rFonts w:hint="eastAsia" w:ascii="宋体" w:hAnsi="宋体" w:eastAsia="宋体" w:cs="宋体"/>
                <w:b w:val="0"/>
                <w:bCs/>
                <w:color w:val="000000" w:themeColor="text1"/>
                <w:kern w:val="2"/>
                <w:sz w:val="22"/>
                <w:szCs w:val="22"/>
                <w:highlight w:val="none"/>
                <w:lang w:val="en-US" w:eastAsia="zh-CN" w:bidi="ar-SA"/>
                <w14:textFill>
                  <w14:solidFill>
                    <w14:schemeClr w14:val="tx1"/>
                  </w14:solidFill>
                </w14:textFill>
              </w:rPr>
              <w:t>：仁化县丹霞大道228号11楼韶关市公共资源交易中心仁化分中心，具体房间号以当日现场通知为准。</w:t>
            </w:r>
          </w:p>
        </w:tc>
      </w:tr>
      <w:tr w14:paraId="15610B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57"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253A7F0F">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9</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7CB64555">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开标时间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6F72838B">
            <w:pPr>
              <w:widowControl w:val="0"/>
              <w:wordWrap w:val="0"/>
              <w:adjustRightInd w:val="0"/>
              <w:snapToGrid w:val="0"/>
              <w:spacing w:line="400" w:lineRule="exact"/>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2026</w:t>
            </w:r>
            <w:r>
              <w:rPr>
                <w:rFonts w:hint="eastAsia" w:asciiTheme="minorEastAsia" w:hAnsiTheme="minorEastAsia" w:eastAsiaTheme="minorEastAsia" w:cstheme="minorEastAsia"/>
                <w:i w:val="0"/>
                <w:iCs w:val="0"/>
                <w:color w:val="000000" w:themeColor="text1"/>
                <w:kern w:val="2"/>
                <w:sz w:val="22"/>
                <w:szCs w:val="22"/>
                <w:highlight w:val="none"/>
                <w:u w:val="none"/>
                <w:lang w:val="en-US" w:eastAsia="zh-CN" w:bidi="ar-SA"/>
                <w14:textFill>
                  <w14:solidFill>
                    <w14:schemeClr w14:val="tx1"/>
                  </w14:solidFill>
                </w14:textFill>
              </w:rPr>
              <w:t>年</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 11</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月</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 xml:space="preserve">17 </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日</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9</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时</w:t>
            </w:r>
            <w:r>
              <w:rPr>
                <w:rFonts w:hint="eastAsia" w:asciiTheme="minorEastAsia" w:hAnsiTheme="minorEastAsia" w:eastAsiaTheme="minorEastAsia" w:cstheme="minorEastAsia"/>
                <w:color w:val="000000" w:themeColor="text1"/>
                <w:kern w:val="2"/>
                <w:sz w:val="22"/>
                <w:szCs w:val="22"/>
                <w:highlight w:val="none"/>
                <w:u w:val="single"/>
                <w:lang w:val="en-US" w:eastAsia="zh-CN" w:bidi="ar-SA"/>
                <w14:textFill>
                  <w14:solidFill>
                    <w14:schemeClr w14:val="tx1"/>
                  </w14:solidFill>
                </w14:textFill>
              </w:rPr>
              <w:t>30</w:t>
            </w:r>
            <w:r>
              <w:rPr>
                <w:rFonts w:hint="eastAsia" w:asciiTheme="minorEastAsia" w:hAnsiTheme="minorEastAsia" w:eastAsiaTheme="minorEastAsia" w:cstheme="minorEastAsia"/>
                <w:color w:val="000000" w:themeColor="text1"/>
                <w:kern w:val="2"/>
                <w:sz w:val="22"/>
                <w:szCs w:val="22"/>
                <w:highlight w:val="none"/>
                <w:lang w:val="en-US" w:eastAsia="zh-CN" w:bidi="ar-SA"/>
                <w14:textFill>
                  <w14:solidFill>
                    <w14:schemeClr w14:val="tx1"/>
                  </w14:solidFill>
                </w14:textFill>
              </w:rPr>
              <w:t>分</w:t>
            </w:r>
          </w:p>
        </w:tc>
      </w:tr>
      <w:tr w14:paraId="2D2F9D5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7"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0D64A6D3">
            <w:pPr>
              <w:widowControl w:val="0"/>
              <w:wordWrap w:val="0"/>
              <w:adjustRightInd w:val="0"/>
              <w:snapToGrid w:val="0"/>
              <w:spacing w:line="360" w:lineRule="auto"/>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10</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2D4F8207">
            <w:pPr>
              <w:widowControl w:val="0"/>
              <w:wordWrap w:val="0"/>
              <w:adjustRightInd w:val="0"/>
              <w:snapToGrid w:val="0"/>
              <w:spacing w:line="360" w:lineRule="exact"/>
              <w:jc w:val="cente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 xml:space="preserve">开标地点 </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596980D5">
            <w:pPr>
              <w:keepNext w:val="0"/>
              <w:keepLines w:val="0"/>
              <w:pageBreakBefore w:val="0"/>
              <w:widowControl w:val="0"/>
              <w:kinsoku/>
              <w:wordWrap w:val="0"/>
              <w:overflowPunct/>
              <w:topLinePunct w:val="0"/>
              <w:autoSpaceDE/>
              <w:autoSpaceDN/>
              <w:bidi w:val="0"/>
              <w:adjustRightInd w:val="0"/>
              <w:snapToGrid w:val="0"/>
              <w:spacing w:line="360" w:lineRule="auto"/>
              <w:ind w:left="105" w:leftChars="50"/>
              <w:jc w:val="left"/>
              <w:textAlignment w:val="auto"/>
              <w:outlineLvl w:val="9"/>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2"/>
                <w:szCs w:val="22"/>
                <w:highlight w:val="none"/>
                <w:u w:val="none"/>
                <w:lang w:val="en-US" w:eastAsia="zh-CN" w:bidi="ar-SA"/>
                <w14:textFill>
                  <w14:solidFill>
                    <w14:schemeClr w14:val="tx1"/>
                  </w14:solidFill>
                </w14:textFill>
              </w:rPr>
              <w:t>开标场所：韶关市公共资源交易中心仁化分中心</w:t>
            </w:r>
          </w:p>
          <w:p w14:paraId="06EEFFE9">
            <w:pPr>
              <w:widowControl w:val="0"/>
              <w:wordWrap w:val="0"/>
              <w:adjustRightInd w:val="0"/>
              <w:snapToGrid w:val="0"/>
              <w:spacing w:line="360" w:lineRule="auto"/>
              <w:jc w:val="left"/>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lang w:val="en-US" w:eastAsia="zh-CN" w:bidi="ar-SA"/>
                <w14:textFill>
                  <w14:solidFill>
                    <w14:schemeClr w14:val="tx1"/>
                  </w14:solidFill>
                </w14:textFill>
              </w:rPr>
              <w:t>地址</w:t>
            </w:r>
            <w:r>
              <w:rPr>
                <w:rFonts w:hint="eastAsia" w:ascii="宋体" w:hAnsi="宋体" w:eastAsia="宋体" w:cs="宋体"/>
                <w:b w:val="0"/>
                <w:bCs/>
                <w:color w:val="000000" w:themeColor="text1"/>
                <w:kern w:val="2"/>
                <w:sz w:val="22"/>
                <w:szCs w:val="22"/>
                <w:highlight w:val="none"/>
                <w:lang w:val="en-US" w:eastAsia="zh-CN" w:bidi="ar-SA"/>
                <w14:textFill>
                  <w14:solidFill>
                    <w14:schemeClr w14:val="tx1"/>
                  </w14:solidFill>
                </w14:textFill>
              </w:rPr>
              <w:t>：仁化县丹霞大道228号11楼韶关市公共资源交易中心仁化分中心，具体房间号以当日现场通知为准。</w:t>
            </w:r>
          </w:p>
        </w:tc>
      </w:tr>
      <w:tr w14:paraId="73BCFA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31" w:hRule="exact"/>
        </w:trPr>
        <w:tc>
          <w:tcPr>
            <w:tcW w:w="540" w:type="dxa"/>
            <w:tcBorders>
              <w:top w:val="single" w:color="080000" w:sz="4" w:space="0"/>
              <w:left w:val="single" w:color="080000" w:sz="4" w:space="0"/>
              <w:bottom w:val="single" w:color="080000" w:sz="4" w:space="0"/>
              <w:right w:val="single" w:color="080000" w:sz="4" w:space="0"/>
            </w:tcBorders>
            <w:noWrap w:val="0"/>
            <w:vAlign w:val="center"/>
          </w:tcPr>
          <w:p w14:paraId="3A39D641">
            <w:pPr>
              <w:widowControl/>
              <w:snapToGrid w:val="0"/>
              <w:spacing w:line="360" w:lineRule="auto"/>
              <w:jc w:val="center"/>
              <w:rPr>
                <w:rFonts w:hint="eastAsia" w:asciiTheme="minorEastAsia" w:hAnsiTheme="minorEastAsia" w:eastAsiaTheme="minorEastAsia" w:cstheme="minorEastAsia"/>
                <w:color w:val="000000" w:themeColor="text1"/>
                <w:kern w:val="0"/>
                <w:sz w:val="22"/>
                <w:szCs w:val="22"/>
                <w:highlight w:val="none"/>
                <w:lang w:val="en-US" w:eastAsia="zh-CN" w:bidi="ar-SA"/>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2"/>
                <w:szCs w:val="22"/>
                <w:highlight w:val="none"/>
                <w:lang w:val="en-US" w:eastAsia="zh-CN" w:bidi="ar-SA"/>
                <w14:textFill>
                  <w14:solidFill>
                    <w14:schemeClr w14:val="tx1"/>
                  </w14:solidFill>
                </w14:textFill>
              </w:rPr>
              <w:t>11</w:t>
            </w:r>
          </w:p>
        </w:tc>
        <w:tc>
          <w:tcPr>
            <w:tcW w:w="1726" w:type="dxa"/>
            <w:tcBorders>
              <w:top w:val="single" w:color="080000" w:sz="4" w:space="0"/>
              <w:left w:val="single" w:color="080000" w:sz="4" w:space="0"/>
              <w:bottom w:val="single" w:color="080000" w:sz="4" w:space="0"/>
              <w:right w:val="single" w:color="080000" w:sz="4" w:space="0"/>
            </w:tcBorders>
            <w:noWrap w:val="0"/>
            <w:vAlign w:val="center"/>
          </w:tcPr>
          <w:p w14:paraId="5F81C7FF">
            <w:pPr>
              <w:widowControl w:val="0"/>
              <w:kinsoku/>
              <w:autoSpaceDE/>
              <w:autoSpaceDN/>
              <w:adjustRightInd w:val="0"/>
              <w:snapToGrid w:val="0"/>
              <w:spacing w:line="360" w:lineRule="auto"/>
              <w:jc w:val="center"/>
              <w:textAlignment w:val="auto"/>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pPr>
            <w:r>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t>备注</w:t>
            </w:r>
          </w:p>
        </w:tc>
        <w:tc>
          <w:tcPr>
            <w:tcW w:w="8133" w:type="dxa"/>
            <w:tcBorders>
              <w:top w:val="single" w:color="080000" w:sz="4" w:space="0"/>
              <w:left w:val="single" w:color="080000" w:sz="4" w:space="0"/>
              <w:bottom w:val="single" w:color="080000" w:sz="4" w:space="0"/>
              <w:right w:val="single" w:color="080000" w:sz="4" w:space="0"/>
            </w:tcBorders>
            <w:noWrap w:val="0"/>
            <w:vAlign w:val="center"/>
          </w:tcPr>
          <w:p w14:paraId="1C9DE124">
            <w:pPr>
              <w:widowControl w:val="0"/>
              <w:kinsoku/>
              <w:autoSpaceDE/>
              <w:autoSpaceDN/>
              <w:adjustRightInd w:val="0"/>
              <w:snapToGrid w:val="0"/>
              <w:spacing w:line="360" w:lineRule="auto"/>
              <w:ind w:firstLine="440" w:firstLineChars="200"/>
              <w:jc w:val="both"/>
              <w:textAlignment w:val="auto"/>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pPr>
            <w:r>
              <w:rPr>
                <w:rFonts w:hint="eastAsia" w:asciiTheme="minorEastAsia" w:hAnsiTheme="minorEastAsia" w:eastAsiaTheme="minorEastAsia" w:cstheme="minorEastAsia"/>
                <w:snapToGrid/>
                <w:color w:val="000000" w:themeColor="text1"/>
                <w:kern w:val="2"/>
                <w:sz w:val="22"/>
                <w:szCs w:val="22"/>
                <w:highlight w:val="none"/>
                <w:lang w:eastAsia="zh-CN"/>
                <w14:textFill>
                  <w14:solidFill>
                    <w14:schemeClr w14:val="tx1"/>
                  </w14:solidFill>
                </w14:textFill>
              </w:rPr>
              <w:t>投标人应按有关要求办理数字证书（CA）和企业入库、获取招标文件、资料文件及招标答疑书等。若由于投标人自身原因未能及时取得上述资料的，由此发生的任何责任由投标人自行承担。</w:t>
            </w:r>
          </w:p>
        </w:tc>
      </w:tr>
    </w:tbl>
    <w:p w14:paraId="192F682B">
      <w:pPr>
        <w:keepNext w:val="0"/>
        <w:keepLines w:val="0"/>
        <w:pageBreakBefore w:val="0"/>
        <w:tabs>
          <w:tab w:val="left" w:pos="8820"/>
        </w:tabs>
        <w:wordWrap w:val="0"/>
        <w:overflowPunct/>
        <w:topLinePunct w:val="0"/>
        <w:bidi w:val="0"/>
        <w:rPr>
          <w:rFonts w:hint="eastAsia" w:ascii="宋体" w:hAnsi="宋体" w:eastAsia="宋体" w:cs="宋体"/>
          <w:b w:val="0"/>
          <w:bCs w:val="0"/>
          <w:color w:val="000000" w:themeColor="text1"/>
          <w:spacing w:val="0"/>
          <w:sz w:val="24"/>
          <w:szCs w:val="24"/>
          <w:highlight w:val="none"/>
          <w14:textFill>
            <w14:solidFill>
              <w14:schemeClr w14:val="tx1"/>
            </w14:solidFill>
          </w14:textFill>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4035F05F">
      <w:pPr>
        <w:keepNext w:val="0"/>
        <w:keepLines w:val="0"/>
        <w:pageBreakBefore w:val="0"/>
        <w:wordWrap w:val="0"/>
        <w:overflowPunct/>
        <w:topLinePunct w:val="0"/>
        <w:bidi w:val="0"/>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7" w:name="_Toc9437"/>
      <w:r>
        <w:rPr>
          <w:rFonts w:hint="eastAsia" w:ascii="宋体" w:hAnsi="宋体" w:eastAsia="宋体" w:cs="宋体"/>
          <w:b/>
          <w:bCs/>
          <w:color w:val="000000" w:themeColor="text1"/>
          <w:spacing w:val="0"/>
          <w:sz w:val="24"/>
          <w:szCs w:val="24"/>
          <w:highlight w:val="none"/>
          <w14:textFill>
            <w14:solidFill>
              <w14:schemeClr w14:val="tx1"/>
            </w14:solidFill>
          </w14:textFill>
        </w:rPr>
        <w:t>第三节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投标人须知正文</w:t>
      </w:r>
      <w:bookmarkEnd w:id="7"/>
    </w:p>
    <w:p w14:paraId="5DD28753">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217B4480">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419E08C">
      <w:pPr>
        <w:pStyle w:val="28"/>
        <w:wordWrap w:val="0"/>
        <w:adjustRightInd w:val="0"/>
        <w:snapToGrid w:val="0"/>
        <w:spacing w:line="440" w:lineRule="exact"/>
        <w:ind w:firstLine="480"/>
        <w:jc w:val="left"/>
        <w:outlineLvl w:val="2"/>
        <w:rPr>
          <w:rFonts w:hint="eastAsia" w:ascii="宋体" w:hAnsi="宋体" w:eastAsia="宋体" w:cs="Times New Roman"/>
          <w:bCs/>
          <w:snapToGrid w:val="0"/>
          <w:color w:val="auto"/>
          <w:kern w:val="0"/>
          <w:sz w:val="24"/>
          <w:szCs w:val="24"/>
          <w:highlight w:val="none"/>
          <w:u w:val="single"/>
          <w:lang w:val="en-US" w:eastAsia="zh-CN"/>
        </w:rPr>
      </w:pPr>
      <w:bookmarkStart w:id="8" w:name="bookmark59"/>
      <w:bookmarkEnd w:id="8"/>
      <w:bookmarkStart w:id="9" w:name="bookmark52"/>
      <w:bookmarkEnd w:id="9"/>
      <w:bookmarkStart w:id="10" w:name="bookmark73"/>
      <w:bookmarkEnd w:id="10"/>
      <w:bookmarkStart w:id="11" w:name="_Toc15993"/>
      <w:bookmarkStart w:id="12" w:name="_Toc30196"/>
      <w:r>
        <w:rPr>
          <w:rFonts w:hint="eastAsia" w:ascii="宋体" w:hAnsi="宋体" w:eastAsia="宋体" w:cs="Times New Roman"/>
          <w:bCs/>
          <w:snapToGrid w:val="0"/>
          <w:color w:val="auto"/>
          <w:kern w:val="0"/>
          <w:sz w:val="24"/>
          <w:szCs w:val="24"/>
          <w:highlight w:val="none"/>
          <w:u w:val="single"/>
          <w:lang w:val="en-US" w:eastAsia="zh-CN"/>
        </w:rPr>
        <w:t>广东省韶关市仁化县全域人居环境整治建设项目（一期）丹霞街道一标段经仁化县发展改革和政务数据局以《仁化县发展改革和政务数据局关于广东省韶关市仁化县典型镇示范带和示范镇建设项目可行性研究报告的批复》（仁发改和政数投审〔2025〕9号）、《仁化县发展改革和政务数据局关于广东省韶关市仁化县典型镇示范带和示范镇建设项目变更的复函》（仁发改和政数投审〔2025〕100号）项目代码为：2502-440224-04-01-128561，《关于报审广东省韶关市仁化县全域人居环境整治建设项目（一期）一标段项目初步设计概算的函》仁发改和政数投审[2026]72号，项目代码为:2601-440224-04-01-140601。本工程项目业主为仁化县丹霞街道办事处，建设资金来自上级资金和县财政资金安排解决，100%，招标人为仁化县丹霞街道办事处，招标代理机构为海通国际设计有限公司。本招标项目已具备招标条件，现对该项目丹霞街道一标段施工进行招标。</w:t>
      </w:r>
    </w:p>
    <w:p w14:paraId="238EB322">
      <w:pPr>
        <w:keepNext w:val="0"/>
        <w:keepLines w:val="0"/>
        <w:pageBreakBefore w:val="0"/>
        <w:widowControl/>
        <w:kinsoku w:val="0"/>
        <w:wordWrap w:val="0"/>
        <w:overflowPunct/>
        <w:topLinePunct w:val="0"/>
        <w:autoSpaceDE w:val="0"/>
        <w:autoSpaceDN w:val="0"/>
        <w:bidi w:val="0"/>
        <w:adjustRightInd w:val="0"/>
        <w:snapToGrid w:val="0"/>
        <w:spacing w:line="220" w:lineRule="auto"/>
        <w:ind w:left="49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1 ．项目概况、招标范围和标段划分、投标费用等</w:t>
      </w:r>
      <w:bookmarkEnd w:id="11"/>
      <w:bookmarkEnd w:id="12"/>
    </w:p>
    <w:p w14:paraId="26BED16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项目概况</w:t>
      </w:r>
    </w:p>
    <w:p w14:paraId="33A0C0A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建设地点：</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仁化县丹霞街道</w:t>
      </w:r>
    </w:p>
    <w:p w14:paraId="3B07248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p w14:paraId="5D286F03">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0" w:firstLineChars="200"/>
        <w:textAlignment w:val="baseline"/>
        <w:outlineLvl w:val="9"/>
        <w:rPr>
          <w:rFonts w:hint="eastAsia" w:ascii="宋体" w:hAnsi="宋体" w:eastAsia="宋体" w:cs="宋体"/>
          <w:snapToGrid w:val="0"/>
          <w:color w:val="auto"/>
          <w:kern w:val="0"/>
          <w:sz w:val="24"/>
          <w:highlight w:val="none"/>
          <w:u w:val="single"/>
          <w:lang w:val="en-US" w:eastAsia="zh-CN"/>
        </w:rPr>
      </w:pPr>
      <w:r>
        <w:rPr>
          <w:rFonts w:hint="eastAsia" w:ascii="宋体" w:hAnsi="宋体" w:eastAsia="宋体" w:cs="宋体"/>
          <w:snapToGrid w:val="0"/>
          <w:color w:val="auto"/>
          <w:kern w:val="0"/>
          <w:sz w:val="24"/>
          <w:highlight w:val="none"/>
          <w:u w:val="single"/>
          <w:lang w:val="en-US" w:eastAsia="zh-CN"/>
        </w:rPr>
        <w:t>本工程建设拟对主要在丹霞街道县城及周边村进行村容村貌整治提升、农村垃圾收集及分类转运站建设22处、农村道路硬化或修复约1.2km、农村“三线”整治约24km、农村停车场建设约1000m、农村排水系统改造约130m、路灯安装109盏等。</w:t>
      </w:r>
    </w:p>
    <w:p w14:paraId="582D5F1D">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项目总投资</w:t>
      </w:r>
      <w:r>
        <w:rPr>
          <w:rStyle w:val="26"/>
          <w:rFonts w:hint="eastAsia" w:ascii="宋体" w:hAnsi="宋体" w:eastAsia="宋体" w:cs="宋体"/>
          <w:color w:val="000000" w:themeColor="text1"/>
          <w:spacing w:val="0"/>
          <w:kern w:val="0"/>
          <w:sz w:val="24"/>
          <w:szCs w:val="24"/>
          <w:highlight w:val="none"/>
          <w14:textFill>
            <w14:solidFill>
              <w14:schemeClr w14:val="tx1"/>
            </w14:solidFill>
          </w14:textFill>
        </w:rPr>
        <w:t>：</w:t>
      </w:r>
      <w:r>
        <w:rPr>
          <w:rFonts w:hint="eastAsia"/>
          <w:snapToGrid w:val="0"/>
          <w:color w:val="auto"/>
          <w:kern w:val="0"/>
          <w:sz w:val="24"/>
          <w:highlight w:val="none"/>
          <w:u w:val="single"/>
          <w:lang w:val="en-US" w:eastAsia="zh-CN"/>
        </w:rPr>
        <w:t>项目概算总投资446.04万元，其中工程费用392.46万元、工程建设其他费用49.17万元、预备费用4.41万元。</w:t>
      </w:r>
    </w:p>
    <w:p w14:paraId="16BD1157">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u w:val="none"/>
          <w:lang w:val="en-US" w:eastAsia="zh-CN"/>
          <w14:textFill>
            <w14:solidFill>
              <w14:schemeClr w14:val="tx1"/>
            </w14:solidFill>
          </w14:textFill>
        </w:rPr>
        <w:t xml:space="preserve">1.2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招标范围和标段划分</w:t>
      </w:r>
    </w:p>
    <w:p w14:paraId="0378898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招标范围：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按审查合格的施工图纸及工程量清单内容施工。</w:t>
      </w:r>
    </w:p>
    <w:p w14:paraId="0DFB5F3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3" w:name="_Toc28202"/>
      <w:bookmarkStart w:id="14" w:name="_Toc20855"/>
      <w:bookmarkStart w:id="15" w:name="_Toc24593"/>
      <w:bookmarkStart w:id="16" w:name="_Toc14190"/>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标段划分：本招标项目不划分标段。</w:t>
      </w:r>
      <w:bookmarkEnd w:id="13"/>
      <w:bookmarkEnd w:id="14"/>
      <w:bookmarkEnd w:id="15"/>
      <w:bookmarkEnd w:id="16"/>
    </w:p>
    <w:p w14:paraId="3BE6141C">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  </w:t>
      </w:r>
      <w:r>
        <w:rPr>
          <w:rFonts w:hint="eastAsia" w:ascii="宋体" w:hAnsi="宋体" w:eastAsia="宋体" w:cs="宋体"/>
          <w:color w:val="000000" w:themeColor="text1"/>
          <w:spacing w:val="0"/>
          <w:sz w:val="24"/>
          <w:szCs w:val="24"/>
          <w:highlight w:val="none"/>
          <w14:textFill>
            <w14:solidFill>
              <w14:schemeClr w14:val="tx1"/>
            </w14:solidFill>
          </w14:textFill>
        </w:rPr>
        <w:t>投标费用：投标人应承担所有准备和参加投标的相关费用，不论投标结果如何，招标人均无义务和责任承担这些费用。</w:t>
      </w:r>
    </w:p>
    <w:p w14:paraId="6DC29DD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招标代理费用：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w:t>
      </w:r>
      <w:r>
        <w:rPr>
          <w:rFonts w:hint="eastAsia" w:ascii="宋体" w:hAnsi="宋体" w:eastAsia="宋体" w:cs="宋体"/>
          <w:color w:val="000000" w:themeColor="text1"/>
          <w:spacing w:val="0"/>
          <w:sz w:val="24"/>
          <w:szCs w:val="24"/>
          <w:highlight w:val="none"/>
          <w14:textFill>
            <w14:solidFill>
              <w14:schemeClr w14:val="tx1"/>
            </w14:solidFill>
          </w14:textFill>
        </w:rPr>
        <w:t>项目业主</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支</w:t>
      </w:r>
      <w:r>
        <w:rPr>
          <w:rFonts w:hint="eastAsia" w:ascii="宋体" w:hAnsi="宋体" w:eastAsia="宋体" w:cs="宋体"/>
          <w:color w:val="000000" w:themeColor="text1"/>
          <w:spacing w:val="0"/>
          <w:sz w:val="24"/>
          <w:szCs w:val="24"/>
          <w:highlight w:val="none"/>
          <w14:textFill>
            <w14:solidFill>
              <w14:schemeClr w14:val="tx1"/>
            </w14:solidFill>
          </w14:textFill>
        </w:rPr>
        <w:t>付</w:t>
      </w:r>
      <w:r>
        <w:rPr>
          <w:rFonts w:hint="eastAsia" w:ascii="宋体" w:hAnsi="宋体" w:eastAsia="宋体" w:cs="宋体"/>
          <w:color w:val="000000" w:themeColor="text1"/>
          <w:spacing w:val="0"/>
          <w:position w:val="-6"/>
          <w:sz w:val="24"/>
          <w:szCs w:val="24"/>
          <w:highlight w:val="none"/>
          <w:shd w:val="clear" w:color="auto" w:fill="FFFFFF"/>
          <w:lang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shd w:val="clear" w:color="auto" w:fill="FFFFFF"/>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shd w:val="clear" w:color="auto" w:fill="FFFFFF"/>
          <w14:textFill>
            <w14:solidFill>
              <w14:schemeClr w14:val="tx1"/>
            </w14:solidFill>
          </w14:textFill>
        </w:rPr>
        <w:t xml:space="preserve"> 由中标人支付。</w:t>
      </w:r>
    </w:p>
    <w:p w14:paraId="3514024E">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jc w:val="left"/>
        <w:textAlignment w:val="baseline"/>
        <w:outlineLvl w:val="2"/>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17" w:name="_Toc6096"/>
      <w:r>
        <w:rPr>
          <w:rFonts w:hint="eastAsia" w:ascii="宋体" w:hAnsi="宋体" w:eastAsia="宋体" w:cs="宋体"/>
          <w:b/>
          <w:bCs/>
          <w:color w:val="000000" w:themeColor="text1"/>
          <w:spacing w:val="0"/>
          <w:sz w:val="24"/>
          <w:szCs w:val="24"/>
          <w:highlight w:val="none"/>
          <w14:textFill>
            <w14:solidFill>
              <w14:schemeClr w14:val="tx1"/>
            </w14:solidFill>
          </w14:textFill>
        </w:rPr>
        <w:t>2．</w:t>
      </w:r>
      <w:r>
        <w:rPr>
          <w:rFonts w:hint="eastAsia" w:ascii="宋体" w:hAnsi="宋体" w:eastAsia="宋体" w:cs="宋体"/>
          <w:b w:val="0"/>
          <w:bCs w:val="0"/>
          <w:color w:val="000000" w:themeColor="text1"/>
          <w:spacing w:val="0"/>
          <w:sz w:val="24"/>
          <w:szCs w:val="24"/>
          <w:highlight w:val="none"/>
          <w:lang w:eastAsia="zh-CN"/>
          <w14:textFill>
            <w14:solidFill>
              <w14:schemeClr w14:val="tx1"/>
            </w14:solidFill>
          </w14:textFill>
        </w:rPr>
        <w:t>投标人</w:t>
      </w:r>
      <w:r>
        <w:rPr>
          <w:rFonts w:hint="eastAsia" w:ascii="宋体" w:hAnsi="宋体" w:eastAsia="宋体" w:cs="宋体"/>
          <w:b w:val="0"/>
          <w:bCs w:val="0"/>
          <w:color w:val="000000" w:themeColor="text1"/>
          <w:spacing w:val="0"/>
          <w:sz w:val="24"/>
          <w:szCs w:val="24"/>
          <w:highlight w:val="none"/>
          <w14:textFill>
            <w14:solidFill>
              <w14:schemeClr w14:val="tx1"/>
            </w14:solidFill>
          </w14:textFill>
        </w:rPr>
        <w:t>资质要求</w:t>
      </w:r>
      <w:bookmarkEnd w:id="17"/>
    </w:p>
    <w:p w14:paraId="0B6753F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2.1</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本次招标</w:t>
      </w: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不接受</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联合体投标。</w:t>
      </w:r>
    </w:p>
    <w:p w14:paraId="26DA6CF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资格资质要求</w:t>
      </w:r>
    </w:p>
    <w:p w14:paraId="598EC804">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2.2.1</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投标人须具备独立法人资格，按国家法律经营。</w:t>
      </w:r>
    </w:p>
    <w:p w14:paraId="014575D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2.2.2</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投标人须持有建设行政主管部门颁发的企业资质证书及安全生产许可证。</w:t>
      </w:r>
    </w:p>
    <w:p w14:paraId="18EA7E8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 xml:space="preserve">2.2.3 </w:t>
      </w:r>
      <w:r>
        <w:rPr>
          <w:rFonts w:hint="eastAsia" w:ascii="宋体" w:hAnsi="宋体" w:eastAsia="宋体" w:cs="宋体"/>
          <w:snapToGrid w:val="0"/>
          <w:color w:val="000000" w:themeColor="text1"/>
          <w:spacing w:val="0"/>
          <w:kern w:val="0"/>
          <w:sz w:val="24"/>
          <w:szCs w:val="24"/>
          <w:highlight w:val="none"/>
          <w:lang w:eastAsia="zh-CN" w:bidi="ar-SA"/>
          <w14:textFill>
            <w14:solidFill>
              <w14:schemeClr w14:val="tx1"/>
            </w14:solidFill>
          </w14:textFill>
        </w:rPr>
        <w:t>投标人须具备以下资质：具有建设行政主管部门颁发的</w:t>
      </w:r>
      <w:r>
        <w:rPr>
          <w:rFonts w:hint="eastAsia" w:ascii="宋体" w:hAnsi="宋体" w:eastAsia="宋体" w:cs="宋体"/>
          <w:snapToGrid w:val="0"/>
          <w:color w:val="000000" w:themeColor="text1"/>
          <w:spacing w:val="0"/>
          <w:kern w:val="0"/>
          <w:sz w:val="24"/>
          <w:szCs w:val="24"/>
          <w:highlight w:val="none"/>
          <w:u w:val="single"/>
          <w:lang w:eastAsia="zh-CN" w:bidi="ar-SA"/>
          <w14:textFill>
            <w14:solidFill>
              <w14:schemeClr w14:val="tx1"/>
            </w14:solidFill>
          </w14:textFill>
        </w:rPr>
        <w:t>市政公用工程施工总承包</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或建筑工程施工总承包</w:t>
      </w:r>
      <w:r>
        <w:rPr>
          <w:rFonts w:hint="eastAsia"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t>三</w:t>
      </w:r>
      <w:r>
        <w:rPr>
          <w:rFonts w:hint="eastAsia" w:ascii="宋体" w:hAnsi="宋体" w:eastAsia="宋体" w:cs="宋体"/>
          <w:snapToGrid w:val="0"/>
          <w:color w:val="000000" w:themeColor="text1"/>
          <w:spacing w:val="0"/>
          <w:kern w:val="0"/>
          <w:sz w:val="24"/>
          <w:szCs w:val="24"/>
          <w:highlight w:val="none"/>
          <w:lang w:eastAsia="zh-CN" w:bidi="ar-SA"/>
          <w14:textFill>
            <w14:solidFill>
              <w14:schemeClr w14:val="tx1"/>
            </w14:solidFill>
          </w14:textFill>
        </w:rPr>
        <w:t>级以上（含</w:t>
      </w:r>
      <w:r>
        <w:rPr>
          <w:rFonts w:hint="eastAsia" w:ascii="宋体" w:hAnsi="宋体" w:eastAsia="宋体" w:cs="宋体"/>
          <w:snapToGrid w:val="0"/>
          <w:color w:val="000000" w:themeColor="text1"/>
          <w:spacing w:val="0"/>
          <w:kern w:val="0"/>
          <w:sz w:val="24"/>
          <w:szCs w:val="24"/>
          <w:highlight w:val="none"/>
          <w:lang w:val="en-US" w:eastAsia="zh-CN" w:bidi="ar-SA"/>
          <w14:textFill>
            <w14:solidFill>
              <w14:schemeClr w14:val="tx1"/>
            </w14:solidFill>
          </w14:textFill>
        </w:rPr>
        <w:t>三</w:t>
      </w:r>
      <w:r>
        <w:rPr>
          <w:rFonts w:hint="eastAsia" w:ascii="宋体" w:hAnsi="宋体" w:eastAsia="宋体" w:cs="宋体"/>
          <w:snapToGrid w:val="0"/>
          <w:color w:val="000000" w:themeColor="text1"/>
          <w:spacing w:val="0"/>
          <w:kern w:val="0"/>
          <w:sz w:val="24"/>
          <w:szCs w:val="24"/>
          <w:highlight w:val="none"/>
          <w:lang w:eastAsia="zh-CN" w:bidi="ar-SA"/>
          <w14:textFill>
            <w14:solidFill>
              <w14:schemeClr w14:val="tx1"/>
            </w14:solidFill>
          </w14:textFill>
        </w:rPr>
        <w:t>级）资质。</w:t>
      </w:r>
    </w:p>
    <w:p w14:paraId="0995444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kern w:val="0"/>
          <w:sz w:val="24"/>
          <w:szCs w:val="24"/>
          <w:highlight w:val="none"/>
          <w:lang w:val="en-US" w:eastAsia="zh-CN" w:bidi="ar-SA"/>
          <w14:textFill>
            <w14:solidFill>
              <w14:schemeClr w14:val="tx1"/>
            </w14:solidFill>
          </w14:textFill>
        </w:rPr>
        <w:t>2.2.4</w:t>
      </w:r>
      <w:r>
        <w:rPr>
          <w:rFonts w:hint="eastAsia" w:ascii="宋体" w:hAnsi="宋体" w:eastAsia="宋体" w:cs="宋体"/>
          <w:b w:val="0"/>
          <w:bCs w:val="0"/>
          <w:color w:val="000000" w:themeColor="text1"/>
          <w:spacing w:val="0"/>
          <w:kern w:val="0"/>
          <w:sz w:val="24"/>
          <w:szCs w:val="24"/>
          <w:highlight w:val="none"/>
          <w:lang w:val="en-US" w:eastAsia="zh-CN" w:bidi="ar-SA"/>
          <w14:textFill>
            <w14:solidFill>
              <w14:schemeClr w14:val="tx1"/>
            </w14:solidFill>
          </w14:textFill>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F9CF9A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相关人员要求</w:t>
      </w:r>
    </w:p>
    <w:p w14:paraId="49155701">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2.3.1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拟派项目经理为</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市政公用工程或建筑工程</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建设工程项目的项目经理。</w:t>
      </w:r>
    </w:p>
    <w:p w14:paraId="5F0FE099">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2.3.2</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拟派项目技术负责人须具备</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市政公用工程或建筑工程</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相关专业</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级以上（含</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中</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级）技术职称。</w:t>
      </w:r>
    </w:p>
    <w:p w14:paraId="4A2C1918">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 xml:space="preserve">2.3.3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投标人拟派专职安全生产管理人员须具备有效安全生产考核合格证明（C证，安全生产考核合格证书或“广东省建筑施工企业管理人员安全生产考核系统”考核合格信息打印页），且不少于</w:t>
      </w:r>
      <w:r>
        <w:rPr>
          <w:rStyle w:val="26"/>
          <w:rFonts w:hint="eastAsia" w:ascii="宋体" w:hAnsi="宋体" w:eastAsia="宋体" w:cs="宋体"/>
          <w:b w:val="0"/>
          <w:bCs w:val="0"/>
          <w:color w:val="000000" w:themeColor="text1"/>
          <w:spacing w:val="0"/>
          <w:kern w:val="0"/>
          <w:sz w:val="24"/>
          <w:szCs w:val="24"/>
          <w:highlight w:val="none"/>
          <w:u w:val="single"/>
          <w:lang w:val="en-US" w:eastAsia="zh-CN"/>
          <w14:textFill>
            <w14:solidFill>
              <w14:schemeClr w14:val="tx1"/>
            </w14:solidFill>
          </w14:textFill>
        </w:rPr>
        <w:t xml:space="preserve"> 1 </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人。</w:t>
      </w:r>
    </w:p>
    <w:p w14:paraId="4F82BDFF">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pPr>
      <w:r>
        <w:rPr>
          <w:rStyle w:val="26"/>
          <w:rFonts w:hint="eastAsia" w:ascii="宋体" w:hAnsi="宋体" w:eastAsia="宋体" w:cs="宋体"/>
          <w:b/>
          <w:bCs/>
          <w:color w:val="000000" w:themeColor="text1"/>
          <w:spacing w:val="0"/>
          <w:kern w:val="0"/>
          <w:sz w:val="24"/>
          <w:szCs w:val="24"/>
          <w:highlight w:val="none"/>
          <w:lang w:val="en-US" w:eastAsia="zh-CN"/>
          <w14:textFill>
            <w14:solidFill>
              <w14:schemeClr w14:val="tx1"/>
            </w14:solidFill>
          </w14:textFill>
        </w:rPr>
        <w:t>2.3.4</w:t>
      </w:r>
      <w:r>
        <w:rPr>
          <w:rStyle w:val="26"/>
          <w:rFonts w:hint="eastAsia" w:ascii="宋体" w:hAnsi="宋体" w:eastAsia="宋体" w:cs="宋体"/>
          <w:b w:val="0"/>
          <w:bCs w:val="0"/>
          <w:color w:val="000000" w:themeColor="text1"/>
          <w:spacing w:val="0"/>
          <w:kern w:val="0"/>
          <w:sz w:val="24"/>
          <w:szCs w:val="24"/>
          <w:highlight w:val="none"/>
          <w:lang w:val="en-US" w:eastAsia="zh-CN"/>
          <w14:textFill>
            <w14:solidFill>
              <w14:schemeClr w14:val="tx1"/>
            </w14:solidFill>
          </w14:textFill>
        </w:rPr>
        <w:t xml:space="preserve"> 投标人（包括组成联合体的所有成员单位）与其拟派往本项目管理机构的所有人员之间必须具备合法、唯一的劳动聘用关系。拟派人员中具备注册执业资格的，其注册单位须与投标人保持一致。</w:t>
      </w:r>
    </w:p>
    <w:p w14:paraId="6B5D9824">
      <w:pPr>
        <w:keepNext w:val="0"/>
        <w:keepLines w:val="0"/>
        <w:pageBreakBefore w:val="0"/>
        <w:wordWrap w:val="0"/>
        <w:overflowPunct/>
        <w:topLinePunct w:val="0"/>
        <w:bidi w:val="0"/>
        <w:spacing w:before="78"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禁止投标条款</w:t>
      </w:r>
    </w:p>
    <w:p w14:paraId="4F43481F">
      <w:pPr>
        <w:keepNext w:val="0"/>
        <w:keepLines w:val="0"/>
        <w:pageBreakBefore w:val="0"/>
        <w:wordWrap w:val="0"/>
        <w:overflowPunct/>
        <w:topLinePunct w:val="0"/>
        <w:bidi w:val="0"/>
        <w:spacing w:before="153" w:line="220" w:lineRule="auto"/>
        <w:ind w:left="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2.4.1  </w:t>
      </w:r>
      <w:r>
        <w:rPr>
          <w:rFonts w:hint="eastAsia" w:ascii="宋体" w:hAnsi="宋体" w:eastAsia="宋体" w:cs="宋体"/>
          <w:color w:val="000000" w:themeColor="text1"/>
          <w:spacing w:val="0"/>
          <w:sz w:val="24"/>
          <w:szCs w:val="24"/>
          <w:highlight w:val="none"/>
          <w14:textFill>
            <w14:solidFill>
              <w14:schemeClr w14:val="tx1"/>
            </w14:solidFill>
          </w14:textFill>
        </w:rPr>
        <w:t>投标人不得存在下列情形之一：</w:t>
      </w:r>
    </w:p>
    <w:p w14:paraId="5ECD680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（1）为招标人不具有独立法人资格的附属机构（单位）；</w:t>
      </w:r>
    </w:p>
    <w:p w14:paraId="7BE80EB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（2）为本招标项目前期准备提供设计或咨询服务的；</w:t>
      </w:r>
    </w:p>
    <w:p w14:paraId="0466C21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（3）与本招标项目的其他投标人为同一个单位负责人；</w:t>
      </w:r>
    </w:p>
    <w:p w14:paraId="51978EC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（4）与本招标项目的其他投标人存在控股、管理关系；</w:t>
      </w:r>
    </w:p>
    <w:p w14:paraId="27DE5D5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（5）为本招标项目的监理人；</w:t>
      </w:r>
    </w:p>
    <w:p w14:paraId="01E2A759">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（6）为本招标项目的代建人；</w:t>
      </w:r>
    </w:p>
    <w:p w14:paraId="3F4CE4E0">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（7）为本招标项目的招标代理机构；</w:t>
      </w:r>
    </w:p>
    <w:p w14:paraId="32DC1C8C">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（8）与本招标项目的监理人或代建人或招标代理机构同为一个 法定代表人；</w:t>
      </w:r>
    </w:p>
    <w:p w14:paraId="356D509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（9）与本招标项目的监理人或代建人或招标代理机构存在控股或参股关系；</w:t>
      </w:r>
    </w:p>
    <w:p w14:paraId="1F6F6AF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（10）与本招标项目的监理人或代建人或招标代理机构存在相互任职或工作关系；</w:t>
      </w:r>
    </w:p>
    <w:p w14:paraId="62615967">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（11）被依法暂停或者取消投标资格；</w:t>
      </w:r>
    </w:p>
    <w:p w14:paraId="51CC66B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（12）被责令停产停业、暂扣或者吊销许可证、暂扣或者吊销执照；</w:t>
      </w:r>
    </w:p>
    <w:p w14:paraId="4D4EA795">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（13）进入清算程序，或被宣告破产，或其他丧失履约能力的情形；</w:t>
      </w:r>
    </w:p>
    <w:p w14:paraId="742CE9C2">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（14）在最近三年内发生重大工程质量或安全问题（以相关行业主管部门的行政处罚决定或司法机关出具的有关法律文书为准）；</w:t>
      </w:r>
    </w:p>
    <w:p w14:paraId="5FDD5BC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（15）被“信用中国 ”网站（https://www.creditchina.gov.cn）发布的《法人和非法人组织公共信用信息报告》列为严重失信主体名单的。</w:t>
      </w:r>
    </w:p>
    <w:p w14:paraId="28B49AD7">
      <w:pPr>
        <w:keepNext w:val="0"/>
        <w:keepLines w:val="0"/>
        <w:pageBreakBefore w:val="0"/>
        <w:wordWrap w:val="0"/>
        <w:overflowPunct/>
        <w:topLinePunct w:val="0"/>
        <w:bidi w:val="0"/>
        <w:spacing w:before="155" w:line="219"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2.4.2  </w:t>
      </w:r>
      <w:r>
        <w:rPr>
          <w:rFonts w:hint="eastAsia" w:ascii="宋体" w:hAnsi="宋体" w:eastAsia="宋体" w:cs="宋体"/>
          <w:color w:val="000000" w:themeColor="text1"/>
          <w:spacing w:val="0"/>
          <w:sz w:val="24"/>
          <w:szCs w:val="24"/>
          <w:highlight w:val="none"/>
          <w14:textFill>
            <w14:solidFill>
              <w14:schemeClr w14:val="tx1"/>
            </w14:solidFill>
          </w14:textFill>
        </w:rPr>
        <w:t>招标人拒绝以下名单中的单位参加本次投标：</w:t>
      </w:r>
    </w:p>
    <w:tbl>
      <w:tblPr>
        <w:tblStyle w:val="14"/>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3772"/>
        <w:gridCol w:w="5338"/>
      </w:tblGrid>
      <w:tr w14:paraId="2635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8" w:type="dxa"/>
            <w:vAlign w:val="center"/>
          </w:tcPr>
          <w:p w14:paraId="2E257EED">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序号</w:t>
            </w:r>
          </w:p>
        </w:tc>
        <w:tc>
          <w:tcPr>
            <w:tcW w:w="3772" w:type="dxa"/>
            <w:vAlign w:val="center"/>
          </w:tcPr>
          <w:p w14:paraId="3BE59F6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单位名称</w:t>
            </w:r>
          </w:p>
        </w:tc>
        <w:tc>
          <w:tcPr>
            <w:tcW w:w="5338" w:type="dxa"/>
            <w:vAlign w:val="center"/>
          </w:tcPr>
          <w:p w14:paraId="08E046A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拒绝原因</w:t>
            </w:r>
          </w:p>
        </w:tc>
      </w:tr>
      <w:tr w14:paraId="4BD3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28B9B72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1</w:t>
            </w:r>
          </w:p>
        </w:tc>
        <w:tc>
          <w:tcPr>
            <w:tcW w:w="3772" w:type="dxa"/>
            <w:vAlign w:val="center"/>
          </w:tcPr>
          <w:p w14:paraId="3774472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仁化县丹霞街道办事处</w:t>
            </w:r>
          </w:p>
        </w:tc>
        <w:tc>
          <w:tcPr>
            <w:tcW w:w="5338" w:type="dxa"/>
            <w:vAlign w:val="center"/>
          </w:tcPr>
          <w:p w14:paraId="4D06AD7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为本招标项目的招标人</w:t>
            </w:r>
          </w:p>
        </w:tc>
      </w:tr>
      <w:tr w14:paraId="7138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88" w:type="dxa"/>
            <w:vAlign w:val="center"/>
          </w:tcPr>
          <w:p w14:paraId="0337EEE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2</w:t>
            </w:r>
          </w:p>
        </w:tc>
        <w:tc>
          <w:tcPr>
            <w:tcW w:w="3772" w:type="dxa"/>
            <w:vAlign w:val="center"/>
          </w:tcPr>
          <w:p w14:paraId="0BD57B5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海通国际设计有限公司</w:t>
            </w:r>
          </w:p>
        </w:tc>
        <w:tc>
          <w:tcPr>
            <w:tcW w:w="5338" w:type="dxa"/>
            <w:vAlign w:val="center"/>
          </w:tcPr>
          <w:p w14:paraId="0820A20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为本招标项目的招标代理机构</w:t>
            </w:r>
          </w:p>
        </w:tc>
      </w:tr>
      <w:tr w14:paraId="5FC8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E51A30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3</w:t>
            </w:r>
          </w:p>
        </w:tc>
        <w:tc>
          <w:tcPr>
            <w:tcW w:w="3772" w:type="dxa"/>
            <w:vAlign w:val="center"/>
          </w:tcPr>
          <w:p w14:paraId="72D7100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中设建联工程设计有限公司</w:t>
            </w:r>
          </w:p>
        </w:tc>
        <w:tc>
          <w:tcPr>
            <w:tcW w:w="5338" w:type="dxa"/>
            <w:vAlign w:val="center"/>
          </w:tcPr>
          <w:p w14:paraId="08D67BA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为本招标项目的可行性研究报告编制单位</w:t>
            </w:r>
          </w:p>
        </w:tc>
      </w:tr>
      <w:tr w14:paraId="424A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3C00839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4</w:t>
            </w:r>
          </w:p>
        </w:tc>
        <w:tc>
          <w:tcPr>
            <w:tcW w:w="3772" w:type="dxa"/>
            <w:vAlign w:val="center"/>
          </w:tcPr>
          <w:p w14:paraId="090E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中大设计集团有限公司</w:t>
            </w:r>
          </w:p>
        </w:tc>
        <w:tc>
          <w:tcPr>
            <w:tcW w:w="5338" w:type="dxa"/>
            <w:vAlign w:val="center"/>
          </w:tcPr>
          <w:p w14:paraId="6754F47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t>为本招标项目的设计单位</w:t>
            </w:r>
          </w:p>
        </w:tc>
      </w:tr>
      <w:tr w14:paraId="30AF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4D72D6A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spacing w:val="0"/>
                <w:kern w:val="0"/>
                <w:sz w:val="21"/>
                <w:szCs w:val="21"/>
                <w:highlight w:val="none"/>
                <w:lang w:val="en-US" w:eastAsia="zh-CN" w:bidi="ar-SA"/>
              </w:rPr>
              <w:t>5</w:t>
            </w:r>
          </w:p>
        </w:tc>
        <w:tc>
          <w:tcPr>
            <w:tcW w:w="3772" w:type="dxa"/>
            <w:vAlign w:val="center"/>
          </w:tcPr>
          <w:p w14:paraId="2149539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spacing w:val="0"/>
                <w:kern w:val="0"/>
                <w:sz w:val="21"/>
                <w:szCs w:val="21"/>
                <w:highlight w:val="none"/>
                <w:lang w:val="en-US" w:eastAsia="zh-CN" w:bidi="ar-SA"/>
              </w:rPr>
              <w:fldChar w:fldCharType="begin"/>
            </w:r>
            <w:r>
              <w:rPr>
                <w:rFonts w:hint="eastAsia" w:ascii="宋体" w:hAnsi="宋体" w:eastAsia="宋体" w:cs="宋体"/>
                <w:snapToGrid w:val="0"/>
                <w:color w:val="000000"/>
                <w:spacing w:val="0"/>
                <w:kern w:val="0"/>
                <w:sz w:val="21"/>
                <w:szCs w:val="21"/>
                <w:highlight w:val="none"/>
                <w:lang w:val="en-US" w:eastAsia="zh-CN" w:bidi="ar-SA"/>
              </w:rPr>
              <w:instrText xml:space="preserve"> HYPERLINK "https://ygp.gdzwfw.gov.cn/zjfwcs/gd-zjcs-pub/zjfw/serviceView/91440101MA5CMK1671?backUrl=agentList" </w:instrText>
            </w:r>
            <w:r>
              <w:rPr>
                <w:rFonts w:hint="eastAsia" w:ascii="宋体" w:hAnsi="宋体" w:eastAsia="宋体" w:cs="宋体"/>
                <w:snapToGrid w:val="0"/>
                <w:color w:val="000000"/>
                <w:spacing w:val="0"/>
                <w:kern w:val="0"/>
                <w:sz w:val="21"/>
                <w:szCs w:val="21"/>
                <w:highlight w:val="none"/>
                <w:lang w:val="en-US" w:eastAsia="zh-CN" w:bidi="ar-SA"/>
              </w:rPr>
              <w:fldChar w:fldCharType="separate"/>
            </w:r>
            <w:r>
              <w:rPr>
                <w:rFonts w:hint="default" w:ascii="宋体" w:hAnsi="宋体" w:eastAsia="宋体" w:cs="宋体"/>
                <w:snapToGrid w:val="0"/>
                <w:color w:val="000000"/>
                <w:spacing w:val="0"/>
                <w:kern w:val="0"/>
                <w:sz w:val="21"/>
                <w:szCs w:val="21"/>
                <w:highlight w:val="none"/>
                <w:lang w:val="en-US" w:eastAsia="zh-CN" w:bidi="ar-SA"/>
              </w:rPr>
              <w:t>广东粤湾施工图审查有限公司</w:t>
            </w:r>
            <w:r>
              <w:rPr>
                <w:rFonts w:hint="default" w:ascii="宋体" w:hAnsi="宋体" w:eastAsia="宋体" w:cs="宋体"/>
                <w:snapToGrid w:val="0"/>
                <w:color w:val="000000"/>
                <w:spacing w:val="0"/>
                <w:kern w:val="0"/>
                <w:sz w:val="21"/>
                <w:szCs w:val="21"/>
                <w:highlight w:val="none"/>
                <w:lang w:val="en-US" w:eastAsia="zh-CN" w:bidi="ar-SA"/>
              </w:rPr>
              <w:fldChar w:fldCharType="end"/>
            </w:r>
          </w:p>
        </w:tc>
        <w:tc>
          <w:tcPr>
            <w:tcW w:w="5338" w:type="dxa"/>
            <w:vAlign w:val="center"/>
          </w:tcPr>
          <w:p w14:paraId="10EFD40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宋体" w:hAnsi="宋体" w:eastAsia="宋体" w:cs="宋体"/>
                <w:snapToGrid w:val="0"/>
                <w:color w:val="000000" w:themeColor="text1"/>
                <w:spacing w:val="0"/>
                <w:ker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spacing w:val="0"/>
                <w:kern w:val="0"/>
                <w:sz w:val="21"/>
                <w:szCs w:val="21"/>
                <w:highlight w:val="none"/>
                <w:lang w:val="en-US" w:eastAsia="zh-CN" w:bidi="ar-SA"/>
              </w:rPr>
              <w:t>为本招标项目的施工图审查单位</w:t>
            </w:r>
          </w:p>
        </w:tc>
      </w:tr>
    </w:tbl>
    <w:p w14:paraId="3180535E">
      <w:pPr>
        <w:keepNext w:val="0"/>
        <w:keepLines w:val="0"/>
        <w:pageBreakBefore w:val="0"/>
        <w:wordWrap w:val="0"/>
        <w:overflowPunct/>
        <w:topLinePunct w:val="0"/>
        <w:bidi w:val="0"/>
        <w:spacing w:line="93" w:lineRule="auto"/>
        <w:rPr>
          <w:rFonts w:hint="eastAsia" w:ascii="宋体" w:hAnsi="宋体" w:eastAsia="宋体" w:cs="宋体"/>
          <w:color w:val="000000" w:themeColor="text1"/>
          <w:spacing w:val="0"/>
          <w:sz w:val="2"/>
          <w:highlight w:val="none"/>
          <w14:textFill>
            <w14:solidFill>
              <w14:schemeClr w14:val="tx1"/>
            </w14:solidFill>
          </w14:textFill>
        </w:rPr>
      </w:pPr>
    </w:p>
    <w:p w14:paraId="103B6326">
      <w:pPr>
        <w:keepNext w:val="0"/>
        <w:keepLines w:val="0"/>
        <w:pageBreakBefore w:val="0"/>
        <w:wordWrap w:val="0"/>
        <w:overflowPunct/>
        <w:topLinePunct w:val="0"/>
        <w:bidi w:val="0"/>
        <w:spacing w:before="153" w:line="221" w:lineRule="auto"/>
        <w:ind w:left="7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其他要求</w:t>
      </w:r>
    </w:p>
    <w:p w14:paraId="495DD04A">
      <w:pPr>
        <w:keepNext w:val="0"/>
        <w:keepLines w:val="0"/>
        <w:pageBreakBefore w:val="0"/>
        <w:wordWrap w:val="0"/>
        <w:overflowPunct/>
        <w:topLinePunct w:val="0"/>
        <w:bidi w:val="0"/>
        <w:spacing w:before="150" w:line="334" w:lineRule="auto"/>
        <w:ind w:left="232" w:right="99" w:firstLine="48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省外企业及其拟派往本项目管理机构的所有人员均须按照《广东省住房和城乡建设厅关于取消省外建筑企业和人员进粤信息备案有关工作的通知》（粤建市﹝2015﹞52 号）规定在“进粤企业和人员诚信信息登记平台”录入相关信息并通过数据规范检查。</w:t>
      </w:r>
    </w:p>
    <w:p w14:paraId="1FE05A34">
      <w:pPr>
        <w:keepNext w:val="0"/>
        <w:keepLines w:val="0"/>
        <w:pageBreakBefore w:val="0"/>
        <w:wordWrap w:val="0"/>
        <w:overflowPunct/>
        <w:topLinePunct w:val="0"/>
        <w:bidi w:val="0"/>
        <w:spacing w:before="79" w:line="220"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8" w:name="_Toc15370"/>
      <w:bookmarkStart w:id="19" w:name="_Toc23243"/>
      <w:r>
        <w:rPr>
          <w:rFonts w:hint="eastAsia" w:ascii="宋体" w:hAnsi="宋体" w:eastAsia="宋体" w:cs="宋体"/>
          <w:b/>
          <w:bCs/>
          <w:color w:val="000000" w:themeColor="text1"/>
          <w:spacing w:val="0"/>
          <w:sz w:val="24"/>
          <w:szCs w:val="24"/>
          <w:highlight w:val="none"/>
          <w14:textFill>
            <w14:solidFill>
              <w14:schemeClr w14:val="tx1"/>
            </w14:solidFill>
          </w14:textFill>
        </w:rPr>
        <w:t>3．招标文件的获取</w:t>
      </w:r>
      <w:bookmarkEnd w:id="18"/>
      <w:bookmarkEnd w:id="19"/>
    </w:p>
    <w:p w14:paraId="58025C1D">
      <w:pPr>
        <w:keepNext w:val="0"/>
        <w:keepLines w:val="0"/>
        <w:pageBreakBefore w:val="0"/>
        <w:wordWrap w:val="0"/>
        <w:overflowPunct/>
        <w:topLinePunct w:val="0"/>
        <w:bidi w:val="0"/>
        <w:spacing w:before="182" w:line="219" w:lineRule="auto"/>
        <w:ind w:left="7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w:t>
      </w:r>
    </w:p>
    <w:p w14:paraId="29156863">
      <w:pPr>
        <w:keepNext w:val="0"/>
        <w:keepLines w:val="0"/>
        <w:pageBreakBefore w:val="0"/>
        <w:wordWrap w:val="0"/>
        <w:overflowPunct/>
        <w:topLinePunct w:val="0"/>
        <w:bidi w:val="0"/>
        <w:spacing w:before="178" w:line="355" w:lineRule="auto"/>
        <w:ind w:left="0" w:leftChars="0" w:firstLine="481"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2），了解网上获取招标文件操作流程。技术咨询电话：0751-8379671 伍先生，业务咨询电话：0751-8633211、8633071。</w:t>
      </w:r>
    </w:p>
    <w:p w14:paraId="039A8FB6">
      <w:pPr>
        <w:keepNext w:val="0"/>
        <w:keepLines w:val="0"/>
        <w:pageBreakBefore w:val="0"/>
        <w:wordWrap w:val="0"/>
        <w:overflowPunct/>
        <w:topLinePunct w:val="0"/>
        <w:bidi w:val="0"/>
        <w:spacing w:before="142" w:line="330" w:lineRule="auto"/>
        <w:ind w:left="11" w:right="105" w:firstLine="47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3.2  </w:t>
      </w:r>
      <w:r>
        <w:rPr>
          <w:rFonts w:hint="eastAsia" w:ascii="宋体" w:hAnsi="宋体" w:eastAsia="宋体" w:cs="宋体"/>
          <w:color w:val="000000" w:themeColor="text1"/>
          <w:spacing w:val="0"/>
          <w:sz w:val="24"/>
          <w:szCs w:val="24"/>
          <w:highlight w:val="none"/>
          <w14:textFill>
            <w14:solidFill>
              <w14:schemeClr w14:val="tx1"/>
            </w14:solidFill>
          </w14:textFill>
        </w:rPr>
        <w:t>只有申领了数字证书（CA）、“粤企签 ”或 GDCA/SZCA/NETCA 等符合法律法规规定的电子印章，并在交易系统中完成企业信息数据入库的投标人，方可使用建设工程交易系统进行招标文件及附件获取和电子投标。</w:t>
      </w:r>
    </w:p>
    <w:p w14:paraId="2FE752CB">
      <w:pPr>
        <w:keepNext w:val="0"/>
        <w:keepLines w:val="0"/>
        <w:pageBreakBefore w:val="0"/>
        <w:wordWrap w:val="0"/>
        <w:overflowPunct/>
        <w:topLinePunct w:val="0"/>
        <w:bidi w:val="0"/>
        <w:spacing w:before="32" w:line="332" w:lineRule="auto"/>
        <w:ind w:left="10" w:right="90"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）办理企业入库、数字证书及电子印章事宜，具体请在平台查阅相应的交易指引。</w:t>
      </w:r>
    </w:p>
    <w:p w14:paraId="6F360068">
      <w:pPr>
        <w:keepNext w:val="0"/>
        <w:keepLines w:val="0"/>
        <w:pageBreakBefore w:val="0"/>
        <w:wordWrap w:val="0"/>
        <w:overflowPunct/>
        <w:topLinePunct w:val="0"/>
        <w:bidi w:val="0"/>
        <w:spacing w:before="37" w:line="329" w:lineRule="auto"/>
        <w:ind w:left="9" w:right="105"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已入库企业有关信息（如单位名称、基本账号、资质、人员等）发生变化的，须及时在交易系统进行相应变更。投标人未及时变更信息而造成的损失和后果，由投标人自行承担。</w:t>
      </w:r>
    </w:p>
    <w:p w14:paraId="1BE8084A">
      <w:pPr>
        <w:keepNext w:val="0"/>
        <w:keepLines w:val="0"/>
        <w:pageBreakBefore w:val="0"/>
        <w:wordWrap w:val="0"/>
        <w:overflowPunct/>
        <w:topLinePunct w:val="0"/>
        <w:bidi w:val="0"/>
        <w:spacing w:before="33" w:line="335" w:lineRule="auto"/>
        <w:ind w:left="10" w:right="105" w:firstLine="50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40CA127C">
      <w:pPr>
        <w:keepNext w:val="0"/>
        <w:keepLines w:val="0"/>
        <w:pageBreakBefore w:val="0"/>
        <w:wordWrap w:val="0"/>
        <w:overflowPunct/>
        <w:topLinePunct w:val="0"/>
        <w:bidi w:val="0"/>
        <w:spacing w:before="33" w:line="221"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投标保证</w:t>
      </w:r>
    </w:p>
    <w:p w14:paraId="734994B7">
      <w:pPr>
        <w:keepNext w:val="0"/>
        <w:keepLines w:val="0"/>
        <w:pageBreakBefore w:val="0"/>
        <w:wordWrap w:val="0"/>
        <w:overflowPunct/>
        <w:topLinePunct w:val="0"/>
        <w:bidi w:val="0"/>
        <w:spacing w:before="152" w:line="280" w:lineRule="auto"/>
        <w:ind w:left="8" w:right="105"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3.3.1  </w:t>
      </w:r>
      <w:r>
        <w:rPr>
          <w:rFonts w:hint="eastAsia" w:ascii="宋体" w:hAnsi="宋体" w:eastAsia="宋体" w:cs="宋体"/>
          <w:color w:val="000000" w:themeColor="text1"/>
          <w:spacing w:val="0"/>
          <w:sz w:val="24"/>
          <w:szCs w:val="24"/>
          <w:highlight w:val="none"/>
          <w14:textFill>
            <w14:solidFill>
              <w14:schemeClr w14:val="tx1"/>
            </w14:solidFill>
          </w14:textFill>
        </w:rPr>
        <w:t>投标人须缴纳金额为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70000.00</w:t>
      </w:r>
      <w:r>
        <w:rPr>
          <w:rFonts w:hint="eastAsia" w:ascii="宋体" w:hAnsi="宋体" w:eastAsia="宋体" w:cs="宋体"/>
          <w:color w:val="000000" w:themeColor="text1"/>
          <w:spacing w:val="0"/>
          <w:sz w:val="24"/>
          <w:szCs w:val="24"/>
          <w:highlight w:val="none"/>
          <w:u w:val="none"/>
          <w:lang w:val="en-US" w:eastAsia="zh-CN"/>
          <w14:textFill>
            <w14:solidFill>
              <w14:schemeClr w14:val="tx1"/>
            </w14:solidFill>
          </w14:textFill>
        </w:rPr>
        <w:t>元</w:t>
      </w:r>
      <w:r>
        <w:rPr>
          <w:rFonts w:hint="eastAsia" w:ascii="宋体" w:hAnsi="宋体" w:eastAsia="宋体" w:cs="宋体"/>
          <w:color w:val="000000" w:themeColor="text1"/>
          <w:spacing w:val="0"/>
          <w:sz w:val="24"/>
          <w:szCs w:val="24"/>
          <w:highlight w:val="none"/>
          <w14:textFill>
            <w14:solidFill>
              <w14:schemeClr w14:val="tx1"/>
            </w14:solidFill>
          </w14:textFill>
        </w:rPr>
        <w:t>人民币的投标保证。联合体投标的，由联合体牵头人缴纳。</w:t>
      </w:r>
    </w:p>
    <w:p w14:paraId="5595FFDA">
      <w:pPr>
        <w:keepNext w:val="0"/>
        <w:keepLines w:val="0"/>
        <w:pageBreakBefore w:val="0"/>
        <w:wordWrap w:val="0"/>
        <w:overflowPunct/>
        <w:topLinePunct w:val="0"/>
        <w:bidi w:val="0"/>
        <w:spacing w:before="35" w:line="325" w:lineRule="auto"/>
        <w:ind w:left="12" w:right="108" w:firstLine="47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3.3.2  </w:t>
      </w:r>
      <w:r>
        <w:rPr>
          <w:rFonts w:hint="eastAsia" w:ascii="宋体" w:hAnsi="宋体" w:eastAsia="宋体" w:cs="宋体"/>
          <w:color w:val="000000" w:themeColor="text1"/>
          <w:spacing w:val="0"/>
          <w:sz w:val="24"/>
          <w:szCs w:val="24"/>
          <w:highlight w:val="none"/>
          <w14:textFill>
            <w14:solidFill>
              <w14:schemeClr w14:val="tx1"/>
            </w14:solidFill>
          </w14:textFill>
        </w:rPr>
        <w:t>投标保证的形式包括投标保证金、投标保证担保、投标保证保险三种，由投标人自主选择。</w:t>
      </w:r>
    </w:p>
    <w:p w14:paraId="52BC198A">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0" w:name="bookmark117"/>
      <w:bookmarkEnd w:id="20"/>
      <w:r>
        <w:rPr>
          <w:rFonts w:hint="eastAsia" w:ascii="宋体" w:hAnsi="宋体" w:eastAsia="宋体" w:cs="宋体"/>
          <w:color w:val="000000" w:themeColor="text1"/>
          <w:spacing w:val="0"/>
          <w:sz w:val="24"/>
          <w:szCs w:val="24"/>
          <w:highlight w:val="none"/>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5AD570B6">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66604B82">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color w:val="000000" w:themeColor="text1"/>
          <w:spacing w:val="0"/>
          <w:sz w:val="24"/>
          <w:szCs w:val="24"/>
          <w:highlight w:val="none"/>
          <w14:textFill>
            <w14:solidFill>
              <w14:schemeClr w14:val="tx1"/>
            </w14:solidFill>
          </w14:textFill>
        </w:rPr>
        <w:instrText xml:space="preserve"> HYPERLINK "https://ygp.gdzwfw.gov.cn/ggzy-portal/#/440200/index" </w:instrTex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0"/>
          <w:sz w:val="24"/>
          <w:szCs w:val="24"/>
          <w:highlight w:val="none"/>
          <w14:textFill>
            <w14:solidFill>
              <w14:schemeClr w14:val="tx1"/>
            </w14:solidFill>
          </w14:textFill>
        </w:rPr>
        <w:t>https://ygp.gdzwfw.gov.cn/ggzy-portal/#/440200/index</w:t>
      </w:r>
      <w:r>
        <w:rPr>
          <w:rFonts w:hint="eastAsia" w:ascii="宋体" w:hAnsi="宋体" w:eastAsia="宋体" w:cs="宋体"/>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），在【服务指南】栏目中下载《建设工程网上交易系统保险保证金缴纳操作指南》，了解网上投保具体操作流程。逾期投保的，其投标无效。</w:t>
      </w:r>
    </w:p>
    <w:p w14:paraId="20834965">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1EC47989">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若投标人因自身原因未能正确完成获取招标文件、电子投标、缴纳投标保证的，其投标无效。</w:t>
      </w:r>
    </w:p>
    <w:p w14:paraId="385224D7">
      <w:pPr>
        <w:keepNext w:val="0"/>
        <w:keepLines w:val="0"/>
        <w:pageBreakBefore w:val="0"/>
        <w:wordWrap w:val="0"/>
        <w:overflowPunct/>
        <w:topLinePunct w:val="0"/>
        <w:bidi w:val="0"/>
        <w:spacing w:before="79" w:line="221"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 w:name="bookmark78"/>
      <w:bookmarkEnd w:id="21"/>
      <w:bookmarkStart w:id="22" w:name="bookmark64"/>
      <w:bookmarkEnd w:id="22"/>
      <w:bookmarkStart w:id="23" w:name="_Toc15498"/>
      <w:bookmarkStart w:id="24" w:name="_Toc5728"/>
      <w:r>
        <w:rPr>
          <w:rFonts w:hint="eastAsia" w:ascii="宋体" w:hAnsi="宋体" w:eastAsia="宋体" w:cs="宋体"/>
          <w:b/>
          <w:bCs/>
          <w:color w:val="000000" w:themeColor="text1"/>
          <w:spacing w:val="0"/>
          <w:sz w:val="24"/>
          <w:szCs w:val="24"/>
          <w:highlight w:val="none"/>
          <w14:textFill>
            <w14:solidFill>
              <w14:schemeClr w14:val="tx1"/>
            </w14:solidFill>
          </w14:textFill>
        </w:rPr>
        <w:t>4</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．工期要求</w:t>
      </w:r>
      <w:bookmarkEnd w:id="23"/>
      <w:bookmarkEnd w:id="24"/>
    </w:p>
    <w:p w14:paraId="10DC164E">
      <w:pPr>
        <w:keepNext w:val="0"/>
        <w:keepLines w:val="0"/>
        <w:pageBreakBefore w:val="0"/>
        <w:wordWrap w:val="0"/>
        <w:overflowPunct/>
        <w:topLinePunct w:val="0"/>
        <w:bidi w:val="0"/>
        <w:spacing w:before="153" w:line="324" w:lineRule="auto"/>
        <w:ind w:left="30" w:right="65" w:firstLine="4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本招标项目招标工期为</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60个日历天</w:t>
      </w:r>
      <w:r>
        <w:rPr>
          <w:rFonts w:hint="eastAsia" w:ascii="宋体" w:hAnsi="宋体" w:eastAsia="宋体" w:cs="宋体"/>
          <w:color w:val="000000" w:themeColor="text1"/>
          <w:spacing w:val="0"/>
          <w:sz w:val="24"/>
          <w:szCs w:val="24"/>
          <w:highlight w:val="none"/>
          <w14:textFill>
            <w14:solidFill>
              <w14:schemeClr w14:val="tx1"/>
            </w14:solidFill>
          </w14:textFill>
        </w:rPr>
        <w:t>，中标人必须在招标工期内完成招标范围内的全部内容。</w:t>
      </w:r>
    </w:p>
    <w:p w14:paraId="2574D13A">
      <w:pPr>
        <w:keepNext w:val="0"/>
        <w:keepLines w:val="0"/>
        <w:pageBreakBefore w:val="0"/>
        <w:wordWrap w:val="0"/>
        <w:overflowPunct/>
        <w:topLinePunct w:val="0"/>
        <w:bidi w:val="0"/>
        <w:spacing w:before="78" w:line="219"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5" w:name="_Toc4154"/>
      <w:bookmarkStart w:id="26" w:name="_Toc17663"/>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．质量标准和材料、机械要求</w:t>
      </w:r>
      <w:bookmarkEnd w:id="25"/>
      <w:bookmarkEnd w:id="26"/>
    </w:p>
    <w:p w14:paraId="2EE63B7A">
      <w:pPr>
        <w:keepNext w:val="0"/>
        <w:keepLines w:val="0"/>
        <w:pageBreakBefore w:val="0"/>
        <w:wordWrap w:val="0"/>
        <w:overflowPunct/>
        <w:topLinePunct w:val="0"/>
        <w:bidi w:val="0"/>
        <w:spacing w:before="154" w:line="360" w:lineRule="auto"/>
        <w:ind w:left="11" w:right="9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5.1  </w:t>
      </w:r>
      <w:r>
        <w:rPr>
          <w:rFonts w:hint="eastAsia" w:ascii="宋体" w:hAnsi="宋体" w:eastAsia="宋体" w:cs="宋体"/>
          <w:color w:val="000000" w:themeColor="text1"/>
          <w:spacing w:val="0"/>
          <w:sz w:val="24"/>
          <w:szCs w:val="24"/>
          <w:highlight w:val="none"/>
          <w14:textFill>
            <w14:solidFill>
              <w14:schemeClr w14:val="tx1"/>
            </w14:solidFill>
          </w14:textFill>
        </w:rPr>
        <w:t>施工工艺严格按照国家和广东省的有关现行施工技术规范及标准执行，工程质量标准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符合现行国家有关工程施工质量验收规范和标准的要求，达到验收合格标准</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50F785F">
      <w:pPr>
        <w:keepNext w:val="0"/>
        <w:keepLines w:val="0"/>
        <w:pageBreakBefore w:val="0"/>
        <w:wordWrap w:val="0"/>
        <w:overflowPunct/>
        <w:topLinePunct w:val="0"/>
        <w:bidi w:val="0"/>
        <w:spacing w:before="154" w:line="360" w:lineRule="auto"/>
        <w:ind w:left="10" w:right="99"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中标人在施工中如果工程质量不符合设计要求和有关规定，招标人或监理单位要求停工和返工的必须立即执行，并承担由此产生的各种费用，工期不予顺延。</w:t>
      </w:r>
    </w:p>
    <w:p w14:paraId="7AA414CC">
      <w:pPr>
        <w:keepNext w:val="0"/>
        <w:keepLines w:val="0"/>
        <w:pageBreakBefore w:val="0"/>
        <w:wordWrap w:val="0"/>
        <w:overflowPunct/>
        <w:topLinePunct w:val="0"/>
        <w:bidi w:val="0"/>
        <w:spacing w:before="152" w:line="360"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5.3  </w:t>
      </w:r>
      <w:r>
        <w:rPr>
          <w:rFonts w:hint="eastAsia" w:ascii="宋体" w:hAnsi="宋体" w:eastAsia="宋体" w:cs="宋体"/>
          <w:color w:val="000000" w:themeColor="text1"/>
          <w:spacing w:val="0"/>
          <w:sz w:val="24"/>
          <w:szCs w:val="24"/>
          <w:highlight w:val="none"/>
          <w14:textFill>
            <w14:solidFill>
              <w14:schemeClr w14:val="tx1"/>
            </w14:solidFill>
          </w14:textFill>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46FB79BE">
      <w:pPr>
        <w:keepNext w:val="0"/>
        <w:keepLines w:val="0"/>
        <w:pageBreakBefore w:val="0"/>
        <w:wordWrap w:val="0"/>
        <w:overflowPunct/>
        <w:topLinePunct w:val="0"/>
        <w:bidi w:val="0"/>
        <w:spacing w:before="152" w:line="360"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000000" w:themeColor="text1"/>
          <w:spacing w:val="0"/>
          <w:sz w:val="24"/>
          <w:szCs w:val="24"/>
          <w:highlight w:val="none"/>
          <w14:textFill>
            <w14:solidFill>
              <w14:schemeClr w14:val="tx1"/>
            </w14:solidFill>
          </w14:textFill>
        </w:rPr>
        <w:t>本招标项目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pacing w:val="0"/>
          <w:sz w:val="24"/>
          <w:szCs w:val="24"/>
          <w:highlight w:val="none"/>
          <w14:textFill>
            <w14:solidFill>
              <w14:schemeClr w14:val="tx1"/>
            </w14:solidFill>
          </w14:textFill>
        </w:rPr>
        <w:t>纳入绿色建设实施范围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96BED74">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5.5</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本招标项目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不</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纳入装配式建造建设实施范围。</w:t>
      </w:r>
    </w:p>
    <w:p w14:paraId="744CB0C9">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5.6</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则中标人必须使用合格材料或设备。</w:t>
      </w:r>
    </w:p>
    <w:p w14:paraId="10FFFDBC">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7</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54A8F521">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7" w:name="_Toc7763"/>
      <w:bookmarkStart w:id="28" w:name="_Toc2095"/>
      <w:r>
        <w:rPr>
          <w:rFonts w:hint="eastAsia" w:ascii="宋体" w:hAnsi="宋体" w:eastAsia="宋体" w:cs="宋体"/>
          <w:b/>
          <w:bCs/>
          <w:color w:val="000000" w:themeColor="text1"/>
          <w:spacing w:val="0"/>
          <w:sz w:val="24"/>
          <w:szCs w:val="24"/>
          <w:highlight w:val="none"/>
          <w14:textFill>
            <w14:solidFill>
              <w14:schemeClr w14:val="tx1"/>
            </w14:solidFill>
          </w14:textFill>
        </w:rPr>
        <w:t>6 ．施工条件及现场踏勘</w:t>
      </w:r>
      <w:bookmarkEnd w:id="27"/>
      <w:bookmarkEnd w:id="28"/>
    </w:p>
    <w:p w14:paraId="33B1E63A">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6.1  </w:t>
      </w:r>
      <w:r>
        <w:rPr>
          <w:rFonts w:hint="eastAsia" w:ascii="宋体" w:hAnsi="宋体" w:eastAsia="宋体" w:cs="宋体"/>
          <w:color w:val="000000" w:themeColor="text1"/>
          <w:spacing w:val="0"/>
          <w:sz w:val="24"/>
          <w:szCs w:val="24"/>
          <w:highlight w:val="none"/>
          <w14:textFill>
            <w14:solidFill>
              <w14:schemeClr w14:val="tx1"/>
            </w14:solidFill>
          </w14:textFill>
        </w:rPr>
        <w:t>招标人仅在本招标项目征地红线范围内提供场地，其他一切场地费用由中标人自行负责（含临时道路）。</w:t>
      </w:r>
    </w:p>
    <w:p w14:paraId="43C889C7">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bookmarkStart w:id="29" w:name="bookmark118"/>
      <w:bookmarkEnd w:id="29"/>
      <w:r>
        <w:rPr>
          <w:rFonts w:hint="eastAsia" w:ascii="宋体" w:hAnsi="宋体" w:eastAsia="宋体" w:cs="宋体"/>
          <w:b/>
          <w:bCs/>
          <w:color w:val="000000" w:themeColor="text1"/>
          <w:spacing w:val="0"/>
          <w:sz w:val="24"/>
          <w:szCs w:val="24"/>
          <w:highlight w:val="none"/>
          <w14:textFill>
            <w14:solidFill>
              <w14:schemeClr w14:val="tx1"/>
            </w14:solidFill>
          </w14:textFill>
        </w:rPr>
        <w:t>6.2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A5ED0F">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施工用电：</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由中标人自行解决，费用考虑在投标报价中</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117B1E2">
      <w:pPr>
        <w:keepNext w:val="0"/>
        <w:keepLines w:val="0"/>
        <w:pageBreakBefore w:val="0"/>
        <w:wordWrap w:val="0"/>
        <w:overflowPunct/>
        <w:topLinePunct w:val="0"/>
        <w:bidi w:val="0"/>
        <w:spacing w:before="155" w:line="360" w:lineRule="auto"/>
        <w:ind w:left="12" w:right="99"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6.4</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施工用水、用电各提供一驳接点到现场边缘。要求中标人单独安装水表、电表，其水、电费按项目所在地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仁化县</w:t>
      </w:r>
      <w:r>
        <w:rPr>
          <w:rFonts w:hint="eastAsia" w:ascii="宋体" w:hAnsi="宋体" w:eastAsia="宋体" w:cs="宋体"/>
          <w:color w:val="000000" w:themeColor="text1"/>
          <w:spacing w:val="0"/>
          <w:sz w:val="24"/>
          <w:szCs w:val="24"/>
          <w:highlight w:val="none"/>
          <w14:textFill>
            <w14:solidFill>
              <w14:schemeClr w14:val="tx1"/>
            </w14:solidFill>
          </w14:textFill>
        </w:rPr>
        <w:t>基建工程水、电计费标准计算并由中标人缴纳。</w:t>
      </w:r>
    </w:p>
    <w:p w14:paraId="7B035D82">
      <w:pPr>
        <w:keepNext w:val="0"/>
        <w:keepLines w:val="0"/>
        <w:pageBreakBefore w:val="0"/>
        <w:wordWrap w:val="0"/>
        <w:overflowPunct/>
        <w:topLinePunct w:val="0"/>
        <w:bidi w:val="0"/>
        <w:spacing w:before="154"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6.5  </w:t>
      </w:r>
      <w:r>
        <w:rPr>
          <w:rFonts w:hint="eastAsia" w:ascii="宋体" w:hAnsi="宋体" w:eastAsia="宋体" w:cs="宋体"/>
          <w:color w:val="000000" w:themeColor="text1"/>
          <w:spacing w:val="0"/>
          <w:sz w:val="24"/>
          <w:szCs w:val="24"/>
          <w:highlight w:val="none"/>
          <w14:textFill>
            <w14:solidFill>
              <w14:schemeClr w14:val="tx1"/>
            </w14:solidFill>
          </w14:textFill>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可自行进行现场踏勘。</w:t>
      </w:r>
    </w:p>
    <w:p w14:paraId="7738F7AC">
      <w:pPr>
        <w:keepNext w:val="0"/>
        <w:keepLines w:val="0"/>
        <w:pageBreakBefore w:val="0"/>
        <w:wordWrap w:val="0"/>
        <w:overflowPunct/>
        <w:topLinePunct w:val="0"/>
        <w:bidi w:val="0"/>
        <w:spacing w:before="153"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6.6  </w:t>
      </w:r>
      <w:r>
        <w:rPr>
          <w:rFonts w:hint="eastAsia" w:ascii="宋体" w:hAnsi="宋体" w:eastAsia="宋体" w:cs="宋体"/>
          <w:color w:val="000000" w:themeColor="text1"/>
          <w:spacing w:val="0"/>
          <w:sz w:val="24"/>
          <w:szCs w:val="24"/>
          <w:highlight w:val="none"/>
          <w14:textFill>
            <w14:solidFill>
              <w14:schemeClr w14:val="tx1"/>
            </w14:solidFill>
          </w14:textFill>
        </w:rPr>
        <w:t>在现场踏勘过程中，投标人应确保自身安全，投标人如果发生人身伤亡、财物或其他损失，法律法规有规定的按有关规定处理，没有规定的由投标人自行负责。</w:t>
      </w:r>
    </w:p>
    <w:p w14:paraId="7E2F99A6">
      <w:pPr>
        <w:keepNext w:val="0"/>
        <w:keepLines w:val="0"/>
        <w:pageBreakBefore w:val="0"/>
        <w:wordWrap w:val="0"/>
        <w:overflowPunct/>
        <w:topLinePunct w:val="0"/>
        <w:bidi w:val="0"/>
        <w:spacing w:before="153" w:line="360" w:lineRule="auto"/>
        <w:ind w:left="56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6.7  </w:t>
      </w:r>
      <w:r>
        <w:rPr>
          <w:rFonts w:hint="eastAsia" w:ascii="宋体" w:hAnsi="宋体" w:eastAsia="宋体" w:cs="宋体"/>
          <w:color w:val="000000" w:themeColor="text1"/>
          <w:spacing w:val="0"/>
          <w:sz w:val="24"/>
          <w:szCs w:val="24"/>
          <w:highlight w:val="none"/>
          <w14:textFill>
            <w14:solidFill>
              <w14:schemeClr w14:val="tx1"/>
            </w14:solidFill>
          </w14:textFill>
        </w:rPr>
        <w:t>现场踏勘期间的交通、食宿由投标人自行安排，费用自理。</w:t>
      </w:r>
    </w:p>
    <w:p w14:paraId="1757ED06">
      <w:pPr>
        <w:keepNext w:val="0"/>
        <w:keepLines w:val="0"/>
        <w:pageBreakBefore w:val="0"/>
        <w:wordWrap w:val="0"/>
        <w:overflowPunct/>
        <w:topLinePunct w:val="0"/>
        <w:bidi w:val="0"/>
        <w:spacing w:before="78" w:line="36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0" w:name="bookmark67"/>
      <w:bookmarkEnd w:id="30"/>
      <w:bookmarkStart w:id="31" w:name="bookmark81"/>
      <w:bookmarkEnd w:id="31"/>
      <w:bookmarkStart w:id="32" w:name="bookmark69"/>
      <w:bookmarkEnd w:id="32"/>
      <w:bookmarkStart w:id="33" w:name="_Toc15543"/>
      <w:bookmarkStart w:id="34" w:name="_Toc31147"/>
      <w:r>
        <w:rPr>
          <w:rFonts w:hint="eastAsia" w:ascii="宋体" w:hAnsi="宋体" w:eastAsia="宋体" w:cs="宋体"/>
          <w:b/>
          <w:bCs/>
          <w:color w:val="000000" w:themeColor="text1"/>
          <w:spacing w:val="0"/>
          <w:sz w:val="24"/>
          <w:szCs w:val="24"/>
          <w:highlight w:val="none"/>
          <w14:textFill>
            <w14:solidFill>
              <w14:schemeClr w14:val="tx1"/>
            </w14:solidFill>
          </w14:textFill>
        </w:rPr>
        <w:t>7 ．招标文件的提问和答疑</w:t>
      </w:r>
      <w:bookmarkEnd w:id="33"/>
      <w:bookmarkEnd w:id="34"/>
    </w:p>
    <w:p w14:paraId="58203EDA">
      <w:pPr>
        <w:keepNext w:val="0"/>
        <w:keepLines w:val="0"/>
        <w:pageBreakBefore w:val="0"/>
        <w:wordWrap w:val="0"/>
        <w:overflowPunct/>
        <w:topLinePunct w:val="0"/>
        <w:bidi w:val="0"/>
        <w:spacing w:before="153" w:line="360" w:lineRule="auto"/>
        <w:ind w:left="9" w:right="16"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7.1  </w:t>
      </w:r>
      <w:r>
        <w:rPr>
          <w:rFonts w:hint="eastAsia" w:ascii="宋体" w:hAnsi="宋体" w:eastAsia="宋体" w:cs="宋体"/>
          <w:color w:val="000000" w:themeColor="text1"/>
          <w:spacing w:val="0"/>
          <w:sz w:val="24"/>
          <w:szCs w:val="24"/>
          <w:highlight w:val="none"/>
          <w14:textFill>
            <w14:solidFill>
              <w14:schemeClr w14:val="tx1"/>
            </w14:solidFill>
          </w14:textFill>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79A8D99B">
      <w:pPr>
        <w:keepNext w:val="0"/>
        <w:keepLines w:val="0"/>
        <w:pageBreakBefore w:val="0"/>
        <w:wordWrap w:val="0"/>
        <w:overflowPunct/>
        <w:topLinePunct w:val="0"/>
        <w:bidi w:val="0"/>
        <w:spacing w:before="154" w:line="360" w:lineRule="auto"/>
        <w:ind w:left="9" w:right="16"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7.2  </w:t>
      </w:r>
      <w:r>
        <w:rPr>
          <w:rFonts w:hint="eastAsia" w:ascii="宋体" w:hAnsi="宋体" w:eastAsia="宋体" w:cs="宋体"/>
          <w:color w:val="000000" w:themeColor="text1"/>
          <w:spacing w:val="0"/>
          <w:sz w:val="24"/>
          <w:szCs w:val="24"/>
          <w:highlight w:val="none"/>
          <w14:textFill>
            <w14:solidFill>
              <w14:schemeClr w14:val="tx1"/>
            </w14:solidFill>
          </w14:textFill>
        </w:rPr>
        <w:t>招标人在提问截止时间（见本章第二节“重要事项时间地点一览表 ”）后 3 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46874AE">
      <w:pPr>
        <w:keepNext w:val="0"/>
        <w:keepLines w:val="0"/>
        <w:pageBreakBefore w:val="0"/>
        <w:wordWrap w:val="0"/>
        <w:overflowPunct/>
        <w:topLinePunct w:val="0"/>
        <w:bidi w:val="0"/>
        <w:spacing w:before="152" w:line="360" w:lineRule="auto"/>
        <w:ind w:firstLine="482" w:firstLineChars="20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7.3  </w:t>
      </w:r>
      <w:r>
        <w:rPr>
          <w:rFonts w:hint="eastAsia" w:ascii="宋体" w:hAnsi="宋体" w:eastAsia="宋体" w:cs="宋体"/>
          <w:color w:val="000000" w:themeColor="text1"/>
          <w:spacing w:val="0"/>
          <w:sz w:val="24"/>
          <w:szCs w:val="24"/>
          <w:highlight w:val="none"/>
          <w14:textFill>
            <w14:solidFill>
              <w14:schemeClr w14:val="tx1"/>
            </w14:solidFill>
          </w14:textFill>
        </w:rPr>
        <w:t>招标人对招标文件所作的答疑（或修改）公告，构成招标文件的组成部分。</w:t>
      </w:r>
    </w:p>
    <w:p w14:paraId="1850E2AC">
      <w:pPr>
        <w:keepNext w:val="0"/>
        <w:keepLines w:val="0"/>
        <w:pageBreakBefore w:val="0"/>
        <w:wordWrap w:val="0"/>
        <w:overflowPunct/>
        <w:topLinePunct w:val="0"/>
        <w:bidi w:val="0"/>
        <w:spacing w:before="79" w:line="36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5" w:name="_Toc6897"/>
      <w:bookmarkStart w:id="36" w:name="_Toc15237"/>
      <w:r>
        <w:rPr>
          <w:rFonts w:hint="eastAsia" w:ascii="宋体" w:hAnsi="宋体" w:eastAsia="宋体" w:cs="宋体"/>
          <w:b/>
          <w:bCs/>
          <w:color w:val="000000" w:themeColor="text1"/>
          <w:spacing w:val="0"/>
          <w:sz w:val="24"/>
          <w:szCs w:val="24"/>
          <w:highlight w:val="none"/>
          <w14:textFill>
            <w14:solidFill>
              <w14:schemeClr w14:val="tx1"/>
            </w14:solidFill>
          </w14:textFill>
        </w:rPr>
        <w:t>8 ．</w:t>
      </w:r>
      <w:bookmarkEnd w:id="35"/>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bookmarkEnd w:id="36"/>
    </w:p>
    <w:p w14:paraId="37FBB470">
      <w:pPr>
        <w:keepNext w:val="0"/>
        <w:keepLines w:val="0"/>
        <w:pageBreakBefore w:val="0"/>
        <w:wordWrap w:val="0"/>
        <w:overflowPunct/>
        <w:topLinePunct w:val="0"/>
        <w:bidi w:val="0"/>
        <w:spacing w:before="155" w:line="360"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8.1  </w:t>
      </w:r>
      <w:r>
        <w:rPr>
          <w:rFonts w:hint="eastAsia" w:ascii="宋体" w:hAnsi="宋体" w:eastAsia="宋体" w:cs="宋体"/>
          <w:color w:val="000000" w:themeColor="text1"/>
          <w:spacing w:val="0"/>
          <w:sz w:val="24"/>
          <w:szCs w:val="24"/>
          <w:highlight w:val="none"/>
          <w14:textFill>
            <w14:solidFill>
              <w14:schemeClr w14:val="tx1"/>
            </w14:solidFill>
          </w14:textFill>
        </w:rPr>
        <w:t>本招标项目按照以下依据编制</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070EE1C">
      <w:pPr>
        <w:keepNext w:val="0"/>
        <w:keepLines w:val="0"/>
        <w:pageBreakBefore w:val="0"/>
        <w:wordWrap w:val="0"/>
        <w:overflowPunct/>
        <w:topLinePunct w:val="0"/>
        <w:bidi w:val="0"/>
        <w:spacing w:before="157"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4A7247E5">
      <w:pPr>
        <w:keepNext w:val="0"/>
        <w:keepLines w:val="0"/>
        <w:pageBreakBefore w:val="0"/>
        <w:wordWrap w:val="0"/>
        <w:overflowPunct/>
        <w:topLinePunct w:val="0"/>
        <w:bidi w:val="0"/>
        <w:spacing w:before="153" w:line="360" w:lineRule="auto"/>
        <w:ind w:left="9" w:right="1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1DF117C">
      <w:pPr>
        <w:keepNext w:val="0"/>
        <w:keepLines w:val="0"/>
        <w:pageBreakBefore w:val="0"/>
        <w:wordWrap w:val="0"/>
        <w:overflowPunct/>
        <w:topLinePunct w:val="0"/>
        <w:bidi w:val="0"/>
        <w:spacing w:before="154"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（3）施工图及相关资料；</w:t>
      </w:r>
    </w:p>
    <w:p w14:paraId="2964A12F">
      <w:pPr>
        <w:keepNext w:val="0"/>
        <w:keepLines w:val="0"/>
        <w:pageBreakBefore w:val="0"/>
        <w:wordWrap w:val="0"/>
        <w:overflowPunct/>
        <w:topLinePunct w:val="0"/>
        <w:bidi w:val="0"/>
        <w:spacing w:before="78"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bookmarkStart w:id="37" w:name="bookmark119"/>
      <w:bookmarkEnd w:id="37"/>
      <w:r>
        <w:rPr>
          <w:rFonts w:hint="eastAsia" w:ascii="宋体" w:hAnsi="宋体" w:eastAsia="宋体" w:cs="宋体"/>
          <w:color w:val="000000" w:themeColor="text1"/>
          <w:spacing w:val="0"/>
          <w:sz w:val="24"/>
          <w:szCs w:val="24"/>
          <w:highlight w:val="none"/>
          <w14:textFill>
            <w14:solidFill>
              <w14:schemeClr w14:val="tx1"/>
            </w14:solidFill>
          </w14:textFill>
        </w:rPr>
        <w:t>（4）招标文件及招标工程量清单；</w:t>
      </w:r>
    </w:p>
    <w:p w14:paraId="76D0A57F">
      <w:pPr>
        <w:keepNext w:val="0"/>
        <w:keepLines w:val="0"/>
        <w:pageBreakBefore w:val="0"/>
        <w:wordWrap w:val="0"/>
        <w:overflowPunct/>
        <w:topLinePunct w:val="0"/>
        <w:bidi w:val="0"/>
        <w:spacing w:before="155"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（5）施工现场情况、工程特点及常规施工方案；</w:t>
      </w:r>
    </w:p>
    <w:p w14:paraId="504E4C98">
      <w:pPr>
        <w:keepNext w:val="0"/>
        <w:keepLines w:val="0"/>
        <w:pageBreakBefore w:val="0"/>
        <w:wordWrap w:val="0"/>
        <w:overflowPunct/>
        <w:topLinePunct w:val="0"/>
        <w:bidi w:val="0"/>
        <w:spacing w:before="153" w:line="360" w:lineRule="auto"/>
        <w:ind w:left="12" w:right="136"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（6）项目所在地工程造价管理机构发布的工程造价信息，工程造价信息缺项的，参照市场价格；</w:t>
      </w:r>
    </w:p>
    <w:p w14:paraId="6B6B220A">
      <w:pPr>
        <w:keepNext w:val="0"/>
        <w:keepLines w:val="0"/>
        <w:pageBreakBefore w:val="0"/>
        <w:wordWrap w:val="0"/>
        <w:overflowPunct/>
        <w:topLinePunct w:val="0"/>
        <w:bidi w:val="0"/>
        <w:spacing w:before="157" w:line="360" w:lineRule="auto"/>
        <w:ind w:left="5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（7）与建设项目相关的标准、规范、技术资料。</w:t>
      </w:r>
    </w:p>
    <w:p w14:paraId="5D519EB1">
      <w:pPr>
        <w:keepNext w:val="0"/>
        <w:keepLines w:val="0"/>
        <w:pageBreakBefore w:val="0"/>
        <w:wordWrap w:val="0"/>
        <w:overflowPunct/>
        <w:topLinePunct w:val="0"/>
        <w:bidi w:val="0"/>
        <w:spacing w:before="79" w:line="360" w:lineRule="auto"/>
        <w:ind w:left="11" w:firstLine="479"/>
        <w:jc w:val="both"/>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本招标项目的</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、工程量清单、</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施工图纸</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在投标截止时间15天前以补充公告的形式在广东省招标投标监管网（http://zbtb.gd.gov.cn）、全国公共资源交易平台（广东省·韶关市）（https://ygp.gdzwfw.gov.cn/ggzy-portal/#/440200/index）网站公布。</w:t>
      </w:r>
    </w:p>
    <w:p w14:paraId="458077E8">
      <w:pPr>
        <w:keepNext w:val="0"/>
        <w:keepLines w:val="0"/>
        <w:pageBreakBefore w:val="0"/>
        <w:wordWrap w:val="0"/>
        <w:overflowPunct/>
        <w:topLinePunct w:val="0"/>
        <w:bidi w:val="0"/>
        <w:spacing w:before="79" w:line="360" w:lineRule="auto"/>
        <w:ind w:left="11" w:firstLine="47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698FFA3">
      <w:pPr>
        <w:keepNext w:val="0"/>
        <w:keepLines w:val="0"/>
        <w:pageBreakBefore w:val="0"/>
        <w:wordWrap w:val="0"/>
        <w:overflowPunct/>
        <w:topLinePunct w:val="0"/>
        <w:bidi w:val="0"/>
        <w:spacing w:before="36" w:line="360" w:lineRule="auto"/>
        <w:ind w:left="10" w:right="200"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4</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本招标项目以暂估价形式列入招标工程量清单中的材料、工程设备、专业工程（以下统称“暂估价项目 ”）包括：</w:t>
      </w:r>
      <w:r>
        <w:rPr>
          <w:rFonts w:hint="eastAsia" w:ascii="宋体" w:hAnsi="宋体" w:eastAsia="宋体" w:cs="宋体"/>
          <w:color w:val="000000" w:themeColor="text1"/>
          <w:spacing w:val="0"/>
          <w:sz w:val="24"/>
          <w:szCs w:val="24"/>
          <w:highlight w:val="none"/>
          <w:u w:val="single"/>
          <w14:textFill>
            <w14:solidFill>
              <w14:schemeClr w14:val="tx1"/>
            </w14:solidFill>
          </w14:textFill>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27DBB8AB">
      <w:pPr>
        <w:keepNext w:val="0"/>
        <w:keepLines w:val="0"/>
        <w:pageBreakBefore w:val="0"/>
        <w:wordWrap w:val="0"/>
        <w:overflowPunct/>
        <w:topLinePunct w:val="0"/>
        <w:bidi w:val="0"/>
        <w:spacing w:before="154" w:line="360" w:lineRule="auto"/>
        <w:ind w:left="12" w:right="200"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5</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当暂估价项目的内容、标准、要求在项目实施过程中得以深化、明确、固定后，按以下原则发包：</w:t>
      </w:r>
    </w:p>
    <w:p w14:paraId="2E6E5889">
      <w:pPr>
        <w:keepNext w:val="0"/>
        <w:keepLines w:val="0"/>
        <w:pageBreakBefore w:val="0"/>
        <w:wordWrap w:val="0"/>
        <w:overflowPunct/>
        <w:topLinePunct w:val="0"/>
        <w:bidi w:val="0"/>
        <w:spacing w:before="153" w:line="360" w:lineRule="auto"/>
        <w:ind w:left="-3" w:leftChars="0"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（1）暂估价项目按工程、货物（指材料或工程设备，下同）的类别分类汇总的金额，达到必须招标规模标准的，由</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0"/>
          <w:sz w:val="24"/>
          <w:szCs w:val="24"/>
          <w:highlight w:val="none"/>
          <w:u w:val="single"/>
          <w14:textFill>
            <w14:solidFill>
              <w14:schemeClr w14:val="tx1"/>
            </w14:solidFill>
          </w14:textFill>
        </w:rPr>
        <w:t xml:space="preserve">中标人招标，招标人参与管理 </w:t>
      </w:r>
      <w:r>
        <w:rPr>
          <w:rFonts w:hint="eastAsia" w:ascii="宋体" w:hAnsi="宋体" w:eastAsia="宋体" w:cs="宋体"/>
          <w:bCs/>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确定专业工程承包人（或材料、工程 设备供应商）和合同价格。</w:t>
      </w:r>
    </w:p>
    <w:p w14:paraId="748F67E9">
      <w:pPr>
        <w:keepNext w:val="0"/>
        <w:keepLines w:val="0"/>
        <w:pageBreakBefore w:val="0"/>
        <w:wordWrap w:val="0"/>
        <w:overflowPunct/>
        <w:topLinePunct w:val="0"/>
        <w:bidi w:val="0"/>
        <w:spacing w:before="30" w:line="29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（2）暂估价项目按工程、货物的类别分类汇总的金额，未达到必须招标规模标准但适用政府采购规定的，按照政府采购规定确定专业工程承包人（或材料、工程设备供应商）和合同价格。</w:t>
      </w:r>
    </w:p>
    <w:p w14:paraId="6736DF1E">
      <w:pPr>
        <w:keepNext w:val="0"/>
        <w:keepLines w:val="0"/>
        <w:pageBreakBefore w:val="0"/>
        <w:wordWrap w:val="0"/>
        <w:overflowPunct/>
        <w:topLinePunct w:val="0"/>
        <w:bidi w:val="0"/>
        <w:spacing w:before="154" w:line="30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EC26BD9">
      <w:pPr>
        <w:keepNext w:val="0"/>
        <w:keepLines w:val="0"/>
        <w:pageBreakBefore w:val="0"/>
        <w:wordWrap w:val="0"/>
        <w:overflowPunct/>
        <w:topLinePunct w:val="0"/>
        <w:bidi w:val="0"/>
        <w:spacing w:before="154" w:line="299" w:lineRule="auto"/>
        <w:ind w:left="11" w:right="65"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（4）暂估价项目按工程、货物的类别分类汇总的金额，未达到必须招标规模标准也不适用政府采购规定，中标人既不具备相应资格条件又不具备分包权的，由招标人另行发包。</w:t>
      </w:r>
    </w:p>
    <w:p w14:paraId="51638999">
      <w:pPr>
        <w:keepNext w:val="0"/>
        <w:keepLines w:val="0"/>
        <w:pageBreakBefore w:val="0"/>
        <w:wordWrap w:val="0"/>
        <w:overflowPunct/>
        <w:topLinePunct w:val="0"/>
        <w:bidi w:val="0"/>
        <w:spacing w:before="155" w:line="279" w:lineRule="auto"/>
        <w:ind w:left="9" w:right="66"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（5）暂估价项目由其他承包人承包的，纳入中标人的管理和协调范围，由其他承包人向中标人承担质量、安全、文明施工、工期责任，中标人向招标人承担责任。</w:t>
      </w:r>
    </w:p>
    <w:p w14:paraId="06A8222B">
      <w:pPr>
        <w:keepNext w:val="0"/>
        <w:keepLines w:val="0"/>
        <w:pageBreakBefore w:val="0"/>
        <w:wordWrap w:val="0"/>
        <w:overflowPunct/>
        <w:topLinePunct w:val="0"/>
        <w:bidi w:val="0"/>
        <w:spacing w:before="155" w:line="333" w:lineRule="auto"/>
        <w:ind w:left="10" w:right="65" w:firstLine="478"/>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8</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8.5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条的规定确定货物（或服务）供应商和合同价格。暂列金额项目由其他承包人承包的，纳入中标人的管理和协调范围</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由其他承包人向中标人承担质量、安全、文明施工、工期责任，中标人向招标人承担责任。</w:t>
      </w:r>
    </w:p>
    <w:p w14:paraId="44041CF4">
      <w:pPr>
        <w:keepNext w:val="0"/>
        <w:keepLines w:val="0"/>
        <w:pageBreakBefore w:val="0"/>
        <w:wordWrap w:val="0"/>
        <w:overflowPunct/>
        <w:topLinePunct w:val="0"/>
        <w:bidi w:val="0"/>
        <w:spacing w:before="79" w:line="219" w:lineRule="auto"/>
        <w:ind w:left="48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38" w:name="_Toc22978"/>
      <w:bookmarkStart w:id="39" w:name="_Toc7353"/>
      <w:r>
        <w:rPr>
          <w:rFonts w:hint="eastAsia" w:ascii="宋体" w:hAnsi="宋体" w:eastAsia="宋体" w:cs="宋体"/>
          <w:b/>
          <w:bCs/>
          <w:color w:val="000000" w:themeColor="text1"/>
          <w:spacing w:val="0"/>
          <w:sz w:val="24"/>
          <w:szCs w:val="24"/>
          <w:highlight w:val="none"/>
          <w14:textFill>
            <w14:solidFill>
              <w14:schemeClr w14:val="tx1"/>
            </w14:solidFill>
          </w14:textFill>
        </w:rPr>
        <w:t>9 ．投标报价</w:t>
      </w:r>
      <w:bookmarkEnd w:id="38"/>
      <w:bookmarkEnd w:id="39"/>
    </w:p>
    <w:p w14:paraId="0ED2EF22">
      <w:pPr>
        <w:keepNext w:val="0"/>
        <w:keepLines w:val="0"/>
        <w:pageBreakBefore w:val="0"/>
        <w:wordWrap w:val="0"/>
        <w:overflowPunct/>
        <w:topLinePunct w:val="0"/>
        <w:bidi w:val="0"/>
        <w:spacing w:before="157" w:line="219"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9.1  </w:t>
      </w:r>
      <w:r>
        <w:rPr>
          <w:rFonts w:hint="eastAsia" w:ascii="宋体" w:hAnsi="宋体" w:eastAsia="宋体" w:cs="宋体"/>
          <w:color w:val="000000" w:themeColor="text1"/>
          <w:spacing w:val="0"/>
          <w:sz w:val="24"/>
          <w:szCs w:val="24"/>
          <w:highlight w:val="none"/>
          <w14:textFill>
            <w14:solidFill>
              <w14:schemeClr w14:val="tx1"/>
            </w14:solidFill>
          </w14:textFill>
        </w:rPr>
        <w:t>投标人应按照以下依据编制投标报价：</w:t>
      </w:r>
    </w:p>
    <w:p w14:paraId="5DFFCF42">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C5DC104">
      <w:pPr>
        <w:keepNext w:val="0"/>
        <w:keepLines w:val="0"/>
        <w:pageBreakBefore w:val="0"/>
        <w:wordWrap w:val="0"/>
        <w:overflowPunct/>
        <w:topLinePunct w:val="0"/>
        <w:bidi w:val="0"/>
        <w:spacing w:before="153" w:line="309" w:lineRule="auto"/>
        <w:ind w:left="9" w:right="65"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6A82739">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bookmarkStart w:id="40" w:name="bookmark120"/>
      <w:bookmarkEnd w:id="40"/>
      <w:r>
        <w:rPr>
          <w:rFonts w:hint="eastAsia" w:ascii="宋体" w:hAnsi="宋体" w:eastAsia="宋体" w:cs="宋体"/>
          <w:color w:val="000000" w:themeColor="text1"/>
          <w:spacing w:val="0"/>
          <w:sz w:val="24"/>
          <w:szCs w:val="24"/>
          <w:highlight w:val="none"/>
          <w14:textFill>
            <w14:solidFill>
              <w14:schemeClr w14:val="tx1"/>
            </w14:solidFill>
          </w14:textFill>
        </w:rPr>
        <w:t>（3）企业定额；</w:t>
      </w:r>
    </w:p>
    <w:p w14:paraId="21D7AB3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（4）招标文件及其答疑（或修改）公告、招标工程量清单；</w:t>
      </w:r>
    </w:p>
    <w:p w14:paraId="6C148BBB">
      <w:pPr>
        <w:keepNext w:val="0"/>
        <w:keepLines w:val="0"/>
        <w:pageBreakBefore w:val="0"/>
        <w:wordWrap w:val="0"/>
        <w:overflowPunct/>
        <w:topLinePunct w:val="0"/>
        <w:bidi w:val="0"/>
        <w:spacing w:before="154"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（5）施工图及相关资料；</w:t>
      </w:r>
    </w:p>
    <w:p w14:paraId="05C84BB3">
      <w:pPr>
        <w:keepNext w:val="0"/>
        <w:keepLines w:val="0"/>
        <w:pageBreakBefore w:val="0"/>
        <w:wordWrap w:val="0"/>
        <w:overflowPunct/>
        <w:topLinePunct w:val="0"/>
        <w:bidi w:val="0"/>
        <w:spacing w:before="152"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（6）施工现场情况、工程特点及投标时拟定的施工组织设计或施工方案；</w:t>
      </w:r>
    </w:p>
    <w:p w14:paraId="42F852A9">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（7）市场价格信息或项目所在地工程造价管理机构发布的工程造价信息；</w:t>
      </w:r>
    </w:p>
    <w:p w14:paraId="42E67E93">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（8）与建设项目相关的标准、规范、技术资料。</w:t>
      </w:r>
    </w:p>
    <w:p w14:paraId="655BD8EA">
      <w:pPr>
        <w:keepNext w:val="0"/>
        <w:keepLines w:val="0"/>
        <w:pageBreakBefore w:val="0"/>
        <w:wordWrap w:val="0"/>
        <w:overflowPunct/>
        <w:topLinePunct w:val="0"/>
        <w:bidi w:val="0"/>
        <w:spacing w:before="153" w:line="309" w:lineRule="auto"/>
        <w:ind w:left="8" w:right="150" w:firstLine="5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9.2  </w:t>
      </w:r>
      <w:r>
        <w:rPr>
          <w:rFonts w:hint="eastAsia" w:ascii="宋体" w:hAnsi="宋体" w:eastAsia="宋体" w:cs="宋体"/>
          <w:color w:val="000000" w:themeColor="text1"/>
          <w:spacing w:val="0"/>
          <w:sz w:val="24"/>
          <w:szCs w:val="24"/>
          <w:highlight w:val="none"/>
          <w14:textFill>
            <w14:solidFill>
              <w14:schemeClr w14:val="tx1"/>
            </w14:solidFill>
          </w14:textFill>
        </w:rPr>
        <w:t>投标人应根据招标工程量清单、工程量清单计价</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标准</w:t>
      </w:r>
      <w:r>
        <w:rPr>
          <w:rFonts w:hint="eastAsia" w:ascii="宋体" w:hAnsi="宋体" w:eastAsia="宋体" w:cs="宋体"/>
          <w:color w:val="000000" w:themeColor="text1"/>
          <w:spacing w:val="0"/>
          <w:sz w:val="24"/>
          <w:szCs w:val="24"/>
          <w:highlight w:val="none"/>
          <w14:textFill>
            <w14:solidFill>
              <w14:schemeClr w14:val="tx1"/>
            </w14:solidFill>
          </w14:textFill>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7D8B28AF">
      <w:pPr>
        <w:keepNext w:val="0"/>
        <w:keepLines w:val="0"/>
        <w:pageBreakBefore w:val="0"/>
        <w:wordWrap w:val="0"/>
        <w:overflowPunct/>
        <w:topLinePunct w:val="0"/>
        <w:bidi w:val="0"/>
        <w:spacing w:before="152" w:line="309"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9.3  </w:t>
      </w:r>
      <w:r>
        <w:rPr>
          <w:rFonts w:hint="eastAsia" w:ascii="宋体" w:hAnsi="宋体" w:eastAsia="宋体" w:cs="宋体"/>
          <w:color w:val="000000" w:themeColor="text1"/>
          <w:spacing w:val="0"/>
          <w:sz w:val="24"/>
          <w:szCs w:val="24"/>
          <w:highlight w:val="none"/>
          <w14:textFill>
            <w14:solidFill>
              <w14:schemeClr w14:val="tx1"/>
            </w14:solidFill>
          </w14:textFill>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7BD0F3F4">
      <w:pPr>
        <w:keepNext w:val="0"/>
        <w:keepLines w:val="0"/>
        <w:pageBreakBefore w:val="0"/>
        <w:wordWrap w:val="0"/>
        <w:overflowPunct/>
        <w:topLinePunct w:val="0"/>
        <w:bidi w:val="0"/>
        <w:spacing w:before="155" w:line="279" w:lineRule="auto"/>
        <w:ind w:left="10" w:right="150"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9.4  </w:t>
      </w:r>
      <w:r>
        <w:rPr>
          <w:rFonts w:hint="eastAsia" w:ascii="宋体" w:hAnsi="宋体" w:eastAsia="宋体" w:cs="宋体"/>
          <w:color w:val="000000" w:themeColor="text1"/>
          <w:spacing w:val="0"/>
          <w:sz w:val="24"/>
          <w:szCs w:val="24"/>
          <w:highlight w:val="none"/>
          <w14:textFill>
            <w14:solidFill>
              <w14:schemeClr w14:val="tx1"/>
            </w14:solidFill>
          </w14:textFill>
        </w:rPr>
        <w:t>招标人向投标人提供的有关现场的数据和资料，是招标人现有的能被投标人利用的资料，招标人对投标人做出的任何推论、理解和结论均不负责任。</w:t>
      </w:r>
    </w:p>
    <w:p w14:paraId="18DC3EDD">
      <w:pPr>
        <w:keepNext w:val="0"/>
        <w:keepLines w:val="0"/>
        <w:pageBreakBefore w:val="0"/>
        <w:wordWrap w:val="0"/>
        <w:overflowPunct/>
        <w:topLinePunct w:val="0"/>
        <w:bidi w:val="0"/>
        <w:spacing w:before="154" w:line="299" w:lineRule="auto"/>
        <w:ind w:left="12" w:firstLine="55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9.5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投标人必须按照招标工程量清单及表格填报价格。项目编码、项目名称、项目特征、计量单位、工程量必须与招标工程量清单一致。所有报价均以人民币“元 ”为单位，并保留小数点后两位。</w:t>
      </w:r>
    </w:p>
    <w:p w14:paraId="2DEC74A0">
      <w:pPr>
        <w:keepNext w:val="0"/>
        <w:keepLines w:val="0"/>
        <w:pageBreakBefore w:val="0"/>
        <w:wordWrap w:val="0"/>
        <w:overflowPunct/>
        <w:topLinePunct w:val="0"/>
        <w:bidi w:val="0"/>
        <w:spacing w:before="158" w:line="314" w:lineRule="auto"/>
        <w:ind w:left="9" w:right="150" w:firstLine="55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9.6  </w:t>
      </w:r>
      <w:r>
        <w:rPr>
          <w:rFonts w:hint="eastAsia" w:ascii="宋体" w:hAnsi="宋体" w:eastAsia="宋体" w:cs="宋体"/>
          <w:color w:val="000000" w:themeColor="text1"/>
          <w:spacing w:val="0"/>
          <w:sz w:val="24"/>
          <w:szCs w:val="24"/>
          <w:highlight w:val="none"/>
          <w14:textFill>
            <w14:solidFill>
              <w14:schemeClr w14:val="tx1"/>
            </w14:solidFill>
          </w14:textFill>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40CE886C">
      <w:pPr>
        <w:keepNext w:val="0"/>
        <w:keepLines w:val="0"/>
        <w:pageBreakBefore w:val="0"/>
        <w:wordWrap w:val="0"/>
        <w:overflowPunct/>
        <w:topLinePunct w:val="0"/>
        <w:bidi w:val="0"/>
        <w:spacing w:before="152" w:line="309" w:lineRule="auto"/>
        <w:ind w:left="7" w:right="120" w:firstLine="48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9.7  </w:t>
      </w:r>
      <w:r>
        <w:rPr>
          <w:rFonts w:hint="eastAsia" w:ascii="宋体" w:hAnsi="宋体" w:eastAsia="宋体" w:cs="宋体"/>
          <w:color w:val="000000" w:themeColor="text1"/>
          <w:spacing w:val="0"/>
          <w:sz w:val="24"/>
          <w:szCs w:val="24"/>
          <w:highlight w:val="none"/>
          <w14:textFill>
            <w14:solidFill>
              <w14:schemeClr w14:val="tx1"/>
            </w14:solidFill>
          </w14:textFill>
        </w:rPr>
        <w:t>投标人的投标总价不得高于</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，也不得低于工程成本。投标人对投标总价的所有优惠（降价、让利等），均应当反映在具体清单项目或其综合单价的报价上。</w:t>
      </w:r>
      <w:r>
        <w:rPr>
          <w:rFonts w:hint="eastAsia" w:ascii="宋体" w:hAnsi="宋体" w:eastAsia="宋体" w:cs="宋体"/>
          <w:b/>
          <w:bCs/>
          <w:color w:val="000000" w:themeColor="text1"/>
          <w:spacing w:val="0"/>
          <w:sz w:val="24"/>
          <w:szCs w:val="24"/>
          <w:highlight w:val="none"/>
          <w14:textFill>
            <w14:solidFill>
              <w14:schemeClr w14:val="tx1"/>
            </w14:solidFill>
          </w14:textFill>
        </w:rPr>
        <w:t>如果投标人的投标总价下浮率高于</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15%时，投标人必须在投标文件中专项作出详细合理的书面说明并提供以往类似工程详细成本分析报告供评标委员会审查。</w:t>
      </w:r>
    </w:p>
    <w:p w14:paraId="2EE97EFC">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投标总价下浮率=（1-投标总价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100%</w:t>
      </w:r>
    </w:p>
    <w:p w14:paraId="0A848A62">
      <w:pPr>
        <w:keepNext w:val="0"/>
        <w:keepLines w:val="0"/>
        <w:pageBreakBefore w:val="0"/>
        <w:wordWrap w:val="0"/>
        <w:overflowPunct/>
        <w:topLinePunct w:val="0"/>
        <w:bidi w:val="0"/>
        <w:spacing w:before="146" w:line="325" w:lineRule="auto"/>
        <w:ind w:left="29" w:right="153" w:firstLine="458"/>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9.8  </w:t>
      </w:r>
      <w:r>
        <w:rPr>
          <w:rFonts w:hint="eastAsia" w:ascii="宋体" w:hAnsi="宋体" w:eastAsia="宋体" w:cs="宋体"/>
          <w:color w:val="000000" w:themeColor="text1"/>
          <w:spacing w:val="0"/>
          <w:sz w:val="24"/>
          <w:szCs w:val="24"/>
          <w:highlight w:val="none"/>
          <w14:textFill>
            <w14:solidFill>
              <w14:schemeClr w14:val="tx1"/>
            </w14:solidFill>
          </w14:textFill>
        </w:rPr>
        <w:t>投标人的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报价必须达到或超过</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中提供的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6AD78D0">
      <w:pPr>
        <w:keepNext w:val="0"/>
        <w:keepLines w:val="0"/>
        <w:pageBreakBefore w:val="0"/>
        <w:wordWrap w:val="0"/>
        <w:overflowPunct/>
        <w:topLinePunct w:val="0"/>
        <w:bidi w:val="0"/>
        <w:spacing w:before="78" w:line="309" w:lineRule="auto"/>
        <w:ind w:right="99"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9.9  </w:t>
      </w:r>
      <w:r>
        <w:rPr>
          <w:rFonts w:hint="eastAsia" w:ascii="宋体" w:hAnsi="宋体" w:eastAsia="宋体" w:cs="宋体"/>
          <w:color w:val="000000" w:themeColor="text1"/>
          <w:spacing w:val="0"/>
          <w:sz w:val="24"/>
          <w:szCs w:val="24"/>
          <w:highlight w:val="none"/>
          <w14:textFill>
            <w14:solidFill>
              <w14:schemeClr w14:val="tx1"/>
            </w14:solidFill>
          </w14:textFill>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31555D04">
      <w:pPr>
        <w:pStyle w:val="5"/>
        <w:keepNext w:val="0"/>
        <w:keepLines w:val="0"/>
        <w:pageBreakBefore w:val="0"/>
        <w:widowControl/>
        <w:kinsoku w:val="0"/>
        <w:wordWrap w:val="0"/>
        <w:overflowPunct/>
        <w:topLinePunct w:val="0"/>
        <w:autoSpaceDE w:val="0"/>
        <w:autoSpaceDN w:val="0"/>
        <w:bidi w:val="0"/>
        <w:adjustRightInd w:val="0"/>
        <w:snapToGrid w:val="0"/>
        <w:spacing w:line="310" w:lineRule="auto"/>
        <w:ind w:firstLine="422" w:firstLineChars="200"/>
        <w:textAlignment w:val="baseline"/>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pPr>
      <w:r>
        <w:rPr>
          <w:rFonts w:hint="eastAsia" w:ascii="宋体" w:hAnsi="宋体" w:eastAsia="宋体" w:cs="宋体"/>
          <w:b/>
          <w:bCs/>
          <w:color w:val="000000" w:themeColor="text1"/>
          <w:spacing w:val="0"/>
          <w:highlight w:val="none"/>
          <w14:textFill>
            <w14:solidFill>
              <w14:schemeClr w14:val="tx1"/>
            </w14:solidFill>
          </w14:textFill>
        </w:rPr>
        <w:t xml:space="preserve">9.10 </w:t>
      </w:r>
      <w:r>
        <w:rPr>
          <w:rFonts w:hint="eastAsia" w:ascii="宋体" w:hAnsi="宋体" w:eastAsia="宋体" w:cs="宋体"/>
          <w:snapToGrid w:val="0"/>
          <w:color w:val="000000" w:themeColor="text1"/>
          <w:spacing w:val="0"/>
          <w:sz w:val="24"/>
          <w:szCs w:val="24"/>
          <w:highlight w:val="none"/>
          <w:lang w:val="en-US" w:eastAsia="en-US" w:bidi="ar-SA"/>
          <w14:textFill>
            <w14:solidFill>
              <w14:schemeClr w14:val="tx1"/>
            </w14:solidFill>
          </w14:textFill>
        </w:rPr>
        <w:t>预算包干费预算审核时，不计取该项费用；结算审核时，按实结算。</w:t>
      </w:r>
    </w:p>
    <w:p w14:paraId="02BC6D0D">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41" w:name="_Toc16322"/>
      <w:bookmarkStart w:id="42" w:name="_Toc1984"/>
      <w:r>
        <w:rPr>
          <w:rFonts w:hint="eastAsia" w:ascii="宋体" w:hAnsi="宋体" w:eastAsia="宋体" w:cs="宋体"/>
          <w:b/>
          <w:bCs/>
          <w:color w:val="000000" w:themeColor="text1"/>
          <w:spacing w:val="0"/>
          <w:sz w:val="24"/>
          <w:szCs w:val="24"/>
          <w:highlight w:val="none"/>
          <w14:textFill>
            <w14:solidFill>
              <w14:schemeClr w14:val="tx1"/>
            </w14:solidFill>
          </w14:textFill>
        </w:rPr>
        <w:t>10 ．投标文件的编制要求</w:t>
      </w:r>
      <w:bookmarkEnd w:id="41"/>
      <w:bookmarkEnd w:id="42"/>
    </w:p>
    <w:p w14:paraId="1ADA1598">
      <w:pPr>
        <w:keepNext w:val="0"/>
        <w:keepLines w:val="0"/>
        <w:pageBreakBefore w:val="0"/>
        <w:wordWrap w:val="0"/>
        <w:overflowPunct/>
        <w:topLinePunct w:val="0"/>
        <w:bidi w:val="0"/>
        <w:spacing w:before="152" w:line="360" w:lineRule="auto"/>
        <w:ind w:left="496"/>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43" w:name="_Toc20590"/>
      <w:bookmarkStart w:id="44" w:name="_Toc22937"/>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  </w:t>
      </w:r>
      <w:r>
        <w:rPr>
          <w:rFonts w:hint="eastAsia" w:ascii="宋体" w:hAnsi="宋体" w:eastAsia="宋体" w:cs="宋体"/>
          <w:color w:val="000000" w:themeColor="text1"/>
          <w:spacing w:val="0"/>
          <w:sz w:val="24"/>
          <w:szCs w:val="24"/>
          <w:highlight w:val="none"/>
          <w14:textFill>
            <w14:solidFill>
              <w14:schemeClr w14:val="tx1"/>
            </w14:solidFill>
          </w14:textFill>
        </w:rPr>
        <w:t>一般要求</w:t>
      </w:r>
      <w:bookmarkEnd w:id="43"/>
      <w:bookmarkEnd w:id="44"/>
    </w:p>
    <w:p w14:paraId="3BA09E0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投标文件应按第六章投标文件格式规定的内容，投标人提交的投标文件应当使用招标文件所提供的投标文件全部格式。</w:t>
      </w:r>
    </w:p>
    <w:p w14:paraId="64F68F5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10.1.1  </w:t>
      </w:r>
      <w:r>
        <w:rPr>
          <w:rFonts w:hint="eastAsia" w:ascii="宋体" w:hAnsi="宋体" w:eastAsia="宋体" w:cs="宋体"/>
          <w:color w:val="000000" w:themeColor="text1"/>
          <w:spacing w:val="0"/>
          <w:sz w:val="24"/>
          <w:szCs w:val="24"/>
          <w:highlight w:val="none"/>
          <w14:textFill>
            <w14:solidFill>
              <w14:schemeClr w14:val="tx1"/>
            </w14:solidFill>
          </w14:textFill>
        </w:rPr>
        <w:t>投标人必须响应招标文件，并在充分理解招标人提供的全部文件、设计图纸、资料及现场条件的基础上编制投标文件。因投标文件不符合招标文件的要求而造成的损失和后果，由投标人自行承担。</w:t>
      </w:r>
    </w:p>
    <w:p w14:paraId="51122B5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10.1.2  </w:t>
      </w:r>
      <w:r>
        <w:rPr>
          <w:rFonts w:hint="eastAsia" w:ascii="宋体" w:hAnsi="宋体" w:eastAsia="宋体" w:cs="宋体"/>
          <w:color w:val="000000" w:themeColor="text1"/>
          <w:spacing w:val="0"/>
          <w:sz w:val="24"/>
          <w:szCs w:val="24"/>
          <w:highlight w:val="none"/>
          <w14:textFill>
            <w14:solidFill>
              <w14:schemeClr w14:val="tx1"/>
            </w14:solidFill>
          </w14:textFill>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·韶关市）交易指引。</w:t>
      </w:r>
    </w:p>
    <w:p w14:paraId="1C1308E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  </w:t>
      </w:r>
      <w:r>
        <w:rPr>
          <w:rFonts w:hint="eastAsia" w:ascii="宋体" w:hAnsi="宋体" w:eastAsia="宋体" w:cs="宋体"/>
          <w:color w:val="000000" w:themeColor="text1"/>
          <w:spacing w:val="0"/>
          <w:sz w:val="24"/>
          <w:szCs w:val="24"/>
          <w:highlight w:val="none"/>
          <w14:textFill>
            <w14:solidFill>
              <w14:schemeClr w14:val="tx1"/>
            </w14:solidFill>
          </w14:textFill>
        </w:rPr>
        <w:t>投标文件需按以下要求签字、盖章：电子投标文件：</w:t>
      </w:r>
    </w:p>
    <w:p w14:paraId="75FDA07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投标文件封面、组成内容中凡注明“签字 ”处由要求的人员签字或电子签章；凡注明“签字或盖章 ”处由要求的人员签字或盖其私章（电子印章）；凡注明 “签字并盖执业印章 ”处由要求的人员签字并盖其执业印章。</w:t>
      </w:r>
    </w:p>
    <w:p w14:paraId="6358B79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投标文件封套、封面、组成内容中凡要求录入投标人名称且注明“盖单位章 ”处盖单位法人公章（电子印章）。</w:t>
      </w:r>
    </w:p>
    <w:p w14:paraId="3F70DCC9">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"10.1.3.3"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10.1.3.3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投标文件的签字均为签字人本人亲笔署名或签章（电子印章），其余部分的复印件无须另行签字、盖章。</w:t>
      </w:r>
    </w:p>
    <w:p w14:paraId="2DA037BE">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2" w:firstLineChars="200"/>
        <w:textAlignment w:val="baseline"/>
        <w:outlineLvl w:val="9"/>
        <w:rPr>
          <w:rFonts w:hint="eastAsia" w:ascii="宋体" w:hAnsi="宋体" w:eastAsia="宋体" w:cs="宋体"/>
          <w:b w:val="0"/>
          <w:bCs w:val="0"/>
          <w:color w:val="000000" w:themeColor="text1"/>
          <w:spacing w:val="0"/>
          <w:sz w:val="24"/>
          <w:szCs w:val="24"/>
          <w:highlight w:val="none"/>
          <w14:textFill>
            <w14:solidFill>
              <w14:schemeClr w14:val="tx1"/>
            </w14:solidFill>
          </w14:textFill>
        </w:rPr>
      </w:pPr>
      <w:bookmarkStart w:id="45" w:name="_Toc20223"/>
      <w:bookmarkStart w:id="46" w:name="_Toc21271"/>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10.1.3.4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联合体投标的，除《联合体协议书》外，由联合体牵头人按以上要求签亲笔署名或签章（电子印章）即可。</w:t>
      </w:r>
    </w:p>
    <w:p w14:paraId="0C858C64">
      <w:pPr>
        <w:keepNext w:val="0"/>
        <w:keepLines w:val="0"/>
        <w:pageBreakBefore w:val="0"/>
        <w:wordWrap w:val="0"/>
        <w:overflowPunct/>
        <w:topLinePunct w:val="0"/>
        <w:bidi w:val="0"/>
        <w:spacing w:before="155" w:line="219" w:lineRule="auto"/>
        <w:ind w:left="500"/>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  </w:t>
      </w:r>
      <w:r>
        <w:rPr>
          <w:rFonts w:hint="eastAsia" w:ascii="宋体" w:hAnsi="宋体" w:eastAsia="宋体" w:cs="宋体"/>
          <w:color w:val="000000" w:themeColor="text1"/>
          <w:spacing w:val="0"/>
          <w:sz w:val="24"/>
          <w:szCs w:val="24"/>
          <w:highlight w:val="none"/>
          <w14:textFill>
            <w14:solidFill>
              <w14:schemeClr w14:val="tx1"/>
            </w14:solidFill>
          </w14:textFill>
        </w:rPr>
        <w:t>商务标书的编制要求</w:t>
      </w:r>
      <w:bookmarkEnd w:id="45"/>
      <w:bookmarkEnd w:id="46"/>
    </w:p>
    <w:p w14:paraId="0C2AF9BC">
      <w:pPr>
        <w:keepNext w:val="0"/>
        <w:keepLines w:val="0"/>
        <w:pageBreakBefore w:val="0"/>
        <w:wordWrap w:val="0"/>
        <w:overflowPunct/>
        <w:topLinePunct w:val="0"/>
        <w:bidi w:val="0"/>
        <w:spacing w:before="157" w:line="219" w:lineRule="auto"/>
        <w:ind w:left="5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商务标书包括但不限于以下内容：</w:t>
      </w:r>
    </w:p>
    <w:p w14:paraId="352E57AE">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76EADC31">
      <w:pPr>
        <w:keepNext w:val="0"/>
        <w:keepLines w:val="0"/>
        <w:pageBreakBefore w:val="0"/>
        <w:wordWrap w:val="0"/>
        <w:overflowPunct/>
        <w:topLinePunct w:val="0"/>
        <w:bidi w:val="0"/>
        <w:spacing w:before="153" w:line="222"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74FBD39">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（3）《投标函》（格式二）；</w:t>
      </w:r>
    </w:p>
    <w:p w14:paraId="720161C8">
      <w:pPr>
        <w:keepNext w:val="0"/>
        <w:keepLines w:val="0"/>
        <w:pageBreakBefore w:val="0"/>
        <w:wordWrap w:val="0"/>
        <w:overflowPunct/>
        <w:topLinePunct w:val="0"/>
        <w:bidi w:val="0"/>
        <w:spacing w:before="153"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（4）《各项承诺一览表》（格式三）；</w:t>
      </w:r>
    </w:p>
    <w:p w14:paraId="7094AFC2">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（5）《授权委托书》（格式四）；</w:t>
      </w:r>
    </w:p>
    <w:p w14:paraId="3AF70EF9">
      <w:pPr>
        <w:keepNext w:val="0"/>
        <w:keepLines w:val="0"/>
        <w:pageBreakBefore w:val="0"/>
        <w:wordWrap w:val="0"/>
        <w:overflowPunct/>
        <w:topLinePunct w:val="0"/>
        <w:bidi w:val="0"/>
        <w:spacing w:before="156"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（6）《法定代表人身份证明》（格式五）；</w:t>
      </w:r>
    </w:p>
    <w:p w14:paraId="2DB8A52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（7）《联合体协议书》（格式六）及所附资料；</w:t>
      </w:r>
    </w:p>
    <w:p w14:paraId="6673BC70">
      <w:pPr>
        <w:keepNext w:val="0"/>
        <w:keepLines w:val="0"/>
        <w:pageBreakBefore w:val="0"/>
        <w:wordWrap w:val="0"/>
        <w:overflowPunct/>
        <w:topLinePunct w:val="0"/>
        <w:bidi w:val="0"/>
        <w:spacing w:before="153" w:line="309" w:lineRule="auto"/>
        <w:ind w:left="13" w:right="133"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000000" w:themeColor="text1"/>
          <w:spacing w:val="0"/>
          <w:sz w:val="24"/>
          <w:szCs w:val="24"/>
          <w:highlight w:val="none"/>
          <w14:textFill>
            <w14:solidFill>
              <w14:schemeClr w14:val="tx1"/>
            </w14:solidFill>
          </w14:textFill>
        </w:rPr>
        <w:t>《韶关市公共资源交易一体化平台保证金缴纳信息》页面截图</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36031B27">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（9）《投标人基本情况表》（格式七）及所附资料；</w:t>
      </w:r>
    </w:p>
    <w:p w14:paraId="2CE7262F">
      <w:pPr>
        <w:keepNext w:val="0"/>
        <w:keepLines w:val="0"/>
        <w:pageBreakBefore w:val="0"/>
        <w:wordWrap w:val="0"/>
        <w:overflowPunct/>
        <w:topLinePunct w:val="0"/>
        <w:bidi w:val="0"/>
        <w:spacing w:before="155"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（10）《项目经理简历表》（格式八）及所附资料；</w:t>
      </w:r>
    </w:p>
    <w:p w14:paraId="4BF4D313">
      <w:pPr>
        <w:keepNext w:val="0"/>
        <w:keepLines w:val="0"/>
        <w:pageBreakBefore w:val="0"/>
        <w:wordWrap w:val="0"/>
        <w:overflowPunct/>
        <w:topLinePunct w:val="0"/>
        <w:bidi w:val="0"/>
        <w:spacing w:before="154" w:line="22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（11）《项目经理任职声明》（格式九）；</w:t>
      </w:r>
    </w:p>
    <w:p w14:paraId="6D95CC60">
      <w:pPr>
        <w:keepNext w:val="0"/>
        <w:keepLines w:val="0"/>
        <w:pageBreakBefore w:val="0"/>
        <w:wordWrap w:val="0"/>
        <w:overflowPunct/>
        <w:topLinePunct w:val="0"/>
        <w:bidi w:val="0"/>
        <w:spacing w:before="156"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（12）《项目技术负责人简历表》（格式十）及所附资料；</w:t>
      </w:r>
    </w:p>
    <w:p w14:paraId="0132BAD9">
      <w:pPr>
        <w:keepNext w:val="0"/>
        <w:keepLines w:val="0"/>
        <w:pageBreakBefore w:val="0"/>
        <w:wordWrap w:val="0"/>
        <w:overflowPunct/>
        <w:topLinePunct w:val="0"/>
        <w:bidi w:val="0"/>
        <w:spacing w:before="154" w:line="219"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（13）《项</w:t>
      </w:r>
      <w:bookmarkStart w:id="47" w:name="OLE_LINK7"/>
      <w:r>
        <w:rPr>
          <w:rFonts w:hint="eastAsia" w:ascii="宋体" w:hAnsi="宋体" w:eastAsia="宋体" w:cs="宋体"/>
          <w:color w:val="000000" w:themeColor="text1"/>
          <w:spacing w:val="0"/>
          <w:sz w:val="24"/>
          <w:szCs w:val="24"/>
          <w:highlight w:val="none"/>
          <w14:textFill>
            <w14:solidFill>
              <w14:schemeClr w14:val="tx1"/>
            </w14:solidFill>
          </w14:textFill>
        </w:rPr>
        <w:t>目管理机构组成表》（格式十一）及</w:t>
      </w:r>
      <w:bookmarkEnd w:id="47"/>
      <w:r>
        <w:rPr>
          <w:rFonts w:hint="eastAsia" w:ascii="宋体" w:hAnsi="宋体" w:eastAsia="宋体" w:cs="宋体"/>
          <w:color w:val="000000" w:themeColor="text1"/>
          <w:spacing w:val="0"/>
          <w:sz w:val="24"/>
          <w:szCs w:val="24"/>
          <w:highlight w:val="none"/>
          <w14:textFill>
            <w14:solidFill>
              <w14:schemeClr w14:val="tx1"/>
            </w14:solidFill>
          </w14:textFill>
        </w:rPr>
        <w:t>所附资料；</w:t>
      </w:r>
    </w:p>
    <w:p w14:paraId="6E0A04ED">
      <w:pPr>
        <w:keepNext w:val="0"/>
        <w:keepLines w:val="0"/>
        <w:pageBreakBefore w:val="0"/>
        <w:wordWrap w:val="0"/>
        <w:overflowPunct/>
        <w:topLinePunct w:val="0"/>
        <w:bidi w:val="0"/>
        <w:spacing w:before="155" w:line="360" w:lineRule="auto"/>
        <w:ind w:left="5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（14）本节第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目“评标方法 ”要求提供的评审资料；</w:t>
      </w:r>
    </w:p>
    <w:p w14:paraId="03DF9A5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（15）投标人认为有必要补充的其他资料。（例如投标人已经工商变更，但其企业资质证书、安全生产许可证或其员工执业资格注册证书上的企业名称未能在投标期间完成变更的书面说明和佐证材料等）</w:t>
      </w:r>
    </w:p>
    <w:p w14:paraId="29D2CA8C">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目中所列出的商务标书组成内容中，第（1）至第（13）项所有投标人均应提供，</w:t>
      </w:r>
      <w:r>
        <w:rPr>
          <w:rFonts w:hint="eastAsia" w:ascii="宋体" w:hAnsi="宋体" w:eastAsia="宋体" w:cs="宋体"/>
          <w:b/>
          <w:bCs/>
          <w:color w:val="000000" w:themeColor="text1"/>
          <w:spacing w:val="0"/>
          <w:sz w:val="24"/>
          <w:szCs w:val="24"/>
          <w:highlight w:val="none"/>
          <w14:textFill>
            <w14:solidFill>
              <w14:schemeClr w14:val="tx1"/>
            </w14:solidFill>
          </w14:textFill>
        </w:rPr>
        <w:t>但非联合体投标的，无需提供第（7）项内容。</w:t>
      </w:r>
    </w:p>
    <w:p w14:paraId="2F3F2186">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10.2.3 </w:t>
      </w:r>
      <w:r>
        <w:rPr>
          <w:rFonts w:hint="eastAsia" w:ascii="宋体" w:hAnsi="宋体" w:eastAsia="宋体" w:cs="宋体"/>
          <w:color w:val="000000" w:themeColor="text1"/>
          <w:spacing w:val="0"/>
          <w:sz w:val="24"/>
          <w:szCs w:val="24"/>
          <w:highlight w:val="none"/>
          <w14:textFill>
            <w14:solidFill>
              <w14:schemeClr w14:val="tx1"/>
            </w14:solidFill>
          </w14:textFill>
        </w:rPr>
        <w:t>商务标书的组成内容按本节第 10.2.1 目规定的顺序整理、编排后，逐页（页码起始从封面开始）连续标记页码。</w:t>
      </w:r>
    </w:p>
    <w:p w14:paraId="2D4DCA8F">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firstLineChars="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48" w:name="_Toc10602"/>
      <w:bookmarkStart w:id="49" w:name="_Toc29370"/>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经济标书的编制要求</w:t>
      </w:r>
      <w:bookmarkEnd w:id="48"/>
      <w:bookmarkEnd w:id="49"/>
    </w:p>
    <w:p w14:paraId="1F78619A">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经济标书包括以下内容：</w:t>
      </w:r>
    </w:p>
    <w:p w14:paraId="57663477">
      <w:pPr>
        <w:keepNext w:val="0"/>
        <w:keepLines w:val="0"/>
        <w:pageBreakBefore w:val="0"/>
        <w:wordWrap w:val="0"/>
        <w:overflowPunct/>
        <w:topLinePunct w:val="0"/>
        <w:bidi w:val="0"/>
        <w:spacing w:before="156"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18A4AD47">
      <w:pPr>
        <w:keepNext w:val="0"/>
        <w:keepLines w:val="0"/>
        <w:pageBreakBefore w:val="0"/>
        <w:wordWrap w:val="0"/>
        <w:overflowPunct/>
        <w:topLinePunct w:val="0"/>
        <w:bidi w:val="0"/>
        <w:spacing w:before="153"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目录；</w:t>
      </w:r>
    </w:p>
    <w:p w14:paraId="74083071">
      <w:pPr>
        <w:keepNext w:val="0"/>
        <w:keepLines w:val="0"/>
        <w:pageBreakBefore w:val="0"/>
        <w:wordWrap w:val="0"/>
        <w:overflowPunct/>
        <w:topLinePunct w:val="0"/>
        <w:bidi w:val="0"/>
        <w:spacing w:before="150"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（3）《投标总价》；</w:t>
      </w:r>
    </w:p>
    <w:p w14:paraId="105877BB">
      <w:pPr>
        <w:keepNext w:val="0"/>
        <w:keepLines w:val="0"/>
        <w:pageBreakBefore w:val="0"/>
        <w:widowControl/>
        <w:kinsoku w:val="0"/>
        <w:wordWrap w:val="0"/>
        <w:overflowPunct/>
        <w:topLinePunct w:val="0"/>
        <w:autoSpaceDE w:val="0"/>
        <w:autoSpaceDN w:val="0"/>
        <w:bidi w:val="0"/>
        <w:adjustRightInd w:val="0"/>
        <w:snapToGrid w:val="0"/>
        <w:spacing w:before="155" w:line="360" w:lineRule="auto"/>
        <w:ind w:left="5"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说明：《投标总价》的格式按照《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》（GB/T50500-2024）执行，并应满足以下要求：</w:t>
      </w:r>
    </w:p>
    <w:p w14:paraId="2569EC2C">
      <w:pPr>
        <w:keepNext w:val="0"/>
        <w:keepLines w:val="0"/>
        <w:pageBreakBefore w:val="0"/>
        <w:widowControl/>
        <w:kinsoku w:val="0"/>
        <w:wordWrap w:val="0"/>
        <w:overflowPunct/>
        <w:topLinePunct w:val="0"/>
        <w:autoSpaceDE w:val="0"/>
        <w:autoSpaceDN w:val="0"/>
        <w:bidi w:val="0"/>
        <w:adjustRightInd w:val="0"/>
        <w:snapToGrid w:val="0"/>
        <w:spacing w:before="150" w:line="360" w:lineRule="auto"/>
        <w:ind w:left="8" w:firstLine="48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．《投标总价扉页》后应附编制人的造价工程师注册证书彩色扫描件（须扫描至变更注册栏，</w:t>
      </w:r>
      <w:r>
        <w:rPr>
          <w:rFonts w:hint="eastAsia" w:ascii="宋体" w:hAnsi="宋体" w:eastAsia="宋体" w:cs="宋体"/>
          <w:b/>
          <w:bCs/>
          <w:color w:val="000000" w:themeColor="text1"/>
          <w:spacing w:val="0"/>
          <w:sz w:val="24"/>
          <w:szCs w:val="24"/>
          <w:highlight w:val="none"/>
          <w14:textFill>
            <w14:solidFill>
              <w14:schemeClr w14:val="tx1"/>
            </w14:solidFill>
          </w14:textFill>
        </w:rPr>
        <w:t>一级造价师或二级造价师均可提供电子证书</w:t>
      </w:r>
      <w:r>
        <w:rPr>
          <w:rFonts w:hint="eastAsia" w:ascii="宋体" w:hAnsi="宋体" w:eastAsia="宋体" w:cs="宋体"/>
          <w:color w:val="000000" w:themeColor="text1"/>
          <w:spacing w:val="0"/>
          <w:sz w:val="24"/>
          <w:szCs w:val="24"/>
          <w:highlight w:val="none"/>
          <w14:textFill>
            <w14:solidFill>
              <w14:schemeClr w14:val="tx1"/>
            </w14:solidFill>
          </w14:textFill>
        </w:rPr>
        <w:t>）；投标人委托造价咨询单位编制《投标总价》的，在该扉页“投标人”栏目加盖造价咨询人公章，并在该扉页后附造价咨询人的营业执照副本彩色扫描件。</w:t>
      </w:r>
    </w:p>
    <w:p w14:paraId="068BAFD3">
      <w:pPr>
        <w:keepNext w:val="0"/>
        <w:keepLines w:val="0"/>
        <w:pageBreakBefore w:val="0"/>
        <w:widowControl/>
        <w:kinsoku w:val="0"/>
        <w:wordWrap w:val="0"/>
        <w:overflowPunct/>
        <w:topLinePunct w:val="0"/>
        <w:autoSpaceDE w:val="0"/>
        <w:autoSpaceDN w:val="0"/>
        <w:bidi w:val="0"/>
        <w:adjustRightInd w:val="0"/>
        <w:snapToGrid w:val="0"/>
        <w:spacing w:before="119" w:line="360" w:lineRule="auto"/>
        <w:ind w:left="10" w:right="61" w:firstLine="474"/>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投标人认为有必要补充的其他资料（例如关于投标总价下浮率超过 15%的书面说明和佐证材料）。</w:t>
      </w:r>
    </w:p>
    <w:p w14:paraId="05D38EAE">
      <w:pPr>
        <w:keepNext w:val="0"/>
        <w:keepLines w:val="0"/>
        <w:pageBreakBefore w:val="0"/>
        <w:wordWrap w:val="0"/>
        <w:overflowPunct/>
        <w:topLinePunct w:val="0"/>
        <w:bidi w:val="0"/>
        <w:spacing w:before="99" w:line="360" w:lineRule="auto"/>
        <w:ind w:left="10" w:right="63"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10.3.1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目中所列出的经济标书组成内容中，第（1）至第（3）项所有投标人均应提供。</w:t>
      </w:r>
    </w:p>
    <w:p w14:paraId="1592DD8B">
      <w:pPr>
        <w:keepNext w:val="0"/>
        <w:keepLines w:val="0"/>
        <w:pageBreakBefore w:val="0"/>
        <w:wordWrap w:val="0"/>
        <w:overflowPunct/>
        <w:topLinePunct w:val="0"/>
        <w:bidi w:val="0"/>
        <w:spacing w:before="155" w:line="360" w:lineRule="auto"/>
        <w:ind w:left="8" w:right="61"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10.3.3 </w:t>
      </w:r>
      <w:r>
        <w:rPr>
          <w:rFonts w:hint="eastAsia" w:ascii="宋体" w:hAnsi="宋体" w:eastAsia="宋体" w:cs="宋体"/>
          <w:color w:val="000000" w:themeColor="text1"/>
          <w:spacing w:val="0"/>
          <w:sz w:val="24"/>
          <w:szCs w:val="24"/>
          <w:highlight w:val="none"/>
          <w14:textFill>
            <w14:solidFill>
              <w14:schemeClr w14:val="tx1"/>
            </w14:solidFill>
          </w14:textFill>
        </w:rPr>
        <w:t>经济标书的组成内容按本节第 10.3.1 目规定的顺序整理、编排后，逐页（页码起始从封面开始）连续标记页码。</w:t>
      </w:r>
    </w:p>
    <w:p w14:paraId="3A6D334B">
      <w:pPr>
        <w:keepNext w:val="0"/>
        <w:keepLines w:val="0"/>
        <w:pageBreakBefore w:val="0"/>
        <w:wordWrap w:val="0"/>
        <w:overflowPunct/>
        <w:topLinePunct w:val="0"/>
        <w:bidi w:val="0"/>
        <w:spacing w:before="82" w:line="360" w:lineRule="auto"/>
        <w:ind w:left="496"/>
        <w:outlineLvl w:val="9"/>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施工组织设计的编制要求</w:t>
      </w:r>
    </w:p>
    <w:p w14:paraId="7828F48B">
      <w:pPr>
        <w:keepNext w:val="0"/>
        <w:keepLines w:val="0"/>
        <w:pageBreakBefore w:val="0"/>
        <w:wordWrap w:val="0"/>
        <w:overflowPunct/>
        <w:topLinePunct w:val="0"/>
        <w:bidi w:val="0"/>
        <w:spacing w:before="151" w:line="36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10.4.1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施工组织设计的编制依据包括且不限于：</w:t>
      </w:r>
    </w:p>
    <w:p w14:paraId="69CA5D7C">
      <w:pPr>
        <w:keepNext w:val="0"/>
        <w:keepLines w:val="0"/>
        <w:pageBreakBefore w:val="0"/>
        <w:wordWrap w:val="0"/>
        <w:overflowPunct/>
        <w:topLinePunct w:val="0"/>
        <w:bidi w:val="0"/>
        <w:spacing w:before="156"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（1）招标文件及其答疑（或修改）公告；</w:t>
      </w:r>
    </w:p>
    <w:p w14:paraId="3D9B573B">
      <w:pPr>
        <w:keepNext w:val="0"/>
        <w:keepLines w:val="0"/>
        <w:pageBreakBefore w:val="0"/>
        <w:wordWrap w:val="0"/>
        <w:overflowPunct/>
        <w:topLinePunct w:val="0"/>
        <w:bidi w:val="0"/>
        <w:spacing w:before="155" w:line="221"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（2）施工图及相关资料；</w:t>
      </w:r>
    </w:p>
    <w:p w14:paraId="56E6D366">
      <w:pPr>
        <w:keepNext w:val="0"/>
        <w:keepLines w:val="0"/>
        <w:pageBreakBefore w:val="0"/>
        <w:wordWrap w:val="0"/>
        <w:overflowPunct/>
        <w:topLinePunct w:val="0"/>
        <w:bidi w:val="0"/>
        <w:spacing w:before="152"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（3）施工现场情况、工程特点；</w:t>
      </w:r>
    </w:p>
    <w:p w14:paraId="3FE9ED6F">
      <w:pPr>
        <w:keepNext w:val="0"/>
        <w:keepLines w:val="0"/>
        <w:pageBreakBefore w:val="0"/>
        <w:wordWrap w:val="0"/>
        <w:overflowPunct/>
        <w:topLinePunct w:val="0"/>
        <w:bidi w:val="0"/>
        <w:spacing w:before="78"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（4）相关法律、法规、规定；</w:t>
      </w:r>
    </w:p>
    <w:p w14:paraId="059FD045">
      <w:pPr>
        <w:keepNext w:val="0"/>
        <w:keepLines w:val="0"/>
        <w:pageBreakBefore w:val="0"/>
        <w:wordWrap w:val="0"/>
        <w:overflowPunct/>
        <w:topLinePunct w:val="0"/>
        <w:bidi w:val="0"/>
        <w:spacing w:before="153" w:line="299" w:lineRule="auto"/>
        <w:ind w:left="10" w:right="21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50B2B5BD">
      <w:pPr>
        <w:keepNext w:val="0"/>
        <w:keepLines w:val="0"/>
        <w:pageBreakBefore w:val="0"/>
        <w:wordWrap w:val="0"/>
        <w:overflowPunct/>
        <w:topLinePunct w:val="0"/>
        <w:bidi w:val="0"/>
        <w:spacing w:before="155"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（6）企业内部标准、工法。</w:t>
      </w:r>
    </w:p>
    <w:p w14:paraId="6608343E">
      <w:pPr>
        <w:keepNext w:val="0"/>
        <w:keepLines w:val="0"/>
        <w:pageBreakBefore w:val="0"/>
        <w:wordWrap w:val="0"/>
        <w:overflowPunct/>
        <w:topLinePunct w:val="0"/>
        <w:bidi w:val="0"/>
        <w:spacing w:before="153"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施工组织设计包括但不限于以下内容：</w:t>
      </w:r>
    </w:p>
    <w:p w14:paraId="11AC19C5">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（1）封面（格式一）；</w:t>
      </w:r>
    </w:p>
    <w:p w14:paraId="0D89566C">
      <w:pPr>
        <w:keepNext w:val="0"/>
        <w:keepLines w:val="0"/>
        <w:pageBreakBefore w:val="0"/>
        <w:wordWrap w:val="0"/>
        <w:overflowPunct/>
        <w:topLinePunct w:val="0"/>
        <w:bidi w:val="0"/>
        <w:spacing w:before="156" w:line="222"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（2）目录；</w:t>
      </w:r>
    </w:p>
    <w:p w14:paraId="42EF60D6">
      <w:pPr>
        <w:keepNext w:val="0"/>
        <w:keepLines w:val="0"/>
        <w:pageBreakBefore w:val="0"/>
        <w:wordWrap w:val="0"/>
        <w:overflowPunct/>
        <w:topLinePunct w:val="0"/>
        <w:bidi w:val="0"/>
        <w:spacing w:before="150"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（3）总体概述（包括施工程序总体设想及施工段划分等内容）；</w:t>
      </w:r>
    </w:p>
    <w:p w14:paraId="2188CD8A">
      <w:pPr>
        <w:keepNext w:val="0"/>
        <w:keepLines w:val="0"/>
        <w:pageBreakBefore w:val="0"/>
        <w:wordWrap w:val="0"/>
        <w:overflowPunct/>
        <w:topLinePunct w:val="0"/>
        <w:bidi w:val="0"/>
        <w:spacing w:before="154" w:line="299" w:lineRule="auto"/>
        <w:ind w:left="9" w:right="21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（4）施工总进度计划及保证措施（包括进度管理目标；以横道图或标明关键线路的网络进度计划；保障进度计划需要的人、材、机需求计划及保证措施；违约责任承诺等内容）；</w:t>
      </w:r>
    </w:p>
    <w:p w14:paraId="1FC69F82">
      <w:pPr>
        <w:keepNext w:val="0"/>
        <w:keepLines w:val="0"/>
        <w:pageBreakBefore w:val="0"/>
        <w:wordWrap w:val="0"/>
        <w:overflowPunct/>
        <w:topLinePunct w:val="0"/>
        <w:bidi w:val="0"/>
        <w:spacing w:before="153" w:line="22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（5）质量保证措施（包括质量管理目标；相应保证措施；违约责任承诺等内容</w:t>
      </w:r>
      <w:r>
        <w:rPr>
          <w:rFonts w:hint="eastAsia" w:ascii="宋体" w:hAnsi="宋体" w:eastAsia="宋体" w:cs="宋体"/>
          <w:color w:val="000000" w:themeColor="text1"/>
          <w:spacing w:val="0"/>
          <w:w w:val="97"/>
          <w:sz w:val="24"/>
          <w:szCs w:val="24"/>
          <w:highlight w:val="none"/>
          <w14:textFill>
            <w14:solidFill>
              <w14:schemeClr w14:val="tx1"/>
            </w14:solidFill>
          </w14:textFill>
        </w:rPr>
        <w:t>）；</w:t>
      </w:r>
    </w:p>
    <w:p w14:paraId="69700B99">
      <w:pPr>
        <w:keepNext w:val="0"/>
        <w:keepLines w:val="0"/>
        <w:pageBreakBefore w:val="0"/>
        <w:wordWrap w:val="0"/>
        <w:overflowPunct/>
        <w:topLinePunct w:val="0"/>
        <w:bidi w:val="0"/>
        <w:spacing w:before="156" w:line="279" w:lineRule="auto"/>
        <w:ind w:left="11" w:right="21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（6）施工技术措施（包括关键施工技术、工艺及工程项目实施的重点、难点分析和解决方案；新技术应用与承诺等内容）；</w:t>
      </w:r>
    </w:p>
    <w:p w14:paraId="4D11B874">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（7）绿色施工、安全防护、文明施工措施计划(应对建设单位组织的勘察设计等单位在施工招标文件中列出的危大工程清单(详见格式十三)进行投标文件回应，如有)；</w:t>
      </w:r>
    </w:p>
    <w:p w14:paraId="00EDD96D">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（8）施工现场总平面布置（</w:t>
      </w:r>
      <w:bookmarkStart w:id="50" w:name="OLE_LINK8"/>
      <w:r>
        <w:rPr>
          <w:rFonts w:hint="eastAsia" w:ascii="宋体" w:hAnsi="宋体" w:eastAsia="宋体" w:cs="宋体"/>
          <w:color w:val="000000" w:themeColor="text1"/>
          <w:spacing w:val="0"/>
          <w:sz w:val="24"/>
          <w:szCs w:val="24"/>
          <w:highlight w:val="none"/>
          <w14:textFill>
            <w14:solidFill>
              <w14:schemeClr w14:val="tx1"/>
            </w14:solidFill>
          </w14:textFill>
        </w:rPr>
        <w:t>投标人应递交一份施工现场总平面布置图，绘出现场临时设施布置图表并附文字说明，说明临时设施、加工车间、现场办公、设备及仓储、供电、供水、卫生、生活、道路、消防等设施的情况和布置</w:t>
      </w:r>
      <w:bookmarkEnd w:id="50"/>
      <w:r>
        <w:rPr>
          <w:rFonts w:hint="eastAsia" w:ascii="宋体" w:hAnsi="宋体" w:eastAsia="宋体" w:cs="宋体"/>
          <w:color w:val="000000" w:themeColor="text1"/>
          <w:spacing w:val="0"/>
          <w:sz w:val="24"/>
          <w:szCs w:val="24"/>
          <w:highlight w:val="none"/>
          <w14:textFill>
            <w14:solidFill>
              <w14:schemeClr w14:val="tx1"/>
            </w14:solidFill>
          </w14:textFill>
        </w:rPr>
        <w:t>）；</w:t>
      </w:r>
    </w:p>
    <w:p w14:paraId="523DCF6A">
      <w:pPr>
        <w:keepNext w:val="0"/>
        <w:keepLines w:val="0"/>
        <w:pageBreakBefore w:val="0"/>
        <w:wordWrap w:val="0"/>
        <w:overflowPunct/>
        <w:topLinePunct w:val="0"/>
        <w:bidi w:val="0"/>
        <w:spacing w:before="155"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（9）项目管理机构。</w:t>
      </w:r>
    </w:p>
    <w:p w14:paraId="16991E29">
      <w:pPr>
        <w:keepNext w:val="0"/>
        <w:keepLines w:val="0"/>
        <w:pageBreakBefore w:val="0"/>
        <w:wordWrap w:val="0"/>
        <w:overflowPunct/>
        <w:topLinePunct w:val="0"/>
        <w:bidi w:val="0"/>
        <w:spacing w:before="154" w:line="360" w:lineRule="auto"/>
        <w:ind w:right="21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（10）投标人认为有必要补充的其他内容（例如对总包管理的认识以及对专业分包工程的管理、协调、配合、服务方案）。</w:t>
      </w:r>
    </w:p>
    <w:p w14:paraId="5EA512C0">
      <w:pPr>
        <w:keepNext w:val="0"/>
        <w:keepLines w:val="0"/>
        <w:pageBreakBefore w:val="0"/>
        <w:wordWrap w:val="0"/>
        <w:overflowPunct/>
        <w:topLinePunct w:val="0"/>
        <w:bidi w:val="0"/>
        <w:spacing w:before="152" w:line="360" w:lineRule="auto"/>
        <w:ind w:right="196"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本节第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10.4.2  </w:t>
      </w:r>
      <w:r>
        <w:rPr>
          <w:rFonts w:hint="eastAsia" w:ascii="宋体" w:hAnsi="宋体" w:eastAsia="宋体" w:cs="宋体"/>
          <w:color w:val="000000" w:themeColor="text1"/>
          <w:spacing w:val="0"/>
          <w:sz w:val="24"/>
          <w:szCs w:val="24"/>
          <w:highlight w:val="none"/>
          <w14:textFill>
            <w14:solidFill>
              <w14:schemeClr w14:val="tx1"/>
            </w14:solidFill>
          </w14:textFill>
        </w:rPr>
        <w:t>目中所列出的施工组织设计组成内容中，第（1）至第（9）项所有投标人均应提供。</w:t>
      </w:r>
    </w:p>
    <w:p w14:paraId="6B854B9F">
      <w:pPr>
        <w:keepNext w:val="0"/>
        <w:keepLines w:val="0"/>
        <w:pageBreakBefore w:val="0"/>
        <w:wordWrap w:val="0"/>
        <w:overflowPunct/>
        <w:topLinePunct w:val="0"/>
        <w:bidi w:val="0"/>
        <w:spacing w:before="157" w:line="360" w:lineRule="auto"/>
        <w:ind w:right="211"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10.4.4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施工组织设计的组成内容按本节第 10.4.2 目规定的顺序整理、编排后，逐页（页码起始从封面开始）连续标记页码。</w:t>
      </w:r>
    </w:p>
    <w:p w14:paraId="7DA830C4">
      <w:pPr>
        <w:keepNext w:val="0"/>
        <w:keepLines w:val="0"/>
        <w:pageBreakBefore w:val="0"/>
        <w:wordWrap w:val="0"/>
        <w:overflowPunct/>
        <w:topLinePunct w:val="0"/>
        <w:bidi w:val="0"/>
        <w:spacing w:line="360" w:lineRule="auto"/>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10.4.5</w:t>
      </w:r>
      <w:bookmarkStart w:id="51" w:name="OLE_LINK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施工组织设计的正文不得超过</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150</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页</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bookmarkEnd w:id="51"/>
      <w:bookmarkStart w:id="52" w:name="bookmark121"/>
      <w:bookmarkEnd w:id="52"/>
    </w:p>
    <w:p w14:paraId="4B5482FE">
      <w:pPr>
        <w:widowControl w:val="0"/>
        <w:kinsoku/>
        <w:wordWrap w:val="0"/>
        <w:autoSpaceDE/>
        <w:autoSpaceDN/>
        <w:adjustRightInd/>
        <w:snapToGrid/>
        <w:spacing w:line="400" w:lineRule="exact"/>
        <w:ind w:firstLine="482" w:firstLineChars="200"/>
        <w:jc w:val="both"/>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53" w:name="_Toc21936"/>
      <w:r>
        <w:rPr>
          <w:rFonts w:hint="eastAsia" w:ascii="宋体" w:hAnsi="宋体" w:eastAsia="宋体" w:cs="宋体"/>
          <w:b/>
          <w:bCs/>
          <w:color w:val="000000" w:themeColor="text1"/>
          <w:sz w:val="24"/>
          <w:szCs w:val="24"/>
          <w:highlight w:val="none"/>
          <w:lang w:eastAsia="zh-CN"/>
          <w14:textFill>
            <w14:solidFill>
              <w14:schemeClr w14:val="tx1"/>
            </w14:solidFill>
          </w14:textFill>
        </w:rPr>
        <w:t>10.5定标文件的编制要求：</w:t>
      </w:r>
    </w:p>
    <w:p w14:paraId="4CF15BB9">
      <w:pPr>
        <w:wordWrap w:val="0"/>
        <w:spacing w:before="152" w:line="279" w:lineRule="auto"/>
        <w:ind w:right="196"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10.5.1 定标文件包括以下内容：</w:t>
      </w:r>
    </w:p>
    <w:p w14:paraId="5904E37A">
      <w:pPr>
        <w:wordWrap w:val="0"/>
        <w:spacing w:before="152" w:line="279" w:lineRule="auto"/>
        <w:ind w:right="196" w:firstLine="480" w:firstLineChars="200"/>
        <w:rPr>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（1）封面（格式一）</w:t>
      </w:r>
    </w:p>
    <w:p w14:paraId="3E8FB86A">
      <w:pPr>
        <w:wordWrap w:val="0"/>
        <w:spacing w:before="152" w:line="279" w:lineRule="auto"/>
        <w:ind w:right="196"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(2)定标因素评审资料（格式十六）</w:t>
      </w:r>
    </w:p>
    <w:p w14:paraId="2298A603">
      <w:pPr>
        <w:keepNext w:val="0"/>
        <w:keepLines w:val="0"/>
        <w:pageBreakBefore w:val="0"/>
        <w:wordWrap w:val="0"/>
        <w:overflowPunct/>
        <w:topLinePunct w:val="0"/>
        <w:bidi w:val="0"/>
        <w:spacing w:before="78" w:line="360" w:lineRule="auto"/>
        <w:ind w:left="0" w:leftChars="0" w:firstLine="480"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10.5.2 本节第10.5.1目中所列出的组成内容中，第（1）至第（2）项所有投标人均应提供。</w:t>
      </w:r>
    </w:p>
    <w:p w14:paraId="334D0149">
      <w:pPr>
        <w:keepNext w:val="0"/>
        <w:keepLines w:val="0"/>
        <w:pageBreakBefore w:val="0"/>
        <w:wordWrap w:val="0"/>
        <w:overflowPunct/>
        <w:topLinePunct w:val="0"/>
        <w:bidi w:val="0"/>
        <w:spacing w:before="78" w:line="36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54" w:name="_Toc20976"/>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电子投标</w:t>
      </w:r>
      <w:bookmarkEnd w:id="53"/>
      <w:bookmarkEnd w:id="54"/>
    </w:p>
    <w:p w14:paraId="2928C8B1">
      <w:pPr>
        <w:keepNext w:val="0"/>
        <w:keepLines w:val="0"/>
        <w:pageBreakBefore w:val="0"/>
        <w:wordWrap w:val="0"/>
        <w:overflowPunct/>
        <w:topLinePunct w:val="0"/>
        <w:bidi w:val="0"/>
        <w:spacing w:before="112" w:line="360" w:lineRule="auto"/>
        <w:ind w:left="10"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在建设工程交易系统上传加盖了电子印章的投标文件、录入相关信息及标书页码信息，</w:t>
      </w:r>
      <w:r>
        <w:rPr>
          <w:rFonts w:hint="eastAsia" w:ascii="宋体" w:hAnsi="宋体" w:eastAsia="宋体" w:cs="宋体"/>
          <w:b/>
          <w:bCs/>
          <w:color w:val="000000" w:themeColor="text1"/>
          <w:spacing w:val="0"/>
          <w:sz w:val="24"/>
          <w:szCs w:val="24"/>
          <w:highlight w:val="none"/>
          <w14:textFill>
            <w14:solidFill>
              <w14:schemeClr w14:val="tx1"/>
            </w14:solidFill>
          </w14:textFill>
        </w:rPr>
        <w:t>（页码起始从封面开始）</w:t>
      </w:r>
      <w:r>
        <w:rPr>
          <w:rFonts w:hint="eastAsia" w:ascii="宋体" w:hAnsi="宋体" w:eastAsia="宋体" w:cs="宋体"/>
          <w:color w:val="000000" w:themeColor="text1"/>
          <w:spacing w:val="0"/>
          <w:sz w:val="24"/>
          <w:szCs w:val="24"/>
          <w:highlight w:val="none"/>
          <w14:textFill>
            <w14:solidFill>
              <w14:schemeClr w14:val="tx1"/>
            </w14:solidFill>
          </w14:textFill>
        </w:rPr>
        <w:t>并提交投标标书。提交标书为已加密投标文件。 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1973AD4">
      <w:pPr>
        <w:keepNext w:val="0"/>
        <w:keepLines w:val="0"/>
        <w:pageBreakBefore w:val="0"/>
        <w:wordWrap w:val="0"/>
        <w:overflowPunct/>
        <w:topLinePunct w:val="0"/>
        <w:bidi w:val="0"/>
        <w:spacing w:before="115" w:line="360" w:lineRule="auto"/>
        <w:ind w:left="10" w:right="81" w:firstLine="485"/>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05B82554">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before="78" w:line="286" w:lineRule="auto"/>
        <w:ind w:firstLine="482" w:firstLineChars="200"/>
        <w:textAlignment w:val="baseline"/>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55" w:name="_Toc27655"/>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bookmarkStart w:id="56" w:name="_Toc29834"/>
      <w:r>
        <w:rPr>
          <w:rFonts w:hint="eastAsia" w:ascii="宋体" w:hAnsi="宋体" w:eastAsia="宋体" w:cs="宋体"/>
          <w:b/>
          <w:bCs/>
          <w:color w:val="000000" w:themeColor="text1"/>
          <w:spacing w:val="0"/>
          <w:sz w:val="24"/>
          <w:szCs w:val="24"/>
          <w:highlight w:val="none"/>
          <w14:textFill>
            <w14:solidFill>
              <w14:schemeClr w14:val="tx1"/>
            </w14:solidFill>
          </w14:textFill>
        </w:rPr>
        <w:t>电子投标及投标解密失败及突发情况的补救方案</w:t>
      </w:r>
      <w:bookmarkEnd w:id="55"/>
      <w:bookmarkEnd w:id="56"/>
    </w:p>
    <w:p w14:paraId="656A950F">
      <w:pPr>
        <w:keepNext w:val="0"/>
        <w:keepLines w:val="0"/>
        <w:pageBreakBefore w:val="0"/>
        <w:widowControl/>
        <w:kinsoku w:val="0"/>
        <w:wordWrap w:val="0"/>
        <w:overflowPunct/>
        <w:topLinePunct w:val="0"/>
        <w:autoSpaceDE w:val="0"/>
        <w:autoSpaceDN w:val="0"/>
        <w:bidi w:val="0"/>
        <w:adjustRightInd w:val="0"/>
        <w:snapToGrid w:val="0"/>
        <w:spacing w:before="78" w:line="286"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12.1 </w:t>
      </w:r>
      <w:r>
        <w:rPr>
          <w:rFonts w:hint="eastAsia" w:ascii="宋体" w:hAnsi="宋体" w:eastAsia="宋体" w:cs="宋体"/>
          <w:color w:val="000000" w:themeColor="text1"/>
          <w:spacing w:val="0"/>
          <w:sz w:val="24"/>
          <w:szCs w:val="24"/>
          <w:highlight w:val="none"/>
          <w14:textFill>
            <w14:solidFill>
              <w14:schemeClr w14:val="tx1"/>
            </w14:solidFill>
          </w14:textFill>
        </w:rPr>
        <w:t>按照交易平台关于全流程电子化项目的相关指南进行操作。详见：全国公共资源交易平台（广东省 ·韶关市）（https://ygp.gdzwfw.gov.cn/ggzy-portal/#/44 0200/index）服务指南栏目发布的最新版操作指引。</w:t>
      </w:r>
    </w:p>
    <w:p w14:paraId="3E34A594">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49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  </w:t>
      </w:r>
      <w:r>
        <w:rPr>
          <w:rFonts w:hint="eastAsia" w:ascii="宋体" w:hAnsi="宋体" w:eastAsia="宋体" w:cs="宋体"/>
          <w:color w:val="000000" w:themeColor="text1"/>
          <w:spacing w:val="0"/>
          <w:sz w:val="24"/>
          <w:szCs w:val="24"/>
          <w:highlight w:val="none"/>
          <w14:textFill>
            <w14:solidFill>
              <w14:schemeClr w14:val="tx1"/>
            </w14:solidFill>
          </w14:textFill>
        </w:rPr>
        <w:t>补救方案：</w:t>
      </w:r>
    </w:p>
    <w:p w14:paraId="7A5C0062">
      <w:pPr>
        <w:keepNext w:val="0"/>
        <w:keepLines w:val="0"/>
        <w:pageBreakBefore w:val="0"/>
        <w:wordWrap w:val="0"/>
        <w:overflowPunct/>
        <w:topLinePunct w:val="0"/>
        <w:bidi w:val="0"/>
        <w:spacing w:before="115"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12.2.1  </w:t>
      </w:r>
      <w:r>
        <w:rPr>
          <w:rFonts w:hint="eastAsia" w:ascii="宋体" w:hAnsi="宋体" w:eastAsia="宋体" w:cs="宋体"/>
          <w:color w:val="000000" w:themeColor="text1"/>
          <w:spacing w:val="0"/>
          <w:sz w:val="24"/>
          <w:szCs w:val="24"/>
          <w:highlight w:val="none"/>
          <w14:textFill>
            <w14:solidFill>
              <w14:schemeClr w14:val="tx1"/>
            </w14:solidFill>
          </w14:textFill>
        </w:rPr>
        <w:t>投标文件解密失败的补救方案：</w:t>
      </w:r>
    </w:p>
    <w:p w14:paraId="2D1DE68F">
      <w:pPr>
        <w:keepNext w:val="0"/>
        <w:keepLines w:val="0"/>
        <w:pageBreakBefore w:val="0"/>
        <w:wordWrap w:val="0"/>
        <w:overflowPunct/>
        <w:topLinePunct w:val="0"/>
        <w:bidi w:val="0"/>
        <w:spacing w:before="115" w:line="298"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57" w:name="bookmark122"/>
      <w:bookmarkEnd w:id="57"/>
      <w:r>
        <w:rPr>
          <w:rFonts w:hint="eastAsia" w:ascii="宋体" w:hAnsi="宋体" w:eastAsia="宋体" w:cs="宋体"/>
          <w:color w:val="000000" w:themeColor="text1"/>
          <w:spacing w:val="0"/>
          <w:sz w:val="24"/>
          <w:szCs w:val="24"/>
          <w:highlight w:val="none"/>
          <w14:textFill>
            <w14:solidFill>
              <w14:schemeClr w14:val="tx1"/>
            </w14:solidFill>
          </w14:textFill>
        </w:rPr>
        <w:t>重新提交投标文件继续开标程序。</w:t>
      </w:r>
    </w:p>
    <w:p w14:paraId="0F175F6A">
      <w:pPr>
        <w:keepNext w:val="0"/>
        <w:keepLines w:val="0"/>
        <w:pageBreakBefore w:val="0"/>
        <w:wordWrap w:val="0"/>
        <w:overflowPunct/>
        <w:topLinePunct w:val="0"/>
        <w:bidi w:val="0"/>
        <w:spacing w:before="114"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12.2.2  </w:t>
      </w:r>
      <w:r>
        <w:rPr>
          <w:rFonts w:hint="eastAsia" w:ascii="宋体" w:hAnsi="宋体" w:eastAsia="宋体" w:cs="宋体"/>
          <w:color w:val="000000" w:themeColor="text1"/>
          <w:spacing w:val="0"/>
          <w:sz w:val="24"/>
          <w:szCs w:val="24"/>
          <w:highlight w:val="none"/>
          <w14:textFill>
            <w14:solidFill>
              <w14:schemeClr w14:val="tx1"/>
            </w14:solidFill>
          </w14:textFill>
        </w:rPr>
        <w:t>评标时突发情况的补救方案</w:t>
      </w:r>
    </w:p>
    <w:p w14:paraId="5863CD1F">
      <w:pPr>
        <w:keepNext w:val="0"/>
        <w:keepLines w:val="0"/>
        <w:pageBreakBefore w:val="0"/>
        <w:wordWrap w:val="0"/>
        <w:overflowPunct/>
        <w:topLinePunct w:val="0"/>
        <w:bidi w:val="0"/>
        <w:spacing w:before="114" w:line="303" w:lineRule="auto"/>
        <w:ind w:right="81"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8ACD5FB">
      <w:pPr>
        <w:keepNext w:val="0"/>
        <w:keepLines w:val="0"/>
        <w:pageBreakBefore w:val="0"/>
        <w:wordWrap w:val="0"/>
        <w:overflowPunct/>
        <w:topLinePunct w:val="0"/>
        <w:bidi w:val="0"/>
        <w:spacing w:before="69" w:line="324" w:lineRule="auto"/>
        <w:ind w:left="11" w:right="81"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12.2.3  </w:t>
      </w:r>
      <w:r>
        <w:rPr>
          <w:rFonts w:hint="eastAsia" w:ascii="宋体" w:hAnsi="宋体" w:eastAsia="宋体" w:cs="宋体"/>
          <w:color w:val="000000" w:themeColor="text1"/>
          <w:spacing w:val="0"/>
          <w:sz w:val="24"/>
          <w:szCs w:val="24"/>
          <w:highlight w:val="none"/>
          <w14:textFill>
            <w14:solidFill>
              <w14:schemeClr w14:val="tx1"/>
            </w14:solidFill>
          </w14:textFill>
        </w:rPr>
        <w:t>除发生上述情况外，开标评标均以投标人（联合体投标的，由联合体牵头人）通过交易平台网上递交的电子投标文件为准。</w:t>
      </w:r>
    </w:p>
    <w:p w14:paraId="5DCEDB99">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58" w:name="_Toc9348"/>
      <w:bookmarkStart w:id="59" w:name="_Toc27195"/>
      <w:r>
        <w:rPr>
          <w:rFonts w:hint="eastAsia" w:ascii="宋体" w:hAnsi="宋体" w:eastAsia="宋体" w:cs="宋体"/>
          <w:b/>
          <w:bCs/>
          <w:color w:val="000000" w:themeColor="text1"/>
          <w:spacing w:val="0"/>
          <w:sz w:val="24"/>
          <w:szCs w:val="24"/>
          <w:highlight w:val="none"/>
          <w14:textFill>
            <w14:solidFill>
              <w14:schemeClr w14:val="tx1"/>
            </w14:solidFill>
          </w14:textFill>
        </w:rPr>
        <w:t>13 ．投标文件的提交</w:t>
      </w:r>
      <w:bookmarkEnd w:id="58"/>
      <w:bookmarkEnd w:id="59"/>
    </w:p>
    <w:p w14:paraId="7068EE2E">
      <w:pPr>
        <w:keepNext w:val="0"/>
        <w:keepLines w:val="0"/>
        <w:pageBreakBefore w:val="0"/>
        <w:wordWrap w:val="0"/>
        <w:overflowPunct/>
        <w:topLinePunct w:val="0"/>
        <w:bidi w:val="0"/>
        <w:spacing w:before="123" w:line="278" w:lineRule="auto"/>
        <w:ind w:left="13" w:right="81"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13.1  </w:t>
      </w:r>
      <w:r>
        <w:rPr>
          <w:rFonts w:hint="eastAsia" w:ascii="宋体" w:hAnsi="宋体" w:eastAsia="宋体" w:cs="宋体"/>
          <w:color w:val="000000" w:themeColor="text1"/>
          <w:spacing w:val="0"/>
          <w:sz w:val="24"/>
          <w:szCs w:val="24"/>
          <w:highlight w:val="none"/>
          <w14:textFill>
            <w14:solidFill>
              <w14:schemeClr w14:val="tx1"/>
            </w14:solidFill>
          </w14:textFill>
        </w:rPr>
        <w:t>在投标文件提交截止时间前，投标人通过全国公共资源交易平台（广东省 ·韶关市）提交已加密投标文件。逾期提交的电子投标文件，全国公共资源交易平台（广东省 ·韶关市）将予以拒收。</w:t>
      </w:r>
    </w:p>
    <w:p w14:paraId="09924D0F">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13.2  </w:t>
      </w:r>
      <w:r>
        <w:rPr>
          <w:rFonts w:hint="eastAsia" w:ascii="宋体" w:hAnsi="宋体" w:eastAsia="宋体" w:cs="宋体"/>
          <w:color w:val="000000" w:themeColor="text1"/>
          <w:spacing w:val="0"/>
          <w:sz w:val="24"/>
          <w:szCs w:val="24"/>
          <w:highlight w:val="none"/>
          <w14:textFill>
            <w14:solidFill>
              <w14:schemeClr w14:val="tx1"/>
            </w14:solidFill>
          </w14:textFill>
        </w:rPr>
        <w:t>提交时间和地点：见本章第二节“重要事项时间地点一览表 ”</w:t>
      </w:r>
    </w:p>
    <w:p w14:paraId="683F40A3">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13.3  </w:t>
      </w:r>
      <w:r>
        <w:rPr>
          <w:rFonts w:hint="eastAsia" w:ascii="宋体" w:hAnsi="宋体" w:eastAsia="宋体" w:cs="宋体"/>
          <w:color w:val="000000" w:themeColor="text1"/>
          <w:spacing w:val="0"/>
          <w:sz w:val="24"/>
          <w:szCs w:val="24"/>
          <w:highlight w:val="none"/>
          <w14:textFill>
            <w14:solidFill>
              <w14:schemeClr w14:val="tx1"/>
            </w14:solidFill>
          </w14:textFill>
        </w:rPr>
        <w:t>递交时间和地点：投标人如有招标文件要求提交的用于评审的证书、证件、证明原件（附一式两份清单），由投标人法定代表人或其委托代理人在指定的时间和地点递交（见“重要事项时间地点一览表 ”）。</w:t>
      </w:r>
    </w:p>
    <w:p w14:paraId="1E722792">
      <w:pPr>
        <w:keepNext w:val="0"/>
        <w:keepLines w:val="0"/>
        <w:pageBreakBefore w:val="0"/>
        <w:wordWrap w:val="0"/>
        <w:overflowPunct/>
        <w:topLinePunct w:val="0"/>
        <w:bidi w:val="0"/>
        <w:spacing w:before="112"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13.4  </w:t>
      </w:r>
      <w:r>
        <w:rPr>
          <w:rFonts w:hint="eastAsia" w:ascii="宋体" w:hAnsi="宋体" w:eastAsia="宋体" w:cs="宋体"/>
          <w:color w:val="000000" w:themeColor="text1"/>
          <w:spacing w:val="0"/>
          <w:sz w:val="24"/>
          <w:szCs w:val="24"/>
          <w:highlight w:val="none"/>
          <w14:textFill>
            <w14:solidFill>
              <w14:schemeClr w14:val="tx1"/>
            </w14:solidFill>
          </w14:textFill>
        </w:rPr>
        <w:t>代理机构对因不可抗力事件造成的投标文件的损坏、丢失的，不承担责任。</w:t>
      </w:r>
    </w:p>
    <w:p w14:paraId="458845F2">
      <w:pPr>
        <w:keepNext w:val="0"/>
        <w:keepLines w:val="0"/>
        <w:pageBreakBefore w:val="0"/>
        <w:wordWrap w:val="0"/>
        <w:overflowPunct/>
        <w:topLinePunct w:val="0"/>
        <w:bidi w:val="0"/>
        <w:spacing w:before="116"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13.5  </w:t>
      </w:r>
      <w:r>
        <w:rPr>
          <w:rFonts w:hint="eastAsia" w:ascii="宋体" w:hAnsi="宋体" w:eastAsia="宋体" w:cs="宋体"/>
          <w:color w:val="000000" w:themeColor="text1"/>
          <w:spacing w:val="0"/>
          <w:sz w:val="24"/>
          <w:szCs w:val="24"/>
          <w:highlight w:val="none"/>
          <w14:textFill>
            <w14:solidFill>
              <w14:schemeClr w14:val="tx1"/>
            </w14:solidFill>
          </w14:textFill>
        </w:rPr>
        <w:t>出现下述情形之一，属于未成功提交投标文件，按无效投标处理：</w:t>
      </w:r>
    </w:p>
    <w:p w14:paraId="26FD4E45">
      <w:pPr>
        <w:keepNext w:val="0"/>
        <w:keepLines w:val="0"/>
        <w:pageBreakBefore w:val="0"/>
        <w:wordWrap w:val="0"/>
        <w:overflowPunct/>
        <w:topLinePunct w:val="0"/>
        <w:bidi w:val="0"/>
        <w:spacing w:before="115" w:line="219"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（1）至提交投标文件截止时，投标文件未完整上传及提交标书；</w:t>
      </w:r>
    </w:p>
    <w:p w14:paraId="0801F50A">
      <w:pPr>
        <w:keepNext w:val="0"/>
        <w:keepLines w:val="0"/>
        <w:pageBreakBefore w:val="0"/>
        <w:wordWrap w:val="0"/>
        <w:overflowPunct/>
        <w:topLinePunct w:val="0"/>
        <w:bidi w:val="0"/>
        <w:spacing w:before="114"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（2）解密失败且在规定时间内未重新提交投标文件的；</w:t>
      </w:r>
    </w:p>
    <w:p w14:paraId="04D5C6EB">
      <w:pPr>
        <w:keepNext w:val="0"/>
        <w:keepLines w:val="0"/>
        <w:pageBreakBefore w:val="0"/>
        <w:wordWrap w:val="0"/>
        <w:overflowPunct/>
        <w:topLinePunct w:val="0"/>
        <w:bidi w:val="0"/>
        <w:spacing w:before="115" w:line="220" w:lineRule="auto"/>
        <w:ind w:left="74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（3）投标文件损坏或格式不正确的；</w:t>
      </w:r>
    </w:p>
    <w:p w14:paraId="43D9083E">
      <w:pPr>
        <w:keepNext w:val="0"/>
        <w:keepLines w:val="0"/>
        <w:pageBreakBefore w:val="0"/>
        <w:wordWrap w:val="0"/>
        <w:overflowPunct/>
        <w:topLinePunct w:val="0"/>
        <w:bidi w:val="0"/>
        <w:spacing w:before="115"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13.6  </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联合体投标的，由联合体牵头人按以上要求递交相关资料。</w:t>
      </w:r>
    </w:p>
    <w:p w14:paraId="7FCFB836">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11" w:right="23"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13.7  </w:t>
      </w:r>
      <w:r>
        <w:rPr>
          <w:rFonts w:hint="eastAsia" w:ascii="宋体" w:hAnsi="宋体" w:eastAsia="宋体" w:cs="宋体"/>
          <w:color w:val="000000" w:themeColor="text1"/>
          <w:spacing w:val="0"/>
          <w:sz w:val="24"/>
          <w:szCs w:val="24"/>
          <w:highlight w:val="none"/>
          <w14:textFill>
            <w14:solidFill>
              <w14:schemeClr w14:val="tx1"/>
            </w14:solidFill>
          </w14:textFill>
        </w:rPr>
        <w:t>招标人或其授权的招标代理机构核对、接收投标人递交的投标相关资料后，应向投标人出具标明签收人和签收时间的凭证，并妥善保管。</w:t>
      </w:r>
    </w:p>
    <w:p w14:paraId="465B9D6E">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13.8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本次招标投标有效期为</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90</w:t>
      </w:r>
      <w:r>
        <w:rPr>
          <w:rFonts w:hint="eastAsia" w:ascii="宋体" w:hAnsi="宋体" w:eastAsia="宋体" w:cs="宋体"/>
          <w:color w:val="000000" w:themeColor="text1"/>
          <w:spacing w:val="0"/>
          <w:sz w:val="24"/>
          <w:szCs w:val="24"/>
          <w:highlight w:val="none"/>
          <w14:textFill>
            <w14:solidFill>
              <w14:schemeClr w14:val="tx1"/>
            </w14:solidFill>
          </w14:textFill>
        </w:rPr>
        <w:t>个日历天，投标有效期从提交投标文件的截止之日起计算。在此期间，投标人不得撤销或修改其投标文件，否则其投标保证不予退还。</w:t>
      </w:r>
    </w:p>
    <w:p w14:paraId="2CB00EB8">
      <w:pPr>
        <w:keepNext w:val="0"/>
        <w:keepLines w:val="0"/>
        <w:pageBreakBefore w:val="0"/>
        <w:wordWrap w:val="0"/>
        <w:overflowPunct/>
        <w:topLinePunct w:val="0"/>
        <w:bidi w:val="0"/>
        <w:spacing w:before="145" w:line="221" w:lineRule="auto"/>
        <w:ind w:left="49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60" w:name="_Toc22047"/>
      <w:bookmarkStart w:id="61" w:name="_Toc21683"/>
      <w:r>
        <w:rPr>
          <w:rFonts w:hint="eastAsia" w:ascii="宋体" w:hAnsi="宋体" w:eastAsia="宋体" w:cs="宋体"/>
          <w:b/>
          <w:bCs/>
          <w:color w:val="000000" w:themeColor="text1"/>
          <w:spacing w:val="0"/>
          <w:sz w:val="24"/>
          <w:szCs w:val="24"/>
          <w:highlight w:val="none"/>
          <w14:textFill>
            <w14:solidFill>
              <w14:schemeClr w14:val="tx1"/>
            </w14:solidFill>
          </w14:textFill>
        </w:rPr>
        <w:t>14 ．开标</w:t>
      </w:r>
      <w:bookmarkEnd w:id="60"/>
      <w:bookmarkEnd w:id="61"/>
    </w:p>
    <w:p w14:paraId="034EB3D3">
      <w:pPr>
        <w:keepNext w:val="0"/>
        <w:keepLines w:val="0"/>
        <w:pageBreakBefore w:val="0"/>
        <w:wordWrap w:val="0"/>
        <w:overflowPunct/>
        <w:topLinePunct w:val="0"/>
        <w:bidi w:val="0"/>
        <w:spacing w:before="155" w:line="329" w:lineRule="auto"/>
        <w:ind w:left="10" w:right="81" w:firstLine="48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  </w:t>
      </w:r>
      <w:r>
        <w:rPr>
          <w:rFonts w:hint="eastAsia" w:ascii="宋体" w:hAnsi="宋体" w:eastAsia="宋体" w:cs="宋体"/>
          <w:color w:val="000000" w:themeColor="text1"/>
          <w:spacing w:val="0"/>
          <w:sz w:val="24"/>
          <w:szCs w:val="24"/>
          <w:highlight w:val="none"/>
          <w14:textFill>
            <w14:solidFill>
              <w14:schemeClr w14:val="tx1"/>
            </w14:solidFill>
          </w14:textFill>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2" w:name="bookmark123"/>
      <w:bookmarkEnd w:id="62"/>
      <w:r>
        <w:rPr>
          <w:rFonts w:hint="eastAsia" w:ascii="宋体" w:hAnsi="宋体" w:eastAsia="宋体" w:cs="宋体"/>
          <w:color w:val="000000" w:themeColor="text1"/>
          <w:spacing w:val="0"/>
          <w:sz w:val="24"/>
          <w:szCs w:val="24"/>
          <w:highlight w:val="none"/>
          <w14:textFill>
            <w14:solidFill>
              <w14:schemeClr w14:val="tx1"/>
            </w14:solidFill>
          </w14:textFill>
        </w:rPr>
        <w:t>标的，视其默认开标结果，以及放弃在开标期间见证、监督、投诉、申辩的权利。</w:t>
      </w:r>
    </w:p>
    <w:p w14:paraId="05862D79">
      <w:pPr>
        <w:keepNext w:val="0"/>
        <w:keepLines w:val="0"/>
        <w:pageBreakBefore w:val="0"/>
        <w:wordWrap w:val="0"/>
        <w:overflowPunct/>
        <w:topLinePunct w:val="0"/>
        <w:bidi w:val="0"/>
        <w:spacing w:before="156"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14.1.1  </w:t>
      </w:r>
      <w:r>
        <w:rPr>
          <w:rFonts w:hint="eastAsia" w:ascii="宋体" w:hAnsi="宋体" w:eastAsia="宋体" w:cs="宋体"/>
          <w:color w:val="000000" w:themeColor="text1"/>
          <w:spacing w:val="0"/>
          <w:sz w:val="24"/>
          <w:szCs w:val="24"/>
          <w:highlight w:val="none"/>
          <w14:textFill>
            <w14:solidFill>
              <w14:schemeClr w14:val="tx1"/>
            </w14:solidFill>
          </w14:textFill>
        </w:rPr>
        <w:t>开标时间和地点：见本章第二节“重要事项时间地点一览表 ”。</w:t>
      </w:r>
    </w:p>
    <w:p w14:paraId="08F091B7">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14.1.2 </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 地点一览表 ”）至电子投标截止时间（见本章第二节“重要事项时间地点一览表 ”） 期间登录全国公共资源交易平台（广东省 ·韶关市）（https://ygp.gdzwfw.gov.cn/ggzy-portal/#/440200/index）查询是否发布了取消开标活动的相关信息。</w:t>
      </w:r>
    </w:p>
    <w:p w14:paraId="55E539B0">
      <w:pPr>
        <w:keepNext w:val="0"/>
        <w:keepLines w:val="0"/>
        <w:pageBreakBefore w:val="0"/>
        <w:wordWrap w:val="0"/>
        <w:overflowPunct/>
        <w:topLinePunct w:val="0"/>
        <w:bidi w:val="0"/>
        <w:spacing w:before="159" w:line="319" w:lineRule="auto"/>
        <w:ind w:left="10" w:right="80" w:firstLine="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14.1.3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7A2CFB6D">
      <w:pPr>
        <w:keepNext w:val="0"/>
        <w:keepLines w:val="0"/>
        <w:pageBreakBefore w:val="0"/>
        <w:wordWrap w:val="0"/>
        <w:overflowPunct/>
        <w:topLinePunct w:val="0"/>
        <w:bidi w:val="0"/>
        <w:spacing w:before="152" w:line="221"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14.2  </w:t>
      </w:r>
      <w:r>
        <w:rPr>
          <w:rFonts w:hint="eastAsia" w:ascii="宋体" w:hAnsi="宋体" w:eastAsia="宋体" w:cs="宋体"/>
          <w:color w:val="000000" w:themeColor="text1"/>
          <w:spacing w:val="0"/>
          <w:sz w:val="24"/>
          <w:szCs w:val="24"/>
          <w:highlight w:val="none"/>
          <w14:textFill>
            <w14:solidFill>
              <w14:schemeClr w14:val="tx1"/>
            </w14:solidFill>
          </w14:textFill>
        </w:rPr>
        <w:t>开标程序</w:t>
      </w:r>
    </w:p>
    <w:p w14:paraId="48C37DE6">
      <w:pPr>
        <w:keepNext w:val="0"/>
        <w:keepLines w:val="0"/>
        <w:pageBreakBefore w:val="0"/>
        <w:wordWrap w:val="0"/>
        <w:overflowPunct/>
        <w:topLinePunct w:val="0"/>
        <w:bidi w:val="0"/>
        <w:spacing w:before="42"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63" w:name="_Toc15587"/>
      <w:bookmarkStart w:id="64" w:name="_Toc10291"/>
      <w:bookmarkStart w:id="65" w:name="_Toc10685"/>
      <w:bookmarkStart w:id="66" w:name="_Toc8314"/>
      <w:r>
        <w:rPr>
          <w:rFonts w:hint="eastAsia" w:ascii="宋体" w:hAnsi="宋体" w:eastAsia="宋体" w:cs="宋体"/>
          <w:color w:val="000000" w:themeColor="text1"/>
          <w:spacing w:val="0"/>
          <w:sz w:val="24"/>
          <w:szCs w:val="24"/>
          <w:highlight w:val="none"/>
          <w14:textFill>
            <w14:solidFill>
              <w14:schemeClr w14:val="tx1"/>
            </w14:solidFill>
          </w14:textFill>
        </w:rPr>
        <w:t>（1）主持人（招标人代表或招标人授权的招标代理机构人员）宣读开标纪律。</w:t>
      </w:r>
      <w:bookmarkEnd w:id="63"/>
      <w:bookmarkEnd w:id="64"/>
      <w:bookmarkEnd w:id="65"/>
      <w:bookmarkEnd w:id="66"/>
    </w:p>
    <w:p w14:paraId="776645C0">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67" w:name="_Toc30853"/>
      <w:bookmarkStart w:id="68" w:name="_Toc2011"/>
      <w:bookmarkStart w:id="69" w:name="_Toc20238"/>
      <w:bookmarkStart w:id="70" w:name="_Toc16292"/>
      <w:r>
        <w:rPr>
          <w:rFonts w:hint="eastAsia" w:ascii="宋体" w:hAnsi="宋体" w:eastAsia="宋体" w:cs="宋体"/>
          <w:color w:val="000000" w:themeColor="text1"/>
          <w:spacing w:val="0"/>
          <w:sz w:val="24"/>
          <w:szCs w:val="24"/>
          <w:highlight w:val="none"/>
          <w14:textFill>
            <w14:solidFill>
              <w14:schemeClr w14:val="tx1"/>
            </w14:solidFill>
          </w14:textFill>
        </w:rPr>
        <w:t>（2）主持人宣布唱标人、记录人、见证人、监督人等有关人员姓名。</w:t>
      </w:r>
      <w:bookmarkEnd w:id="67"/>
      <w:bookmarkEnd w:id="68"/>
      <w:bookmarkEnd w:id="69"/>
      <w:bookmarkEnd w:id="70"/>
    </w:p>
    <w:p w14:paraId="505384A6">
      <w:pPr>
        <w:keepNext w:val="0"/>
        <w:keepLines w:val="0"/>
        <w:pageBreakBefore w:val="0"/>
        <w:wordWrap w:val="0"/>
        <w:overflowPunct/>
        <w:topLinePunct w:val="0"/>
        <w:bidi w:val="0"/>
        <w:spacing w:before="183"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1" w:name="_Toc31716"/>
      <w:bookmarkStart w:id="72" w:name="_Toc17462"/>
      <w:bookmarkStart w:id="73" w:name="_Toc1974"/>
      <w:bookmarkStart w:id="74" w:name="_Toc26494"/>
      <w:r>
        <w:rPr>
          <w:rFonts w:hint="eastAsia" w:ascii="宋体" w:hAnsi="宋体" w:eastAsia="宋体" w:cs="宋体"/>
          <w:color w:val="000000" w:themeColor="text1"/>
          <w:spacing w:val="0"/>
          <w:sz w:val="24"/>
          <w:szCs w:val="24"/>
          <w:highlight w:val="none"/>
          <w14:textFill>
            <w14:solidFill>
              <w14:schemeClr w14:val="tx1"/>
            </w14:solidFill>
          </w14:textFill>
        </w:rPr>
        <w:t>（3）唱标人公布在投标截止时间前进行投标文件的投标人数量和名称</w:t>
      </w:r>
      <w:bookmarkEnd w:id="71"/>
      <w:bookmarkEnd w:id="72"/>
      <w:bookmarkEnd w:id="73"/>
      <w:bookmarkEnd w:id="74"/>
    </w:p>
    <w:p w14:paraId="224B54ED">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5" w:name="_Toc20559"/>
      <w:bookmarkStart w:id="76" w:name="_Toc27967"/>
      <w:bookmarkStart w:id="77" w:name="_Toc8179"/>
      <w:bookmarkStart w:id="78" w:name="_Toc15860"/>
      <w:r>
        <w:rPr>
          <w:rFonts w:hint="eastAsia" w:ascii="宋体" w:hAnsi="宋体" w:eastAsia="宋体" w:cs="宋体"/>
          <w:color w:val="000000" w:themeColor="text1"/>
          <w:spacing w:val="0"/>
          <w:sz w:val="24"/>
          <w:szCs w:val="24"/>
          <w:highlight w:val="none"/>
          <w14:textFill>
            <w14:solidFill>
              <w14:schemeClr w14:val="tx1"/>
            </w14:solidFill>
          </w14:textFill>
        </w:rPr>
        <w:t>（4）招标代理机构会同交易场所工作人员对投标人的电子投标信息进行解密，</w:t>
      </w:r>
      <w:bookmarkEnd w:id="75"/>
      <w:bookmarkEnd w:id="76"/>
      <w:bookmarkEnd w:id="77"/>
      <w:bookmarkEnd w:id="78"/>
    </w:p>
    <w:p w14:paraId="0C0A9C7B">
      <w:pPr>
        <w:keepNext w:val="0"/>
        <w:keepLines w:val="0"/>
        <w:pageBreakBefore w:val="0"/>
        <w:wordWrap w:val="0"/>
        <w:overflowPunct/>
        <w:topLinePunct w:val="0"/>
        <w:bidi w:val="0"/>
        <w:spacing w:before="183" w:line="220"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建设工程交易系统自动生成《投标保证缴纳情况表》和《开标一览表》。</w:t>
      </w:r>
    </w:p>
    <w:p w14:paraId="7C434C90">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79" w:name="_Toc2199"/>
      <w:bookmarkStart w:id="80" w:name="_Toc28266"/>
      <w:bookmarkStart w:id="81" w:name="_Toc28812"/>
      <w:bookmarkStart w:id="82" w:name="_Toc26216"/>
      <w:r>
        <w:rPr>
          <w:rFonts w:hint="eastAsia" w:ascii="宋体" w:hAnsi="宋体" w:eastAsia="宋体" w:cs="宋体"/>
          <w:b/>
          <w:bCs/>
          <w:color w:val="000000" w:themeColor="text1"/>
          <w:spacing w:val="0"/>
          <w:sz w:val="24"/>
          <w:szCs w:val="24"/>
          <w:highlight w:val="none"/>
          <w14:textFill>
            <w14:solidFill>
              <w14:schemeClr w14:val="tx1"/>
            </w14:solidFill>
          </w14:textFill>
        </w:rPr>
        <w:t>温馨提示：因本项目实行全流程电子化招标投标，投标人无须进行现场签到，可</w:t>
      </w:r>
      <w:bookmarkEnd w:id="79"/>
      <w:bookmarkEnd w:id="80"/>
      <w:bookmarkEnd w:id="81"/>
      <w:r>
        <w:rPr>
          <w:rFonts w:hint="eastAsia" w:ascii="宋体" w:hAnsi="宋体" w:eastAsia="宋体" w:cs="宋体"/>
          <w:b/>
          <w:bCs/>
          <w:color w:val="000000" w:themeColor="text1"/>
          <w:spacing w:val="0"/>
          <w:sz w:val="24"/>
          <w:szCs w:val="24"/>
          <w:highlight w:val="none"/>
          <w14:textFill>
            <w14:solidFill>
              <w14:schemeClr w14:val="tx1"/>
            </w14:solidFill>
          </w14:textFill>
        </w:rPr>
        <w:t>登录交易平台观看开标实况、提出异议或进行澄清、确认等操作，对开标事项的异议未在开标期间提出的，招标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人不</w:t>
      </w:r>
      <w:r>
        <w:rPr>
          <w:rFonts w:hint="eastAsia" w:ascii="宋体" w:hAnsi="宋体" w:eastAsia="宋体" w:cs="宋体"/>
          <w:b/>
          <w:bCs/>
          <w:color w:val="000000" w:themeColor="text1"/>
          <w:spacing w:val="0"/>
          <w:sz w:val="24"/>
          <w:szCs w:val="24"/>
          <w:highlight w:val="none"/>
          <w14:textFill>
            <w14:solidFill>
              <w14:schemeClr w14:val="tx1"/>
            </w14:solidFill>
          </w14:textFill>
        </w:rPr>
        <w:t>予受理。具体按招标文件和系统操作手册为准。</w:t>
      </w:r>
      <w:bookmarkEnd w:id="82"/>
    </w:p>
    <w:p w14:paraId="29DDC04A">
      <w:pPr>
        <w:keepNext w:val="0"/>
        <w:keepLines w:val="0"/>
        <w:pageBreakBefore w:val="0"/>
        <w:wordWrap w:val="0"/>
        <w:overflowPunct/>
        <w:topLinePunct w:val="0"/>
        <w:bidi w:val="0"/>
        <w:spacing w:before="143" w:line="299" w:lineRule="auto"/>
        <w:ind w:left="11" w:right="80" w:firstLine="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14.3  </w:t>
      </w:r>
      <w:r>
        <w:rPr>
          <w:rFonts w:hint="eastAsia" w:ascii="宋体" w:hAnsi="宋体" w:eastAsia="宋体" w:cs="宋体"/>
          <w:color w:val="000000" w:themeColor="text1"/>
          <w:spacing w:val="0"/>
          <w:sz w:val="24"/>
          <w:szCs w:val="24"/>
          <w:highlight w:val="none"/>
          <w14:textFill>
            <w14:solidFill>
              <w14:schemeClr w14:val="tx1"/>
            </w14:solidFill>
          </w14:textFill>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1DB30EA2">
      <w:pPr>
        <w:keepNext w:val="0"/>
        <w:keepLines w:val="0"/>
        <w:pageBreakBefore w:val="0"/>
        <w:wordWrap w:val="0"/>
        <w:overflowPunct/>
        <w:topLinePunct w:val="0"/>
        <w:bidi w:val="0"/>
        <w:spacing w:before="155" w:line="279" w:lineRule="auto"/>
        <w:ind w:left="8" w:right="82" w:firstLine="48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14.4 </w:t>
      </w:r>
      <w:r>
        <w:rPr>
          <w:rFonts w:hint="eastAsia" w:ascii="宋体" w:hAnsi="宋体" w:eastAsia="宋体" w:cs="宋体"/>
          <w:color w:val="000000" w:themeColor="text1"/>
          <w:spacing w:val="0"/>
          <w:sz w:val="24"/>
          <w:szCs w:val="24"/>
          <w:highlight w:val="none"/>
          <w14:textFill>
            <w14:solidFill>
              <w14:schemeClr w14:val="tx1"/>
            </w14:solidFill>
          </w14:textFill>
        </w:rPr>
        <w:t>招标代理机构将资料原件（如有）、《开标一览表》以及其他有关资料移交评标委员会。</w:t>
      </w:r>
    </w:p>
    <w:p w14:paraId="2E809B78">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000000" w:themeColor="text1"/>
          <w:spacing w:val="0"/>
          <w:highlight w:val="none"/>
          <w14:textFill>
            <w14:solidFill>
              <w14:schemeClr w14:val="tx1"/>
            </w14:solidFill>
          </w14:textFill>
        </w:rPr>
      </w:pPr>
      <w:bookmarkStart w:id="83" w:name="_Toc961"/>
      <w:bookmarkStart w:id="84" w:name="_Toc11616"/>
      <w:r>
        <w:rPr>
          <w:rFonts w:hint="eastAsia" w:ascii="宋体" w:hAnsi="宋体" w:eastAsia="宋体" w:cs="宋体"/>
          <w:b/>
          <w:bCs/>
          <w:color w:val="000000" w:themeColor="text1"/>
          <w:spacing w:val="0"/>
          <w:sz w:val="24"/>
          <w:szCs w:val="24"/>
          <w:highlight w:val="none"/>
          <w14:textFill>
            <w14:solidFill>
              <w14:schemeClr w14:val="tx1"/>
            </w14:solidFill>
          </w14:textFill>
        </w:rPr>
        <w:t>15 ．评标</w:t>
      </w:r>
      <w:bookmarkEnd w:id="83"/>
      <w:bookmarkEnd w:id="84"/>
    </w:p>
    <w:p w14:paraId="6B3E0F13">
      <w:pPr>
        <w:keepNext w:val="0"/>
        <w:keepLines w:val="0"/>
        <w:pageBreakBefore w:val="0"/>
        <w:wordWrap w:val="0"/>
        <w:overflowPunct/>
        <w:topLinePunct w:val="0"/>
        <w:bidi w:val="0"/>
        <w:spacing w:before="78" w:line="331" w:lineRule="auto"/>
        <w:ind w:left="8"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bookmarkStart w:id="85" w:name="bookmark124"/>
      <w:bookmarkEnd w:id="85"/>
      <w:r>
        <w:rPr>
          <w:rFonts w:hint="eastAsia" w:ascii="宋体" w:hAnsi="宋体" w:eastAsia="宋体" w:cs="宋体"/>
          <w:color w:val="000000" w:themeColor="text1"/>
          <w:spacing w:val="0"/>
          <w:sz w:val="24"/>
          <w:szCs w:val="24"/>
          <w:highlight w:val="none"/>
          <w14:textFill>
            <w14:solidFill>
              <w14:schemeClr w14:val="tx1"/>
            </w14:solidFill>
          </w14:textFill>
        </w:rPr>
        <w:t>评标分为初步评审和详细评审两个阶段，由评标委员会在有关部门的监督下，严格按照本招标文件指定的评标方法，对投标人的投标文件进行审查、评审。评标委员会完成评标后，评标委员会按照投标人评审综合总得分由高到低的原则,向招标人推荐已明确的定标候选人数量（不标明排序），并向招标人提交由全体评标委员会成员签字的评标报告。</w:t>
      </w:r>
    </w:p>
    <w:p w14:paraId="1AE0EC81">
      <w:pPr>
        <w:keepNext w:val="0"/>
        <w:keepLines w:val="0"/>
        <w:pageBreakBefore w:val="0"/>
        <w:wordWrap w:val="0"/>
        <w:overflowPunct/>
        <w:topLinePunct w:val="0"/>
        <w:bidi w:val="0"/>
        <w:spacing w:before="38" w:line="219"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  </w:t>
      </w:r>
      <w:r>
        <w:rPr>
          <w:rFonts w:hint="eastAsia" w:ascii="宋体" w:hAnsi="宋体" w:eastAsia="宋体" w:cs="宋体"/>
          <w:color w:val="000000" w:themeColor="text1"/>
          <w:spacing w:val="0"/>
          <w:sz w:val="24"/>
          <w:szCs w:val="24"/>
          <w:highlight w:val="none"/>
          <w14:textFill>
            <w14:solidFill>
              <w14:schemeClr w14:val="tx1"/>
            </w14:solidFill>
          </w14:textFill>
        </w:rPr>
        <w:t>评标委员会</w:t>
      </w:r>
    </w:p>
    <w:p w14:paraId="31B92F0C">
      <w:pPr>
        <w:keepNext w:val="0"/>
        <w:keepLines w:val="0"/>
        <w:pageBreakBefore w:val="0"/>
        <w:wordWrap w:val="0"/>
        <w:overflowPunct/>
        <w:topLinePunct w:val="0"/>
        <w:bidi w:val="0"/>
        <w:spacing w:before="155" w:line="324" w:lineRule="auto"/>
        <w:ind w:left="10" w:right="65" w:firstLine="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15.1.1 </w:t>
      </w:r>
      <w:r>
        <w:rPr>
          <w:rFonts w:hint="eastAsia" w:ascii="宋体" w:hAnsi="宋体" w:eastAsia="宋体" w:cs="宋体"/>
          <w:color w:val="000000" w:themeColor="text1"/>
          <w:spacing w:val="0"/>
          <w:sz w:val="24"/>
          <w:szCs w:val="24"/>
          <w:highlight w:val="none"/>
          <w14:textFill>
            <w14:solidFill>
              <w14:schemeClr w14:val="tx1"/>
            </w14:solidFill>
          </w14:textFill>
        </w:rPr>
        <w:t>评标委员会由</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人组成，其中招标人代表</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0 </w:t>
      </w:r>
      <w:r>
        <w:rPr>
          <w:rFonts w:hint="eastAsia" w:ascii="宋体" w:hAnsi="宋体" w:eastAsia="宋体" w:cs="宋体"/>
          <w:color w:val="000000" w:themeColor="text1"/>
          <w:spacing w:val="0"/>
          <w:sz w:val="24"/>
          <w:szCs w:val="24"/>
          <w:highlight w:val="none"/>
          <w14:textFill>
            <w14:solidFill>
              <w14:schemeClr w14:val="tx1"/>
            </w14:solidFill>
          </w14:textFill>
        </w:rPr>
        <w:t>人，专家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人。专家从</w:t>
      </w:r>
      <w:r>
        <w:rPr>
          <w:rFonts w:hint="eastAsia" w:ascii="宋体" w:hAnsi="宋体" w:eastAsia="宋体" w:cs="宋体"/>
          <w:color w:val="000000" w:themeColor="text1"/>
          <w:spacing w:val="0"/>
          <w:sz w:val="24"/>
          <w:szCs w:val="24"/>
          <w:highlight w:val="none"/>
          <w:u w:val="none"/>
          <w14:textFill>
            <w14:solidFill>
              <w14:schemeClr w14:val="tx1"/>
            </w14:solidFill>
          </w14:textFill>
        </w:rPr>
        <w:t>广东省综合评标评审专家库</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韶关</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市</w:t>
      </w:r>
      <w:r>
        <w:rPr>
          <w:rFonts w:hint="eastAsia" w:ascii="宋体" w:hAnsi="宋体" w:eastAsia="宋体" w:cs="宋体"/>
          <w:color w:val="000000" w:themeColor="text1"/>
          <w:spacing w:val="0"/>
          <w:sz w:val="24"/>
          <w:szCs w:val="24"/>
          <w:highlight w:val="none"/>
          <w:u w:val="single"/>
          <w14:textFill>
            <w14:solidFill>
              <w14:schemeClr w14:val="tx1"/>
            </w14:solidFill>
          </w14:textFill>
        </w:rPr>
        <w:t>区域</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广东省内异地评标区域</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中随机抽取，其中技术类专家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3 </w:t>
      </w:r>
      <w:r>
        <w:rPr>
          <w:rFonts w:hint="eastAsia" w:ascii="宋体" w:hAnsi="宋体" w:eastAsia="宋体" w:cs="宋体"/>
          <w:color w:val="000000" w:themeColor="text1"/>
          <w:spacing w:val="0"/>
          <w:sz w:val="24"/>
          <w:szCs w:val="24"/>
          <w:highlight w:val="none"/>
          <w14:textFill>
            <w14:solidFill>
              <w14:schemeClr w14:val="tx1"/>
            </w14:solidFill>
          </w14:textFill>
        </w:rPr>
        <w:t>人，经济类专家</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2 </w:t>
      </w:r>
      <w:r>
        <w:rPr>
          <w:rFonts w:hint="eastAsia" w:ascii="宋体" w:hAnsi="宋体" w:eastAsia="宋体" w:cs="宋体"/>
          <w:color w:val="000000" w:themeColor="text1"/>
          <w:spacing w:val="0"/>
          <w:sz w:val="24"/>
          <w:szCs w:val="24"/>
          <w:highlight w:val="none"/>
          <w14:textFill>
            <w14:solidFill>
              <w14:schemeClr w14:val="tx1"/>
            </w14:solidFill>
          </w14:textFill>
        </w:rPr>
        <w:t>人。评标委员会设负责人，由评标委员会成员推举产生。评标委员会负责人与评标委员会的其他成员有同等的表决权。</w:t>
      </w:r>
    </w:p>
    <w:p w14:paraId="3773E95D">
      <w:pPr>
        <w:keepNext w:val="0"/>
        <w:keepLines w:val="0"/>
        <w:pageBreakBefore w:val="0"/>
        <w:wordWrap w:val="0"/>
        <w:overflowPunct/>
        <w:topLinePunct w:val="0"/>
        <w:bidi w:val="0"/>
        <w:spacing w:before="32" w:line="280" w:lineRule="auto"/>
        <w:ind w:left="13" w:right="7" w:firstLine="5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15.1.2  </w:t>
      </w:r>
      <w:r>
        <w:rPr>
          <w:rFonts w:hint="eastAsia" w:ascii="宋体" w:hAnsi="宋体" w:eastAsia="宋体" w:cs="宋体"/>
          <w:color w:val="000000" w:themeColor="text1"/>
          <w:spacing w:val="0"/>
          <w:sz w:val="24"/>
          <w:szCs w:val="24"/>
          <w:highlight w:val="none"/>
          <w14:textFill>
            <w14:solidFill>
              <w14:schemeClr w14:val="tx1"/>
            </w14:solidFill>
          </w14:textFill>
        </w:rPr>
        <w:t>评标委员会应认真、公正、诚实、廉洁地履行职责。有下列情形之一的，不得担任评标委员会成员：</w:t>
      </w:r>
    </w:p>
    <w:p w14:paraId="630ECC06">
      <w:pPr>
        <w:keepNext w:val="0"/>
        <w:keepLines w:val="0"/>
        <w:pageBreakBefore w:val="0"/>
        <w:wordWrap w:val="0"/>
        <w:overflowPunct/>
        <w:topLinePunct w:val="0"/>
        <w:bidi w:val="0"/>
        <w:spacing w:before="154"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（1）投标人或投标人主要负责人的近亲属；</w:t>
      </w:r>
    </w:p>
    <w:p w14:paraId="6812A920">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（2）项目主管部门或者行政监督部门的人员；</w:t>
      </w:r>
    </w:p>
    <w:p w14:paraId="4E3A1FF1">
      <w:pPr>
        <w:keepNext w:val="0"/>
        <w:keepLines w:val="0"/>
        <w:pageBreakBefore w:val="0"/>
        <w:wordWrap w:val="0"/>
        <w:overflowPunct/>
        <w:topLinePunct w:val="0"/>
        <w:bidi w:val="0"/>
        <w:spacing w:before="155" w:line="221"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（3）与投标人有经济利益关系，可能影响对投标公正评审的；</w:t>
      </w:r>
    </w:p>
    <w:p w14:paraId="6C955D4C">
      <w:pPr>
        <w:keepNext w:val="0"/>
        <w:keepLines w:val="0"/>
        <w:pageBreakBefore w:val="0"/>
        <w:wordWrap w:val="0"/>
        <w:overflowPunct/>
        <w:topLinePunct w:val="0"/>
        <w:bidi w:val="0"/>
        <w:spacing w:before="153" w:line="279" w:lineRule="auto"/>
        <w:ind w:left="8" w:right="65" w:firstLine="57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（4）曾因在招标、评标以及其他与招标投标有关活动中从事违法行为而受过行政处罚或刑事处罚的。</w:t>
      </w:r>
    </w:p>
    <w:p w14:paraId="3C4B0D01">
      <w:pPr>
        <w:keepNext w:val="0"/>
        <w:keepLines w:val="0"/>
        <w:pageBreakBefore w:val="0"/>
        <w:wordWrap w:val="0"/>
        <w:overflowPunct/>
        <w:topLinePunct w:val="0"/>
        <w:bidi w:val="0"/>
        <w:spacing w:before="155"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评标委员会成员有以上情形之一的，应主动提出回避。</w:t>
      </w:r>
    </w:p>
    <w:p w14:paraId="779D0486">
      <w:pPr>
        <w:keepNext w:val="0"/>
        <w:keepLines w:val="0"/>
        <w:pageBreakBefore w:val="0"/>
        <w:wordWrap w:val="0"/>
        <w:overflowPunct/>
        <w:topLinePunct w:val="0"/>
        <w:bidi w:val="0"/>
        <w:spacing w:before="154" w:line="279" w:lineRule="auto"/>
        <w:ind w:left="8" w:right="6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15.1.3  </w:t>
      </w:r>
      <w:r>
        <w:rPr>
          <w:rFonts w:hint="eastAsia" w:ascii="宋体" w:hAnsi="宋体" w:eastAsia="宋体" w:cs="宋体"/>
          <w:color w:val="000000" w:themeColor="text1"/>
          <w:spacing w:val="0"/>
          <w:sz w:val="24"/>
          <w:szCs w:val="24"/>
          <w:highlight w:val="none"/>
          <w14:textFill>
            <w14:solidFill>
              <w14:schemeClr w14:val="tx1"/>
            </w14:solidFill>
          </w14:textFill>
        </w:rPr>
        <w:t>评标全过程实行封闭式管理，在中标结果公布前，禁止评标委员会成员以任何方式私下接触投标人。</w:t>
      </w:r>
    </w:p>
    <w:p w14:paraId="4E1CA66A">
      <w:pPr>
        <w:keepNext w:val="0"/>
        <w:keepLines w:val="0"/>
        <w:pageBreakBefore w:val="0"/>
        <w:wordWrap w:val="0"/>
        <w:overflowPunct/>
        <w:topLinePunct w:val="0"/>
        <w:bidi w:val="0"/>
        <w:spacing w:before="157" w:line="298" w:lineRule="auto"/>
        <w:ind w:left="11" w:right="65" w:firstLine="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15.1.4  </w:t>
      </w:r>
      <w:r>
        <w:rPr>
          <w:rFonts w:hint="eastAsia" w:ascii="宋体" w:hAnsi="宋体" w:eastAsia="宋体" w:cs="宋体"/>
          <w:color w:val="000000" w:themeColor="text1"/>
          <w:spacing w:val="0"/>
          <w:sz w:val="24"/>
          <w:szCs w:val="24"/>
          <w:highlight w:val="none"/>
          <w14:textFill>
            <w14:solidFill>
              <w14:schemeClr w14:val="tx1"/>
            </w14:solidFill>
          </w14:textFill>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2761184C">
      <w:pPr>
        <w:keepNext w:val="0"/>
        <w:keepLines w:val="0"/>
        <w:pageBreakBefore w:val="0"/>
        <w:wordWrap w:val="0"/>
        <w:overflowPunct/>
        <w:topLinePunct w:val="0"/>
        <w:bidi w:val="0"/>
        <w:spacing w:before="156" w:line="309" w:lineRule="auto"/>
        <w:ind w:left="8" w:right="65" w:firstLine="56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15.1.5  </w:t>
      </w:r>
      <w:r>
        <w:rPr>
          <w:rFonts w:hint="eastAsia" w:ascii="宋体" w:hAnsi="宋体" w:eastAsia="宋体" w:cs="宋体"/>
          <w:color w:val="000000" w:themeColor="text1"/>
          <w:spacing w:val="0"/>
          <w:sz w:val="24"/>
          <w:szCs w:val="24"/>
          <w:highlight w:val="none"/>
          <w14:textFill>
            <w14:solidFill>
              <w14:schemeClr w14:val="tx1"/>
            </w14:solidFill>
          </w14:textFill>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3267A2AD">
      <w:pPr>
        <w:keepNext w:val="0"/>
        <w:keepLines w:val="0"/>
        <w:pageBreakBefore w:val="0"/>
        <w:wordWrap w:val="0"/>
        <w:overflowPunct/>
        <w:topLinePunct w:val="0"/>
        <w:bidi w:val="0"/>
        <w:spacing w:before="79" w:line="221" w:lineRule="auto"/>
        <w:ind w:left="5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15.2  </w:t>
      </w:r>
      <w:r>
        <w:rPr>
          <w:rFonts w:hint="eastAsia" w:ascii="宋体" w:hAnsi="宋体" w:eastAsia="宋体" w:cs="宋体"/>
          <w:color w:val="000000" w:themeColor="text1"/>
          <w:spacing w:val="0"/>
          <w:sz w:val="24"/>
          <w:szCs w:val="24"/>
          <w:highlight w:val="none"/>
          <w14:textFill>
            <w14:solidFill>
              <w14:schemeClr w14:val="tx1"/>
            </w14:solidFill>
          </w14:textFill>
        </w:rPr>
        <w:t>评标方法</w:t>
      </w:r>
    </w:p>
    <w:p w14:paraId="31CCE9AE">
      <w:pPr>
        <w:keepNext w:val="0"/>
        <w:keepLines w:val="0"/>
        <w:pageBreakBefore w:val="0"/>
        <w:wordWrap w:val="0"/>
        <w:overflowPunct/>
        <w:topLinePunct w:val="0"/>
        <w:bidi w:val="0"/>
        <w:spacing w:before="78" w:line="326" w:lineRule="auto"/>
        <w:ind w:left="231" w:right="181" w:firstLine="560"/>
        <w:rPr>
          <w:rFonts w:hint="eastAsia" w:ascii="宋体" w:hAnsi="宋体" w:eastAsia="宋体" w:cs="宋体"/>
          <w:color w:val="000000" w:themeColor="text1"/>
          <w:spacing w:val="0"/>
          <w:highlight w:val="none"/>
          <w14:textFill>
            <w14:solidFill>
              <w14:schemeClr w14:val="tx1"/>
            </w14:solidFill>
          </w14:textFill>
        </w:rPr>
      </w:pPr>
      <w:bookmarkStart w:id="86" w:name="bookmark125"/>
      <w:bookmarkEnd w:id="86"/>
      <w:r>
        <w:rPr>
          <w:rFonts w:hint="eastAsia" w:ascii="宋体" w:hAnsi="宋体" w:eastAsia="宋体" w:cs="宋体"/>
          <w:color w:val="000000" w:themeColor="text1"/>
          <w:spacing w:val="0"/>
          <w:sz w:val="24"/>
          <w:szCs w:val="24"/>
          <w:highlight w:val="none"/>
          <w14:textFill>
            <w14:solidFill>
              <w14:schemeClr w14:val="tx1"/>
            </w14:solidFill>
          </w14:textFill>
        </w:rPr>
        <w:t>根据有关法律、法规的相关规定，结合本招标项目资金来源和规模特点，本次招标采用</w:t>
      </w: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 xml:space="preserve"> 综合评估法 </w:t>
      </w:r>
      <w:r>
        <w:rPr>
          <w:rFonts w:hint="eastAsia" w:ascii="宋体" w:hAnsi="宋体" w:eastAsia="宋体" w:cs="宋体"/>
          <w:color w:val="000000" w:themeColor="text1"/>
          <w:spacing w:val="0"/>
          <w:sz w:val="24"/>
          <w:szCs w:val="24"/>
          <w:highlight w:val="none"/>
          <w:u w:val="singl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评标方法名称）进行评标。</w:t>
      </w:r>
    </w:p>
    <w:p w14:paraId="444FBDD2">
      <w:pPr>
        <w:keepNext w:val="0"/>
        <w:keepLines w:val="0"/>
        <w:pageBreakBefore w:val="0"/>
        <w:wordWrap w:val="0"/>
        <w:overflowPunct/>
        <w:topLinePunct w:val="0"/>
        <w:bidi w:val="0"/>
        <w:spacing w:before="154" w:line="269" w:lineRule="auto"/>
        <w:ind w:left="220" w:right="33" w:firstLine="496"/>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15.3  </w:t>
      </w:r>
      <w:r>
        <w:rPr>
          <w:rFonts w:hint="eastAsia" w:ascii="宋体" w:hAnsi="宋体" w:eastAsia="宋体" w:cs="宋体"/>
          <w:color w:val="000000" w:themeColor="text1"/>
          <w:spacing w:val="0"/>
          <w:sz w:val="24"/>
          <w:szCs w:val="24"/>
          <w:highlight w:val="none"/>
          <w14:textFill>
            <w14:solidFill>
              <w14:schemeClr w14:val="tx1"/>
            </w14:solidFill>
          </w14:textFill>
        </w:rPr>
        <w:t>评审范围：评标委员会应对所有投标人的投标文件进行评审。</w:t>
      </w:r>
    </w:p>
    <w:p w14:paraId="0A158934">
      <w:pPr>
        <w:keepNext w:val="0"/>
        <w:keepLines w:val="0"/>
        <w:pageBreakBefore w:val="0"/>
        <w:wordWrap w:val="0"/>
        <w:overflowPunct/>
        <w:topLinePunct w:val="0"/>
        <w:bidi w:val="0"/>
        <w:spacing w:before="153" w:line="220" w:lineRule="auto"/>
        <w:ind w:left="7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  </w:t>
      </w:r>
      <w:r>
        <w:rPr>
          <w:rFonts w:hint="eastAsia" w:ascii="宋体" w:hAnsi="宋体" w:eastAsia="宋体" w:cs="宋体"/>
          <w:color w:val="000000" w:themeColor="text1"/>
          <w:spacing w:val="0"/>
          <w:sz w:val="24"/>
          <w:szCs w:val="24"/>
          <w:highlight w:val="none"/>
          <w14:textFill>
            <w14:solidFill>
              <w14:schemeClr w14:val="tx1"/>
            </w14:solidFill>
          </w14:textFill>
        </w:rPr>
        <w:t>初步评审阶段</w:t>
      </w:r>
    </w:p>
    <w:p w14:paraId="0814EC29">
      <w:pPr>
        <w:keepNext w:val="0"/>
        <w:keepLines w:val="0"/>
        <w:pageBreakBefore w:val="0"/>
        <w:wordWrap w:val="0"/>
        <w:overflowPunct/>
        <w:topLinePunct w:val="0"/>
        <w:bidi w:val="0"/>
        <w:spacing w:before="153" w:line="220" w:lineRule="auto"/>
        <w:ind w:left="70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初步评审阶段分为资格评审、形式评审和响应性评审三个环节。</w:t>
      </w:r>
    </w:p>
    <w:p w14:paraId="58B00498">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资格评审环节 资格评审事项</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包括</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18695609">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（1）投标人是否符合本章第三节第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”规定。如果“禁止投标条款 ”包括失信惩戒的，投标人信用信息的获取采用现场实时查询的方式实施。由</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评标委员会</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登录信用中国网站（https://www.creditchina.gov.cn），在企业查询界面下载和打印《法人和非法人组织公共信用信息报告》。 </w:t>
      </w:r>
    </w:p>
    <w:p w14:paraId="375F7385">
      <w:pPr>
        <w:keepNext w:val="0"/>
        <w:keepLines w:val="0"/>
        <w:pageBreakBefore w:val="0"/>
        <w:wordWrap w:val="0"/>
        <w:overflowPunct/>
        <w:topLinePunct w:val="0"/>
        <w:bidi w:val="0"/>
        <w:spacing w:before="155" w:line="219" w:lineRule="auto"/>
        <w:ind w:left="72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（2）投标人名称是否与营业执照、资质证书、安全生产许可证一致。</w:t>
      </w:r>
    </w:p>
    <w:p w14:paraId="164D7887">
      <w:pPr>
        <w:keepNext w:val="0"/>
        <w:keepLines w:val="0"/>
        <w:pageBreakBefore w:val="0"/>
        <w:widowControl/>
        <w:kinsoku w:val="0"/>
        <w:wordWrap w:val="0"/>
        <w:overflowPunct/>
        <w:topLinePunct w:val="0"/>
        <w:autoSpaceDE w:val="0"/>
        <w:autoSpaceDN w:val="0"/>
        <w:bidi w:val="0"/>
        <w:adjustRightInd w:val="0"/>
        <w:snapToGrid w:val="0"/>
        <w:spacing w:before="155" w:line="286" w:lineRule="auto"/>
        <w:ind w:left="232" w:right="96" w:firstLine="48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（3）投标人的资质是否符合招标文件规定；其营业执照、资质证书、安全生产许可证（含实时网页查询页，可参考网址 https://zlaq.mohurd.gov.cn/fwmh/bjxcjgl/fwm</w:t>
      </w:r>
      <w:bookmarkStart w:id="87" w:name="bookmark126"/>
      <w:bookmarkEnd w:id="87"/>
      <w:r>
        <w:rPr>
          <w:rFonts w:hint="eastAsia" w:ascii="宋体" w:hAnsi="宋体" w:eastAsia="宋体" w:cs="宋体"/>
          <w:color w:val="000000" w:themeColor="text1"/>
          <w:spacing w:val="0"/>
          <w:position w:val="3"/>
          <w:sz w:val="24"/>
          <w:szCs w:val="24"/>
          <w:highlight w:val="none"/>
          <w14:textFill>
            <w14:solidFill>
              <w14:schemeClr w14:val="tx1"/>
            </w14:solidFill>
          </w14:textFill>
        </w:rPr>
        <w:t>h/pages/construction_safety/qyaqscxkz/qyaqscxkz）是否合法、有效、准确。</w:t>
      </w:r>
    </w:p>
    <w:p w14:paraId="540CBBB1">
      <w:pPr>
        <w:keepNext w:val="0"/>
        <w:keepLines w:val="0"/>
        <w:pageBreakBefore w:val="0"/>
        <w:wordWrap w:val="0"/>
        <w:overflowPunct/>
        <w:topLinePunct w:val="0"/>
        <w:bidi w:val="0"/>
        <w:spacing w:before="144" w:line="219"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（4）《项目经理简历表》中拟派项目经理是否与《开标一览表》一致。</w:t>
      </w:r>
    </w:p>
    <w:p w14:paraId="6B9B0D89">
      <w:pPr>
        <w:keepNext w:val="0"/>
        <w:keepLines w:val="0"/>
        <w:pageBreakBefore w:val="0"/>
        <w:wordWrap w:val="0"/>
        <w:overflowPunct/>
        <w:topLinePunct w:val="0"/>
        <w:bidi w:val="0"/>
        <w:spacing w:before="151" w:line="315" w:lineRule="auto"/>
        <w:ind w:left="11"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33FF0F7A">
      <w:pPr>
        <w:keepNext w:val="0"/>
        <w:keepLines w:val="0"/>
        <w:pageBreakBefore w:val="0"/>
        <w:wordWrap w:val="0"/>
        <w:overflowPunct/>
        <w:topLinePunct w:val="0"/>
        <w:bidi w:val="0"/>
        <w:spacing w:before="156" w:line="298" w:lineRule="auto"/>
        <w:ind w:left="9"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12F54F61">
      <w:pPr>
        <w:keepNext w:val="0"/>
        <w:keepLines w:val="0"/>
        <w:pageBreakBefore w:val="0"/>
        <w:wordWrap w:val="0"/>
        <w:overflowPunct/>
        <w:topLinePunct w:val="0"/>
        <w:bidi w:val="0"/>
        <w:spacing w:before="155" w:line="360" w:lineRule="auto"/>
        <w:ind w:left="8" w:right="2"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（7）投标人为外省建筑企业的，是否按规定在“进粤企业和人员诚信信息登记平台 ”录入企业及其拟派人员有关信息并通过数据规范检查。</w:t>
      </w:r>
    </w:p>
    <w:p w14:paraId="27E19A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88" w:name="_Toc22778"/>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形式评审环节</w:t>
      </w:r>
    </w:p>
    <w:p w14:paraId="72253524">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形式评审事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项包括</w:t>
      </w:r>
      <w:bookmarkEnd w:id="88"/>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4EA57E30">
      <w:pPr>
        <w:keepNext w:val="0"/>
        <w:keepLines w:val="0"/>
        <w:pageBreakBefore w:val="0"/>
        <w:wordWrap w:val="0"/>
        <w:overflowPunct/>
        <w:topLinePunct w:val="0"/>
        <w:bidi w:val="0"/>
        <w:spacing w:before="40" w:line="360" w:lineRule="auto"/>
        <w:ind w:left="501"/>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89" w:name="_Toc23632"/>
      <w:bookmarkStart w:id="90" w:name="_Toc4914"/>
      <w:bookmarkStart w:id="91" w:name="_Toc20481"/>
      <w:bookmarkStart w:id="92" w:name="_Toc13304"/>
      <w:r>
        <w:rPr>
          <w:rFonts w:hint="eastAsia" w:ascii="宋体" w:hAnsi="宋体" w:eastAsia="宋体" w:cs="宋体"/>
          <w:color w:val="000000" w:themeColor="text1"/>
          <w:spacing w:val="0"/>
          <w:sz w:val="24"/>
          <w:szCs w:val="24"/>
          <w:highlight w:val="none"/>
          <w14:textFill>
            <w14:solidFill>
              <w14:schemeClr w14:val="tx1"/>
            </w14:solidFill>
          </w14:textFill>
        </w:rPr>
        <w:t>（1）各分册是否按招标文件规定加盖电子印章。</w:t>
      </w:r>
      <w:bookmarkEnd w:id="89"/>
      <w:bookmarkEnd w:id="90"/>
      <w:bookmarkEnd w:id="91"/>
      <w:bookmarkEnd w:id="92"/>
    </w:p>
    <w:p w14:paraId="1B27A302">
      <w:pPr>
        <w:keepNext w:val="0"/>
        <w:keepLines w:val="0"/>
        <w:pageBreakBefore w:val="0"/>
        <w:wordWrap w:val="0"/>
        <w:overflowPunct/>
        <w:topLinePunct w:val="0"/>
        <w:bidi w:val="0"/>
        <w:spacing w:before="15" w:line="360" w:lineRule="auto"/>
        <w:ind w:firstLine="480" w:firstLineChars="200"/>
        <w:outlineLvl w:val="9"/>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93" w:name="_Toc27432"/>
      <w:bookmarkStart w:id="94" w:name="_Toc28409"/>
      <w:bookmarkStart w:id="95" w:name="_Toc10806"/>
      <w:bookmarkStart w:id="96" w:name="_Toc12756"/>
      <w:r>
        <w:rPr>
          <w:rFonts w:hint="eastAsia" w:ascii="宋体" w:hAnsi="宋体" w:eastAsia="宋体" w:cs="宋体"/>
          <w:color w:val="000000" w:themeColor="text1"/>
          <w:spacing w:val="0"/>
          <w:sz w:val="24"/>
          <w:szCs w:val="24"/>
          <w:highlight w:val="none"/>
          <w14:textFill>
            <w14:solidFill>
              <w14:schemeClr w14:val="tx1"/>
            </w14:solidFill>
          </w14:textFill>
        </w:rPr>
        <w:t>（2）本节第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10.2.2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10.3.2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10.4.3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目中规定的“所有投标人均应提</w:t>
      </w:r>
      <w:bookmarkEnd w:id="93"/>
      <w:bookmarkEnd w:id="94"/>
      <w:bookmarkEnd w:id="95"/>
      <w:r>
        <w:rPr>
          <w:rFonts w:hint="eastAsia" w:ascii="宋体" w:hAnsi="宋体" w:eastAsia="宋体" w:cs="宋体"/>
          <w:color w:val="000000" w:themeColor="text1"/>
          <w:spacing w:val="0"/>
          <w:sz w:val="24"/>
          <w:szCs w:val="24"/>
          <w:highlight w:val="none"/>
          <w14:textFill>
            <w14:solidFill>
              <w14:schemeClr w14:val="tx1"/>
            </w14:solidFill>
          </w14:textFill>
        </w:rPr>
        <w:t>供 ”的组成内容（包括该组成内容的所附资料）是否完整、齐全</w:t>
      </w:r>
      <w:bookmarkEnd w:id="96"/>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15AF52E2">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97" w:name="_Toc9581"/>
      <w:bookmarkStart w:id="98" w:name="_Toc15678"/>
      <w:bookmarkStart w:id="99" w:name="_Toc22691"/>
      <w:bookmarkStart w:id="100" w:name="_Toc17918"/>
      <w:r>
        <w:rPr>
          <w:rFonts w:hint="eastAsia" w:ascii="宋体" w:hAnsi="宋体" w:eastAsia="宋体" w:cs="宋体"/>
          <w:color w:val="000000" w:themeColor="text1"/>
          <w:spacing w:val="0"/>
          <w:sz w:val="24"/>
          <w:szCs w:val="24"/>
          <w:highlight w:val="none"/>
          <w:lang w:eastAsia="zh-CN"/>
          <w14:textFill>
            <w14:solidFill>
              <w14:schemeClr w14:val="tx1"/>
            </w14:solidFill>
          </w14:textFill>
        </w:rPr>
        <w:t>（3）</w:t>
      </w:r>
      <w:r>
        <w:rPr>
          <w:rFonts w:hint="eastAsia" w:ascii="宋体" w:hAnsi="宋体" w:eastAsia="宋体" w:cs="宋体"/>
          <w:color w:val="000000" w:themeColor="text1"/>
          <w:spacing w:val="0"/>
          <w:sz w:val="24"/>
          <w:szCs w:val="24"/>
          <w:highlight w:val="none"/>
          <w14:textFill>
            <w14:solidFill>
              <w14:schemeClr w14:val="tx1"/>
            </w14:solidFill>
          </w14:textFill>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97"/>
      <w:bookmarkEnd w:id="98"/>
      <w:bookmarkEnd w:id="99"/>
      <w:bookmarkEnd w:id="100"/>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p>
    <w:p w14:paraId="5B0B29C4">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01" w:name="_Toc16645"/>
      <w:bookmarkStart w:id="102" w:name="_Toc22562"/>
      <w:bookmarkStart w:id="103" w:name="_Toc14202"/>
      <w:bookmarkStart w:id="104" w:name="_Toc22642"/>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15.4.3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响应性评审环节 </w:t>
      </w:r>
    </w:p>
    <w:p w14:paraId="69F5E200">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响应性评审事</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项</w:t>
      </w:r>
      <w:r>
        <w:rPr>
          <w:rFonts w:hint="eastAsia" w:ascii="宋体" w:hAnsi="宋体" w:eastAsia="宋体" w:cs="宋体"/>
          <w:color w:val="000000" w:themeColor="text1"/>
          <w:spacing w:val="0"/>
          <w:sz w:val="24"/>
          <w:szCs w:val="24"/>
          <w:highlight w:val="none"/>
          <w14:textFill>
            <w14:solidFill>
              <w14:schemeClr w14:val="tx1"/>
            </w14:solidFill>
          </w14:textFill>
        </w:rPr>
        <w:t>包括：</w:t>
      </w:r>
      <w:bookmarkEnd w:id="101"/>
      <w:bookmarkEnd w:id="102"/>
      <w:bookmarkEnd w:id="103"/>
      <w:bookmarkEnd w:id="104"/>
    </w:p>
    <w:p w14:paraId="0A2173BC">
      <w:pPr>
        <w:keepNext w:val="0"/>
        <w:keepLines w:val="0"/>
        <w:pageBreakBefore w:val="0"/>
        <w:wordWrap w:val="0"/>
        <w:overflowPunct/>
        <w:topLinePunct w:val="0"/>
        <w:bidi w:val="0"/>
        <w:spacing w:before="155" w:line="360" w:lineRule="auto"/>
        <w:ind w:left="9"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（1）投标有效期、质量标准、工期等是否响应招标文件实质性要求；是否擅自修改、遗漏《投标函》《各项承诺一览表》的实质性内容。</w:t>
      </w:r>
    </w:p>
    <w:p w14:paraId="5225B394">
      <w:pPr>
        <w:keepNext w:val="0"/>
        <w:keepLines w:val="0"/>
        <w:pageBreakBefore w:val="0"/>
        <w:wordWrap w:val="0"/>
        <w:overflowPunct/>
        <w:topLinePunct w:val="0"/>
        <w:bidi w:val="0"/>
        <w:spacing w:before="152" w:line="360" w:lineRule="auto"/>
        <w:ind w:left="50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（2）编制《投标总价》的造价工程师，其注册证书是否合法、有效。</w:t>
      </w:r>
    </w:p>
    <w:p w14:paraId="407B50B8">
      <w:pPr>
        <w:keepNext w:val="0"/>
        <w:keepLines w:val="0"/>
        <w:pageBreakBefore w:val="0"/>
        <w:wordWrap w:val="0"/>
        <w:overflowPunct/>
        <w:topLinePunct w:val="0"/>
        <w:bidi w:val="0"/>
        <w:spacing w:before="158" w:line="360" w:lineRule="auto"/>
        <w:ind w:left="21" w:right="2"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（3）投标人委托造价咨询单位编制《投标总价》的，是否在《投标总价扉页》“投标人”栏目加盖造价咨询人公章；是否提供造价咨询人的营业执照副本彩色扫描件；</w:t>
      </w:r>
    </w:p>
    <w:p w14:paraId="33F4A496">
      <w:pPr>
        <w:keepNext w:val="0"/>
        <w:keepLines w:val="0"/>
        <w:pageBreakBefore w:val="0"/>
        <w:wordWrap w:val="0"/>
        <w:overflowPunct/>
        <w:topLinePunct w:val="0"/>
        <w:bidi w:val="0"/>
        <w:spacing w:before="158" w:line="328" w:lineRule="auto"/>
        <w:ind w:left="9" w:firstLine="49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（4）投标总价是否唯一；投标总价是否超出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是否达到最低要求；暂列金额、暂估价是否按照招标工程量清单统一报价；投标人是否以低于成本的价格竞标。</w:t>
      </w:r>
    </w:p>
    <w:p w14:paraId="0FEFD797">
      <w:pPr>
        <w:keepNext w:val="0"/>
        <w:keepLines w:val="0"/>
        <w:pageBreakBefore w:val="0"/>
        <w:wordWrap w:val="0"/>
        <w:overflowPunct/>
        <w:topLinePunct w:val="0"/>
        <w:bidi w:val="0"/>
        <w:spacing w:before="38" w:line="360" w:lineRule="auto"/>
        <w:ind w:right="2" w:firstLine="482" w:firstLineChars="200"/>
        <w:jc w:val="both"/>
        <w:rPr>
          <w:rFonts w:hint="eastAsia" w:ascii="宋体" w:hAnsi="宋体" w:eastAsia="宋体" w:cs="宋体"/>
          <w:color w:val="000000" w:themeColor="text1"/>
          <w:spacing w:val="0"/>
          <w:position w:val="-8"/>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注：如果某投标人的投标总价下浮率超过</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15% ，又未提供相应书面说明和佐证</w:t>
      </w:r>
      <w:bookmarkStart w:id="105" w:name="bookmark127"/>
      <w:bookmarkEnd w:id="105"/>
      <w:r>
        <w:rPr>
          <w:rFonts w:hint="eastAsia" w:ascii="宋体" w:hAnsi="宋体" w:eastAsia="宋体" w:cs="宋体"/>
          <w:b/>
          <w:bCs/>
          <w:color w:val="000000" w:themeColor="text1"/>
          <w:spacing w:val="0"/>
          <w:sz w:val="24"/>
          <w:szCs w:val="24"/>
          <w:highlight w:val="none"/>
          <w14:textFill>
            <w14:solidFill>
              <w14:schemeClr w14:val="tx1"/>
            </w14:solidFill>
          </w14:textFill>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）×100% 。</w:t>
      </w:r>
    </w:p>
    <w:p w14:paraId="2485C4DD">
      <w:pPr>
        <w:keepNext w:val="0"/>
        <w:keepLines w:val="0"/>
        <w:pageBreakBefore w:val="0"/>
        <w:wordWrap w:val="0"/>
        <w:overflowPunct/>
        <w:topLinePunct w:val="0"/>
        <w:bidi w:val="0"/>
        <w:spacing w:before="157" w:line="360" w:lineRule="auto"/>
        <w:ind w:left="11" w:right="114" w:firstLine="501" w:firstLineChars="20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（5）施工组织设计的质量、进度保障措施是否符合国家和省市现行有关规范、规定、标准，是否能实现工程质量、进度管理目标。</w:t>
      </w:r>
    </w:p>
    <w:p w14:paraId="27A6EA2D">
      <w:pPr>
        <w:keepNext w:val="0"/>
        <w:keepLines w:val="0"/>
        <w:pageBreakBefore w:val="0"/>
        <w:wordWrap w:val="0"/>
        <w:overflowPunct/>
        <w:topLinePunct w:val="0"/>
        <w:bidi w:val="0"/>
        <w:spacing w:before="82" w:line="211" w:lineRule="auto"/>
        <w:ind w:left="580"/>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06" w:name="_Toc32114"/>
      <w:bookmarkStart w:id="107" w:name="_Toc19814"/>
      <w:bookmarkStart w:id="108" w:name="_Toc18204"/>
      <w:bookmarkStart w:id="109" w:name="_Toc15367"/>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15.4.4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06"/>
      <w:bookmarkEnd w:id="107"/>
      <w:bookmarkEnd w:id="108"/>
      <w:bookmarkEnd w:id="109"/>
    </w:p>
    <w:p w14:paraId="71D5DBDC">
      <w:pPr>
        <w:keepNext w:val="0"/>
        <w:keepLines w:val="0"/>
        <w:pageBreakBefore w:val="0"/>
        <w:wordWrap w:val="0"/>
        <w:overflowPunct/>
        <w:topLinePunct w:val="0"/>
        <w:bidi w:val="0"/>
        <w:spacing w:before="152" w:line="333" w:lineRule="auto"/>
        <w:ind w:left="11" w:right="175" w:firstLine="561"/>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初步评审阶段各个环节否决投标的全部条件，在本章第四节“否决投标条件 ”第</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条至第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 </w:t>
      </w:r>
      <w:r>
        <w:rPr>
          <w:rFonts w:hint="eastAsia" w:ascii="宋体" w:hAnsi="宋体" w:eastAsia="宋体" w:cs="宋体"/>
          <w:color w:val="000000" w:themeColor="text1"/>
          <w:spacing w:val="0"/>
          <w:sz w:val="24"/>
          <w:szCs w:val="24"/>
          <w:highlight w:val="none"/>
          <w14:textFill>
            <w14:solidFill>
              <w14:schemeClr w14:val="tx1"/>
            </w14:solidFill>
          </w14:textFill>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评标委员会经评审，认为所有投标都不符合招标文件要求的，可否决所有投标，项目的所有投标被否决的，招标人应依法重新组织招标。</w:t>
      </w:r>
    </w:p>
    <w:p w14:paraId="132A65C3">
      <w:pPr>
        <w:keepNext w:val="0"/>
        <w:keepLines w:val="0"/>
        <w:pageBreakBefore w:val="0"/>
        <w:wordWrap w:val="0"/>
        <w:overflowPunct/>
        <w:topLinePunct w:val="0"/>
        <w:bidi w:val="0"/>
        <w:spacing w:before="78" w:line="221" w:lineRule="auto"/>
        <w:ind w:left="5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drawing>
          <wp:anchor distT="0" distB="0" distL="114300" distR="114300" simplePos="0" relativeHeight="251663360"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8"/>
                    <a:stretch>
                      <a:fillRect/>
                    </a:stretch>
                  </pic:blipFill>
                  <pic:spPr>
                    <a:xfrm>
                      <a:off x="0" y="0"/>
                      <a:ext cx="6350" cy="279400"/>
                    </a:xfrm>
                    <a:prstGeom prst="rect">
                      <a:avLst/>
                    </a:prstGeom>
                    <a:noFill/>
                    <a:ln>
                      <a:noFill/>
                    </a:ln>
                  </pic:spPr>
                </pic:pic>
              </a:graphicData>
            </a:graphic>
          </wp:anchor>
        </w:drawing>
      </w:r>
      <w:bookmarkStart w:id="110" w:name="bookmark128"/>
      <w:bookmarkEnd w:id="110"/>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  </w:t>
      </w:r>
      <w:r>
        <w:rPr>
          <w:rFonts w:hint="eastAsia" w:ascii="宋体" w:hAnsi="宋体" w:eastAsia="宋体" w:cs="宋体"/>
          <w:color w:val="000000" w:themeColor="text1"/>
          <w:spacing w:val="0"/>
          <w:sz w:val="24"/>
          <w:szCs w:val="24"/>
          <w:highlight w:val="none"/>
          <w14:textFill>
            <w14:solidFill>
              <w14:schemeClr w14:val="tx1"/>
            </w14:solidFill>
          </w14:textFill>
        </w:rPr>
        <w:t>详细评审阶段</w:t>
      </w:r>
    </w:p>
    <w:p w14:paraId="60660A02">
      <w:pPr>
        <w:keepNext w:val="0"/>
        <w:keepLines w:val="0"/>
        <w:pageBreakBefore w:val="0"/>
        <w:wordWrap w:val="0"/>
        <w:overflowPunct/>
        <w:topLinePunct w:val="0"/>
        <w:bidi w:val="0"/>
        <w:spacing w:before="81" w:line="211" w:lineRule="auto"/>
        <w:ind w:left="498"/>
        <w:outlineLvl w:val="9"/>
        <w:rPr>
          <w:rFonts w:hint="eastAsia" w:ascii="宋体" w:hAnsi="宋体" w:eastAsia="宋体" w:cs="宋体"/>
          <w:color w:val="000000" w:themeColor="text1"/>
          <w:spacing w:val="0"/>
          <w:sz w:val="25"/>
          <w:szCs w:val="25"/>
          <w:highlight w:val="none"/>
          <w14:textFill>
            <w14:solidFill>
              <w14:schemeClr w14:val="tx1"/>
            </w14:solidFill>
          </w14:textFill>
        </w:rPr>
      </w:pPr>
      <w:bookmarkStart w:id="111" w:name="_Toc28572"/>
      <w:bookmarkStart w:id="112" w:name="_Toc10503"/>
      <w:bookmarkStart w:id="113" w:name="_Toc4119"/>
      <w:bookmarkStart w:id="114" w:name="_Toc14991"/>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15.5.1  </w:t>
      </w:r>
      <w:r>
        <w:rPr>
          <w:rFonts w:hint="eastAsia" w:ascii="宋体" w:hAnsi="宋体" w:eastAsia="宋体" w:cs="宋体"/>
          <w:color w:val="000000" w:themeColor="text1"/>
          <w:spacing w:val="0"/>
          <w:sz w:val="24"/>
          <w:szCs w:val="24"/>
          <w:highlight w:val="none"/>
          <w14:textFill>
            <w14:solidFill>
              <w14:schemeClr w14:val="tx1"/>
            </w14:solidFill>
          </w14:textFill>
        </w:rPr>
        <w:t>“综合评估法 ”评审程序</w:t>
      </w:r>
      <w:bookmarkEnd w:id="111"/>
      <w:bookmarkEnd w:id="112"/>
      <w:bookmarkEnd w:id="113"/>
      <w:bookmarkEnd w:id="114"/>
    </w:p>
    <w:p w14:paraId="1C11D96B">
      <w:pPr>
        <w:keepNext w:val="0"/>
        <w:keepLines w:val="0"/>
        <w:pageBreakBefore w:val="0"/>
        <w:wordWrap w:val="0"/>
        <w:overflowPunct/>
        <w:topLinePunct w:val="0"/>
        <w:bidi w:val="0"/>
        <w:spacing w:before="152" w:line="329" w:lineRule="auto"/>
        <w:ind w:left="14" w:right="8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评审内容分为商务技术和投标报价两大部分。其中，商务技术合计满分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100</w:t>
      </w:r>
      <w:r>
        <w:rPr>
          <w:rFonts w:hint="eastAsia" w:ascii="宋体" w:hAnsi="宋体" w:eastAsia="宋体" w:cs="宋体"/>
          <w:color w:val="000000" w:themeColor="text1"/>
          <w:spacing w:val="0"/>
          <w:sz w:val="24"/>
          <w:szCs w:val="24"/>
          <w:highlight w:val="none"/>
          <w14:textFill>
            <w14:solidFill>
              <w14:schemeClr w14:val="tx1"/>
            </w14:solidFill>
          </w14:textFill>
        </w:rPr>
        <w:t>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40</w:t>
      </w:r>
      <w:r>
        <w:rPr>
          <w:rFonts w:hint="eastAsia" w:ascii="宋体" w:hAnsi="宋体" w:eastAsia="宋体" w:cs="宋体"/>
          <w:color w:val="000000" w:themeColor="text1"/>
          <w:spacing w:val="0"/>
          <w:sz w:val="24"/>
          <w:szCs w:val="24"/>
          <w:highlight w:val="none"/>
          <w14:textFill>
            <w14:solidFill>
              <w14:schemeClr w14:val="tx1"/>
            </w14:solidFill>
          </w14:textFill>
        </w:rPr>
        <w:t>%；投标报价满分 100 分，权重为</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60</w:t>
      </w:r>
      <w:r>
        <w:rPr>
          <w:rFonts w:hint="eastAsia" w:ascii="宋体" w:hAnsi="宋体" w:eastAsia="宋体" w:cs="宋体"/>
          <w:color w:val="000000" w:themeColor="text1"/>
          <w:spacing w:val="0"/>
          <w:sz w:val="24"/>
          <w:szCs w:val="24"/>
          <w:highlight w:val="none"/>
          <w14:textFill>
            <w14:solidFill>
              <w14:schemeClr w14:val="tx1"/>
            </w14:solidFill>
          </w14:textFill>
        </w:rPr>
        <w:t>% 。两大部分权重之和应为 100%。</w:t>
      </w:r>
    </w:p>
    <w:p w14:paraId="3ABDDFFD">
      <w:pPr>
        <w:keepNext w:val="0"/>
        <w:keepLines w:val="0"/>
        <w:pageBreakBefore w:val="0"/>
        <w:wordWrap w:val="0"/>
        <w:overflowPunct/>
        <w:topLinePunct w:val="0"/>
        <w:bidi w:val="0"/>
        <w:spacing w:before="153" w:line="324" w:lineRule="auto"/>
        <w:ind w:left="14"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除特别注明外，综合得分以及商务技术得分、投标报价得分的中间过程计算值和最终值，均按“ 四舍五入 ”原则精确到两位小数。</w:t>
      </w:r>
    </w:p>
    <w:p w14:paraId="11F14EEB">
      <w:pPr>
        <w:keepNext w:val="0"/>
        <w:keepLines w:val="0"/>
        <w:pageBreakBefore w:val="0"/>
        <w:wordWrap w:val="0"/>
        <w:overflowPunct/>
        <w:topLinePunct w:val="0"/>
        <w:bidi w:val="0"/>
        <w:spacing w:before="38"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15" w:name="_Toc22949"/>
      <w:bookmarkStart w:id="116" w:name="_Toc17510"/>
      <w:bookmarkStart w:id="117" w:name="_Toc10398"/>
      <w:bookmarkStart w:id="118" w:name="_Toc18029"/>
      <w:r>
        <w:rPr>
          <w:rFonts w:hint="eastAsia" w:ascii="宋体" w:hAnsi="宋体" w:eastAsia="宋体" w:cs="宋体"/>
          <w:color w:val="000000" w:themeColor="text1"/>
          <w:spacing w:val="0"/>
          <w:sz w:val="24"/>
          <w:szCs w:val="24"/>
          <w:highlight w:val="none"/>
          <w14:textFill>
            <w14:solidFill>
              <w14:schemeClr w14:val="tx1"/>
            </w14:solidFill>
          </w14:textFill>
        </w:rPr>
        <w:t>（1）商务技术得分 M</w:t>
      </w:r>
      <w:bookmarkEnd w:id="115"/>
      <w:bookmarkEnd w:id="116"/>
      <w:bookmarkEnd w:id="117"/>
      <w:bookmarkEnd w:id="118"/>
    </w:p>
    <w:p w14:paraId="7F4E18BB">
      <w:pPr>
        <w:keepNext w:val="0"/>
        <w:keepLines w:val="0"/>
        <w:pageBreakBefore w:val="0"/>
        <w:wordWrap w:val="0"/>
        <w:overflowPunct/>
        <w:topLinePunct w:val="0"/>
        <w:bidi w:val="0"/>
        <w:spacing w:before="153" w:line="279" w:lineRule="auto"/>
        <w:ind w:left="15"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．评标委员会按照《综合评分表》商务部分指定的评分标准对各评分因素进行打分。各评分因素得分之和即为某投标人的商务得分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0931295">
      <w:pPr>
        <w:keepNext w:val="0"/>
        <w:keepLines w:val="0"/>
        <w:pageBreakBefore w:val="0"/>
        <w:wordWrap w:val="0"/>
        <w:overflowPunct/>
        <w:topLinePunct w:val="0"/>
        <w:bidi w:val="0"/>
        <w:spacing w:before="154" w:line="299" w:lineRule="auto"/>
        <w:ind w:left="12" w:right="8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C018EDE">
      <w:pPr>
        <w:keepNext w:val="0"/>
        <w:keepLines w:val="0"/>
        <w:pageBreakBefore w:val="0"/>
        <w:wordWrap w:val="0"/>
        <w:overflowPunct/>
        <w:topLinePunct w:val="0"/>
        <w:bidi w:val="0"/>
        <w:spacing w:before="155" w:line="231" w:lineRule="auto"/>
        <w:ind w:left="491"/>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c </w:t>
      </w:r>
      <w:r>
        <w:rPr>
          <w:rFonts w:hint="eastAsia" w:ascii="宋体" w:hAnsi="宋体" w:eastAsia="宋体" w:cs="宋体"/>
          <w:color w:val="000000" w:themeColor="text1"/>
          <w:spacing w:val="0"/>
          <w:sz w:val="24"/>
          <w:szCs w:val="24"/>
          <w:highlight w:val="none"/>
          <w14:textFill>
            <w14:solidFill>
              <w14:schemeClr w14:val="tx1"/>
            </w14:solidFill>
          </w14:textFill>
        </w:rPr>
        <w:t>．M ＝M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14:textFill>
            <w14:solidFill>
              <w14:schemeClr w14:val="tx1"/>
            </w14:solidFill>
          </w14:textFill>
        </w:rPr>
        <w:t>＋M</w:t>
      </w:r>
      <w:r>
        <w:rPr>
          <w:rFonts w:hint="eastAsia" w:ascii="宋体" w:hAnsi="宋体" w:eastAsia="宋体" w:cs="宋体"/>
          <w:color w:val="000000" w:themeColor="text1"/>
          <w:spacing w:val="0"/>
          <w:position w:val="-1"/>
          <w:sz w:val="15"/>
          <w:szCs w:val="15"/>
          <w:highlight w:val="none"/>
          <w14:textFill>
            <w14:solidFill>
              <w14:schemeClr w14:val="tx1"/>
            </w14:solidFill>
          </w14:textFill>
        </w:rPr>
        <w:t>2</w:t>
      </w:r>
    </w:p>
    <w:p w14:paraId="277B94CD">
      <w:pPr>
        <w:keepNext w:val="0"/>
        <w:keepLines w:val="0"/>
        <w:pageBreakBefore w:val="0"/>
        <w:wordWrap w:val="0"/>
        <w:overflowPunct/>
        <w:topLinePunct w:val="0"/>
        <w:bidi w:val="0"/>
        <w:spacing w:before="139" w:line="220" w:lineRule="auto"/>
        <w:ind w:left="49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为某投标人的商务得分，M</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为某投标人的技术得分。</w:t>
      </w:r>
    </w:p>
    <w:p w14:paraId="6B037580">
      <w:pPr>
        <w:keepNext w:val="0"/>
        <w:keepLines w:val="0"/>
        <w:pageBreakBefore w:val="0"/>
        <w:wordWrap w:val="0"/>
        <w:overflowPunct/>
        <w:topLinePunct w:val="0"/>
        <w:bidi w:val="0"/>
        <w:spacing w:before="153" w:line="219"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19" w:name="_Toc27609"/>
      <w:bookmarkStart w:id="120" w:name="_Toc3958"/>
      <w:bookmarkStart w:id="121" w:name="_Toc14059"/>
      <w:bookmarkStart w:id="122" w:name="_Toc16136"/>
      <w:r>
        <w:rPr>
          <w:rFonts w:hint="eastAsia" w:ascii="宋体" w:hAnsi="宋体" w:eastAsia="宋体" w:cs="宋体"/>
          <w:color w:val="000000" w:themeColor="text1"/>
          <w:spacing w:val="0"/>
          <w:sz w:val="24"/>
          <w:szCs w:val="24"/>
          <w:highlight w:val="none"/>
          <w14:textFill>
            <w14:solidFill>
              <w14:schemeClr w14:val="tx1"/>
            </w14:solidFill>
          </w14:textFill>
        </w:rPr>
        <w:t>（2）投标报价得分 N</w:t>
      </w:r>
      <w:bookmarkEnd w:id="119"/>
      <w:bookmarkEnd w:id="120"/>
      <w:bookmarkEnd w:id="121"/>
      <w:bookmarkEnd w:id="122"/>
    </w:p>
    <w:p w14:paraId="1BB7535A">
      <w:pPr>
        <w:keepNext w:val="0"/>
        <w:keepLines w:val="0"/>
        <w:pageBreakBefore w:val="0"/>
        <w:wordWrap w:val="0"/>
        <w:overflowPunct/>
        <w:topLinePunct w:val="0"/>
        <w:bidi w:val="0"/>
        <w:spacing w:before="157" w:line="219" w:lineRule="auto"/>
        <w:ind w:firstLine="482" w:firstLineChars="2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．评标委员会按照《综合评分表》投标报价部分指定的方法计算评标基准价 D。</w:t>
      </w:r>
    </w:p>
    <w:p w14:paraId="58AA9DB6">
      <w:pPr>
        <w:keepNext w:val="0"/>
        <w:keepLines w:val="0"/>
        <w:pageBreakBefore w:val="0"/>
        <w:wordWrap w:val="0"/>
        <w:overflowPunct/>
        <w:topLinePunct w:val="0"/>
        <w:bidi w:val="0"/>
        <w:spacing w:before="155" w:line="299" w:lineRule="auto"/>
        <w:ind w:left="12" w:right="83"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b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 分,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每低于评标基准价一个百分点扣 </w:t>
      </w:r>
      <w:r>
        <w:rPr>
          <w:rFonts w:hint="eastAsia" w:ascii="宋体" w:hAnsi="宋体" w:eastAsia="宋体" w:cs="宋体"/>
          <w:b/>
          <w:bCs/>
          <w:color w:val="000000" w:themeColor="text1"/>
          <w:spacing w:val="0"/>
          <w:sz w:val="24"/>
          <w:szCs w:val="24"/>
          <w:highlight w:val="none"/>
          <w14:textFill>
            <w14:solidFill>
              <w14:schemeClr w14:val="tx1"/>
            </w14:solidFill>
          </w14:textFill>
        </w:rPr>
        <w:t>0.5 分</w:t>
      </w:r>
      <w:r>
        <w:rPr>
          <w:rFonts w:hint="eastAsia" w:ascii="宋体" w:hAnsi="宋体" w:eastAsia="宋体" w:cs="宋体"/>
          <w:color w:val="000000" w:themeColor="text1"/>
          <w:spacing w:val="0"/>
          <w:sz w:val="24"/>
          <w:szCs w:val="24"/>
          <w:highlight w:val="none"/>
          <w14:textFill>
            <w14:solidFill>
              <w14:schemeClr w14:val="tx1"/>
            </w14:solidFill>
          </w14:textFill>
        </w:rPr>
        <w:t>，扣完为止。公式如下：</w:t>
      </w:r>
    </w:p>
    <w:p w14:paraId="232F1429">
      <w:pPr>
        <w:keepNext w:val="0"/>
        <w:keepLines w:val="0"/>
        <w:pageBreakBefore w:val="0"/>
        <w:wordWrap w:val="0"/>
        <w:overflowPunct/>
        <w:topLinePunct w:val="0"/>
        <w:bidi w:val="0"/>
        <w:spacing w:before="118" w:line="333" w:lineRule="exact"/>
        <w:ind w:left="24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N ＝100－（| Di－D | ÷D） × 100×E</w:t>
      </w:r>
    </w:p>
    <w:p w14:paraId="6B667673">
      <w:pPr>
        <w:keepNext w:val="0"/>
        <w:keepLines w:val="0"/>
        <w:pageBreakBefore w:val="0"/>
        <w:wordWrap w:val="0"/>
        <w:overflowPunct/>
        <w:topLinePunct w:val="0"/>
        <w:bidi w:val="0"/>
        <w:spacing w:before="106" w:line="316" w:lineRule="auto"/>
        <w:ind w:left="7" w:right="17"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式中：D 为评标基准价；Di为某投标人的投标总价；E 为扣分因子，当 Di＞D时，E ＝</w:t>
      </w:r>
      <w:r>
        <w:rPr>
          <w:rFonts w:hint="eastAsia" w:ascii="宋体" w:hAnsi="宋体" w:eastAsia="宋体" w:cs="宋体"/>
          <w:b/>
          <w:bCs/>
          <w:color w:val="000000" w:themeColor="text1"/>
          <w:spacing w:val="0"/>
          <w:sz w:val="24"/>
          <w:szCs w:val="24"/>
          <w:highlight w:val="none"/>
          <w14:textFill>
            <w14:solidFill>
              <w14:schemeClr w14:val="tx1"/>
            </w14:solidFill>
          </w14:textFill>
        </w:rPr>
        <w:t>1 ；</w:t>
      </w:r>
      <w:r>
        <w:rPr>
          <w:rFonts w:hint="eastAsia" w:ascii="宋体" w:hAnsi="宋体" w:eastAsia="宋体" w:cs="宋体"/>
          <w:color w:val="000000" w:themeColor="text1"/>
          <w:spacing w:val="0"/>
          <w:sz w:val="24"/>
          <w:szCs w:val="24"/>
          <w:highlight w:val="none"/>
          <w14:textFill>
            <w14:solidFill>
              <w14:schemeClr w14:val="tx1"/>
            </w14:solidFill>
          </w14:textFill>
        </w:rPr>
        <w:t>当 Di＜D</w:t>
      </w:r>
      <w:r>
        <w:rPr>
          <w:rFonts w:hint="eastAsia" w:ascii="宋体" w:hAnsi="宋体" w:eastAsia="宋体" w:cs="宋体"/>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时，E </w:t>
      </w:r>
      <w:r>
        <w:rPr>
          <w:rFonts w:hint="eastAsia" w:ascii="宋体" w:hAnsi="宋体" w:eastAsia="宋体" w:cs="宋体"/>
          <w:b/>
          <w:bCs/>
          <w:color w:val="000000" w:themeColor="text1"/>
          <w:spacing w:val="0"/>
          <w:sz w:val="24"/>
          <w:szCs w:val="24"/>
          <w:highlight w:val="none"/>
          <w14:textFill>
            <w14:solidFill>
              <w14:schemeClr w14:val="tx1"/>
            </w14:solidFill>
          </w14:textFill>
        </w:rPr>
        <w:t>＝0.5</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w:t>
      </w:r>
    </w:p>
    <w:p w14:paraId="6F340CA9">
      <w:pPr>
        <w:keepNext w:val="0"/>
        <w:keepLines w:val="0"/>
        <w:pageBreakBefore w:val="0"/>
        <w:wordWrap w:val="0"/>
        <w:overflowPunct/>
        <w:topLinePunct w:val="0"/>
        <w:bidi w:val="0"/>
        <w:spacing w:before="95" w:line="220" w:lineRule="auto"/>
        <w:ind w:left="503"/>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123" w:name="_Toc576"/>
      <w:bookmarkStart w:id="124" w:name="_Toc4990"/>
      <w:bookmarkStart w:id="125" w:name="_Toc7915"/>
      <w:bookmarkStart w:id="126" w:name="_Toc3861"/>
      <w:r>
        <w:rPr>
          <w:rFonts w:hint="eastAsia" w:ascii="宋体" w:hAnsi="宋体" w:eastAsia="宋体" w:cs="宋体"/>
          <w:color w:val="000000" w:themeColor="text1"/>
          <w:spacing w:val="0"/>
          <w:sz w:val="24"/>
          <w:szCs w:val="24"/>
          <w:highlight w:val="none"/>
          <w14:textFill>
            <w14:solidFill>
              <w14:schemeClr w14:val="tx1"/>
            </w14:solidFill>
          </w14:textFill>
        </w:rPr>
        <w:t>（3）综合得分</w:t>
      </w:r>
      <w:bookmarkEnd w:id="123"/>
      <w:bookmarkEnd w:id="124"/>
      <w:bookmarkEnd w:id="125"/>
      <w:bookmarkEnd w:id="126"/>
    </w:p>
    <w:p w14:paraId="50217631">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综合得分换算为百分制，满分 100 分，公式如下：</w:t>
      </w:r>
    </w:p>
    <w:p w14:paraId="215CB6BC">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综合得分＝M÷商务技术合计满分×100×商务技术权重＋N×投标报价权重</w:t>
      </w:r>
    </w:p>
    <w:p w14:paraId="390CA99F">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式中：M 为商务技术得分，N 为投标报价得分。</w:t>
      </w:r>
    </w:p>
    <w:p w14:paraId="1C9D58A3">
      <w:pPr>
        <w:widowControl w:val="0"/>
        <w:kinsoku/>
        <w:wordWrap w:val="0"/>
        <w:autoSpaceDE/>
        <w:autoSpaceDN/>
        <w:adjustRightInd/>
        <w:snapToGrid/>
        <w:spacing w:line="40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27" w:name="_Toc16801"/>
      <w:bookmarkStart w:id="128" w:name="_Toc3020"/>
      <w:bookmarkStart w:id="129" w:name="_Toc17375"/>
      <w:r>
        <w:rPr>
          <w:rFonts w:ascii="宋体" w:hAnsi="宋体" w:eastAsia="宋体" w:cs="宋体"/>
          <w:color w:val="000000" w:themeColor="text1"/>
          <w:sz w:val="24"/>
          <w:szCs w:val="24"/>
          <w:highlight w:val="none"/>
          <w:lang w:eastAsia="zh-CN"/>
          <w14:textFill>
            <w14:solidFill>
              <w14:schemeClr w14:val="tx1"/>
            </w14:solidFill>
          </w14:textFill>
        </w:rPr>
        <w:t>（4）</w:t>
      </w:r>
      <w:r>
        <w:rPr>
          <w:rFonts w:hint="eastAsia" w:ascii="宋体" w:hAnsi="宋体" w:eastAsia="宋体" w:cs="宋体"/>
          <w:color w:val="000000" w:themeColor="text1"/>
          <w:sz w:val="24"/>
          <w:szCs w:val="24"/>
          <w:highlight w:val="none"/>
          <w:lang w:eastAsia="zh-CN"/>
          <w14:textFill>
            <w14:solidFill>
              <w14:schemeClr w14:val="tx1"/>
            </w14:solidFill>
          </w14:textFill>
        </w:rPr>
        <w:t>评标委员会根据招标文件规定的评分细则，对招标文件中的各评审因素进行评审、比较、打分，将</w:t>
      </w:r>
      <w:r>
        <w:rPr>
          <w:rFonts w:hint="eastAsia" w:ascii="宋体" w:hAnsi="宋体" w:eastAsia="宋体" w:cs="宋体"/>
          <w:b/>
          <w:bCs/>
          <w:color w:val="000000" w:themeColor="text1"/>
          <w:sz w:val="24"/>
          <w:szCs w:val="24"/>
          <w:highlight w:val="none"/>
          <w:lang w:eastAsia="zh-CN"/>
          <w14:textFill>
            <w14:solidFill>
              <w14:schemeClr w14:val="tx1"/>
            </w14:solidFill>
          </w14:textFill>
        </w:rPr>
        <w:t>得分前5名不排序（按企业统一社会信用代码后 4 位大小排位）</w:t>
      </w:r>
      <w:r>
        <w:rPr>
          <w:rFonts w:hint="eastAsia" w:ascii="宋体" w:hAnsi="宋体" w:eastAsia="宋体" w:cs="宋体"/>
          <w:color w:val="000000" w:themeColor="text1"/>
          <w:sz w:val="24"/>
          <w:szCs w:val="24"/>
          <w:highlight w:val="none"/>
          <w:lang w:eastAsia="zh-CN"/>
          <w14:textFill>
            <w14:solidFill>
              <w14:schemeClr w14:val="tx1"/>
            </w14:solidFill>
          </w14:textFill>
        </w:rPr>
        <w:t>的投标人作为定标候选人推荐给招标人，并对每个</w:t>
      </w:r>
      <w:r>
        <w:rPr>
          <w:rFonts w:hint="eastAsia" w:ascii="宋体" w:hAnsi="宋体" w:eastAsia="宋体" w:cs="宋体"/>
          <w:b/>
          <w:bCs/>
          <w:color w:val="000000" w:themeColor="text1"/>
          <w:sz w:val="24"/>
          <w:szCs w:val="24"/>
          <w:highlight w:val="none"/>
          <w:lang w:eastAsia="zh-CN"/>
          <w14:textFill>
            <w14:solidFill>
              <w14:schemeClr w14:val="tx1"/>
            </w14:solidFill>
          </w14:textFill>
        </w:rPr>
        <w:t>定标候选人的优势、风险</w:t>
      </w:r>
      <w:r>
        <w:rPr>
          <w:rFonts w:hint="eastAsia" w:ascii="宋体" w:hAnsi="宋体" w:eastAsia="宋体" w:cs="宋体"/>
          <w:color w:val="000000" w:themeColor="text1"/>
          <w:sz w:val="24"/>
          <w:szCs w:val="24"/>
          <w:highlight w:val="none"/>
          <w:lang w:eastAsia="zh-CN"/>
          <w14:textFill>
            <w14:solidFill>
              <w14:schemeClr w14:val="tx1"/>
            </w14:solidFill>
          </w14:textFill>
        </w:rPr>
        <w:t>等评审情况进行说明。当投标人综合总得分相同时，以报价低为前；当投标人综合总得分相同且报价相同时，由评标委员会投票确定排前。定标候选人得分只作为评标委员会的推荐依据，不作为定标委员会对中标候选人排序的依据。当有效投标人数量不足5名但满足法定要求时，所有通过评审的有效投标人均应作为定标候选人。</w:t>
      </w:r>
    </w:p>
    <w:p w14:paraId="547FF5C7">
      <w:pPr>
        <w:outlineLvl w:val="9"/>
        <w:rPr>
          <w:rFonts w:hint="eastAsia" w:ascii="宋体" w:hAnsi="宋体" w:eastAsia="宋体" w:cs="宋体"/>
          <w:snapToGrid w:val="0"/>
          <w:color w:val="000000" w:themeColor="text1"/>
          <w:sz w:val="24"/>
          <w:szCs w:val="24"/>
          <w:highlight w:val="none"/>
          <w:lang w:val="en-US" w:eastAsia="zh-CN"/>
          <w14:textFill>
            <w14:solidFill>
              <w14:schemeClr w14:val="tx1"/>
            </w14:solidFill>
          </w14:textFill>
        </w:rPr>
      </w:pPr>
    </w:p>
    <w:p w14:paraId="56979A84">
      <w:pPr>
        <w:keepNext w:val="0"/>
        <w:keepLines w:val="0"/>
        <w:pageBreakBefore w:val="0"/>
        <w:wordWrap w:val="0"/>
        <w:overflowPunct/>
        <w:topLinePunct w:val="0"/>
        <w:bidi w:val="0"/>
        <w:spacing w:line="360" w:lineRule="auto"/>
        <w:rPr>
          <w:rFonts w:hint="eastAsia"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注：编写评标报告时，定标候选人不排序，按企业统一社会信用代码（联合体投标的按牵头人的企业统一社会信用代码）后4位大小排位，如统一社会信用代码后4位出现字母情况的，字母以“0”进行代替大小排位，如出现后4位大小一致的，则随机排位。</w:t>
      </w:r>
    </w:p>
    <w:p w14:paraId="22C172D9">
      <w:pPr>
        <w:keepNext w:val="0"/>
        <w:keepLines w:val="0"/>
        <w:pageBreakBefore w:val="0"/>
        <w:wordWrap w:val="0"/>
        <w:overflowPunct/>
        <w:topLinePunct w:val="0"/>
        <w:bidi w:val="0"/>
        <w:rPr>
          <w:rFonts w:hint="eastAsia" w:ascii="宋体" w:hAnsi="宋体" w:eastAsia="宋体" w:cs="宋体"/>
          <w:b/>
          <w:bCs/>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br w:type="page"/>
      </w:r>
    </w:p>
    <w:p w14:paraId="042A8A28">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b/>
          <w:bCs/>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综合评分表</w:t>
      </w:r>
      <w:bookmarkEnd w:id="127"/>
      <w:bookmarkEnd w:id="128"/>
      <w:bookmarkEnd w:id="129"/>
    </w:p>
    <w:p w14:paraId="4BB5E050">
      <w:pPr>
        <w:spacing w:before="98" w:line="221" w:lineRule="auto"/>
        <w:jc w:val="center"/>
        <w:rPr>
          <w:rFonts w:hint="eastAsia" w:ascii="宋体" w:hAnsi="宋体" w:eastAsia="宋体" w:cs="宋体"/>
          <w:color w:val="auto"/>
          <w:sz w:val="30"/>
          <w:szCs w:val="30"/>
        </w:rPr>
      </w:pPr>
      <w:bookmarkStart w:id="130" w:name="_Toc5769"/>
      <w:bookmarkStart w:id="131" w:name="_Toc17436"/>
      <w:bookmarkStart w:id="132" w:name="_Toc31744"/>
      <w:bookmarkStart w:id="133" w:name="_Toc9725"/>
      <w:r>
        <w:rPr>
          <w:rFonts w:hint="eastAsia" w:ascii="宋体" w:hAnsi="宋体" w:eastAsia="宋体" w:cs="宋体"/>
          <w:b/>
          <w:bCs/>
          <w:color w:val="auto"/>
          <w:spacing w:val="-6"/>
          <w:sz w:val="30"/>
          <w:szCs w:val="30"/>
        </w:rPr>
        <w:t>综合评分表</w:t>
      </w:r>
    </w:p>
    <w:tbl>
      <w:tblPr>
        <w:tblStyle w:val="14"/>
        <w:tblW w:w="9966" w:type="dxa"/>
        <w:jc w:val="center"/>
        <w:tblLayout w:type="fixed"/>
        <w:tblCellMar>
          <w:top w:w="0" w:type="dxa"/>
          <w:left w:w="108" w:type="dxa"/>
          <w:bottom w:w="0" w:type="dxa"/>
          <w:right w:w="108" w:type="dxa"/>
        </w:tblCellMar>
      </w:tblPr>
      <w:tblGrid>
        <w:gridCol w:w="1404"/>
        <w:gridCol w:w="3981"/>
        <w:gridCol w:w="4581"/>
      </w:tblGrid>
      <w:tr w14:paraId="7C1A6298">
        <w:tblPrEx>
          <w:tblCellMar>
            <w:top w:w="0" w:type="dxa"/>
            <w:left w:w="108" w:type="dxa"/>
            <w:bottom w:w="0" w:type="dxa"/>
            <w:right w:w="108" w:type="dxa"/>
          </w:tblCellMar>
        </w:tblPrEx>
        <w:trPr>
          <w:trHeight w:val="555" w:hRule="exact"/>
          <w:jc w:val="center"/>
        </w:trPr>
        <w:tc>
          <w:tcPr>
            <w:tcW w:w="9966" w:type="dxa"/>
            <w:gridSpan w:val="3"/>
            <w:tcBorders>
              <w:top w:val="single" w:color="auto" w:sz="4" w:space="0"/>
              <w:left w:val="single" w:color="auto" w:sz="4" w:space="0"/>
              <w:bottom w:val="single" w:color="auto" w:sz="4" w:space="0"/>
              <w:right w:val="single" w:color="auto" w:sz="4" w:space="0"/>
            </w:tcBorders>
            <w:shd w:val="clear" w:color="auto" w:fill="D7D7D7"/>
            <w:vAlign w:val="center"/>
          </w:tcPr>
          <w:p w14:paraId="1B6B3D46">
            <w:pPr>
              <w:pStyle w:val="5"/>
              <w:tabs>
                <w:tab w:val="left" w:pos="1354"/>
                <w:tab w:val="left" w:pos="1459"/>
                <w:tab w:val="center" w:pos="3902"/>
                <w:tab w:val="right" w:pos="7805"/>
              </w:tabs>
              <w:wordWrap w:val="0"/>
              <w:spacing w:line="440" w:lineRule="exact"/>
              <w:rPr>
                <w:rFonts w:hint="eastAsia" w:ascii="宋体" w:hAnsi="宋体" w:eastAsia="宋体" w:cs="宋体"/>
                <w:color w:val="auto"/>
                <w:lang w:eastAsia="zh-CN"/>
              </w:rPr>
            </w:pPr>
            <w:r>
              <w:rPr>
                <w:rFonts w:hint="eastAsia" w:ascii="宋体" w:hAnsi="宋体" w:eastAsia="宋体" w:cs="宋体"/>
                <w:color w:val="auto"/>
                <w:lang w:eastAsia="zh-CN"/>
              </w:rPr>
              <w:t>商务部分，满分：</w:t>
            </w:r>
            <w:r>
              <w:rPr>
                <w:rFonts w:hint="eastAsia" w:ascii="宋体" w:hAnsi="宋体" w:eastAsia="宋体" w:cs="宋体"/>
                <w:color w:val="auto"/>
                <w:u w:val="single"/>
                <w:lang w:eastAsia="zh-CN"/>
              </w:rPr>
              <w:t>80</w:t>
            </w:r>
            <w:r>
              <w:rPr>
                <w:rFonts w:hint="eastAsia" w:ascii="宋体" w:hAnsi="宋体" w:eastAsia="宋体" w:cs="宋体"/>
                <w:color w:val="auto"/>
                <w:lang w:eastAsia="zh-CN"/>
              </w:rPr>
              <w:t>分。</w:t>
            </w:r>
          </w:p>
        </w:tc>
      </w:tr>
      <w:tr w14:paraId="5A7277B0">
        <w:tblPrEx>
          <w:tblCellMar>
            <w:top w:w="0" w:type="dxa"/>
            <w:left w:w="108" w:type="dxa"/>
            <w:bottom w:w="0" w:type="dxa"/>
            <w:right w:w="108" w:type="dxa"/>
          </w:tblCellMar>
        </w:tblPrEx>
        <w:trPr>
          <w:trHeight w:val="455" w:hRule="exact"/>
          <w:jc w:val="center"/>
        </w:trPr>
        <w:tc>
          <w:tcPr>
            <w:tcW w:w="1404" w:type="dxa"/>
            <w:tcBorders>
              <w:top w:val="single" w:color="auto" w:sz="4" w:space="0"/>
              <w:left w:val="single" w:color="auto" w:sz="4" w:space="0"/>
              <w:bottom w:val="single" w:color="auto" w:sz="4" w:space="0"/>
              <w:right w:val="single" w:color="auto" w:sz="4" w:space="0"/>
            </w:tcBorders>
            <w:vAlign w:val="center"/>
          </w:tcPr>
          <w:p w14:paraId="1B455BF4">
            <w:pPr>
              <w:pStyle w:val="5"/>
              <w:tabs>
                <w:tab w:val="left" w:pos="1354"/>
                <w:tab w:val="left" w:pos="1459"/>
                <w:tab w:val="center" w:pos="3902"/>
                <w:tab w:val="right" w:pos="7805"/>
              </w:tabs>
              <w:wordWrap w:val="0"/>
              <w:spacing w:line="440" w:lineRule="exact"/>
              <w:jc w:val="center"/>
              <w:rPr>
                <w:rFonts w:hint="eastAsia" w:ascii="宋体" w:hAnsi="宋体" w:eastAsia="宋体" w:cs="宋体"/>
                <w:color w:val="auto"/>
              </w:rPr>
            </w:pPr>
            <w:r>
              <w:rPr>
                <w:rFonts w:hint="eastAsia" w:ascii="宋体" w:hAnsi="宋体" w:eastAsia="宋体" w:cs="宋体"/>
                <w:color w:val="auto"/>
              </w:rPr>
              <w:t>评分因素</w:t>
            </w:r>
          </w:p>
        </w:tc>
        <w:tc>
          <w:tcPr>
            <w:tcW w:w="3981" w:type="dxa"/>
            <w:tcBorders>
              <w:top w:val="single" w:color="auto" w:sz="4" w:space="0"/>
              <w:left w:val="single" w:color="auto" w:sz="4" w:space="0"/>
              <w:bottom w:val="single" w:color="auto" w:sz="4" w:space="0"/>
              <w:right w:val="single" w:color="auto" w:sz="4" w:space="0"/>
            </w:tcBorders>
            <w:vAlign w:val="center"/>
          </w:tcPr>
          <w:p w14:paraId="4EE5677F">
            <w:pPr>
              <w:pStyle w:val="5"/>
              <w:tabs>
                <w:tab w:val="left" w:pos="1354"/>
                <w:tab w:val="left" w:pos="1459"/>
                <w:tab w:val="center" w:pos="3902"/>
                <w:tab w:val="right" w:pos="7805"/>
              </w:tabs>
              <w:wordWrap w:val="0"/>
              <w:spacing w:line="440" w:lineRule="exact"/>
              <w:jc w:val="center"/>
              <w:rPr>
                <w:rFonts w:hint="eastAsia" w:ascii="宋体" w:hAnsi="宋体" w:eastAsia="宋体" w:cs="宋体"/>
                <w:color w:val="auto"/>
              </w:rPr>
            </w:pPr>
            <w:r>
              <w:rPr>
                <w:rFonts w:hint="eastAsia" w:ascii="宋体" w:hAnsi="宋体" w:eastAsia="宋体" w:cs="宋体"/>
                <w:color w:val="auto"/>
              </w:rPr>
              <w:t>评分标准</w:t>
            </w:r>
          </w:p>
        </w:tc>
        <w:tc>
          <w:tcPr>
            <w:tcW w:w="4581" w:type="dxa"/>
            <w:tcBorders>
              <w:top w:val="single" w:color="auto" w:sz="4" w:space="0"/>
              <w:left w:val="single" w:color="auto" w:sz="4" w:space="0"/>
              <w:bottom w:val="single" w:color="auto" w:sz="4" w:space="0"/>
              <w:right w:val="single" w:color="auto" w:sz="4" w:space="0"/>
            </w:tcBorders>
            <w:vAlign w:val="center"/>
          </w:tcPr>
          <w:p w14:paraId="51C05465">
            <w:pPr>
              <w:pStyle w:val="5"/>
              <w:tabs>
                <w:tab w:val="left" w:pos="1354"/>
                <w:tab w:val="left" w:pos="1459"/>
                <w:tab w:val="center" w:pos="3902"/>
                <w:tab w:val="right" w:pos="7805"/>
              </w:tabs>
              <w:wordWrap w:val="0"/>
              <w:spacing w:line="440" w:lineRule="exact"/>
              <w:jc w:val="center"/>
              <w:rPr>
                <w:rFonts w:hint="eastAsia" w:ascii="宋体" w:hAnsi="宋体" w:eastAsia="宋体" w:cs="宋体"/>
                <w:color w:val="auto"/>
              </w:rPr>
            </w:pPr>
            <w:r>
              <w:rPr>
                <w:rFonts w:hint="eastAsia" w:ascii="宋体" w:hAnsi="宋体" w:eastAsia="宋体" w:cs="宋体"/>
                <w:color w:val="auto"/>
              </w:rPr>
              <w:t>备注</w:t>
            </w:r>
          </w:p>
        </w:tc>
      </w:tr>
      <w:tr w14:paraId="0B4B4D71">
        <w:tblPrEx>
          <w:tblCellMar>
            <w:top w:w="0" w:type="dxa"/>
            <w:left w:w="108" w:type="dxa"/>
            <w:bottom w:w="0" w:type="dxa"/>
            <w:right w:w="108" w:type="dxa"/>
          </w:tblCellMar>
        </w:tblPrEx>
        <w:trPr>
          <w:trHeight w:val="9456"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74668256">
            <w:pPr>
              <w:overflowPunct w:val="0"/>
              <w:spacing w:line="360" w:lineRule="auto"/>
              <w:jc w:val="center"/>
              <w:rPr>
                <w:rFonts w:hint="eastAsia" w:ascii="宋体" w:hAnsi="宋体" w:eastAsia="宋体" w:cs="宋体"/>
                <w:color w:val="auto"/>
                <w:spacing w:val="6"/>
              </w:rPr>
            </w:pPr>
            <w:r>
              <w:rPr>
                <w:rFonts w:hint="eastAsia" w:ascii="宋体" w:hAnsi="宋体" w:eastAsia="宋体" w:cs="宋体"/>
                <w:color w:val="auto"/>
                <w:spacing w:val="6"/>
              </w:rPr>
              <w:t>企业奖项</w:t>
            </w:r>
          </w:p>
          <w:p w14:paraId="1BA3108F">
            <w:pPr>
              <w:overflowPunct w:val="0"/>
              <w:spacing w:line="360" w:lineRule="auto"/>
              <w:jc w:val="center"/>
              <w:rPr>
                <w:rFonts w:hint="eastAsia" w:ascii="宋体" w:hAnsi="宋体" w:eastAsia="宋体" w:cs="宋体"/>
                <w:color w:val="auto"/>
              </w:rPr>
            </w:pPr>
            <w:r>
              <w:rPr>
                <w:rFonts w:hint="eastAsia" w:ascii="宋体" w:hAnsi="宋体" w:eastAsia="宋体" w:cs="宋体"/>
                <w:color w:val="auto"/>
                <w:spacing w:val="-2"/>
              </w:rPr>
              <w:t>（10分）</w:t>
            </w:r>
          </w:p>
        </w:tc>
        <w:tc>
          <w:tcPr>
            <w:tcW w:w="3981" w:type="dxa"/>
            <w:tcBorders>
              <w:top w:val="single" w:color="auto" w:sz="4" w:space="0"/>
              <w:left w:val="single" w:color="auto" w:sz="4" w:space="0"/>
              <w:bottom w:val="single" w:color="auto" w:sz="4" w:space="0"/>
              <w:right w:val="single" w:color="auto" w:sz="4" w:space="0"/>
            </w:tcBorders>
            <w:vAlign w:val="center"/>
          </w:tcPr>
          <w:p w14:paraId="59BF0667">
            <w:pPr>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企业近年来（202</w:t>
            </w:r>
            <w:r>
              <w:rPr>
                <w:rFonts w:ascii="宋体" w:hAnsi="宋体" w:eastAsia="宋体" w:cs="宋体"/>
                <w:color w:val="auto"/>
                <w:lang w:eastAsia="zh-CN"/>
              </w:rPr>
              <w:t>3</w:t>
            </w:r>
            <w:r>
              <w:rPr>
                <w:rFonts w:hint="eastAsia" w:ascii="宋体" w:hAnsi="宋体" w:eastAsia="宋体" w:cs="宋体"/>
                <w:color w:val="auto"/>
                <w:lang w:eastAsia="zh-CN"/>
              </w:rPr>
              <w:t>年1月1日至今）获得</w:t>
            </w:r>
            <w:r>
              <w:rPr>
                <w:rFonts w:hint="eastAsia" w:ascii="宋体" w:hAnsi="宋体" w:eastAsia="宋体" w:cs="宋体"/>
                <w:color w:val="auto"/>
                <w:u w:val="single"/>
                <w:lang w:eastAsia="zh-CN"/>
              </w:rPr>
              <w:t>房屋建筑或市政</w:t>
            </w:r>
            <w:r>
              <w:rPr>
                <w:rFonts w:hint="eastAsia" w:ascii="宋体" w:hAnsi="宋体" w:eastAsia="宋体" w:cs="宋体"/>
                <w:color w:val="auto"/>
                <w:lang w:eastAsia="zh-CN"/>
              </w:rPr>
              <w:t>工程类奖项情况（不含参建奖项）</w:t>
            </w:r>
          </w:p>
          <w:p w14:paraId="10659010">
            <w:pPr>
              <w:overflowPunct w:val="0"/>
              <w:spacing w:line="360" w:lineRule="auto"/>
              <w:rPr>
                <w:rFonts w:hint="eastAsia" w:ascii="宋体" w:hAnsi="宋体" w:eastAsia="宋体" w:cs="宋体"/>
                <w:color w:val="auto"/>
                <w:lang w:eastAsia="zh-CN"/>
              </w:rPr>
            </w:pPr>
            <w:r>
              <w:rPr>
                <w:rFonts w:hint="eastAsia" w:ascii="宋体" w:hAnsi="宋体" w:eastAsia="宋体" w:cs="宋体"/>
                <w:color w:val="auto"/>
                <w:spacing w:val="8"/>
                <w:lang w:eastAsia="zh-CN"/>
              </w:rPr>
              <w:t>1</w:t>
            </w:r>
            <w:r>
              <w:rPr>
                <w:rFonts w:hint="eastAsia" w:ascii="宋体" w:hAnsi="宋体" w:eastAsia="宋体" w:cs="宋体"/>
                <w:color w:val="auto"/>
                <w:spacing w:val="-12"/>
                <w:lang w:eastAsia="zh-CN"/>
              </w:rPr>
              <w:t>.</w:t>
            </w:r>
            <w:r>
              <w:rPr>
                <w:rFonts w:hint="eastAsia" w:ascii="宋体" w:hAnsi="宋体" w:eastAsia="宋体" w:cs="宋体"/>
                <w:color w:val="auto"/>
                <w:spacing w:val="8"/>
                <w:lang w:eastAsia="zh-CN"/>
              </w:rPr>
              <w:t>获得国家级奖项的，每个得</w:t>
            </w:r>
            <w:r>
              <w:rPr>
                <w:rFonts w:hint="eastAsia" w:ascii="宋体" w:hAnsi="宋体" w:eastAsia="宋体" w:cs="宋体"/>
                <w:color w:val="auto"/>
                <w:spacing w:val="8"/>
                <w:u w:val="single"/>
                <w:lang w:eastAsia="zh-CN"/>
              </w:rPr>
              <w:t>8</w:t>
            </w:r>
            <w:r>
              <w:rPr>
                <w:rFonts w:hint="eastAsia" w:ascii="宋体" w:hAnsi="宋体" w:eastAsia="宋体" w:cs="宋体"/>
                <w:color w:val="auto"/>
                <w:spacing w:val="-1"/>
                <w:lang w:eastAsia="zh-CN"/>
              </w:rPr>
              <w:t>分。</w:t>
            </w:r>
          </w:p>
          <w:p w14:paraId="235465D8">
            <w:pPr>
              <w:overflowPunct w:val="0"/>
              <w:spacing w:line="360" w:lineRule="auto"/>
              <w:rPr>
                <w:rFonts w:hint="eastAsia" w:ascii="宋体" w:hAnsi="宋体" w:eastAsia="宋体" w:cs="宋体"/>
                <w:color w:val="auto"/>
                <w:lang w:eastAsia="zh-CN"/>
              </w:rPr>
            </w:pPr>
            <w:r>
              <w:rPr>
                <w:rFonts w:hint="eastAsia" w:ascii="宋体" w:hAnsi="宋体" w:eastAsia="宋体" w:cs="宋体"/>
                <w:color w:val="auto"/>
                <w:spacing w:val="3"/>
                <w:lang w:eastAsia="zh-CN"/>
              </w:rPr>
              <w:t>2</w:t>
            </w:r>
            <w:r>
              <w:rPr>
                <w:rFonts w:hint="eastAsia" w:ascii="宋体" w:hAnsi="宋体" w:eastAsia="宋体" w:cs="宋体"/>
                <w:color w:val="auto"/>
                <w:spacing w:val="-12"/>
                <w:lang w:eastAsia="zh-CN"/>
              </w:rPr>
              <w:t>.</w:t>
            </w:r>
            <w:r>
              <w:rPr>
                <w:rFonts w:hint="eastAsia" w:ascii="宋体" w:hAnsi="宋体" w:eastAsia="宋体" w:cs="宋体"/>
                <w:color w:val="auto"/>
                <w:spacing w:val="3"/>
                <w:lang w:eastAsia="zh-CN"/>
              </w:rPr>
              <w:t>获得省级奖项的，每个得</w:t>
            </w:r>
            <w:r>
              <w:rPr>
                <w:rFonts w:hint="eastAsia" w:ascii="宋体" w:hAnsi="宋体" w:eastAsia="宋体" w:cs="宋体"/>
                <w:color w:val="auto"/>
                <w:spacing w:val="3"/>
                <w:u w:val="single"/>
                <w:lang w:eastAsia="zh-CN"/>
              </w:rPr>
              <w:t>4</w:t>
            </w:r>
            <w:r>
              <w:rPr>
                <w:rFonts w:hint="eastAsia" w:ascii="宋体" w:hAnsi="宋体" w:eastAsia="宋体" w:cs="宋体"/>
                <w:color w:val="auto"/>
                <w:spacing w:val="3"/>
                <w:lang w:eastAsia="zh-CN"/>
              </w:rPr>
              <w:t>分。</w:t>
            </w:r>
          </w:p>
          <w:p w14:paraId="77D3D380">
            <w:pPr>
              <w:overflowPunct w:val="0"/>
              <w:spacing w:line="360" w:lineRule="auto"/>
              <w:rPr>
                <w:rFonts w:hint="eastAsia" w:ascii="宋体" w:hAnsi="宋体" w:eastAsia="宋体" w:cs="宋体"/>
                <w:color w:val="auto"/>
                <w:lang w:eastAsia="zh-CN"/>
              </w:rPr>
            </w:pPr>
            <w:r>
              <w:rPr>
                <w:rFonts w:hint="eastAsia" w:ascii="宋体" w:hAnsi="宋体" w:eastAsia="宋体" w:cs="宋体"/>
                <w:color w:val="auto"/>
                <w:spacing w:val="8"/>
                <w:lang w:eastAsia="zh-CN"/>
              </w:rPr>
              <w:t>3</w:t>
            </w:r>
            <w:r>
              <w:rPr>
                <w:rFonts w:hint="eastAsia" w:ascii="宋体" w:hAnsi="宋体" w:eastAsia="宋体" w:cs="宋体"/>
                <w:color w:val="auto"/>
                <w:spacing w:val="-4"/>
                <w:lang w:eastAsia="zh-CN"/>
              </w:rPr>
              <w:t>.</w:t>
            </w:r>
            <w:r>
              <w:rPr>
                <w:rFonts w:hint="eastAsia" w:ascii="宋体" w:hAnsi="宋体" w:eastAsia="宋体" w:cs="宋体"/>
                <w:color w:val="auto"/>
                <w:spacing w:val="8"/>
                <w:lang w:eastAsia="zh-CN"/>
              </w:rPr>
              <w:t>获得地市级奖项的，每个得</w:t>
            </w:r>
            <w:r>
              <w:rPr>
                <w:rFonts w:hint="eastAsia" w:ascii="宋体" w:hAnsi="宋体" w:eastAsia="宋体" w:cs="宋体"/>
                <w:color w:val="auto"/>
                <w:spacing w:val="8"/>
                <w:u w:val="single"/>
                <w:lang w:eastAsia="zh-CN"/>
              </w:rPr>
              <w:t>2</w:t>
            </w:r>
            <w:r>
              <w:rPr>
                <w:rFonts w:hint="eastAsia" w:ascii="宋体" w:hAnsi="宋体" w:eastAsia="宋体" w:cs="宋体"/>
                <w:color w:val="auto"/>
                <w:spacing w:val="-1"/>
                <w:lang w:eastAsia="zh-CN"/>
              </w:rPr>
              <w:t>分。</w:t>
            </w:r>
          </w:p>
          <w:p w14:paraId="1465D302">
            <w:pPr>
              <w:overflowPunct w:val="0"/>
              <w:spacing w:line="360" w:lineRule="auto"/>
              <w:rPr>
                <w:rFonts w:hint="eastAsia" w:ascii="宋体" w:hAnsi="宋体" w:eastAsia="宋体" w:cs="宋体"/>
                <w:color w:val="auto"/>
                <w:lang w:eastAsia="zh-CN"/>
              </w:rPr>
            </w:pPr>
            <w:r>
              <w:rPr>
                <w:rFonts w:hint="eastAsia" w:ascii="宋体" w:hAnsi="宋体" w:eastAsia="宋体" w:cs="宋体"/>
                <w:color w:val="auto"/>
                <w:spacing w:val="-1"/>
                <w:lang w:eastAsia="zh-CN"/>
              </w:rPr>
              <w:t>4.以上奖项均未获得的，不予计分。</w:t>
            </w:r>
          </w:p>
          <w:p w14:paraId="215CB0CC">
            <w:pPr>
              <w:overflowPunct w:val="0"/>
              <w:spacing w:line="360" w:lineRule="auto"/>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spacing w:val="-14"/>
              </w:rPr>
              <w:t>.</w:t>
            </w:r>
            <w:r>
              <w:rPr>
                <w:rFonts w:hint="eastAsia" w:ascii="宋体" w:hAnsi="宋体" w:eastAsia="宋体" w:cs="宋体"/>
                <w:color w:val="auto"/>
              </w:rPr>
              <w:t>本项最高得</w:t>
            </w:r>
            <w:r>
              <w:rPr>
                <w:rFonts w:hint="eastAsia" w:ascii="宋体" w:hAnsi="宋体" w:eastAsia="宋体" w:cs="宋体"/>
                <w:color w:val="auto"/>
                <w:spacing w:val="-23"/>
              </w:rPr>
              <w:t xml:space="preserve"> </w:t>
            </w:r>
            <w:r>
              <w:rPr>
                <w:rFonts w:hint="eastAsia" w:ascii="宋体" w:hAnsi="宋体" w:eastAsia="宋体" w:cs="宋体"/>
                <w:color w:val="auto"/>
              </w:rPr>
              <w:t>10</w:t>
            </w:r>
            <w:r>
              <w:rPr>
                <w:rFonts w:hint="eastAsia" w:ascii="宋体" w:hAnsi="宋体" w:eastAsia="宋体" w:cs="宋体"/>
                <w:color w:val="auto"/>
                <w:spacing w:val="14"/>
                <w:w w:val="101"/>
              </w:rPr>
              <w:t xml:space="preserve"> </w:t>
            </w:r>
            <w:r>
              <w:rPr>
                <w:rFonts w:hint="eastAsia" w:ascii="宋体" w:hAnsi="宋体" w:eastAsia="宋体" w:cs="宋体"/>
                <w:color w:val="auto"/>
              </w:rPr>
              <w:t>分。</w:t>
            </w:r>
          </w:p>
        </w:tc>
        <w:tc>
          <w:tcPr>
            <w:tcW w:w="4581" w:type="dxa"/>
            <w:tcBorders>
              <w:top w:val="single" w:color="auto" w:sz="4" w:space="0"/>
              <w:left w:val="single" w:color="auto" w:sz="4" w:space="0"/>
              <w:bottom w:val="single" w:color="auto" w:sz="4" w:space="0"/>
              <w:right w:val="single" w:color="auto" w:sz="4" w:space="0"/>
            </w:tcBorders>
          </w:tcPr>
          <w:p w14:paraId="7BF73701">
            <w:pPr>
              <w:overflowPunct w:val="0"/>
              <w:spacing w:line="360" w:lineRule="auto"/>
              <w:rPr>
                <w:rFonts w:hint="eastAsia" w:ascii="宋体" w:hAnsi="宋体" w:eastAsia="宋体" w:cs="宋体"/>
                <w:color w:val="auto"/>
                <w:lang w:eastAsia="zh-CN"/>
              </w:rPr>
            </w:pPr>
            <w:r>
              <w:rPr>
                <w:rFonts w:hint="eastAsia" w:ascii="宋体" w:hAnsi="宋体" w:eastAsia="宋体" w:cs="宋体"/>
                <w:color w:val="auto"/>
                <w:spacing w:val="7"/>
                <w:lang w:eastAsia="zh-CN"/>
              </w:rPr>
              <w:t>1</w:t>
            </w:r>
            <w:r>
              <w:rPr>
                <w:rFonts w:hint="eastAsia" w:ascii="宋体" w:hAnsi="宋体" w:eastAsia="宋体" w:cs="宋体"/>
                <w:color w:val="auto"/>
                <w:spacing w:val="-8"/>
                <w:lang w:eastAsia="zh-CN"/>
              </w:rPr>
              <w:t xml:space="preserve"> </w:t>
            </w:r>
            <w:r>
              <w:rPr>
                <w:rFonts w:hint="eastAsia" w:ascii="宋体" w:hAnsi="宋体" w:eastAsia="宋体" w:cs="宋体"/>
                <w:color w:val="auto"/>
                <w:spacing w:val="7"/>
                <w:lang w:eastAsia="zh-CN"/>
              </w:rPr>
              <w:t>．允许投标人提交</w:t>
            </w:r>
            <w:r>
              <w:rPr>
                <w:rFonts w:hint="eastAsia" w:ascii="宋体" w:hAnsi="宋体" w:eastAsia="宋体" w:cs="宋体"/>
                <w:b/>
                <w:bCs/>
                <w:color w:val="auto"/>
                <w:spacing w:val="7"/>
                <w:lang w:eastAsia="zh-CN"/>
              </w:rPr>
              <w:t>多个业绩</w:t>
            </w:r>
            <w:r>
              <w:rPr>
                <w:rFonts w:hint="eastAsia" w:ascii="宋体" w:hAnsi="宋体" w:eastAsia="宋体" w:cs="宋体"/>
                <w:color w:val="auto"/>
                <w:spacing w:val="7"/>
                <w:lang w:eastAsia="zh-CN"/>
              </w:rPr>
              <w:t>，但同一业绩只按最高级别奖项计分一次。</w:t>
            </w:r>
          </w:p>
          <w:p w14:paraId="56062AB5">
            <w:pPr>
              <w:overflowPunct w:val="0"/>
              <w:spacing w:line="360" w:lineRule="auto"/>
              <w:rPr>
                <w:rFonts w:hint="eastAsia" w:ascii="宋体" w:hAnsi="宋体" w:eastAsia="宋体" w:cs="宋体"/>
                <w:b/>
                <w:bCs/>
                <w:color w:val="auto"/>
                <w:lang w:eastAsia="zh-CN"/>
              </w:rPr>
            </w:pPr>
            <w:r>
              <w:rPr>
                <w:rFonts w:hint="eastAsia" w:ascii="宋体" w:hAnsi="宋体" w:eastAsia="宋体" w:cs="宋体"/>
                <w:color w:val="auto"/>
                <w:spacing w:val="6"/>
                <w:lang w:eastAsia="zh-CN"/>
              </w:rPr>
              <w:t>2</w:t>
            </w:r>
            <w:r>
              <w:rPr>
                <w:rFonts w:hint="eastAsia" w:ascii="宋体" w:hAnsi="宋体" w:eastAsia="宋体" w:cs="宋体"/>
                <w:color w:val="auto"/>
                <w:spacing w:val="-21"/>
                <w:lang w:eastAsia="zh-CN"/>
              </w:rPr>
              <w:t xml:space="preserve"> </w:t>
            </w:r>
            <w:r>
              <w:rPr>
                <w:rFonts w:hint="eastAsia" w:ascii="宋体" w:hAnsi="宋体" w:eastAsia="宋体" w:cs="宋体"/>
                <w:color w:val="auto"/>
                <w:spacing w:val="6"/>
                <w:lang w:eastAsia="zh-CN"/>
              </w:rPr>
              <w:t>．需附有关奖项证明彩色扫描件</w:t>
            </w:r>
            <w:r>
              <w:rPr>
                <w:rFonts w:hint="eastAsia" w:ascii="宋体" w:hAnsi="宋体" w:eastAsia="宋体" w:cs="宋体"/>
                <w:color w:val="auto"/>
                <w:spacing w:val="31"/>
                <w:lang w:eastAsia="zh-CN"/>
              </w:rPr>
              <w:t>，</w:t>
            </w:r>
            <w:r>
              <w:rPr>
                <w:rFonts w:hint="eastAsia" w:ascii="宋体" w:hAnsi="宋体" w:eastAsia="宋体" w:cs="宋体"/>
                <w:b/>
                <w:bCs/>
                <w:color w:val="auto"/>
                <w:spacing w:val="31"/>
                <w:lang w:eastAsia="zh-CN"/>
              </w:rPr>
              <w:t>同时提供原件核对</w:t>
            </w:r>
            <w:r>
              <w:rPr>
                <w:rFonts w:hint="eastAsia" w:ascii="宋体" w:hAnsi="宋体" w:eastAsia="宋体" w:cs="宋体"/>
                <w:b/>
                <w:bCs/>
                <w:color w:val="auto"/>
                <w:spacing w:val="6"/>
                <w:lang w:eastAsia="zh-CN"/>
              </w:rPr>
              <w:t>。（奖项为电子证书的除外）</w:t>
            </w:r>
          </w:p>
          <w:p w14:paraId="45A139A5">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3．颁发机构限定以下范围：</w:t>
            </w:r>
          </w:p>
          <w:p w14:paraId="552D4B41">
            <w:pPr>
              <w:pStyle w:val="5"/>
              <w:overflowPunct w:val="0"/>
              <w:spacing w:line="360" w:lineRule="auto"/>
              <w:rPr>
                <w:rFonts w:hint="eastAsia" w:ascii="宋体" w:hAnsi="宋体" w:eastAsia="宋体" w:cs="宋体"/>
                <w:color w:val="auto"/>
                <w:u w:val="single"/>
                <w:lang w:eastAsia="zh-CN"/>
              </w:rPr>
            </w:pPr>
            <w:r>
              <w:rPr>
                <w:rFonts w:hint="eastAsia" w:ascii="宋体" w:hAnsi="宋体" w:eastAsia="宋体" w:cs="宋体"/>
                <w:color w:val="auto"/>
                <w:lang w:eastAsia="zh-CN"/>
              </w:rPr>
              <w:t>①国家级奖项：</w:t>
            </w:r>
            <w:r>
              <w:rPr>
                <w:rFonts w:hint="eastAsia" w:ascii="宋体" w:hAnsi="宋体" w:eastAsia="宋体" w:cs="宋体"/>
                <w:color w:val="auto"/>
                <w:u w:val="single"/>
                <w:lang w:eastAsia="zh-CN"/>
              </w:rPr>
              <w:t>国务院、住建部、中国建筑业协会、中国建筑安全协会、中国市政行业协会；</w:t>
            </w:r>
            <w:r>
              <w:rPr>
                <w:rFonts w:hint="eastAsia" w:ascii="宋体" w:hAnsi="宋体" w:eastAsia="宋体" w:cs="宋体"/>
                <w:b/>
                <w:bCs/>
                <w:color w:val="auto"/>
                <w:lang w:eastAsia="zh-CN"/>
              </w:rPr>
              <w:t>（相关协会需经民政部门备案）</w:t>
            </w:r>
          </w:p>
          <w:p w14:paraId="45ACCE0F">
            <w:pPr>
              <w:pStyle w:val="5"/>
              <w:overflowPunct w:val="0"/>
              <w:spacing w:line="360" w:lineRule="auto"/>
              <w:rPr>
                <w:rFonts w:hint="eastAsia" w:ascii="宋体" w:hAnsi="宋体" w:eastAsia="宋体" w:cs="宋体"/>
                <w:color w:val="auto"/>
                <w:u w:val="single"/>
                <w:lang w:eastAsia="zh-CN"/>
              </w:rPr>
            </w:pPr>
            <w:r>
              <w:rPr>
                <w:rFonts w:hint="eastAsia" w:ascii="宋体" w:hAnsi="宋体" w:eastAsia="宋体" w:cs="宋体"/>
                <w:color w:val="auto"/>
                <w:lang w:eastAsia="zh-CN"/>
              </w:rPr>
              <w:t>②省级奖项：</w:t>
            </w:r>
            <w:r>
              <w:rPr>
                <w:rFonts w:hint="eastAsia" w:ascii="宋体" w:hAnsi="宋体" w:eastAsia="宋体" w:cs="宋体"/>
                <w:color w:val="auto"/>
                <w:u w:val="single"/>
                <w:lang w:eastAsia="zh-CN"/>
              </w:rPr>
              <w:t>省级建设行政主管部门、省级建筑行业协会、省级建筑安全协会、省级市政行业协会；</w:t>
            </w:r>
            <w:r>
              <w:rPr>
                <w:rFonts w:hint="eastAsia" w:ascii="宋体" w:hAnsi="宋体" w:eastAsia="宋体" w:cs="宋体"/>
                <w:b/>
                <w:bCs/>
                <w:color w:val="auto"/>
                <w:lang w:eastAsia="zh-CN"/>
              </w:rPr>
              <w:t>（相关协会需经民政部门备案）</w:t>
            </w:r>
          </w:p>
          <w:p w14:paraId="116A004D">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③地市级奖项：</w:t>
            </w:r>
            <w:r>
              <w:rPr>
                <w:rFonts w:hint="eastAsia" w:ascii="宋体" w:hAnsi="宋体" w:eastAsia="宋体" w:cs="宋体"/>
                <w:color w:val="auto"/>
                <w:u w:val="single"/>
                <w:lang w:eastAsia="zh-CN"/>
              </w:rPr>
              <w:t>市级建设行政主管部门、市级建筑行业协会、市级建筑安全协会、市级市政类行业协会。</w:t>
            </w:r>
            <w:r>
              <w:rPr>
                <w:rFonts w:hint="eastAsia" w:ascii="宋体" w:hAnsi="宋体" w:eastAsia="宋体" w:cs="宋体"/>
                <w:b/>
                <w:bCs/>
                <w:color w:val="auto"/>
                <w:lang w:eastAsia="zh-CN"/>
              </w:rPr>
              <w:t>（相关协会需经民政部门备案）</w:t>
            </w:r>
          </w:p>
          <w:p w14:paraId="2A9A3E33">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4．获奖时间以奖项证明的落款日期为准。</w:t>
            </w:r>
          </w:p>
          <w:p w14:paraId="7A50F527">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5. 任一奖项有以下情形之一的，该奖项视为无效，不予计分：</w:t>
            </w:r>
          </w:p>
          <w:p w14:paraId="0ED9D614">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①未提供奖项原件的；</w:t>
            </w:r>
          </w:p>
          <w:p w14:paraId="55F668F3">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②奖项不属于指定类别的；</w:t>
            </w:r>
          </w:p>
          <w:p w14:paraId="69250825">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③颁发机构不符合要求的；</w:t>
            </w:r>
          </w:p>
          <w:p w14:paraId="4CB6536D">
            <w:pPr>
              <w:pStyle w:val="5"/>
              <w:overflowPunct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④获奖时间不符合要求的。</w:t>
            </w:r>
          </w:p>
          <w:p w14:paraId="09AB4A3A">
            <w:pPr>
              <w:overflowPunct w:val="0"/>
              <w:spacing w:line="360" w:lineRule="auto"/>
              <w:rPr>
                <w:rFonts w:hint="eastAsia" w:ascii="宋体" w:hAnsi="宋体" w:eastAsia="宋体" w:cs="宋体"/>
                <w:color w:val="auto"/>
                <w:lang w:eastAsia="zh-CN"/>
              </w:rPr>
            </w:pPr>
            <w:r>
              <w:rPr>
                <w:rFonts w:hint="eastAsia" w:ascii="宋体" w:hAnsi="宋体" w:eastAsia="宋体" w:cs="宋体"/>
                <w:b/>
                <w:bCs/>
                <w:color w:val="auto"/>
                <w:spacing w:val="8"/>
                <w:lang w:eastAsia="zh-CN"/>
              </w:rPr>
              <w:t>说明：</w:t>
            </w:r>
            <w:r>
              <w:rPr>
                <w:rFonts w:hint="eastAsia" w:ascii="宋体" w:hAnsi="宋体" w:eastAsia="宋体" w:cs="宋体"/>
                <w:color w:val="auto"/>
                <w:spacing w:val="-36"/>
                <w:lang w:eastAsia="zh-CN"/>
              </w:rPr>
              <w:t xml:space="preserve"> </w:t>
            </w:r>
            <w:r>
              <w:rPr>
                <w:rFonts w:hint="eastAsia" w:ascii="宋体" w:hAnsi="宋体" w:eastAsia="宋体" w:cs="宋体"/>
                <w:b/>
                <w:bCs/>
                <w:color w:val="auto"/>
                <w:spacing w:val="8"/>
                <w:lang w:eastAsia="zh-CN"/>
              </w:rPr>
              <w:t>以上所称“要求</w:t>
            </w:r>
            <w:r>
              <w:rPr>
                <w:rFonts w:hint="eastAsia" w:ascii="宋体" w:hAnsi="宋体" w:eastAsia="宋体" w:cs="宋体"/>
                <w:color w:val="auto"/>
                <w:spacing w:val="-65"/>
                <w:lang w:eastAsia="zh-CN"/>
              </w:rPr>
              <w:t xml:space="preserve"> </w:t>
            </w:r>
            <w:r>
              <w:rPr>
                <w:rFonts w:hint="eastAsia" w:ascii="宋体" w:hAnsi="宋体" w:eastAsia="宋体" w:cs="宋体"/>
                <w:b/>
                <w:bCs/>
                <w:color w:val="auto"/>
                <w:spacing w:val="8"/>
                <w:lang w:eastAsia="zh-CN"/>
              </w:rPr>
              <w:t>”均指本表评分标准及</w:t>
            </w:r>
            <w:r>
              <w:rPr>
                <w:rFonts w:hint="eastAsia" w:ascii="宋体" w:hAnsi="宋体" w:eastAsia="宋体" w:cs="宋体"/>
                <w:b/>
                <w:bCs/>
                <w:color w:val="auto"/>
                <w:spacing w:val="6"/>
                <w:lang w:eastAsia="zh-CN"/>
              </w:rPr>
              <w:t>备注的要求，下同。</w:t>
            </w:r>
          </w:p>
        </w:tc>
      </w:tr>
      <w:tr w14:paraId="47F6D7DF">
        <w:tblPrEx>
          <w:tblCellMar>
            <w:top w:w="0" w:type="dxa"/>
            <w:left w:w="108" w:type="dxa"/>
            <w:bottom w:w="0" w:type="dxa"/>
            <w:right w:w="108" w:type="dxa"/>
          </w:tblCellMar>
        </w:tblPrEx>
        <w:trPr>
          <w:trHeight w:val="2734"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62E6AEA2">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项目经理综合素质</w:t>
            </w:r>
          </w:p>
          <w:p w14:paraId="46C65ABD">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（10分）</w:t>
            </w:r>
          </w:p>
        </w:tc>
        <w:tc>
          <w:tcPr>
            <w:tcW w:w="3981" w:type="dxa"/>
            <w:tcBorders>
              <w:top w:val="single" w:color="auto" w:sz="4" w:space="0"/>
              <w:left w:val="single" w:color="auto" w:sz="4" w:space="0"/>
              <w:bottom w:val="single" w:color="auto" w:sz="4" w:space="0"/>
              <w:right w:val="single" w:color="auto" w:sz="4" w:space="0"/>
            </w:tcBorders>
            <w:vAlign w:val="center"/>
          </w:tcPr>
          <w:p w14:paraId="4293CEFD">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项目经理具备</w:t>
            </w:r>
            <w:r>
              <w:rPr>
                <w:rFonts w:hint="eastAsia" w:ascii="宋体" w:hAnsi="宋体" w:eastAsia="宋体" w:cs="宋体"/>
                <w:color w:val="auto"/>
                <w:u w:val="single"/>
                <w:lang w:eastAsia="zh-CN"/>
              </w:rPr>
              <w:t>工程</w:t>
            </w:r>
            <w:r>
              <w:rPr>
                <w:rFonts w:hint="eastAsia" w:ascii="宋体" w:hAnsi="宋体" w:eastAsia="宋体" w:cs="宋体"/>
                <w:color w:val="auto"/>
                <w:lang w:eastAsia="zh-CN"/>
              </w:rPr>
              <w:t>类技术职称情况：</w:t>
            </w:r>
          </w:p>
          <w:p w14:paraId="1DC32002">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val="en-US" w:eastAsia="zh-CN"/>
              </w:rPr>
              <w:t>1</w:t>
            </w:r>
            <w:r>
              <w:rPr>
                <w:rFonts w:hint="eastAsia" w:ascii="宋体" w:hAnsi="宋体" w:eastAsia="宋体" w:cs="宋体"/>
                <w:color w:val="auto"/>
                <w:lang w:eastAsia="zh-CN"/>
              </w:rPr>
              <w:t>.</w:t>
            </w:r>
            <w:r>
              <w:rPr>
                <w:rFonts w:ascii="宋体" w:hAnsi="宋体" w:eastAsia="宋体" w:cs="宋体"/>
                <w:color w:val="auto"/>
                <w:lang w:eastAsia="zh-CN"/>
              </w:rPr>
              <w:t>具备助理工程师职称</w:t>
            </w:r>
            <w:r>
              <w:rPr>
                <w:rFonts w:hint="eastAsia" w:ascii="宋体" w:hAnsi="宋体" w:eastAsia="宋体" w:cs="宋体"/>
                <w:color w:val="auto"/>
                <w:lang w:val="en-US" w:eastAsia="zh-CN"/>
              </w:rPr>
              <w:t>或以上</w:t>
            </w:r>
            <w:r>
              <w:rPr>
                <w:rFonts w:ascii="宋体" w:hAnsi="宋体" w:eastAsia="宋体" w:cs="宋体"/>
                <w:color w:val="auto"/>
                <w:lang w:eastAsia="zh-CN"/>
              </w:rPr>
              <w:t>的，得</w:t>
            </w:r>
            <w:r>
              <w:rPr>
                <w:rFonts w:hint="eastAsia" w:ascii="宋体" w:hAnsi="宋体" w:eastAsia="宋体" w:cs="宋体"/>
                <w:color w:val="auto"/>
                <w:lang w:val="en-US" w:eastAsia="zh-CN"/>
              </w:rPr>
              <w:t>10</w:t>
            </w:r>
            <w:r>
              <w:rPr>
                <w:rFonts w:ascii="宋体" w:hAnsi="宋体" w:eastAsia="宋体" w:cs="宋体"/>
                <w:color w:val="auto"/>
                <w:lang w:eastAsia="zh-CN"/>
              </w:rPr>
              <w:t>分</w:t>
            </w:r>
          </w:p>
          <w:p w14:paraId="61AFBA20">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val="en-US" w:eastAsia="zh-CN"/>
              </w:rPr>
              <w:t>2</w:t>
            </w:r>
            <w:r>
              <w:rPr>
                <w:rFonts w:ascii="宋体" w:hAnsi="宋体" w:eastAsia="宋体" w:cs="宋体"/>
                <w:color w:val="auto"/>
                <w:lang w:eastAsia="zh-CN"/>
              </w:rPr>
              <w:t>.不具备以上职称的，或未提供职称证原件的，不予计分。</w:t>
            </w:r>
          </w:p>
        </w:tc>
        <w:tc>
          <w:tcPr>
            <w:tcW w:w="4581" w:type="dxa"/>
            <w:tcBorders>
              <w:top w:val="single" w:color="auto" w:sz="4" w:space="0"/>
              <w:left w:val="single" w:color="auto" w:sz="4" w:space="0"/>
              <w:bottom w:val="single" w:color="auto" w:sz="4" w:space="0"/>
              <w:right w:val="single" w:color="auto" w:sz="4" w:space="0"/>
            </w:tcBorders>
            <w:vAlign w:val="center"/>
          </w:tcPr>
          <w:p w14:paraId="2D844FD1">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需附职称证彩色扫描件，</w:t>
            </w:r>
            <w:r>
              <w:rPr>
                <w:rFonts w:hint="eastAsia" w:ascii="宋体" w:hAnsi="宋体" w:eastAsia="宋体" w:cs="宋体"/>
                <w:b/>
                <w:bCs/>
                <w:color w:val="auto"/>
                <w:lang w:eastAsia="zh-CN"/>
              </w:rPr>
              <w:t>同时提供原件供核对</w:t>
            </w:r>
            <w:r>
              <w:rPr>
                <w:rFonts w:hint="eastAsia" w:ascii="宋体" w:hAnsi="宋体" w:eastAsia="宋体" w:cs="宋体"/>
                <w:color w:val="auto"/>
                <w:lang w:eastAsia="zh-CN"/>
              </w:rPr>
              <w:t>（职称证为电子证书打印件的除外）。</w:t>
            </w:r>
          </w:p>
        </w:tc>
      </w:tr>
      <w:tr w14:paraId="30B74D6E">
        <w:tblPrEx>
          <w:tblCellMar>
            <w:top w:w="0" w:type="dxa"/>
            <w:left w:w="108" w:type="dxa"/>
            <w:bottom w:w="0" w:type="dxa"/>
            <w:right w:w="108" w:type="dxa"/>
          </w:tblCellMar>
        </w:tblPrEx>
        <w:trPr>
          <w:trHeight w:val="90"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63C462C5">
            <w:pPr>
              <w:wordWrap w:val="0"/>
              <w:spacing w:line="360" w:lineRule="auto"/>
              <w:jc w:val="center"/>
              <w:rPr>
                <w:rFonts w:hint="eastAsia" w:ascii="宋体" w:hAnsi="宋体" w:eastAsia="宋体" w:cs="宋体"/>
                <w:color w:val="auto"/>
              </w:rPr>
            </w:pPr>
            <w:r>
              <w:rPr>
                <w:rFonts w:hint="eastAsia" w:ascii="宋体" w:hAnsi="宋体" w:eastAsia="宋体" w:cs="宋体"/>
                <w:color w:val="auto"/>
              </w:rPr>
              <w:t>企业业绩</w:t>
            </w:r>
          </w:p>
          <w:p w14:paraId="000E1AD4">
            <w:pPr>
              <w:wordWrap w:val="0"/>
              <w:spacing w:line="360" w:lineRule="auto"/>
              <w:jc w:val="center"/>
              <w:rPr>
                <w:rFonts w:hint="eastAsia" w:ascii="宋体" w:hAnsi="宋体" w:eastAsia="宋体" w:cs="宋体"/>
                <w:color w:val="auto"/>
              </w:rPr>
            </w:pPr>
            <w:r>
              <w:rPr>
                <w:rFonts w:hint="eastAsia" w:ascii="宋体" w:hAnsi="宋体" w:eastAsia="宋体" w:cs="宋体"/>
                <w:color w:val="auto"/>
              </w:rPr>
              <w:t>（15分）</w:t>
            </w:r>
          </w:p>
        </w:tc>
        <w:tc>
          <w:tcPr>
            <w:tcW w:w="3981" w:type="dxa"/>
            <w:tcBorders>
              <w:top w:val="single" w:color="auto" w:sz="4" w:space="0"/>
              <w:left w:val="single" w:color="auto" w:sz="4" w:space="0"/>
              <w:bottom w:val="single" w:color="auto" w:sz="4" w:space="0"/>
              <w:right w:val="single" w:color="auto" w:sz="4" w:space="0"/>
            </w:tcBorders>
            <w:vAlign w:val="center"/>
          </w:tcPr>
          <w:p w14:paraId="3827E2C6">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企业近年来（202</w:t>
            </w:r>
            <w:r>
              <w:rPr>
                <w:rFonts w:ascii="宋体" w:hAnsi="宋体" w:eastAsia="宋体" w:cs="宋体"/>
                <w:color w:val="auto"/>
                <w:lang w:eastAsia="zh-CN"/>
              </w:rPr>
              <w:t>3</w:t>
            </w:r>
            <w:r>
              <w:rPr>
                <w:rFonts w:hint="eastAsia" w:ascii="宋体" w:hAnsi="宋体" w:eastAsia="宋体" w:cs="宋体"/>
                <w:color w:val="auto"/>
                <w:lang w:eastAsia="zh-CN"/>
              </w:rPr>
              <w:t>年1月1日至今）业绩情况：</w:t>
            </w:r>
          </w:p>
          <w:p w14:paraId="6D33A2C4">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1.</w:t>
            </w:r>
            <w:r>
              <w:rPr>
                <w:rFonts w:hint="eastAsia" w:ascii="宋体" w:hAnsi="宋体" w:eastAsia="宋体" w:cs="宋体"/>
                <w:color w:val="auto"/>
                <w:u w:val="single"/>
                <w:lang w:eastAsia="zh-CN"/>
              </w:rPr>
              <w:t>完成</w:t>
            </w:r>
            <w:r>
              <w:rPr>
                <w:rFonts w:hint="eastAsia" w:ascii="宋体" w:hAnsi="宋体" w:eastAsia="宋体" w:cs="宋体"/>
                <w:color w:val="auto"/>
                <w:lang w:eastAsia="zh-CN"/>
              </w:rPr>
              <w:t>过类似工程的，每个得7.5分。</w:t>
            </w:r>
          </w:p>
          <w:p w14:paraId="70F822B3">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2.</w:t>
            </w:r>
            <w:r>
              <w:rPr>
                <w:rFonts w:hint="eastAsia" w:ascii="宋体" w:hAnsi="宋体" w:eastAsia="宋体" w:cs="宋体"/>
                <w:color w:val="auto"/>
                <w:u w:val="single"/>
                <w:lang w:eastAsia="zh-CN"/>
              </w:rPr>
              <w:t>未完成</w:t>
            </w:r>
            <w:r>
              <w:rPr>
                <w:rFonts w:hint="eastAsia" w:ascii="宋体" w:hAnsi="宋体" w:eastAsia="宋体" w:cs="宋体"/>
                <w:color w:val="auto"/>
                <w:lang w:eastAsia="zh-CN"/>
              </w:rPr>
              <w:t>过类似工程的，不予计分。</w:t>
            </w:r>
          </w:p>
          <w:p w14:paraId="7A5823A3">
            <w:pPr>
              <w:wordWrap w:val="0"/>
              <w:spacing w:line="360" w:lineRule="auto"/>
              <w:rPr>
                <w:rFonts w:hint="eastAsia" w:ascii="宋体" w:hAnsi="宋体" w:eastAsia="宋体" w:cs="宋体"/>
                <w:color w:val="auto"/>
              </w:rPr>
            </w:pPr>
            <w:r>
              <w:rPr>
                <w:rFonts w:hint="eastAsia" w:ascii="宋体" w:hAnsi="宋体" w:eastAsia="宋体" w:cs="宋体"/>
                <w:color w:val="auto"/>
              </w:rPr>
              <w:t xml:space="preserve">3.本项最高得15分。 </w:t>
            </w:r>
          </w:p>
        </w:tc>
        <w:tc>
          <w:tcPr>
            <w:tcW w:w="4581" w:type="dxa"/>
            <w:tcBorders>
              <w:top w:val="single" w:color="auto" w:sz="4" w:space="0"/>
              <w:left w:val="single" w:color="auto" w:sz="4" w:space="0"/>
              <w:bottom w:val="single" w:color="auto" w:sz="4" w:space="0"/>
              <w:right w:val="single" w:color="auto" w:sz="4" w:space="0"/>
            </w:tcBorders>
            <w:vAlign w:val="center"/>
          </w:tcPr>
          <w:p w14:paraId="225C12BC">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 xml:space="preserve">1.类似工程指：单项工程造价≧ </w:t>
            </w:r>
            <w:r>
              <w:rPr>
                <w:rFonts w:hint="eastAsia" w:ascii="宋体" w:hAnsi="宋体" w:eastAsia="宋体" w:cs="宋体"/>
                <w:color w:val="auto"/>
                <w:u w:val="single"/>
                <w:lang w:eastAsia="zh-CN"/>
              </w:rPr>
              <w:t>400</w:t>
            </w:r>
            <w:r>
              <w:rPr>
                <w:rFonts w:hint="eastAsia" w:ascii="宋体" w:hAnsi="宋体" w:eastAsia="宋体" w:cs="宋体"/>
                <w:color w:val="auto"/>
                <w:lang w:eastAsia="zh-CN"/>
              </w:rPr>
              <w:t>万元的</w:t>
            </w:r>
            <w:r>
              <w:rPr>
                <w:rFonts w:hint="eastAsia" w:ascii="宋体" w:hAnsi="宋体" w:eastAsia="宋体" w:cs="宋体"/>
                <w:color w:val="auto"/>
                <w:u w:val="single"/>
                <w:lang w:eastAsia="zh-CN"/>
              </w:rPr>
              <w:t>市政</w:t>
            </w:r>
            <w:r>
              <w:rPr>
                <w:rFonts w:hint="eastAsia" w:ascii="宋体" w:hAnsi="宋体" w:eastAsia="宋体" w:cs="宋体"/>
                <w:color w:val="auto"/>
                <w:lang w:eastAsia="zh-CN"/>
              </w:rPr>
              <w:t>类</w:t>
            </w:r>
            <w:r>
              <w:rPr>
                <w:rFonts w:hint="eastAsia" w:ascii="宋体" w:hAnsi="宋体" w:eastAsia="宋体" w:cs="宋体"/>
                <w:color w:val="auto"/>
                <w:lang w:val="en-US" w:eastAsia="zh-CN"/>
              </w:rPr>
              <w:t>或建筑类</w:t>
            </w:r>
            <w:r>
              <w:rPr>
                <w:rFonts w:hint="eastAsia" w:ascii="宋体" w:hAnsi="宋体" w:eastAsia="宋体" w:cs="宋体"/>
                <w:color w:val="auto"/>
                <w:lang w:eastAsia="zh-CN"/>
              </w:rPr>
              <w:t>工程。</w:t>
            </w:r>
          </w:p>
          <w:p w14:paraId="41478D24">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2.需附有关业绩（仅限于以施工总承包单位身份参建的项目）中标通知书及竣工验收报告彩色扫描件，</w:t>
            </w:r>
            <w:r>
              <w:rPr>
                <w:rFonts w:hint="eastAsia" w:ascii="宋体" w:hAnsi="宋体" w:eastAsia="宋体" w:cs="宋体"/>
                <w:b/>
                <w:bCs/>
                <w:color w:val="auto"/>
                <w:lang w:eastAsia="zh-CN"/>
              </w:rPr>
              <w:t>同时提供原件供核对</w:t>
            </w:r>
            <w:r>
              <w:rPr>
                <w:rFonts w:hint="eastAsia" w:ascii="宋体" w:hAnsi="宋体" w:eastAsia="宋体" w:cs="宋体"/>
                <w:bCs/>
                <w:color w:val="auto"/>
                <w:lang w:eastAsia="zh-CN"/>
              </w:rPr>
              <w:t>（</w:t>
            </w:r>
            <w:r>
              <w:rPr>
                <w:rFonts w:hint="eastAsia" w:ascii="宋体" w:hAnsi="宋体" w:eastAsia="宋体" w:cs="宋体"/>
                <w:color w:val="auto"/>
                <w:lang w:eastAsia="zh-CN"/>
              </w:rPr>
              <w:t>中标通知书为电子证书的除外</w:t>
            </w:r>
            <w:r>
              <w:rPr>
                <w:rFonts w:hint="eastAsia" w:ascii="宋体" w:hAnsi="宋体" w:eastAsia="宋体" w:cs="宋体"/>
                <w:bCs/>
                <w:color w:val="auto"/>
                <w:lang w:eastAsia="zh-CN"/>
              </w:rPr>
              <w:t>）</w:t>
            </w:r>
            <w:r>
              <w:rPr>
                <w:rFonts w:hint="eastAsia" w:ascii="宋体" w:hAnsi="宋体" w:eastAsia="宋体" w:cs="宋体"/>
                <w:color w:val="auto"/>
                <w:lang w:eastAsia="zh-CN"/>
              </w:rPr>
              <w:t>。</w:t>
            </w:r>
          </w:p>
          <w:p w14:paraId="70FE658F">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3.业绩时间以竣工验收报告日期为准。</w:t>
            </w:r>
          </w:p>
          <w:p w14:paraId="6A8B03BA">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4.任一业绩有以下情形之一的，该业绩视为无效，不予计分：</w:t>
            </w:r>
          </w:p>
          <w:p w14:paraId="721ADC3F">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①未提供业绩证明材料原件的；</w:t>
            </w:r>
          </w:p>
          <w:p w14:paraId="0B804963">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②业绩不属于类似工程的；</w:t>
            </w:r>
          </w:p>
          <w:p w14:paraId="538C0F0A">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③不是以指定身份参建的；</w:t>
            </w:r>
          </w:p>
          <w:p w14:paraId="3F29D5B0">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④业绩时间不符合要求的；</w:t>
            </w:r>
          </w:p>
          <w:p w14:paraId="42F79FB9">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⑤业绩未竣工验收的。</w:t>
            </w:r>
          </w:p>
        </w:tc>
      </w:tr>
      <w:tr w14:paraId="5FEC08C0">
        <w:tblPrEx>
          <w:tblCellMar>
            <w:top w:w="0" w:type="dxa"/>
            <w:left w:w="108" w:type="dxa"/>
            <w:bottom w:w="0" w:type="dxa"/>
            <w:right w:w="108" w:type="dxa"/>
          </w:tblCellMar>
        </w:tblPrEx>
        <w:trPr>
          <w:trHeight w:val="90"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03224AE8">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企业银行资信评级</w:t>
            </w:r>
          </w:p>
          <w:p w14:paraId="55A066DE">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10</w:t>
            </w:r>
            <w:r>
              <w:rPr>
                <w:rFonts w:hint="eastAsia" w:ascii="宋体" w:hAnsi="宋体" w:eastAsia="宋体" w:cs="宋体"/>
                <w:color w:val="auto"/>
                <w:lang w:eastAsia="zh-CN"/>
              </w:rPr>
              <w:t>分）</w:t>
            </w:r>
          </w:p>
        </w:tc>
        <w:tc>
          <w:tcPr>
            <w:tcW w:w="3981" w:type="dxa"/>
            <w:tcBorders>
              <w:top w:val="single" w:color="auto" w:sz="4" w:space="0"/>
              <w:left w:val="single" w:color="auto" w:sz="4" w:space="0"/>
              <w:bottom w:val="single" w:color="auto" w:sz="4" w:space="0"/>
              <w:right w:val="single" w:color="auto" w:sz="4" w:space="0"/>
            </w:tcBorders>
            <w:vAlign w:val="center"/>
          </w:tcPr>
          <w:p w14:paraId="05974286">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1.银行资信评级AAA的，得</w:t>
            </w:r>
            <w:r>
              <w:rPr>
                <w:rFonts w:hint="eastAsia" w:ascii="宋体" w:hAnsi="宋体" w:eastAsia="宋体" w:cs="宋体"/>
                <w:color w:val="auto"/>
                <w:lang w:val="en-US" w:eastAsia="zh-CN"/>
              </w:rPr>
              <w:t>10</w:t>
            </w:r>
            <w:r>
              <w:rPr>
                <w:rFonts w:hint="eastAsia" w:ascii="宋体" w:hAnsi="宋体" w:eastAsia="宋体" w:cs="宋体"/>
                <w:color w:val="auto"/>
                <w:lang w:eastAsia="zh-CN"/>
              </w:rPr>
              <w:t>分；</w:t>
            </w:r>
          </w:p>
          <w:p w14:paraId="16DFBA11">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2.银行资信评级AA（含AA＋、AA－）的，得</w:t>
            </w:r>
            <w:r>
              <w:rPr>
                <w:rFonts w:hint="eastAsia" w:ascii="宋体" w:hAnsi="宋体" w:eastAsia="宋体" w:cs="宋体"/>
                <w:color w:val="auto"/>
                <w:lang w:val="en-US" w:eastAsia="zh-CN"/>
              </w:rPr>
              <w:t>5</w:t>
            </w:r>
            <w:r>
              <w:rPr>
                <w:rFonts w:hint="eastAsia" w:ascii="宋体" w:hAnsi="宋体" w:eastAsia="宋体" w:cs="宋体"/>
                <w:color w:val="auto"/>
                <w:lang w:eastAsia="zh-CN"/>
              </w:rPr>
              <w:t>分。</w:t>
            </w:r>
          </w:p>
          <w:p w14:paraId="1FF1D82C">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3.银行资信评级A（含A＋、A－）的，得</w:t>
            </w:r>
            <w:r>
              <w:rPr>
                <w:rFonts w:hint="eastAsia" w:ascii="宋体" w:hAnsi="宋体" w:eastAsia="宋体" w:cs="宋体"/>
                <w:color w:val="auto"/>
                <w:lang w:val="en-US" w:eastAsia="zh-CN"/>
              </w:rPr>
              <w:t>2</w:t>
            </w:r>
            <w:r>
              <w:rPr>
                <w:rFonts w:hint="eastAsia" w:ascii="宋体" w:hAnsi="宋体" w:eastAsia="宋体" w:cs="宋体"/>
                <w:color w:val="auto"/>
                <w:lang w:eastAsia="zh-CN"/>
              </w:rPr>
              <w:t>分。</w:t>
            </w:r>
          </w:p>
          <w:p w14:paraId="1BFEDA17">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4.未获得过以上评级的，或评级证书无效的，不予计分。</w:t>
            </w:r>
          </w:p>
        </w:tc>
        <w:tc>
          <w:tcPr>
            <w:tcW w:w="4581" w:type="dxa"/>
            <w:tcBorders>
              <w:top w:val="single" w:color="auto" w:sz="4" w:space="0"/>
              <w:left w:val="single" w:color="auto" w:sz="4" w:space="0"/>
              <w:bottom w:val="single" w:color="auto" w:sz="4" w:space="0"/>
              <w:right w:val="single" w:color="auto" w:sz="4" w:space="0"/>
            </w:tcBorders>
            <w:vAlign w:val="center"/>
          </w:tcPr>
          <w:p w14:paraId="1B01707C">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1.需附在有效期内的资信评级证书（证明）彩色扫描件，</w:t>
            </w:r>
            <w:r>
              <w:rPr>
                <w:rFonts w:hint="eastAsia" w:ascii="宋体" w:hAnsi="宋体" w:eastAsia="宋体" w:cs="宋体"/>
                <w:b/>
                <w:bCs/>
                <w:color w:val="auto"/>
                <w:lang w:eastAsia="zh-CN"/>
              </w:rPr>
              <w:t>同时提供原件供核对</w:t>
            </w:r>
            <w:r>
              <w:rPr>
                <w:rFonts w:hint="eastAsia" w:ascii="宋体" w:hAnsi="宋体" w:eastAsia="宋体" w:cs="宋体"/>
                <w:color w:val="auto"/>
                <w:lang w:eastAsia="zh-CN"/>
              </w:rPr>
              <w:t>（证书为电子证书的除外）。</w:t>
            </w:r>
          </w:p>
          <w:p w14:paraId="21450D81">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 xml:space="preserve">2.评级证书（证明）须由 </w:t>
            </w:r>
            <w:r>
              <w:rPr>
                <w:rFonts w:hint="eastAsia" w:ascii="宋体" w:hAnsi="宋体" w:eastAsia="宋体" w:cs="宋体"/>
                <w:color w:val="auto"/>
                <w:u w:val="single"/>
                <w:lang w:eastAsia="zh-CN"/>
              </w:rPr>
              <w:t>企业基本账户开户银行</w:t>
            </w:r>
            <w:r>
              <w:rPr>
                <w:rFonts w:hint="eastAsia" w:ascii="宋体" w:hAnsi="宋体" w:eastAsia="宋体" w:cs="宋体"/>
                <w:color w:val="auto"/>
                <w:lang w:eastAsia="zh-CN"/>
              </w:rPr>
              <w:t xml:space="preserve"> 出具。</w:t>
            </w:r>
          </w:p>
          <w:p w14:paraId="7123DA23">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3.评级证书（证明）有以下情形之一的，视为无效：</w:t>
            </w:r>
          </w:p>
          <w:p w14:paraId="07746D79">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①未提供评级证书（证明）原件的；</w:t>
            </w:r>
          </w:p>
          <w:p w14:paraId="18987F12">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②评级证书（证明）不在有效期内的；</w:t>
            </w:r>
          </w:p>
          <w:p w14:paraId="2D4F8D4A">
            <w:pPr>
              <w:wordWrap w:val="0"/>
              <w:spacing w:line="360" w:lineRule="auto"/>
              <w:rPr>
                <w:rFonts w:hint="eastAsia" w:ascii="宋体" w:hAnsi="宋体" w:eastAsia="宋体" w:cs="宋体"/>
                <w:color w:val="auto"/>
              </w:rPr>
            </w:pPr>
            <w:r>
              <w:rPr>
                <w:rFonts w:hint="eastAsia" w:ascii="宋体" w:hAnsi="宋体" w:eastAsia="宋体" w:cs="宋体"/>
                <w:color w:val="auto"/>
              </w:rPr>
              <w:t>③出具机构不符合要求的。</w:t>
            </w:r>
          </w:p>
        </w:tc>
      </w:tr>
      <w:tr w14:paraId="47F54666">
        <w:tblPrEx>
          <w:tblCellMar>
            <w:top w:w="0" w:type="dxa"/>
            <w:left w:w="108" w:type="dxa"/>
            <w:bottom w:w="0" w:type="dxa"/>
            <w:right w:w="108" w:type="dxa"/>
          </w:tblCellMar>
        </w:tblPrEx>
        <w:trPr>
          <w:trHeight w:val="1497"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7D18A8C7">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企业管理体系认证</w:t>
            </w:r>
          </w:p>
          <w:p w14:paraId="360FE43D">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10</w:t>
            </w:r>
            <w:r>
              <w:rPr>
                <w:rFonts w:hint="eastAsia" w:ascii="宋体" w:hAnsi="宋体" w:eastAsia="宋体" w:cs="宋体"/>
                <w:color w:val="auto"/>
                <w:lang w:eastAsia="zh-CN"/>
              </w:rPr>
              <w:t>分）</w:t>
            </w:r>
          </w:p>
        </w:tc>
        <w:tc>
          <w:tcPr>
            <w:tcW w:w="3981" w:type="dxa"/>
            <w:tcBorders>
              <w:top w:val="single" w:color="auto" w:sz="4" w:space="0"/>
              <w:left w:val="single" w:color="auto" w:sz="4" w:space="0"/>
              <w:bottom w:val="single" w:color="auto" w:sz="4" w:space="0"/>
              <w:right w:val="single" w:color="auto" w:sz="4" w:space="0"/>
            </w:tcBorders>
            <w:vAlign w:val="center"/>
          </w:tcPr>
          <w:p w14:paraId="1AB3BB13">
            <w:pPr>
              <w:pStyle w:val="5"/>
              <w:wordWrap w:val="0"/>
              <w:spacing w:line="400" w:lineRule="exact"/>
              <w:rPr>
                <w:rFonts w:hint="eastAsia" w:ascii="宋体" w:hAnsi="宋体" w:eastAsia="宋体" w:cs="宋体"/>
                <w:color w:val="auto"/>
                <w:sz w:val="22"/>
                <w:szCs w:val="22"/>
                <w:lang w:eastAsia="zh-CN"/>
              </w:rPr>
            </w:pPr>
            <w:r>
              <w:rPr>
                <w:rFonts w:hint="eastAsia" w:ascii="宋体" w:hAnsi="宋体" w:eastAsia="宋体" w:cs="宋体"/>
                <w:color w:val="auto"/>
                <w:lang w:eastAsia="zh-CN"/>
              </w:rPr>
              <w:t>1.质量管理体系认证证书、职业健康安全管理体系认证证书、环境管理体系认证证书；</w:t>
            </w:r>
            <w:r>
              <w:rPr>
                <w:rFonts w:hint="eastAsia" w:ascii="宋体" w:hAnsi="宋体" w:eastAsia="宋体" w:cs="宋体"/>
                <w:color w:val="auto"/>
                <w:sz w:val="22"/>
                <w:szCs w:val="22"/>
                <w:lang w:eastAsia="zh-CN"/>
              </w:rPr>
              <w:t>每获得1项认证得</w:t>
            </w:r>
            <w:r>
              <w:rPr>
                <w:rFonts w:hint="eastAsia" w:ascii="宋体" w:hAnsi="宋体" w:eastAsia="宋体" w:cs="宋体"/>
                <w:color w:val="auto"/>
                <w:sz w:val="22"/>
                <w:szCs w:val="22"/>
                <w:u w:val="single"/>
                <w:lang w:val="en-US" w:eastAsia="zh-CN"/>
              </w:rPr>
              <w:t>3.5</w:t>
            </w:r>
            <w:r>
              <w:rPr>
                <w:rFonts w:hint="eastAsia" w:ascii="宋体" w:hAnsi="宋体" w:eastAsia="宋体" w:cs="宋体"/>
                <w:color w:val="auto"/>
                <w:sz w:val="22"/>
                <w:szCs w:val="22"/>
                <w:lang w:eastAsia="zh-CN"/>
              </w:rPr>
              <w:t>分，最高得</w:t>
            </w:r>
            <w:r>
              <w:rPr>
                <w:rFonts w:hint="eastAsia" w:ascii="宋体" w:hAnsi="宋体" w:eastAsia="宋体" w:cs="宋体"/>
                <w:color w:val="auto"/>
                <w:sz w:val="22"/>
                <w:szCs w:val="22"/>
                <w:u w:val="single"/>
                <w:lang w:val="en-US" w:eastAsia="zh-CN"/>
              </w:rPr>
              <w:t>10</w:t>
            </w:r>
            <w:r>
              <w:rPr>
                <w:rFonts w:hint="eastAsia" w:ascii="宋体" w:hAnsi="宋体" w:eastAsia="宋体" w:cs="宋体"/>
                <w:color w:val="auto"/>
                <w:sz w:val="22"/>
                <w:szCs w:val="22"/>
                <w:lang w:eastAsia="zh-CN"/>
              </w:rPr>
              <w:t>分。</w:t>
            </w:r>
          </w:p>
          <w:p w14:paraId="7C1C833E">
            <w:pPr>
              <w:spacing w:line="360" w:lineRule="auto"/>
              <w:rPr>
                <w:rFonts w:hint="eastAsia" w:ascii="宋体" w:hAnsi="宋体" w:eastAsia="宋体" w:cs="宋体"/>
                <w:color w:val="auto"/>
                <w:lang w:eastAsia="zh-CN"/>
              </w:rPr>
            </w:pPr>
            <w:r>
              <w:rPr>
                <w:rFonts w:hint="eastAsia" w:ascii="宋体" w:hAnsi="宋体" w:eastAsia="宋体" w:cs="宋体"/>
                <w:color w:val="auto"/>
                <w:sz w:val="22"/>
                <w:szCs w:val="22"/>
                <w:lang w:eastAsia="zh-CN"/>
              </w:rPr>
              <w:t>2．未获得以上认证的，不予计分。</w:t>
            </w:r>
          </w:p>
          <w:p w14:paraId="6CE3DC54">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 xml:space="preserve"> </w:t>
            </w:r>
          </w:p>
        </w:tc>
        <w:tc>
          <w:tcPr>
            <w:tcW w:w="4581" w:type="dxa"/>
            <w:tcBorders>
              <w:top w:val="single" w:color="auto" w:sz="4" w:space="0"/>
              <w:left w:val="single" w:color="auto" w:sz="4" w:space="0"/>
              <w:bottom w:val="single" w:color="auto" w:sz="4" w:space="0"/>
              <w:right w:val="single" w:color="auto" w:sz="4" w:space="0"/>
            </w:tcBorders>
            <w:vAlign w:val="center"/>
          </w:tcPr>
          <w:p w14:paraId="7C8877A0">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1.需附在有效期内的认证证书彩色扫描件，</w:t>
            </w:r>
            <w:r>
              <w:rPr>
                <w:rFonts w:hint="eastAsia" w:ascii="宋体" w:hAnsi="宋体" w:eastAsia="宋体" w:cs="宋体"/>
                <w:b/>
                <w:bCs/>
                <w:color w:val="auto"/>
                <w:lang w:eastAsia="zh-CN"/>
              </w:rPr>
              <w:t>同时提供原件供核对</w:t>
            </w:r>
            <w:r>
              <w:rPr>
                <w:rFonts w:hint="eastAsia" w:ascii="宋体" w:hAnsi="宋体" w:eastAsia="宋体" w:cs="宋体"/>
                <w:color w:val="auto"/>
                <w:lang w:eastAsia="zh-CN"/>
              </w:rPr>
              <w:t>（证书为电子证书的除外）。</w:t>
            </w:r>
          </w:p>
          <w:p w14:paraId="1A6231BC">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2.该认证证书有以下情形之一的，视为无效，不予计分：</w:t>
            </w:r>
          </w:p>
          <w:p w14:paraId="441AAF78">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①未提供认证证书原件的；</w:t>
            </w:r>
          </w:p>
          <w:p w14:paraId="4ECA74F2">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②认证证书不在有效期内的；</w:t>
            </w:r>
          </w:p>
        </w:tc>
      </w:tr>
      <w:tr w14:paraId="733AD412">
        <w:tblPrEx>
          <w:tblCellMar>
            <w:top w:w="0" w:type="dxa"/>
            <w:left w:w="108" w:type="dxa"/>
            <w:bottom w:w="0" w:type="dxa"/>
            <w:right w:w="108" w:type="dxa"/>
          </w:tblCellMar>
        </w:tblPrEx>
        <w:trPr>
          <w:trHeight w:val="1497"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279A92C5">
            <w:pPr>
              <w:pStyle w:val="5"/>
              <w:wordWrap w:val="0"/>
              <w:spacing w:line="4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rPr>
              <w:t>企业</w:t>
            </w:r>
          </w:p>
          <w:p w14:paraId="6FFD4FA1">
            <w:pPr>
              <w:pStyle w:val="5"/>
              <w:wordWrap w:val="0"/>
              <w:spacing w:line="400" w:lineRule="exact"/>
              <w:jc w:val="center"/>
              <w:rPr>
                <w:rFonts w:hint="eastAsia" w:ascii="宋体" w:hAnsi="宋体" w:eastAsia="宋体" w:cs="宋体"/>
                <w:strike/>
                <w:color w:val="auto"/>
                <w:sz w:val="22"/>
                <w:szCs w:val="22"/>
              </w:rPr>
            </w:pPr>
            <w:r>
              <w:rPr>
                <w:rFonts w:hint="eastAsia" w:ascii="宋体" w:hAnsi="宋体" w:eastAsia="宋体" w:cs="宋体"/>
                <w:color w:val="auto"/>
                <w:sz w:val="22"/>
                <w:szCs w:val="22"/>
              </w:rPr>
              <w:t>财务状况</w:t>
            </w:r>
          </w:p>
          <w:p w14:paraId="63E4B8F0">
            <w:pPr>
              <w:pStyle w:val="5"/>
              <w:wordWrap w:val="0"/>
              <w:spacing w:line="400" w:lineRule="exact"/>
              <w:jc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10</w:t>
            </w:r>
            <w:r>
              <w:rPr>
                <w:rFonts w:hint="eastAsia" w:ascii="宋体" w:hAnsi="宋体" w:eastAsia="宋体" w:cs="宋体"/>
                <w:color w:val="auto"/>
                <w:sz w:val="22"/>
                <w:szCs w:val="22"/>
              </w:rPr>
              <w:t>分）</w:t>
            </w:r>
          </w:p>
        </w:tc>
        <w:tc>
          <w:tcPr>
            <w:tcW w:w="3981" w:type="dxa"/>
            <w:tcBorders>
              <w:top w:val="single" w:color="auto" w:sz="4" w:space="0"/>
              <w:left w:val="single" w:color="auto" w:sz="4" w:space="0"/>
              <w:bottom w:val="single" w:color="auto" w:sz="4" w:space="0"/>
              <w:right w:val="single" w:color="auto" w:sz="4" w:space="0"/>
            </w:tcBorders>
            <w:vAlign w:val="center"/>
          </w:tcPr>
          <w:p w14:paraId="5897CD4A">
            <w:pPr>
              <w:wordWrap w:val="0"/>
              <w:spacing w:line="40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1.提供不少于</w:t>
            </w:r>
            <w:r>
              <w:rPr>
                <w:rFonts w:ascii="宋体" w:hAnsi="宋体" w:eastAsia="宋体" w:cs="宋体"/>
                <w:color w:val="000000" w:themeColor="text1"/>
                <w:sz w:val="22"/>
                <w:szCs w:val="22"/>
                <w:u w:val="single"/>
                <w:lang w:eastAsia="zh-CN"/>
                <w14:textFill>
                  <w14:solidFill>
                    <w14:schemeClr w14:val="tx1"/>
                  </w14:solidFill>
                </w14:textFill>
              </w:rPr>
              <w:t xml:space="preserve"> </w:t>
            </w:r>
            <w:r>
              <w:rPr>
                <w:rFonts w:hint="eastAsia" w:ascii="宋体" w:hAnsi="宋体" w:eastAsia="宋体" w:cs="宋体"/>
                <w:color w:val="000000" w:themeColor="text1"/>
                <w:sz w:val="22"/>
                <w:szCs w:val="22"/>
                <w:u w:val="single"/>
                <w:lang w:val="en-US" w:eastAsia="zh-CN"/>
                <w14:textFill>
                  <w14:solidFill>
                    <w14:schemeClr w14:val="tx1"/>
                  </w14:solidFill>
                </w14:textFill>
              </w:rPr>
              <w:t>190</w:t>
            </w:r>
            <w:r>
              <w:rPr>
                <w:rFonts w:ascii="宋体" w:hAnsi="宋体" w:eastAsia="宋体" w:cs="宋体"/>
                <w:color w:val="000000" w:themeColor="text1"/>
                <w:sz w:val="22"/>
                <w:szCs w:val="22"/>
                <w:u w:val="single"/>
                <w:lang w:eastAsia="zh-CN"/>
                <w14:textFill>
                  <w14:solidFill>
                    <w14:schemeClr w14:val="tx1"/>
                  </w14:solidFill>
                </w14:textFill>
              </w:rPr>
              <w:t xml:space="preserve">  </w:t>
            </w:r>
            <w:r>
              <w:rPr>
                <w:rFonts w:hint="eastAsia" w:ascii="宋体" w:hAnsi="宋体" w:eastAsia="宋体" w:cs="宋体"/>
                <w:color w:val="auto"/>
                <w:sz w:val="22"/>
                <w:szCs w:val="22"/>
                <w:lang w:eastAsia="zh-CN"/>
              </w:rPr>
              <w:t>万元银行授信证明的，得</w:t>
            </w:r>
            <w:r>
              <w:rPr>
                <w:rFonts w:hint="eastAsia" w:ascii="宋体" w:hAnsi="宋体" w:eastAsia="宋体" w:cs="宋体"/>
                <w:color w:val="auto"/>
                <w:sz w:val="22"/>
                <w:szCs w:val="22"/>
                <w:u w:val="single"/>
                <w:lang w:eastAsia="zh-CN"/>
              </w:rPr>
              <w:t>5</w:t>
            </w:r>
            <w:r>
              <w:rPr>
                <w:rFonts w:hint="eastAsia" w:ascii="宋体" w:hAnsi="宋体" w:eastAsia="宋体" w:cs="宋体"/>
                <w:color w:val="auto"/>
                <w:sz w:val="22"/>
                <w:szCs w:val="22"/>
                <w:lang w:eastAsia="zh-CN"/>
              </w:rPr>
              <w:t>分。</w:t>
            </w:r>
          </w:p>
          <w:p w14:paraId="52AB849F">
            <w:pPr>
              <w:wordWrap w:val="0"/>
              <w:spacing w:line="40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2.提供投标人基本账户在本项目招标公告发布之日起至投标截止时间期间出现过至少连续3日不少于</w:t>
            </w:r>
            <w:r>
              <w:rPr>
                <w:rFonts w:ascii="宋体" w:hAnsi="宋体" w:eastAsia="宋体" w:cs="宋体"/>
                <w:color w:val="auto"/>
                <w:sz w:val="22"/>
                <w:szCs w:val="22"/>
                <w:u w:val="single"/>
                <w:lang w:eastAsia="zh-CN"/>
              </w:rPr>
              <w:t xml:space="preserve"> </w:t>
            </w:r>
            <w:r>
              <w:rPr>
                <w:rFonts w:hint="eastAsia" w:ascii="宋体" w:hAnsi="宋体" w:eastAsia="宋体" w:cs="宋体"/>
                <w:color w:val="auto"/>
                <w:sz w:val="22"/>
                <w:szCs w:val="22"/>
                <w:u w:val="single"/>
                <w:lang w:val="en-US" w:eastAsia="zh-CN"/>
              </w:rPr>
              <w:t>190</w:t>
            </w:r>
            <w:r>
              <w:rPr>
                <w:rFonts w:ascii="宋体" w:hAnsi="宋体" w:eastAsia="宋体" w:cs="宋体"/>
                <w:color w:val="auto"/>
                <w:sz w:val="22"/>
                <w:szCs w:val="22"/>
                <w:u w:val="single"/>
                <w:lang w:eastAsia="zh-CN"/>
              </w:rPr>
              <w:t xml:space="preserve">  </w:t>
            </w:r>
            <w:r>
              <w:rPr>
                <w:rFonts w:hint="eastAsia" w:ascii="宋体" w:hAnsi="宋体" w:eastAsia="宋体" w:cs="宋体"/>
                <w:color w:val="auto"/>
                <w:sz w:val="22"/>
                <w:szCs w:val="22"/>
                <w:lang w:eastAsia="zh-CN"/>
              </w:rPr>
              <w:t>万元存款余额资金流水证明的，得</w:t>
            </w:r>
            <w:r>
              <w:rPr>
                <w:rFonts w:hint="eastAsia" w:ascii="宋体" w:hAnsi="宋体" w:eastAsia="宋体" w:cs="宋体"/>
                <w:color w:val="auto"/>
                <w:sz w:val="22"/>
                <w:szCs w:val="22"/>
                <w:u w:val="single"/>
                <w:lang w:eastAsia="zh-CN"/>
              </w:rPr>
              <w:t>5</w:t>
            </w:r>
            <w:r>
              <w:rPr>
                <w:rFonts w:hint="eastAsia" w:ascii="宋体" w:hAnsi="宋体" w:eastAsia="宋体" w:cs="宋体"/>
                <w:color w:val="auto"/>
                <w:sz w:val="22"/>
                <w:szCs w:val="22"/>
                <w:lang w:eastAsia="zh-CN"/>
              </w:rPr>
              <w:t>分。</w:t>
            </w:r>
          </w:p>
          <w:p w14:paraId="190BA174">
            <w:pPr>
              <w:wordWrap w:val="0"/>
              <w:spacing w:line="400" w:lineRule="exac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3.未提供以上证明的，不予计分。</w:t>
            </w:r>
          </w:p>
        </w:tc>
        <w:tc>
          <w:tcPr>
            <w:tcW w:w="4581" w:type="dxa"/>
            <w:tcBorders>
              <w:top w:val="single" w:color="auto" w:sz="4" w:space="0"/>
              <w:left w:val="single" w:color="auto" w:sz="4" w:space="0"/>
              <w:bottom w:val="single" w:color="auto" w:sz="4" w:space="0"/>
              <w:right w:val="single" w:color="auto" w:sz="4" w:space="0"/>
            </w:tcBorders>
            <w:vAlign w:val="center"/>
          </w:tcPr>
          <w:p w14:paraId="6E3DA2E0">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1．需附在有效期内的有关证明彩色扫描件（或打印件）。</w:t>
            </w:r>
          </w:p>
          <w:p w14:paraId="4D9E4D02">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 xml:space="preserve">2．银行授信证明有以下情形之一的，视为无效，不予计分： </w:t>
            </w:r>
          </w:p>
          <w:p w14:paraId="4CFD1347">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 xml:space="preserve">①授信证明不在有效期内的； </w:t>
            </w:r>
          </w:p>
          <w:p w14:paraId="23D9648F">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 xml:space="preserve">②授信额度不符合要求的； </w:t>
            </w:r>
          </w:p>
          <w:p w14:paraId="65F38CA7">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 xml:space="preserve">3．存款余额资金流水证明有以下情形之一的，视为无效，不予计分： </w:t>
            </w:r>
          </w:p>
          <w:p w14:paraId="4B67C02E">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 xml:space="preserve">①存款账户不是基本账户的； </w:t>
            </w:r>
          </w:p>
          <w:p w14:paraId="6644728F">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 xml:space="preserve">②存款时间不符合要求的； </w:t>
            </w:r>
          </w:p>
          <w:p w14:paraId="6AEBCD96">
            <w:pPr>
              <w:wordWrap w:val="0"/>
              <w:spacing w:line="312" w:lineRule="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③存款额度不符合要求的。</w:t>
            </w:r>
          </w:p>
        </w:tc>
      </w:tr>
      <w:tr w14:paraId="6718C13F">
        <w:tblPrEx>
          <w:tblCellMar>
            <w:top w:w="0" w:type="dxa"/>
            <w:left w:w="108" w:type="dxa"/>
            <w:bottom w:w="0" w:type="dxa"/>
            <w:right w:w="108" w:type="dxa"/>
          </w:tblCellMar>
        </w:tblPrEx>
        <w:trPr>
          <w:trHeight w:val="1608" w:hRule="atLeast"/>
          <w:jc w:val="center"/>
        </w:trPr>
        <w:tc>
          <w:tcPr>
            <w:tcW w:w="1404" w:type="dxa"/>
            <w:tcBorders>
              <w:left w:val="single" w:color="auto" w:sz="4" w:space="0"/>
              <w:right w:val="single" w:color="auto" w:sz="4" w:space="0"/>
            </w:tcBorders>
            <w:vAlign w:val="center"/>
          </w:tcPr>
          <w:p w14:paraId="3D13C528">
            <w:pPr>
              <w:pStyle w:val="5"/>
              <w:widowControl w:val="0"/>
              <w:kinsoku/>
              <w:wordWrap w:val="0"/>
              <w:autoSpaceDE/>
              <w:autoSpaceDN/>
              <w:spacing w:line="288" w:lineRule="auto"/>
              <w:jc w:val="center"/>
              <w:textAlignment w:val="auto"/>
              <w:rPr>
                <w:rFonts w:hint="eastAsia" w:ascii="宋体" w:hAnsi="宋体" w:eastAsia="宋体" w:cs="宋体"/>
                <w:color w:val="auto"/>
                <w:sz w:val="22"/>
                <w:szCs w:val="22"/>
                <w:lang w:eastAsia="zh-CN"/>
              </w:rPr>
            </w:pPr>
          </w:p>
        </w:tc>
        <w:tc>
          <w:tcPr>
            <w:tcW w:w="3981" w:type="dxa"/>
            <w:tcBorders>
              <w:top w:val="single" w:color="auto" w:sz="4" w:space="0"/>
              <w:left w:val="single" w:color="auto" w:sz="4" w:space="0"/>
              <w:bottom w:val="single" w:color="auto" w:sz="4" w:space="0"/>
              <w:right w:val="single" w:color="auto" w:sz="4" w:space="0"/>
            </w:tcBorders>
            <w:vAlign w:val="center"/>
          </w:tcPr>
          <w:p w14:paraId="1DBC9B92">
            <w:pPr>
              <w:wordWrap w:val="0"/>
              <w:spacing w:line="400" w:lineRule="exact"/>
              <w:rPr>
                <w:rFonts w:hint="eastAsia" w:ascii="宋体" w:hAnsi="宋体" w:eastAsia="宋体" w:cs="宋体"/>
                <w:color w:val="auto"/>
                <w:lang w:val="en-US" w:eastAsia="zh-CN"/>
              </w:rPr>
            </w:pPr>
            <w:r>
              <w:rPr>
                <w:rFonts w:hint="eastAsia" w:ascii="宋体" w:hAnsi="宋体" w:eastAsia="宋体" w:cs="宋体"/>
                <w:color w:val="auto"/>
                <w:lang w:val="en-US" w:eastAsia="zh-CN"/>
              </w:rPr>
              <w:t>1.2023年1月1日至今投标人未发生事故等级为一般事故及以上的生产安全事故和一般质量事故及以上的工程质量事故的，得5分；其他情况的不得分。</w:t>
            </w:r>
          </w:p>
          <w:p w14:paraId="34845CC0">
            <w:pPr>
              <w:wordWrap w:val="0"/>
              <w:spacing w:line="400" w:lineRule="exact"/>
              <w:rPr>
                <w:rFonts w:hint="default" w:ascii="宋体" w:hAnsi="宋体" w:eastAsia="宋体" w:cs="宋体"/>
                <w:color w:val="auto"/>
                <w:lang w:val="en-US" w:eastAsia="zh-CN"/>
              </w:rPr>
            </w:pPr>
            <w:r>
              <w:rPr>
                <w:rFonts w:hint="eastAsia" w:ascii="宋体" w:hAnsi="宋体" w:eastAsia="宋体" w:cs="宋体"/>
                <w:color w:val="auto"/>
                <w:lang w:val="en-US" w:eastAsia="zh-CN"/>
              </w:rPr>
              <w:t>2.其他情形的，不予计分。</w:t>
            </w:r>
          </w:p>
        </w:tc>
        <w:tc>
          <w:tcPr>
            <w:tcW w:w="4581" w:type="dxa"/>
            <w:tcBorders>
              <w:top w:val="single" w:color="auto" w:sz="4" w:space="0"/>
              <w:left w:val="single" w:color="auto" w:sz="4" w:space="0"/>
              <w:bottom w:val="single" w:color="auto" w:sz="4" w:space="0"/>
              <w:right w:val="single" w:color="auto" w:sz="4" w:space="0"/>
            </w:tcBorders>
            <w:vAlign w:val="center"/>
          </w:tcPr>
          <w:p w14:paraId="0D76BF40">
            <w:pPr>
              <w:wordWrap w:val="0"/>
              <w:spacing w:line="400" w:lineRule="exact"/>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需提供本单位承诺书（格式自定）并加盖本单位公章。 </w:t>
            </w:r>
          </w:p>
          <w:p w14:paraId="1B725EB7">
            <w:pPr>
              <w:wordWrap w:val="0"/>
              <w:spacing w:line="400" w:lineRule="exact"/>
              <w:rPr>
                <w:rFonts w:hint="eastAsia" w:ascii="宋体" w:hAnsi="宋体" w:eastAsia="宋体" w:cs="宋体"/>
                <w:color w:val="auto"/>
                <w:lang w:val="en-US" w:eastAsia="zh-CN"/>
              </w:rPr>
            </w:pPr>
            <w:r>
              <w:rPr>
                <w:rFonts w:hint="eastAsia" w:ascii="宋体" w:hAnsi="宋体" w:eastAsia="宋体" w:cs="宋体"/>
                <w:color w:val="auto"/>
                <w:lang w:val="en-US" w:eastAsia="zh-CN"/>
              </w:rPr>
              <w:t>未提供本单位承诺书并加盖本单位公章的，按第</w:t>
            </w:r>
            <w:bookmarkStart w:id="281" w:name="_GoBack"/>
            <w:bookmarkEnd w:id="281"/>
            <w:r>
              <w:rPr>
                <w:rFonts w:hint="eastAsia" w:ascii="宋体" w:hAnsi="宋体" w:eastAsia="宋体" w:cs="宋体"/>
                <w:color w:val="auto"/>
                <w:lang w:val="en-US" w:eastAsia="zh-CN"/>
              </w:rPr>
              <w:t>2 项标准处理。</w:t>
            </w:r>
          </w:p>
          <w:p w14:paraId="150ADCD3">
            <w:pPr>
              <w:wordWrap w:val="0"/>
              <w:spacing w:line="400" w:lineRule="exact"/>
              <w:rPr>
                <w:rFonts w:hint="eastAsia" w:ascii="宋体" w:hAnsi="宋体" w:eastAsia="宋体" w:cs="宋体"/>
                <w:color w:val="auto"/>
                <w:lang w:eastAsia="zh-CN"/>
              </w:rPr>
            </w:pPr>
          </w:p>
        </w:tc>
      </w:tr>
      <w:tr w14:paraId="398C99F8">
        <w:tblPrEx>
          <w:tblCellMar>
            <w:top w:w="0" w:type="dxa"/>
            <w:left w:w="108" w:type="dxa"/>
            <w:bottom w:w="0" w:type="dxa"/>
            <w:right w:w="108" w:type="dxa"/>
          </w:tblCellMar>
        </w:tblPrEx>
        <w:trPr>
          <w:trHeight w:val="1608" w:hRule="atLeast"/>
          <w:jc w:val="center"/>
        </w:trPr>
        <w:tc>
          <w:tcPr>
            <w:tcW w:w="1404" w:type="dxa"/>
            <w:tcBorders>
              <w:left w:val="single" w:color="auto" w:sz="4" w:space="0"/>
              <w:right w:val="single" w:color="auto" w:sz="4" w:space="0"/>
            </w:tcBorders>
            <w:vAlign w:val="center"/>
          </w:tcPr>
          <w:p w14:paraId="36C20B7F">
            <w:pPr>
              <w:pStyle w:val="5"/>
              <w:wordWrap w:val="0"/>
              <w:spacing w:line="4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 xml:space="preserve">招标人 </w:t>
            </w:r>
          </w:p>
          <w:p w14:paraId="6EEF3023">
            <w:pPr>
              <w:pStyle w:val="5"/>
              <w:wordWrap w:val="0"/>
              <w:spacing w:line="4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自选项</w:t>
            </w:r>
          </w:p>
          <w:p w14:paraId="14F7C119">
            <w:pPr>
              <w:pStyle w:val="5"/>
              <w:wordWrap w:val="0"/>
              <w:spacing w:line="400" w:lineRule="exact"/>
              <w:jc w:val="center"/>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（15分）</w:t>
            </w:r>
          </w:p>
          <w:p w14:paraId="3E9F36CE">
            <w:pPr>
              <w:pStyle w:val="5"/>
              <w:widowControl w:val="0"/>
              <w:kinsoku/>
              <w:wordWrap w:val="0"/>
              <w:autoSpaceDE/>
              <w:autoSpaceDN/>
              <w:spacing w:line="288" w:lineRule="auto"/>
              <w:jc w:val="center"/>
              <w:textAlignment w:val="auto"/>
              <w:rPr>
                <w:rFonts w:hint="eastAsia" w:ascii="宋体" w:hAnsi="宋体" w:eastAsia="宋体" w:cs="宋体"/>
                <w:color w:val="auto"/>
                <w:sz w:val="22"/>
                <w:szCs w:val="22"/>
                <w:lang w:eastAsia="zh-CN"/>
              </w:rPr>
            </w:pPr>
          </w:p>
        </w:tc>
        <w:tc>
          <w:tcPr>
            <w:tcW w:w="3981" w:type="dxa"/>
            <w:tcBorders>
              <w:top w:val="single" w:color="auto" w:sz="4" w:space="0"/>
              <w:left w:val="single" w:color="auto" w:sz="4" w:space="0"/>
              <w:bottom w:val="single" w:color="auto" w:sz="4" w:space="0"/>
              <w:right w:val="single" w:color="auto" w:sz="4" w:space="0"/>
            </w:tcBorders>
            <w:vAlign w:val="center"/>
          </w:tcPr>
          <w:p w14:paraId="3A7F755C">
            <w:pPr>
              <w:wordWrap w:val="0"/>
              <w:spacing w:line="400" w:lineRule="exact"/>
              <w:rPr>
                <w:rFonts w:hint="eastAsia" w:ascii="宋体" w:hAnsi="宋体" w:eastAsia="宋体" w:cs="宋体"/>
                <w:color w:val="auto"/>
                <w:lang w:eastAsia="zh-CN"/>
              </w:rPr>
            </w:pPr>
            <w:r>
              <w:rPr>
                <w:rFonts w:hint="eastAsia" w:ascii="宋体" w:hAnsi="宋体" w:eastAsia="宋体" w:cs="宋体"/>
                <w:color w:val="auto"/>
                <w:lang w:eastAsia="zh-CN"/>
              </w:rPr>
              <w:t>企业2020年度至202</w:t>
            </w:r>
            <w:r>
              <w:rPr>
                <w:rFonts w:ascii="宋体" w:hAnsi="宋体" w:eastAsia="宋体" w:cs="宋体"/>
                <w:color w:val="auto"/>
                <w:lang w:eastAsia="zh-CN"/>
              </w:rPr>
              <w:t>5</w:t>
            </w:r>
            <w:r>
              <w:rPr>
                <w:rFonts w:hint="eastAsia" w:ascii="宋体" w:hAnsi="宋体" w:eastAsia="宋体" w:cs="宋体"/>
                <w:color w:val="auto"/>
                <w:lang w:eastAsia="zh-CN"/>
              </w:rPr>
              <w:t>年度连续获得纳税信用信用A级纳税人的，得5分。</w:t>
            </w:r>
          </w:p>
        </w:tc>
        <w:tc>
          <w:tcPr>
            <w:tcW w:w="4581" w:type="dxa"/>
            <w:tcBorders>
              <w:top w:val="single" w:color="auto" w:sz="4" w:space="0"/>
              <w:left w:val="single" w:color="auto" w:sz="4" w:space="0"/>
              <w:bottom w:val="single" w:color="auto" w:sz="4" w:space="0"/>
              <w:right w:val="single" w:color="auto" w:sz="4" w:space="0"/>
            </w:tcBorders>
            <w:vAlign w:val="center"/>
          </w:tcPr>
          <w:p w14:paraId="6E5613BF">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1.必须提供企业纳税信用A级纳税人证明材料（或证书）彩色扫描件及国家税务总局（或省级电子税务局）网上查询截图，否则不得分。</w:t>
            </w:r>
          </w:p>
          <w:p w14:paraId="46C61E7E">
            <w:pPr>
              <w:wordWrap w:val="0"/>
              <w:spacing w:line="400" w:lineRule="exact"/>
              <w:rPr>
                <w:rFonts w:hint="eastAsia" w:ascii="宋体" w:hAnsi="宋体" w:eastAsia="宋体" w:cs="宋体"/>
                <w:color w:val="auto"/>
                <w:lang w:eastAsia="zh-CN"/>
              </w:rPr>
            </w:pPr>
            <w:r>
              <w:rPr>
                <w:rFonts w:hint="eastAsia" w:ascii="宋体" w:hAnsi="宋体" w:eastAsia="宋体" w:cs="宋体"/>
                <w:color w:val="auto"/>
                <w:lang w:eastAsia="zh-CN"/>
              </w:rPr>
              <w:t>2.只计算投标人自身（不计算投标人的分公司、子公司及分支机构）。</w:t>
            </w:r>
          </w:p>
        </w:tc>
      </w:tr>
      <w:tr w14:paraId="3769795D">
        <w:tblPrEx>
          <w:tblCellMar>
            <w:top w:w="0" w:type="dxa"/>
            <w:left w:w="108" w:type="dxa"/>
            <w:bottom w:w="0" w:type="dxa"/>
            <w:right w:w="108" w:type="dxa"/>
          </w:tblCellMar>
        </w:tblPrEx>
        <w:trPr>
          <w:trHeight w:val="699" w:hRule="atLeast"/>
          <w:jc w:val="center"/>
        </w:trPr>
        <w:tc>
          <w:tcPr>
            <w:tcW w:w="1404" w:type="dxa"/>
            <w:tcBorders>
              <w:left w:val="single" w:color="auto" w:sz="4" w:space="0"/>
              <w:bottom w:val="single" w:color="auto" w:sz="4" w:space="0"/>
              <w:right w:val="single" w:color="auto" w:sz="4" w:space="0"/>
            </w:tcBorders>
            <w:vAlign w:val="center"/>
          </w:tcPr>
          <w:p w14:paraId="7160D451">
            <w:pPr>
              <w:pStyle w:val="5"/>
              <w:wordWrap w:val="0"/>
              <w:spacing w:line="360" w:lineRule="auto"/>
              <w:jc w:val="center"/>
              <w:rPr>
                <w:rFonts w:hint="eastAsia" w:ascii="宋体" w:hAnsi="宋体" w:eastAsia="宋体" w:cs="宋体"/>
                <w:color w:val="auto"/>
                <w:lang w:eastAsia="zh-CN"/>
              </w:rPr>
            </w:pPr>
          </w:p>
        </w:tc>
        <w:tc>
          <w:tcPr>
            <w:tcW w:w="3981" w:type="dxa"/>
            <w:tcBorders>
              <w:top w:val="single" w:color="auto" w:sz="4" w:space="0"/>
              <w:left w:val="single" w:color="auto" w:sz="4" w:space="0"/>
              <w:bottom w:val="single" w:color="auto" w:sz="4" w:space="0"/>
              <w:right w:val="single" w:color="auto" w:sz="4" w:space="0"/>
            </w:tcBorders>
            <w:vAlign w:val="center"/>
          </w:tcPr>
          <w:p w14:paraId="2ABE1A25">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1．投标人从202</w:t>
            </w:r>
            <w:r>
              <w:rPr>
                <w:rFonts w:ascii="宋体" w:hAnsi="宋体" w:eastAsia="宋体" w:cs="宋体"/>
                <w:color w:val="auto"/>
                <w:lang w:eastAsia="zh-CN"/>
              </w:rPr>
              <w:t>3</w:t>
            </w:r>
            <w:r>
              <w:rPr>
                <w:rFonts w:hint="eastAsia" w:ascii="宋体" w:hAnsi="宋体" w:eastAsia="宋体" w:cs="宋体"/>
                <w:color w:val="auto"/>
                <w:lang w:eastAsia="zh-CN"/>
              </w:rPr>
              <w:t>年度~至今参与了结对帮扶“百千万工程”等典型项目：</w:t>
            </w:r>
          </w:p>
          <w:p w14:paraId="59FDB483">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2．纯公益帮扶项目已完工，大于20万元以上的得5分；</w:t>
            </w:r>
          </w:p>
          <w:p w14:paraId="7502F2D5">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3．帮扶项目已完工，大于5万元、小于20万元(含20万元)的得2分；</w:t>
            </w:r>
          </w:p>
          <w:p w14:paraId="0D2ACF24">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4.其他不计</w:t>
            </w:r>
          </w:p>
          <w:p w14:paraId="3E595200">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 xml:space="preserve">5.本项最高得5分。 </w:t>
            </w:r>
          </w:p>
        </w:tc>
        <w:tc>
          <w:tcPr>
            <w:tcW w:w="4581" w:type="dxa"/>
            <w:tcBorders>
              <w:top w:val="single" w:color="auto" w:sz="4" w:space="0"/>
              <w:left w:val="single" w:color="auto" w:sz="4" w:space="0"/>
              <w:bottom w:val="single" w:color="auto" w:sz="4" w:space="0"/>
              <w:right w:val="single" w:color="auto" w:sz="4" w:space="0"/>
            </w:tcBorders>
            <w:vAlign w:val="center"/>
          </w:tcPr>
          <w:p w14:paraId="03AB8D24">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1.需提供建设主管部门出具的项目已录入“全省百千万工程”建筑业企业与乡镇结对帮扶项目信息库的证明（证明开具时间为从202</w:t>
            </w:r>
            <w:r>
              <w:rPr>
                <w:rFonts w:ascii="宋体" w:hAnsi="宋体" w:eastAsia="宋体" w:cs="宋体"/>
                <w:color w:val="auto"/>
                <w:lang w:eastAsia="zh-CN"/>
              </w:rPr>
              <w:t>3</w:t>
            </w:r>
            <w:r>
              <w:rPr>
                <w:rFonts w:hint="eastAsia" w:ascii="宋体" w:hAnsi="宋体" w:eastAsia="宋体" w:cs="宋体"/>
                <w:color w:val="auto"/>
                <w:lang w:eastAsia="zh-CN"/>
              </w:rPr>
              <w:t>年1月1日~至今）。</w:t>
            </w:r>
          </w:p>
          <w:p w14:paraId="675247F6">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2．须提供有关证明彩色扫描件，同时提供原件供核对。</w:t>
            </w:r>
          </w:p>
          <w:p w14:paraId="5A9F96CF">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3．未提供原件的；颁发机构、证明开具时间不符合规定的，不予得分。</w:t>
            </w:r>
          </w:p>
        </w:tc>
      </w:tr>
      <w:tr w14:paraId="3F489E44">
        <w:tblPrEx>
          <w:tblCellMar>
            <w:top w:w="0" w:type="dxa"/>
            <w:left w:w="108" w:type="dxa"/>
            <w:bottom w:w="0" w:type="dxa"/>
            <w:right w:w="108" w:type="dxa"/>
          </w:tblCellMar>
        </w:tblPrEx>
        <w:trPr>
          <w:trHeight w:val="657" w:hRule="exact"/>
          <w:jc w:val="center"/>
        </w:trPr>
        <w:tc>
          <w:tcPr>
            <w:tcW w:w="9966" w:type="dxa"/>
            <w:gridSpan w:val="3"/>
            <w:tcBorders>
              <w:top w:val="single" w:color="auto" w:sz="4" w:space="0"/>
              <w:left w:val="single" w:color="auto" w:sz="4" w:space="0"/>
              <w:bottom w:val="single" w:color="auto" w:sz="4" w:space="0"/>
              <w:right w:val="single" w:color="auto" w:sz="4" w:space="0"/>
            </w:tcBorders>
            <w:shd w:val="clear" w:color="auto" w:fill="D9D9D9"/>
            <w:vAlign w:val="center"/>
          </w:tcPr>
          <w:p w14:paraId="3574074B">
            <w:pPr>
              <w:pStyle w:val="5"/>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技术部分（施工组织设计），满分：</w:t>
            </w:r>
            <w:r>
              <w:rPr>
                <w:rFonts w:hint="eastAsia" w:ascii="宋体" w:hAnsi="宋体" w:eastAsia="宋体" w:cs="宋体"/>
                <w:color w:val="auto"/>
                <w:u w:val="single"/>
                <w:lang w:eastAsia="zh-CN"/>
              </w:rPr>
              <w:t xml:space="preserve">  20  </w:t>
            </w:r>
            <w:r>
              <w:rPr>
                <w:rFonts w:hint="eastAsia" w:ascii="宋体" w:hAnsi="宋体" w:eastAsia="宋体" w:cs="宋体"/>
                <w:color w:val="auto"/>
                <w:lang w:eastAsia="zh-CN"/>
              </w:rPr>
              <w:t>分。</w:t>
            </w:r>
          </w:p>
        </w:tc>
      </w:tr>
      <w:tr w14:paraId="0F8C94D8">
        <w:tblPrEx>
          <w:tblCellMar>
            <w:top w:w="0" w:type="dxa"/>
            <w:left w:w="108" w:type="dxa"/>
            <w:bottom w:w="0" w:type="dxa"/>
            <w:right w:w="108" w:type="dxa"/>
          </w:tblCellMar>
        </w:tblPrEx>
        <w:trPr>
          <w:trHeight w:val="606" w:hRule="exact"/>
          <w:jc w:val="center"/>
        </w:trPr>
        <w:tc>
          <w:tcPr>
            <w:tcW w:w="1404" w:type="dxa"/>
            <w:tcBorders>
              <w:top w:val="single" w:color="auto" w:sz="4" w:space="0"/>
              <w:left w:val="single" w:color="auto" w:sz="4" w:space="0"/>
              <w:bottom w:val="single" w:color="auto" w:sz="4" w:space="0"/>
              <w:right w:val="single" w:color="auto" w:sz="4" w:space="0"/>
            </w:tcBorders>
            <w:vAlign w:val="center"/>
          </w:tcPr>
          <w:p w14:paraId="5FEC5E42">
            <w:pPr>
              <w:pStyle w:val="5"/>
              <w:wordWrap w:val="0"/>
              <w:spacing w:line="360" w:lineRule="auto"/>
              <w:jc w:val="center"/>
              <w:rPr>
                <w:rFonts w:hint="eastAsia" w:ascii="宋体" w:hAnsi="宋体" w:eastAsia="宋体" w:cs="宋体"/>
                <w:color w:val="auto"/>
              </w:rPr>
            </w:pPr>
            <w:r>
              <w:rPr>
                <w:rFonts w:hint="eastAsia" w:ascii="宋体" w:hAnsi="宋体" w:eastAsia="宋体" w:cs="宋体"/>
                <w:color w:val="auto"/>
              </w:rPr>
              <w:t>评分因素</w:t>
            </w:r>
          </w:p>
        </w:tc>
        <w:tc>
          <w:tcPr>
            <w:tcW w:w="3981" w:type="dxa"/>
            <w:tcBorders>
              <w:top w:val="single" w:color="auto" w:sz="4" w:space="0"/>
              <w:left w:val="single" w:color="auto" w:sz="4" w:space="0"/>
              <w:bottom w:val="single" w:color="auto" w:sz="4" w:space="0"/>
              <w:right w:val="single" w:color="auto" w:sz="4" w:space="0"/>
            </w:tcBorders>
            <w:vAlign w:val="center"/>
          </w:tcPr>
          <w:p w14:paraId="09E8F5BA">
            <w:pPr>
              <w:pStyle w:val="5"/>
              <w:wordWrap w:val="0"/>
              <w:spacing w:line="360" w:lineRule="auto"/>
              <w:jc w:val="center"/>
              <w:rPr>
                <w:rFonts w:hint="eastAsia" w:ascii="宋体" w:hAnsi="宋体" w:eastAsia="宋体" w:cs="宋体"/>
                <w:color w:val="auto"/>
              </w:rPr>
            </w:pPr>
            <w:r>
              <w:rPr>
                <w:rFonts w:hint="eastAsia" w:ascii="宋体" w:hAnsi="宋体" w:eastAsia="宋体" w:cs="宋体"/>
                <w:color w:val="auto"/>
              </w:rPr>
              <w:t>评分标准</w:t>
            </w:r>
          </w:p>
        </w:tc>
        <w:tc>
          <w:tcPr>
            <w:tcW w:w="4581" w:type="dxa"/>
            <w:tcBorders>
              <w:top w:val="single" w:color="auto" w:sz="4" w:space="0"/>
              <w:left w:val="single" w:color="auto" w:sz="4" w:space="0"/>
              <w:bottom w:val="single" w:color="auto" w:sz="4" w:space="0"/>
              <w:right w:val="single" w:color="auto" w:sz="4" w:space="0"/>
            </w:tcBorders>
            <w:vAlign w:val="center"/>
          </w:tcPr>
          <w:p w14:paraId="49279BB0">
            <w:pPr>
              <w:pStyle w:val="5"/>
              <w:wordWrap w:val="0"/>
              <w:spacing w:line="360" w:lineRule="auto"/>
              <w:jc w:val="center"/>
              <w:rPr>
                <w:rFonts w:hint="eastAsia" w:ascii="宋体" w:hAnsi="宋体" w:eastAsia="宋体" w:cs="宋体"/>
                <w:color w:val="auto"/>
              </w:rPr>
            </w:pPr>
            <w:r>
              <w:rPr>
                <w:rFonts w:hint="eastAsia" w:ascii="宋体" w:hAnsi="宋体" w:eastAsia="宋体" w:cs="宋体"/>
                <w:color w:val="auto"/>
              </w:rPr>
              <w:t>备注</w:t>
            </w:r>
          </w:p>
        </w:tc>
      </w:tr>
      <w:tr w14:paraId="36712D9D">
        <w:tblPrEx>
          <w:tblCellMar>
            <w:top w:w="0" w:type="dxa"/>
            <w:left w:w="108" w:type="dxa"/>
            <w:bottom w:w="0" w:type="dxa"/>
            <w:right w:w="108" w:type="dxa"/>
          </w:tblCellMar>
        </w:tblPrEx>
        <w:trPr>
          <w:trHeight w:val="1210"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1F36D725">
            <w:pPr>
              <w:spacing w:line="360" w:lineRule="auto"/>
              <w:rPr>
                <w:rFonts w:hint="eastAsia" w:ascii="宋体" w:hAnsi="宋体" w:eastAsia="宋体" w:cs="宋体"/>
                <w:color w:val="auto"/>
              </w:rPr>
            </w:pPr>
            <w:r>
              <w:rPr>
                <w:rFonts w:hint="eastAsia" w:ascii="宋体" w:hAnsi="宋体" w:eastAsia="宋体" w:cs="宋体"/>
                <w:color w:val="auto"/>
              </w:rPr>
              <w:t xml:space="preserve"> 总体概述（3 分）</w:t>
            </w:r>
          </w:p>
        </w:tc>
        <w:tc>
          <w:tcPr>
            <w:tcW w:w="3981" w:type="dxa"/>
            <w:tcBorders>
              <w:top w:val="single" w:color="auto" w:sz="4" w:space="0"/>
              <w:left w:val="single" w:color="auto" w:sz="4" w:space="0"/>
              <w:bottom w:val="single" w:color="auto" w:sz="4" w:space="0"/>
              <w:right w:val="single" w:color="auto" w:sz="4" w:space="0"/>
            </w:tcBorders>
            <w:vAlign w:val="center"/>
          </w:tcPr>
          <w:p w14:paraId="15E87485">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【优】得该项评分因素分值的90%～100%（含90%）。</w:t>
            </w:r>
          </w:p>
          <w:p w14:paraId="11CAD023">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【良】得该项评分因素分值的80%～90%（含80%）。</w:t>
            </w:r>
          </w:p>
          <w:p w14:paraId="2C9F7C93">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【中】得该项评分因素分值的70%～80%（含70%）。</w:t>
            </w:r>
          </w:p>
          <w:p w14:paraId="7D7ACD2B">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【差】得该项评分因素分值的60～70%（含60%）。</w:t>
            </w:r>
          </w:p>
        </w:tc>
        <w:tc>
          <w:tcPr>
            <w:tcW w:w="4581" w:type="dxa"/>
            <w:tcBorders>
              <w:top w:val="single" w:color="auto" w:sz="4" w:space="0"/>
              <w:left w:val="single" w:color="auto" w:sz="4" w:space="0"/>
              <w:bottom w:val="single" w:color="auto" w:sz="4" w:space="0"/>
              <w:right w:val="single" w:color="auto" w:sz="4" w:space="0"/>
            </w:tcBorders>
            <w:vAlign w:val="center"/>
          </w:tcPr>
          <w:p w14:paraId="6B1DEC8B">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【优】对项目总体有深刻认识，表述清晰、完整、严谨、合理，措施先进、具体、有效、成熟，采用了新技术、新工艺、新材料、新设备；施工段划分呼应总体表述，划分清晰、合理，符合规范要求。</w:t>
            </w:r>
          </w:p>
          <w:p w14:paraId="76088F7F">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【良】对项目总体有一定认识，表述清晰、完整，措施具体有效；施工段划分呼应总体表述，划分清晰，符合规范要求。</w:t>
            </w:r>
          </w:p>
          <w:p w14:paraId="4175F6D8">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【中】对项目总体有认识，有一定的措施但部分不具体；施工段划分较合理，符合规范要求。</w:t>
            </w:r>
          </w:p>
          <w:p w14:paraId="658B921C">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【差】对项目认识不足，表述不清晰，措施不具体；施工段划分不合理。</w:t>
            </w:r>
          </w:p>
        </w:tc>
      </w:tr>
      <w:tr w14:paraId="75CCD9B9">
        <w:tblPrEx>
          <w:tblCellMar>
            <w:top w:w="0" w:type="dxa"/>
            <w:left w:w="108" w:type="dxa"/>
            <w:bottom w:w="0" w:type="dxa"/>
            <w:right w:w="108" w:type="dxa"/>
          </w:tblCellMar>
        </w:tblPrEx>
        <w:trPr>
          <w:trHeight w:val="5962"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2EEFBA07">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施工总进度计划及保证措施</w:t>
            </w:r>
          </w:p>
          <w:p w14:paraId="3DC057CA">
            <w:pPr>
              <w:spacing w:line="360" w:lineRule="auto"/>
              <w:rPr>
                <w:rFonts w:hint="eastAsia" w:ascii="宋体" w:hAnsi="宋体" w:eastAsia="宋体" w:cs="宋体"/>
                <w:color w:val="auto"/>
              </w:rPr>
            </w:pPr>
            <w:r>
              <w:rPr>
                <w:rFonts w:hint="eastAsia" w:ascii="宋体" w:hAnsi="宋体" w:eastAsia="宋体" w:cs="宋体"/>
                <w:color w:val="auto"/>
              </w:rPr>
              <w:t>（3 分）</w:t>
            </w:r>
          </w:p>
        </w:tc>
        <w:tc>
          <w:tcPr>
            <w:tcW w:w="3981" w:type="dxa"/>
            <w:tcBorders>
              <w:top w:val="single" w:color="auto" w:sz="4" w:space="0"/>
              <w:left w:val="single" w:color="auto" w:sz="4" w:space="0"/>
              <w:bottom w:val="single" w:color="auto" w:sz="4" w:space="0"/>
              <w:right w:val="single" w:color="auto" w:sz="4" w:space="0"/>
            </w:tcBorders>
            <w:vAlign w:val="center"/>
          </w:tcPr>
          <w:p w14:paraId="16F4B188">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【优】得该项评分因素分值的90%～100%（含90%）。</w:t>
            </w:r>
          </w:p>
          <w:p w14:paraId="444B7D61">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【良】得该项评分因素分值的80%～90%（含80%）。</w:t>
            </w:r>
          </w:p>
          <w:p w14:paraId="1F15DD50">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【中】得该项评分因素分值的70%～80%（含70%）。</w:t>
            </w:r>
          </w:p>
          <w:p w14:paraId="24D80F32">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【差】得该项评分因素分值的60～70%（含60%）。</w:t>
            </w:r>
          </w:p>
        </w:tc>
        <w:tc>
          <w:tcPr>
            <w:tcW w:w="4581" w:type="dxa"/>
            <w:tcBorders>
              <w:top w:val="single" w:color="auto" w:sz="4" w:space="0"/>
              <w:left w:val="single" w:color="auto" w:sz="4" w:space="0"/>
              <w:bottom w:val="single" w:color="auto" w:sz="4" w:space="0"/>
              <w:right w:val="single" w:color="auto" w:sz="4" w:space="0"/>
            </w:tcBorders>
            <w:vAlign w:val="center"/>
          </w:tcPr>
          <w:p w14:paraId="0FCBAF6F">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关键线路清晰、准确、完整，计划编制合理、可行。关键节点的控制措施有力、合理、可行。人、材、机需求和进场计划与进度计划相呼应，较好满足施工需要，调配投入计划合理、准确。进度违约责任承诺具体，经济赔偿合理。</w:t>
            </w:r>
          </w:p>
          <w:p w14:paraId="1415E6A1">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273D75E6">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【中】关键线路基本准确，计划编制基本合理。关键节点的控制措施基本可行。人、材、机需求和进场计划与进度计划相呼应，基本满足施工需要，调配投入计划基本合理。进度违约责任承诺具体。</w:t>
            </w:r>
          </w:p>
          <w:p w14:paraId="7BE0B000">
            <w:pPr>
              <w:spacing w:line="360" w:lineRule="auto"/>
              <w:rPr>
                <w:rFonts w:hint="eastAsia" w:ascii="宋体" w:hAnsi="宋体" w:eastAsia="宋体" w:cs="宋体"/>
                <w:color w:val="auto"/>
              </w:rPr>
            </w:pPr>
            <w:r>
              <w:rPr>
                <w:rFonts w:hint="eastAsia" w:ascii="宋体" w:hAnsi="宋体" w:eastAsia="宋体" w:cs="宋体"/>
                <w:color w:val="auto"/>
                <w:lang w:eastAsia="zh-CN"/>
              </w:rPr>
              <w:t>【差】关键线路不准确，计划编制不合理。关键节点的控制不可行。人、材、机需求和进场计划与进度计划不相呼应，不能满足施工需要。</w:t>
            </w:r>
            <w:r>
              <w:rPr>
                <w:rFonts w:hint="eastAsia" w:ascii="宋体" w:hAnsi="宋体" w:eastAsia="宋体" w:cs="宋体"/>
                <w:color w:val="auto"/>
              </w:rPr>
              <w:t>没有违约责任承诺。</w:t>
            </w:r>
          </w:p>
        </w:tc>
      </w:tr>
      <w:tr w14:paraId="155CEB56">
        <w:tblPrEx>
          <w:tblCellMar>
            <w:top w:w="0" w:type="dxa"/>
            <w:left w:w="108" w:type="dxa"/>
            <w:bottom w:w="0" w:type="dxa"/>
            <w:right w:w="108" w:type="dxa"/>
          </w:tblCellMar>
        </w:tblPrEx>
        <w:trPr>
          <w:trHeight w:val="4243"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4EC9736F">
            <w:pPr>
              <w:wordWrap w:val="0"/>
              <w:spacing w:line="360" w:lineRule="auto"/>
              <w:jc w:val="center"/>
              <w:rPr>
                <w:rFonts w:hint="eastAsia" w:ascii="宋体" w:hAnsi="宋体" w:eastAsia="宋体" w:cs="宋体"/>
                <w:color w:val="auto"/>
              </w:rPr>
            </w:pPr>
            <w:r>
              <w:rPr>
                <w:rFonts w:hint="eastAsia" w:ascii="宋体" w:hAnsi="宋体" w:eastAsia="宋体" w:cs="宋体"/>
                <w:color w:val="auto"/>
              </w:rPr>
              <w:t>质量保证措施</w:t>
            </w:r>
          </w:p>
          <w:p w14:paraId="215E5273">
            <w:pPr>
              <w:wordWrap w:val="0"/>
              <w:spacing w:line="360" w:lineRule="auto"/>
              <w:jc w:val="center"/>
              <w:rPr>
                <w:rFonts w:hint="eastAsia" w:ascii="宋体" w:hAnsi="宋体" w:eastAsia="宋体" w:cs="宋体"/>
                <w:color w:val="auto"/>
              </w:rPr>
            </w:pPr>
            <w:r>
              <w:rPr>
                <w:rFonts w:hint="eastAsia" w:ascii="宋体" w:hAnsi="宋体" w:eastAsia="宋体" w:cs="宋体"/>
                <w:color w:val="auto"/>
              </w:rPr>
              <w:t>（4分）</w:t>
            </w:r>
          </w:p>
        </w:tc>
        <w:tc>
          <w:tcPr>
            <w:tcW w:w="3981" w:type="dxa"/>
            <w:tcBorders>
              <w:top w:val="single" w:color="auto" w:sz="4" w:space="0"/>
              <w:left w:val="single" w:color="auto" w:sz="4" w:space="0"/>
              <w:bottom w:val="single" w:color="auto" w:sz="4" w:space="0"/>
              <w:right w:val="single" w:color="auto" w:sz="4" w:space="0"/>
            </w:tcBorders>
            <w:vAlign w:val="center"/>
          </w:tcPr>
          <w:p w14:paraId="3A8DD98C">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【优】得该项评分因素分值的90%～100%（含90%）。</w:t>
            </w:r>
          </w:p>
          <w:p w14:paraId="6EDFAC8B">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【良】得该项评分因素分值的80%～90%（含80%）。</w:t>
            </w:r>
          </w:p>
          <w:p w14:paraId="15EB44CA">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【中】得该项评分因素分值的70%～80%（含70%）。</w:t>
            </w:r>
          </w:p>
          <w:p w14:paraId="7DBAA942">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【差】得该项评分因素分值的60～70%（含60%）。</w:t>
            </w:r>
          </w:p>
        </w:tc>
        <w:tc>
          <w:tcPr>
            <w:tcW w:w="4581" w:type="dxa"/>
            <w:tcBorders>
              <w:top w:val="single" w:color="auto" w:sz="4" w:space="0"/>
              <w:left w:val="single" w:color="auto" w:sz="4" w:space="0"/>
              <w:bottom w:val="single" w:color="auto" w:sz="4" w:space="0"/>
              <w:right w:val="single" w:color="auto" w:sz="4" w:space="0"/>
            </w:tcBorders>
            <w:vAlign w:val="center"/>
          </w:tcPr>
          <w:p w14:paraId="7CFC4BCC">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【优】应用新技术、新工艺、新材料、新设备，针对项目实际提出先进、可行、具体的保证措施。超过招标文件的质量要求。</w:t>
            </w:r>
          </w:p>
          <w:p w14:paraId="75F4D701">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【良】针对项目实际提出先进、可行、具体的保证措施。满足招标文件的质量要求。</w:t>
            </w:r>
          </w:p>
          <w:p w14:paraId="4CE931FB">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【中】具体措施可行。满足招标文件的质量要求。</w:t>
            </w:r>
          </w:p>
          <w:p w14:paraId="292F4453">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【差】措施不可行，没有质量违约责任承诺。</w:t>
            </w:r>
          </w:p>
        </w:tc>
      </w:tr>
      <w:tr w14:paraId="6839028C">
        <w:tblPrEx>
          <w:tblCellMar>
            <w:top w:w="0" w:type="dxa"/>
            <w:left w:w="108" w:type="dxa"/>
            <w:bottom w:w="0" w:type="dxa"/>
            <w:right w:w="108" w:type="dxa"/>
          </w:tblCellMar>
        </w:tblPrEx>
        <w:trPr>
          <w:trHeight w:val="618"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28BD0B26">
            <w:pPr>
              <w:spacing w:line="360" w:lineRule="auto"/>
              <w:rPr>
                <w:rFonts w:hint="eastAsia" w:ascii="宋体" w:hAnsi="宋体" w:eastAsia="宋体" w:cs="宋体"/>
                <w:color w:val="auto"/>
              </w:rPr>
            </w:pPr>
            <w:r>
              <w:rPr>
                <w:rFonts w:hint="eastAsia" w:ascii="宋体" w:hAnsi="宋体" w:eastAsia="宋体" w:cs="宋体"/>
                <w:color w:val="auto"/>
              </w:rPr>
              <w:t>施工技术措施（2 分）</w:t>
            </w:r>
          </w:p>
        </w:tc>
        <w:tc>
          <w:tcPr>
            <w:tcW w:w="3981" w:type="dxa"/>
            <w:tcBorders>
              <w:top w:val="single" w:color="auto" w:sz="4" w:space="0"/>
              <w:left w:val="single" w:color="auto" w:sz="4" w:space="0"/>
              <w:bottom w:val="single" w:color="auto" w:sz="4" w:space="0"/>
              <w:right w:val="single" w:color="auto" w:sz="4" w:space="0"/>
            </w:tcBorders>
            <w:vAlign w:val="center"/>
          </w:tcPr>
          <w:p w14:paraId="77618086">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【优】得该项评分因素分值的90%～100%（含90%）。</w:t>
            </w:r>
          </w:p>
          <w:p w14:paraId="728C9F12">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【良】得该项评分因素分值的80%～90%（含80%）。</w:t>
            </w:r>
          </w:p>
          <w:p w14:paraId="17BF6243">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【中】得该项评分因素分值的70%～80%（含70%）。</w:t>
            </w:r>
          </w:p>
          <w:p w14:paraId="24296D66">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【差】得该项评分因素分值的60～70%（含60%）。</w:t>
            </w:r>
          </w:p>
        </w:tc>
        <w:tc>
          <w:tcPr>
            <w:tcW w:w="4581" w:type="dxa"/>
            <w:tcBorders>
              <w:top w:val="single" w:color="auto" w:sz="4" w:space="0"/>
              <w:left w:val="single" w:color="auto" w:sz="4" w:space="0"/>
              <w:bottom w:val="single" w:color="auto" w:sz="4" w:space="0"/>
              <w:right w:val="single" w:color="auto" w:sz="4" w:space="0"/>
            </w:tcBorders>
            <w:vAlign w:val="center"/>
          </w:tcPr>
          <w:p w14:paraId="6456995A">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6945ED7B">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3AB47514">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37FC6199">
            <w:pPr>
              <w:spacing w:line="360" w:lineRule="auto"/>
              <w:rPr>
                <w:rFonts w:hint="eastAsia" w:ascii="宋体" w:hAnsi="宋体" w:eastAsia="宋体" w:cs="宋体"/>
                <w:color w:val="auto"/>
              </w:rPr>
            </w:pPr>
            <w:r>
              <w:rPr>
                <w:rFonts w:hint="eastAsia" w:ascii="宋体" w:hAnsi="宋体" w:eastAsia="宋体" w:cs="宋体"/>
                <w:color w:val="auto"/>
                <w:lang w:eastAsia="zh-CN"/>
              </w:rPr>
              <w:t>【差】对项目关键技术有表述，对重点、难点有建议，解决方案不可行。采用的新技术针对性不强或验证材料不可靠，对节约投资、工期没有具体收益。</w:t>
            </w:r>
            <w:r>
              <w:rPr>
                <w:rFonts w:hint="eastAsia" w:ascii="宋体" w:hAnsi="宋体" w:eastAsia="宋体" w:cs="宋体"/>
                <w:color w:val="auto"/>
              </w:rPr>
              <w:t>无违约责任承诺。</w:t>
            </w:r>
          </w:p>
        </w:tc>
      </w:tr>
      <w:tr w14:paraId="3B54EDFB">
        <w:tblPrEx>
          <w:tblCellMar>
            <w:top w:w="0" w:type="dxa"/>
            <w:left w:w="108" w:type="dxa"/>
            <w:bottom w:w="0" w:type="dxa"/>
            <w:right w:w="108" w:type="dxa"/>
          </w:tblCellMar>
        </w:tblPrEx>
        <w:trPr>
          <w:trHeight w:val="2554"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6E239823">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绿色施工、安全防护、文明施工措施计划（ 3 分）</w:t>
            </w:r>
          </w:p>
        </w:tc>
        <w:tc>
          <w:tcPr>
            <w:tcW w:w="3981" w:type="dxa"/>
            <w:tcBorders>
              <w:top w:val="single" w:color="auto" w:sz="4" w:space="0"/>
              <w:left w:val="single" w:color="auto" w:sz="4" w:space="0"/>
              <w:bottom w:val="single" w:color="auto" w:sz="4" w:space="0"/>
              <w:right w:val="single" w:color="auto" w:sz="4" w:space="0"/>
            </w:tcBorders>
            <w:vAlign w:val="center"/>
          </w:tcPr>
          <w:p w14:paraId="66906A67">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【优】得该项评分因素分值的90%～100%（含90%）。</w:t>
            </w:r>
          </w:p>
          <w:p w14:paraId="4D4EDCA4">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【良】得该项评分因素分值的80%～90%（含80%）。</w:t>
            </w:r>
          </w:p>
          <w:p w14:paraId="657356A5">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【中】得该项评分因素分值的70%～80%（含70%）。</w:t>
            </w:r>
          </w:p>
          <w:p w14:paraId="14CFD455">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【差】得该项评分因素分值的60～70%（含60%）。</w:t>
            </w:r>
          </w:p>
        </w:tc>
        <w:tc>
          <w:tcPr>
            <w:tcW w:w="4581" w:type="dxa"/>
            <w:tcBorders>
              <w:top w:val="single" w:color="auto" w:sz="4" w:space="0"/>
              <w:left w:val="single" w:color="auto" w:sz="4" w:space="0"/>
              <w:bottom w:val="single" w:color="auto" w:sz="4" w:space="0"/>
              <w:right w:val="single" w:color="auto" w:sz="4" w:space="0"/>
            </w:tcBorders>
            <w:vAlign w:val="center"/>
          </w:tcPr>
          <w:p w14:paraId="041172EF">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【优】针对项目实际情况，有先进、具体、完整、可行的措施，采用规范准确、清晰。</w:t>
            </w:r>
          </w:p>
          <w:p w14:paraId="2C72FB30">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【良】针对项目实际情况，有合理的措施且具体、完整，采用规范准确。</w:t>
            </w:r>
          </w:p>
          <w:p w14:paraId="521B3B66">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【中】有基本合理的措施，采用规范准确。</w:t>
            </w:r>
          </w:p>
          <w:p w14:paraId="79C2A586">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【差】措施不力，采用规范不正确。</w:t>
            </w:r>
          </w:p>
        </w:tc>
      </w:tr>
      <w:tr w14:paraId="1A4C5193">
        <w:tblPrEx>
          <w:tblCellMar>
            <w:top w:w="0" w:type="dxa"/>
            <w:left w:w="108" w:type="dxa"/>
            <w:bottom w:w="0" w:type="dxa"/>
            <w:right w:w="108" w:type="dxa"/>
          </w:tblCellMar>
        </w:tblPrEx>
        <w:trPr>
          <w:trHeight w:val="1037"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443A8A07">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施工平面布置和临时设施布置（2 分）</w:t>
            </w:r>
          </w:p>
        </w:tc>
        <w:tc>
          <w:tcPr>
            <w:tcW w:w="3981" w:type="dxa"/>
            <w:tcBorders>
              <w:top w:val="single" w:color="auto" w:sz="4" w:space="0"/>
              <w:left w:val="single" w:color="auto" w:sz="4" w:space="0"/>
              <w:bottom w:val="single" w:color="auto" w:sz="4" w:space="0"/>
              <w:right w:val="single" w:color="auto" w:sz="4" w:space="0"/>
            </w:tcBorders>
            <w:vAlign w:val="center"/>
          </w:tcPr>
          <w:p w14:paraId="14CE1233">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【优】得该项评分因素分值的90%～100%（含90%）。</w:t>
            </w:r>
          </w:p>
          <w:p w14:paraId="409CF855">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【良】得该项评分因素分值的80%～90%（含80%）。</w:t>
            </w:r>
          </w:p>
          <w:p w14:paraId="60EFAB7F">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【中】得该项评分因素分值的70%～80%（含70%）。</w:t>
            </w:r>
          </w:p>
          <w:p w14:paraId="65930013">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【差】得该项评分因素分值的60～70%（含60%）。</w:t>
            </w:r>
          </w:p>
        </w:tc>
        <w:tc>
          <w:tcPr>
            <w:tcW w:w="4581" w:type="dxa"/>
            <w:tcBorders>
              <w:top w:val="single" w:color="auto" w:sz="4" w:space="0"/>
              <w:left w:val="single" w:color="auto" w:sz="4" w:space="0"/>
              <w:bottom w:val="single" w:color="auto" w:sz="4" w:space="0"/>
              <w:right w:val="single" w:color="auto" w:sz="4" w:space="0"/>
            </w:tcBorders>
            <w:vAlign w:val="center"/>
          </w:tcPr>
          <w:p w14:paraId="5376CA0B">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【优】总体布置有针对性、合理，较好满足施工需要，符合绿色施工、安全防护、文明施工要求。</w:t>
            </w:r>
          </w:p>
          <w:p w14:paraId="0F31EC7A">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【良】总体布置合理，能满足施工需要，基本符合绿色施工、安全防护、文明施工要求。</w:t>
            </w:r>
          </w:p>
          <w:p w14:paraId="0949CE0E">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【中】总体布置基本合理，基本满足施工需要。</w:t>
            </w:r>
          </w:p>
          <w:p w14:paraId="6F72985E">
            <w:pPr>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【差】总体布置不合理，不符合绿色施工、安全防护、文明施工要求。</w:t>
            </w:r>
          </w:p>
        </w:tc>
      </w:tr>
      <w:tr w14:paraId="517C2BB4">
        <w:tblPrEx>
          <w:tblCellMar>
            <w:top w:w="0" w:type="dxa"/>
            <w:left w:w="108" w:type="dxa"/>
            <w:bottom w:w="0" w:type="dxa"/>
            <w:right w:w="108" w:type="dxa"/>
          </w:tblCellMar>
        </w:tblPrEx>
        <w:trPr>
          <w:trHeight w:val="8233"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7CE23EF4">
            <w:pPr>
              <w:wordWrap w:val="0"/>
              <w:spacing w:line="360" w:lineRule="auto"/>
              <w:jc w:val="center"/>
              <w:rPr>
                <w:rFonts w:hint="eastAsia" w:ascii="宋体" w:hAnsi="宋体" w:eastAsia="宋体" w:cs="宋体"/>
                <w:color w:val="auto"/>
              </w:rPr>
            </w:pPr>
            <w:r>
              <w:rPr>
                <w:rFonts w:hint="eastAsia" w:ascii="宋体" w:hAnsi="宋体" w:eastAsia="宋体" w:cs="宋体"/>
                <w:color w:val="auto"/>
              </w:rPr>
              <w:t>项目管理机构（3 分）</w:t>
            </w:r>
          </w:p>
        </w:tc>
        <w:tc>
          <w:tcPr>
            <w:tcW w:w="3981" w:type="dxa"/>
            <w:tcBorders>
              <w:top w:val="single" w:color="auto" w:sz="4" w:space="0"/>
              <w:left w:val="single" w:color="auto" w:sz="4" w:space="0"/>
              <w:bottom w:val="single" w:color="auto" w:sz="4" w:space="0"/>
              <w:right w:val="single" w:color="auto" w:sz="4" w:space="0"/>
            </w:tcBorders>
            <w:vAlign w:val="center"/>
          </w:tcPr>
          <w:p w14:paraId="0E960C95">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【优】得该项评分因素分值的90%～100%（含90%）。</w:t>
            </w:r>
          </w:p>
          <w:p w14:paraId="2D6D6002">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【良】得该项评分因素分值的80%～90%（含80%）。</w:t>
            </w:r>
          </w:p>
          <w:p w14:paraId="58090930">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【中】得该项评分因素分值的70%～80%（含70%）。</w:t>
            </w:r>
          </w:p>
          <w:p w14:paraId="6DB255D2">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【差】得该项评分因素分值的60～70%（含60%）。</w:t>
            </w:r>
          </w:p>
        </w:tc>
        <w:tc>
          <w:tcPr>
            <w:tcW w:w="4581" w:type="dxa"/>
            <w:tcBorders>
              <w:top w:val="single" w:color="auto" w:sz="4" w:space="0"/>
              <w:left w:val="single" w:color="auto" w:sz="4" w:space="0"/>
              <w:bottom w:val="single" w:color="auto" w:sz="4" w:space="0"/>
              <w:right w:val="single" w:color="auto" w:sz="4" w:space="0"/>
            </w:tcBorders>
            <w:vAlign w:val="center"/>
          </w:tcPr>
          <w:p w14:paraId="6D933BE4">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优】组织机构形式合理，有完善的指挥系统，生产及质量、绿色施工、安全、文明施工、创优达标监控系统、联络协调系统，项目管理人员内高级职称人员20%（含20%）以上、中级职称人员及以上职称60%（含60%）以上。</w:t>
            </w:r>
          </w:p>
          <w:p w14:paraId="446D9B87">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良】组织机构形式合理，指挥系统，生产及质量、绿色施工、安全、文明施工、创优达标监控系统、联络协调系统齐全，项目管理人员内高级职称人员15%～20%（含15%）、中级职称及以上职称人员50%～60%（含50%）。</w:t>
            </w:r>
          </w:p>
          <w:p w14:paraId="3BF47411">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中】组织机构形式基本合理，有指挥系统，生产及质量、绿色施工、安全、文明施工、创优达标监控系统、联络协调系统，项目管理人员内高级职称人员10%～15%（含10%）、中级职称人员及以上职称40%～50%（含40%）。</w:t>
            </w:r>
          </w:p>
          <w:p w14:paraId="2C158AD7">
            <w:pPr>
              <w:wordWrap w:val="0"/>
              <w:spacing w:line="360" w:lineRule="auto"/>
              <w:rPr>
                <w:rFonts w:hint="eastAsia" w:ascii="宋体" w:hAnsi="宋体" w:eastAsia="宋体" w:cs="宋体"/>
                <w:color w:val="auto"/>
                <w:lang w:eastAsia="zh-CN"/>
              </w:rPr>
            </w:pPr>
            <w:r>
              <w:rPr>
                <w:rFonts w:hint="eastAsia" w:ascii="宋体" w:hAnsi="宋体" w:eastAsia="宋体" w:cs="宋体"/>
                <w:color w:val="auto"/>
                <w:lang w:eastAsia="zh-CN"/>
              </w:rPr>
              <w:t>【差】组织机构形式合理，指挥系统，生产及质量、绿色施工、安全、文明施工、创优达标监控系统、联络协调系统不齐全，项目管理人员内高级职称人员10%以下、中级职称人员及以上职称40%以下。</w:t>
            </w:r>
          </w:p>
        </w:tc>
      </w:tr>
      <w:tr w14:paraId="1BFF7FE9">
        <w:tblPrEx>
          <w:tblCellMar>
            <w:top w:w="0" w:type="dxa"/>
            <w:left w:w="108" w:type="dxa"/>
            <w:bottom w:w="0" w:type="dxa"/>
            <w:right w:w="108" w:type="dxa"/>
          </w:tblCellMar>
        </w:tblPrEx>
        <w:trPr>
          <w:trHeight w:val="470" w:hRule="exact"/>
          <w:jc w:val="center"/>
        </w:trPr>
        <w:tc>
          <w:tcPr>
            <w:tcW w:w="9966" w:type="dxa"/>
            <w:gridSpan w:val="3"/>
            <w:tcBorders>
              <w:top w:val="single" w:color="auto" w:sz="4" w:space="0"/>
              <w:left w:val="single" w:color="auto" w:sz="4" w:space="0"/>
              <w:bottom w:val="single" w:color="auto" w:sz="4" w:space="0"/>
              <w:right w:val="single" w:color="auto" w:sz="4" w:space="0"/>
            </w:tcBorders>
            <w:shd w:val="clear" w:color="auto" w:fill="D9D9D9"/>
            <w:vAlign w:val="center"/>
          </w:tcPr>
          <w:p w14:paraId="23A56AD0">
            <w:pPr>
              <w:pStyle w:val="34"/>
              <w:wordWrap w:val="0"/>
              <w:adjustRightInd w:val="0"/>
              <w:snapToGrid w:val="0"/>
              <w:spacing w:line="360" w:lineRule="exact"/>
              <w:rPr>
                <w:rFonts w:hint="eastAsia" w:ascii="宋体" w:hAnsi="宋体" w:eastAsia="宋体" w:cs="宋体"/>
                <w:snapToGrid w:val="0"/>
                <w:kern w:val="0"/>
                <w:szCs w:val="21"/>
              </w:rPr>
            </w:pPr>
            <w:r>
              <w:rPr>
                <w:rFonts w:hint="eastAsia" w:ascii="宋体" w:hAnsi="宋体" w:eastAsia="宋体" w:cs="宋体"/>
                <w:snapToGrid w:val="0"/>
                <w:kern w:val="0"/>
                <w:szCs w:val="21"/>
              </w:rPr>
              <w:t>投标报价部分，满分：100分。</w:t>
            </w:r>
          </w:p>
        </w:tc>
      </w:tr>
      <w:tr w14:paraId="28090456">
        <w:tblPrEx>
          <w:tblCellMar>
            <w:top w:w="0" w:type="dxa"/>
            <w:left w:w="108" w:type="dxa"/>
            <w:bottom w:w="0" w:type="dxa"/>
            <w:right w:w="108" w:type="dxa"/>
          </w:tblCellMar>
        </w:tblPrEx>
        <w:trPr>
          <w:trHeight w:val="464" w:hRule="exact"/>
          <w:jc w:val="center"/>
        </w:trPr>
        <w:tc>
          <w:tcPr>
            <w:tcW w:w="1404" w:type="dxa"/>
            <w:tcBorders>
              <w:top w:val="single" w:color="auto" w:sz="4" w:space="0"/>
              <w:left w:val="single" w:color="auto" w:sz="4" w:space="0"/>
              <w:bottom w:val="single" w:color="auto" w:sz="4" w:space="0"/>
              <w:right w:val="single" w:color="auto" w:sz="4" w:space="0"/>
            </w:tcBorders>
            <w:vAlign w:val="center"/>
          </w:tcPr>
          <w:p w14:paraId="33DAD906">
            <w:pPr>
              <w:pStyle w:val="5"/>
              <w:wordWrap w:val="0"/>
              <w:spacing w:line="360" w:lineRule="exact"/>
              <w:jc w:val="center"/>
              <w:rPr>
                <w:rFonts w:hint="eastAsia" w:ascii="宋体" w:hAnsi="宋体" w:eastAsia="宋体" w:cs="宋体"/>
                <w:color w:val="auto"/>
              </w:rPr>
            </w:pPr>
            <w:r>
              <w:rPr>
                <w:rFonts w:hint="eastAsia" w:ascii="宋体" w:hAnsi="宋体" w:eastAsia="宋体" w:cs="宋体"/>
                <w:color w:val="auto"/>
              </w:rPr>
              <w:t>评分事项</w:t>
            </w:r>
          </w:p>
        </w:tc>
        <w:tc>
          <w:tcPr>
            <w:tcW w:w="8562" w:type="dxa"/>
            <w:gridSpan w:val="2"/>
            <w:tcBorders>
              <w:top w:val="single" w:color="auto" w:sz="4" w:space="0"/>
              <w:left w:val="single" w:color="auto" w:sz="4" w:space="0"/>
              <w:bottom w:val="single" w:color="auto" w:sz="4" w:space="0"/>
              <w:right w:val="single" w:color="auto" w:sz="4" w:space="0"/>
            </w:tcBorders>
            <w:vAlign w:val="center"/>
          </w:tcPr>
          <w:p w14:paraId="6DC48AAD">
            <w:pPr>
              <w:pStyle w:val="5"/>
              <w:wordWrap w:val="0"/>
              <w:spacing w:line="360" w:lineRule="exact"/>
              <w:jc w:val="center"/>
              <w:rPr>
                <w:rFonts w:hint="eastAsia" w:ascii="宋体" w:hAnsi="宋体" w:eastAsia="宋体" w:cs="宋体"/>
                <w:color w:val="auto"/>
              </w:rPr>
            </w:pPr>
            <w:r>
              <w:rPr>
                <w:rFonts w:hint="eastAsia" w:ascii="宋体" w:hAnsi="宋体" w:eastAsia="宋体" w:cs="宋体"/>
                <w:color w:val="auto"/>
              </w:rPr>
              <w:t>评分方法</w:t>
            </w:r>
          </w:p>
        </w:tc>
      </w:tr>
      <w:tr w14:paraId="16C7122E">
        <w:tblPrEx>
          <w:tblCellMar>
            <w:top w:w="0" w:type="dxa"/>
            <w:left w:w="108" w:type="dxa"/>
            <w:bottom w:w="0" w:type="dxa"/>
            <w:right w:w="108" w:type="dxa"/>
          </w:tblCellMar>
        </w:tblPrEx>
        <w:trPr>
          <w:trHeight w:val="5142"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7CF829E2">
            <w:pPr>
              <w:pStyle w:val="33"/>
              <w:wordWrap w:val="0"/>
              <w:adjustRightInd w:val="0"/>
              <w:snapToGrid w:val="0"/>
              <w:spacing w:line="360" w:lineRule="exact"/>
              <w:jc w:val="center"/>
              <w:rPr>
                <w:rFonts w:hint="eastAsia" w:ascii="宋体" w:hAnsi="宋体" w:eastAsia="宋体" w:cs="宋体"/>
                <w:snapToGrid w:val="0"/>
                <w:kern w:val="0"/>
                <w:szCs w:val="21"/>
              </w:rPr>
            </w:pPr>
            <w:r>
              <w:rPr>
                <w:rFonts w:hint="eastAsia" w:ascii="宋体" w:hAnsi="宋体" w:eastAsia="宋体" w:cs="宋体"/>
                <w:snapToGrid w:val="0"/>
                <w:kern w:val="0"/>
                <w:szCs w:val="21"/>
              </w:rPr>
              <w:t>评标基准价D</w:t>
            </w:r>
          </w:p>
        </w:tc>
        <w:tc>
          <w:tcPr>
            <w:tcW w:w="8562" w:type="dxa"/>
            <w:gridSpan w:val="2"/>
            <w:tcBorders>
              <w:top w:val="single" w:color="auto" w:sz="4" w:space="0"/>
              <w:left w:val="single" w:color="auto" w:sz="4" w:space="0"/>
              <w:bottom w:val="single" w:color="auto" w:sz="4" w:space="0"/>
              <w:right w:val="single" w:color="auto" w:sz="4" w:space="0"/>
            </w:tcBorders>
            <w:vAlign w:val="center"/>
          </w:tcPr>
          <w:p w14:paraId="576BD0B7">
            <w:pPr>
              <w:spacing w:line="360" w:lineRule="auto"/>
              <w:ind w:firstLine="420" w:firstLineChars="200"/>
              <w:rPr>
                <w:rFonts w:hint="eastAsia" w:ascii="宋体" w:hAnsi="宋体" w:eastAsia="宋体" w:cs="宋体"/>
                <w:color w:val="auto"/>
                <w:lang w:eastAsia="zh-CN"/>
              </w:rPr>
            </w:pPr>
            <w:r>
              <w:rPr>
                <w:rFonts w:hint="eastAsia" w:ascii="宋体" w:hAnsi="宋体" w:eastAsia="宋体" w:cs="宋体"/>
                <w:color w:val="auto"/>
                <w:lang w:eastAsia="zh-CN"/>
              </w:rPr>
              <w:t>（1）确定最高投标限价下浮系数n：用1～21号球分别代表一个下浮系数，由评委代表从这21个号码中随机抽取3次，每次抽取1个号码，抽出的号球不参与下次抽取。所抽取的3个号码对应下浮系数的算术平均值作为最高投标限价下浮系数n。具体号码对应的下浮系数可参考下表。</w:t>
            </w:r>
          </w:p>
          <w:tbl>
            <w:tblPr>
              <w:tblStyle w:val="14"/>
              <w:tblW w:w="0" w:type="auto"/>
              <w:tblInd w:w="113" w:type="dxa"/>
              <w:tblLayout w:type="fixed"/>
              <w:tblCellMar>
                <w:top w:w="0" w:type="dxa"/>
                <w:left w:w="108" w:type="dxa"/>
                <w:bottom w:w="0" w:type="dxa"/>
                <w:right w:w="108" w:type="dxa"/>
              </w:tblCellMar>
            </w:tblPr>
            <w:tblGrid>
              <w:gridCol w:w="1630"/>
              <w:gridCol w:w="883"/>
              <w:gridCol w:w="923"/>
              <w:gridCol w:w="961"/>
              <w:gridCol w:w="943"/>
              <w:gridCol w:w="981"/>
              <w:gridCol w:w="922"/>
              <w:gridCol w:w="911"/>
            </w:tblGrid>
            <w:tr w14:paraId="59F6C674">
              <w:tblPrEx>
                <w:tblCellMar>
                  <w:top w:w="0" w:type="dxa"/>
                  <w:left w:w="108" w:type="dxa"/>
                  <w:bottom w:w="0" w:type="dxa"/>
                  <w:right w:w="108" w:type="dxa"/>
                </w:tblCellMar>
              </w:tblPrEx>
              <w:trPr>
                <w:trHeight w:val="445" w:hRule="atLeast"/>
              </w:trPr>
              <w:tc>
                <w:tcPr>
                  <w:tcW w:w="1630" w:type="dxa"/>
                  <w:tcBorders>
                    <w:top w:val="single" w:color="000000" w:sz="4" w:space="0"/>
                    <w:left w:val="single" w:color="000000" w:sz="4" w:space="0"/>
                    <w:bottom w:val="single" w:color="000000" w:sz="4" w:space="0"/>
                    <w:right w:val="single" w:color="000000" w:sz="4" w:space="0"/>
                  </w:tcBorders>
                  <w:vAlign w:val="center"/>
                </w:tcPr>
                <w:p w14:paraId="5E32E202">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号球</w:t>
                  </w:r>
                </w:p>
              </w:tc>
              <w:tc>
                <w:tcPr>
                  <w:tcW w:w="883" w:type="dxa"/>
                  <w:tcBorders>
                    <w:top w:val="single" w:color="000000" w:sz="4" w:space="0"/>
                    <w:left w:val="single" w:color="000000" w:sz="4" w:space="0"/>
                    <w:bottom w:val="single" w:color="000000" w:sz="4" w:space="0"/>
                    <w:right w:val="single" w:color="000000" w:sz="4" w:space="0"/>
                  </w:tcBorders>
                  <w:vAlign w:val="center"/>
                </w:tcPr>
                <w:p w14:paraId="61154549">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1</w:t>
                  </w:r>
                </w:p>
              </w:tc>
              <w:tc>
                <w:tcPr>
                  <w:tcW w:w="923" w:type="dxa"/>
                  <w:tcBorders>
                    <w:top w:val="single" w:color="000000" w:sz="4" w:space="0"/>
                    <w:left w:val="single" w:color="000000" w:sz="4" w:space="0"/>
                    <w:bottom w:val="single" w:color="000000" w:sz="4" w:space="0"/>
                    <w:right w:val="single" w:color="000000" w:sz="4" w:space="0"/>
                  </w:tcBorders>
                  <w:vAlign w:val="center"/>
                </w:tcPr>
                <w:p w14:paraId="080FE434">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2</w:t>
                  </w:r>
                </w:p>
              </w:tc>
              <w:tc>
                <w:tcPr>
                  <w:tcW w:w="961" w:type="dxa"/>
                  <w:tcBorders>
                    <w:top w:val="single" w:color="000000" w:sz="4" w:space="0"/>
                    <w:left w:val="single" w:color="000000" w:sz="4" w:space="0"/>
                    <w:bottom w:val="single" w:color="000000" w:sz="4" w:space="0"/>
                    <w:right w:val="single" w:color="000000" w:sz="4" w:space="0"/>
                  </w:tcBorders>
                  <w:vAlign w:val="center"/>
                </w:tcPr>
                <w:p w14:paraId="64B25AD5">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3</w:t>
                  </w:r>
                </w:p>
              </w:tc>
              <w:tc>
                <w:tcPr>
                  <w:tcW w:w="943" w:type="dxa"/>
                  <w:tcBorders>
                    <w:top w:val="single" w:color="000000" w:sz="4" w:space="0"/>
                    <w:left w:val="single" w:color="000000" w:sz="4" w:space="0"/>
                    <w:bottom w:val="single" w:color="000000" w:sz="4" w:space="0"/>
                    <w:right w:val="single" w:color="000000" w:sz="4" w:space="0"/>
                  </w:tcBorders>
                  <w:vAlign w:val="center"/>
                </w:tcPr>
                <w:p w14:paraId="29538335">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4</w:t>
                  </w:r>
                </w:p>
              </w:tc>
              <w:tc>
                <w:tcPr>
                  <w:tcW w:w="981" w:type="dxa"/>
                  <w:tcBorders>
                    <w:top w:val="single" w:color="000000" w:sz="4" w:space="0"/>
                    <w:left w:val="single" w:color="000000" w:sz="4" w:space="0"/>
                    <w:bottom w:val="single" w:color="000000" w:sz="4" w:space="0"/>
                    <w:right w:val="single" w:color="000000" w:sz="4" w:space="0"/>
                  </w:tcBorders>
                  <w:vAlign w:val="center"/>
                </w:tcPr>
                <w:p w14:paraId="03DD5C54">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5</w:t>
                  </w:r>
                </w:p>
              </w:tc>
              <w:tc>
                <w:tcPr>
                  <w:tcW w:w="922" w:type="dxa"/>
                  <w:tcBorders>
                    <w:top w:val="single" w:color="000000" w:sz="4" w:space="0"/>
                    <w:left w:val="single" w:color="000000" w:sz="4" w:space="0"/>
                    <w:bottom w:val="single" w:color="000000" w:sz="4" w:space="0"/>
                    <w:right w:val="single" w:color="000000" w:sz="4" w:space="0"/>
                  </w:tcBorders>
                  <w:vAlign w:val="center"/>
                </w:tcPr>
                <w:p w14:paraId="5E2BAE59">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6</w:t>
                  </w:r>
                </w:p>
              </w:tc>
              <w:tc>
                <w:tcPr>
                  <w:tcW w:w="911" w:type="dxa"/>
                  <w:tcBorders>
                    <w:top w:val="single" w:color="000000" w:sz="4" w:space="0"/>
                    <w:left w:val="single" w:color="000000" w:sz="4" w:space="0"/>
                    <w:bottom w:val="single" w:color="000000" w:sz="4" w:space="0"/>
                    <w:right w:val="single" w:color="000000" w:sz="4" w:space="0"/>
                  </w:tcBorders>
                  <w:vAlign w:val="center"/>
                </w:tcPr>
                <w:p w14:paraId="4CCC7023">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7</w:t>
                  </w:r>
                </w:p>
              </w:tc>
            </w:tr>
            <w:tr w14:paraId="51DA1281">
              <w:tblPrEx>
                <w:tblCellMar>
                  <w:top w:w="0" w:type="dxa"/>
                  <w:left w:w="108" w:type="dxa"/>
                  <w:bottom w:w="0" w:type="dxa"/>
                  <w:right w:w="108" w:type="dxa"/>
                </w:tblCellMar>
              </w:tblPrEx>
              <w:trPr>
                <w:trHeight w:val="635" w:hRule="atLeast"/>
              </w:trPr>
              <w:tc>
                <w:tcPr>
                  <w:tcW w:w="1630" w:type="dxa"/>
                  <w:tcBorders>
                    <w:top w:val="single" w:color="000000" w:sz="4" w:space="0"/>
                    <w:left w:val="single" w:color="000000" w:sz="4" w:space="0"/>
                    <w:bottom w:val="single" w:color="000000" w:sz="4" w:space="0"/>
                    <w:right w:val="single" w:color="000000" w:sz="4" w:space="0"/>
                  </w:tcBorders>
                  <w:vAlign w:val="center"/>
                </w:tcPr>
                <w:p w14:paraId="6B2844E0">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下浮系数（%）</w:t>
                  </w:r>
                </w:p>
              </w:tc>
              <w:tc>
                <w:tcPr>
                  <w:tcW w:w="883" w:type="dxa"/>
                  <w:tcBorders>
                    <w:top w:val="single" w:color="000000" w:sz="4" w:space="0"/>
                    <w:left w:val="single" w:color="000000" w:sz="4" w:space="0"/>
                    <w:bottom w:val="single" w:color="000000" w:sz="4" w:space="0"/>
                    <w:right w:val="single" w:color="000000" w:sz="4" w:space="0"/>
                  </w:tcBorders>
                  <w:vAlign w:val="center"/>
                </w:tcPr>
                <w:p w14:paraId="02E7456E">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1.0</w:t>
                  </w:r>
                </w:p>
              </w:tc>
              <w:tc>
                <w:tcPr>
                  <w:tcW w:w="923" w:type="dxa"/>
                  <w:tcBorders>
                    <w:top w:val="single" w:color="000000" w:sz="4" w:space="0"/>
                    <w:left w:val="single" w:color="000000" w:sz="4" w:space="0"/>
                    <w:bottom w:val="single" w:color="000000" w:sz="4" w:space="0"/>
                    <w:right w:val="single" w:color="000000" w:sz="4" w:space="0"/>
                  </w:tcBorders>
                  <w:vAlign w:val="center"/>
                </w:tcPr>
                <w:p w14:paraId="7D5F50C5">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1.1</w:t>
                  </w:r>
                </w:p>
              </w:tc>
              <w:tc>
                <w:tcPr>
                  <w:tcW w:w="961" w:type="dxa"/>
                  <w:tcBorders>
                    <w:top w:val="single" w:color="000000" w:sz="4" w:space="0"/>
                    <w:left w:val="single" w:color="000000" w:sz="4" w:space="0"/>
                    <w:bottom w:val="single" w:color="000000" w:sz="4" w:space="0"/>
                    <w:right w:val="single" w:color="000000" w:sz="4" w:space="0"/>
                  </w:tcBorders>
                  <w:vAlign w:val="center"/>
                </w:tcPr>
                <w:p w14:paraId="4CAA7E2B">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1.2</w:t>
                  </w:r>
                </w:p>
              </w:tc>
              <w:tc>
                <w:tcPr>
                  <w:tcW w:w="943" w:type="dxa"/>
                  <w:tcBorders>
                    <w:top w:val="single" w:color="000000" w:sz="4" w:space="0"/>
                    <w:left w:val="single" w:color="000000" w:sz="4" w:space="0"/>
                    <w:bottom w:val="single" w:color="000000" w:sz="4" w:space="0"/>
                    <w:right w:val="single" w:color="000000" w:sz="4" w:space="0"/>
                  </w:tcBorders>
                  <w:vAlign w:val="center"/>
                </w:tcPr>
                <w:p w14:paraId="43B7180E">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1.3</w:t>
                  </w:r>
                </w:p>
              </w:tc>
              <w:tc>
                <w:tcPr>
                  <w:tcW w:w="981" w:type="dxa"/>
                  <w:tcBorders>
                    <w:top w:val="single" w:color="000000" w:sz="4" w:space="0"/>
                    <w:left w:val="single" w:color="000000" w:sz="4" w:space="0"/>
                    <w:bottom w:val="single" w:color="000000" w:sz="4" w:space="0"/>
                    <w:right w:val="single" w:color="000000" w:sz="4" w:space="0"/>
                  </w:tcBorders>
                  <w:vAlign w:val="center"/>
                </w:tcPr>
                <w:p w14:paraId="6222A228">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1.4</w:t>
                  </w:r>
                </w:p>
              </w:tc>
              <w:tc>
                <w:tcPr>
                  <w:tcW w:w="922" w:type="dxa"/>
                  <w:tcBorders>
                    <w:top w:val="single" w:color="000000" w:sz="4" w:space="0"/>
                    <w:left w:val="single" w:color="000000" w:sz="4" w:space="0"/>
                    <w:bottom w:val="single" w:color="000000" w:sz="4" w:space="0"/>
                    <w:right w:val="single" w:color="000000" w:sz="4" w:space="0"/>
                  </w:tcBorders>
                  <w:vAlign w:val="center"/>
                </w:tcPr>
                <w:p w14:paraId="65B3C6E6">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1.5</w:t>
                  </w:r>
                </w:p>
              </w:tc>
              <w:tc>
                <w:tcPr>
                  <w:tcW w:w="911" w:type="dxa"/>
                  <w:tcBorders>
                    <w:top w:val="single" w:color="000000" w:sz="4" w:space="0"/>
                    <w:left w:val="single" w:color="000000" w:sz="4" w:space="0"/>
                    <w:bottom w:val="single" w:color="000000" w:sz="4" w:space="0"/>
                    <w:right w:val="single" w:color="000000" w:sz="4" w:space="0"/>
                  </w:tcBorders>
                  <w:vAlign w:val="center"/>
                </w:tcPr>
                <w:p w14:paraId="3CE254C0">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1.6</w:t>
                  </w:r>
                </w:p>
              </w:tc>
            </w:tr>
            <w:tr w14:paraId="12BE4105">
              <w:tblPrEx>
                <w:tblCellMar>
                  <w:top w:w="0" w:type="dxa"/>
                  <w:left w:w="108" w:type="dxa"/>
                  <w:bottom w:w="0" w:type="dxa"/>
                  <w:right w:w="108" w:type="dxa"/>
                </w:tblCellMar>
              </w:tblPrEx>
              <w:trPr>
                <w:trHeight w:val="570" w:hRule="atLeast"/>
              </w:trPr>
              <w:tc>
                <w:tcPr>
                  <w:tcW w:w="1630" w:type="dxa"/>
                  <w:tcBorders>
                    <w:top w:val="single" w:color="000000" w:sz="4" w:space="0"/>
                    <w:left w:val="single" w:color="000000" w:sz="4" w:space="0"/>
                    <w:bottom w:val="single" w:color="000000" w:sz="4" w:space="0"/>
                    <w:right w:val="single" w:color="000000" w:sz="4" w:space="0"/>
                  </w:tcBorders>
                  <w:vAlign w:val="center"/>
                </w:tcPr>
                <w:p w14:paraId="3604C704">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号球</w:t>
                  </w:r>
                </w:p>
              </w:tc>
              <w:tc>
                <w:tcPr>
                  <w:tcW w:w="883" w:type="dxa"/>
                  <w:tcBorders>
                    <w:top w:val="single" w:color="000000" w:sz="4" w:space="0"/>
                    <w:left w:val="single" w:color="000000" w:sz="4" w:space="0"/>
                    <w:bottom w:val="single" w:color="000000" w:sz="4" w:space="0"/>
                    <w:right w:val="single" w:color="000000" w:sz="4" w:space="0"/>
                  </w:tcBorders>
                  <w:vAlign w:val="center"/>
                </w:tcPr>
                <w:p w14:paraId="7053AA5C">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8</w:t>
                  </w:r>
                </w:p>
              </w:tc>
              <w:tc>
                <w:tcPr>
                  <w:tcW w:w="923" w:type="dxa"/>
                  <w:tcBorders>
                    <w:top w:val="single" w:color="000000" w:sz="4" w:space="0"/>
                    <w:left w:val="single" w:color="000000" w:sz="4" w:space="0"/>
                    <w:bottom w:val="single" w:color="000000" w:sz="4" w:space="0"/>
                    <w:right w:val="single" w:color="000000" w:sz="4" w:space="0"/>
                  </w:tcBorders>
                  <w:vAlign w:val="center"/>
                </w:tcPr>
                <w:p w14:paraId="54BB7751">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9</w:t>
                  </w:r>
                </w:p>
              </w:tc>
              <w:tc>
                <w:tcPr>
                  <w:tcW w:w="961" w:type="dxa"/>
                  <w:tcBorders>
                    <w:top w:val="single" w:color="000000" w:sz="4" w:space="0"/>
                    <w:left w:val="single" w:color="000000" w:sz="4" w:space="0"/>
                    <w:bottom w:val="single" w:color="000000" w:sz="4" w:space="0"/>
                    <w:right w:val="single" w:color="000000" w:sz="4" w:space="0"/>
                  </w:tcBorders>
                  <w:vAlign w:val="center"/>
                </w:tcPr>
                <w:p w14:paraId="36DD4DD8">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10</w:t>
                  </w:r>
                </w:p>
              </w:tc>
              <w:tc>
                <w:tcPr>
                  <w:tcW w:w="943" w:type="dxa"/>
                  <w:tcBorders>
                    <w:top w:val="single" w:color="000000" w:sz="4" w:space="0"/>
                    <w:left w:val="single" w:color="000000" w:sz="4" w:space="0"/>
                    <w:bottom w:val="single" w:color="000000" w:sz="4" w:space="0"/>
                    <w:right w:val="single" w:color="000000" w:sz="4" w:space="0"/>
                  </w:tcBorders>
                  <w:vAlign w:val="center"/>
                </w:tcPr>
                <w:p w14:paraId="63003521">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11</w:t>
                  </w:r>
                </w:p>
              </w:tc>
              <w:tc>
                <w:tcPr>
                  <w:tcW w:w="981" w:type="dxa"/>
                  <w:tcBorders>
                    <w:top w:val="single" w:color="000000" w:sz="4" w:space="0"/>
                    <w:left w:val="single" w:color="000000" w:sz="4" w:space="0"/>
                    <w:bottom w:val="single" w:color="000000" w:sz="4" w:space="0"/>
                    <w:right w:val="single" w:color="000000" w:sz="4" w:space="0"/>
                  </w:tcBorders>
                  <w:vAlign w:val="center"/>
                </w:tcPr>
                <w:p w14:paraId="1A030EC7">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12</w:t>
                  </w:r>
                </w:p>
              </w:tc>
              <w:tc>
                <w:tcPr>
                  <w:tcW w:w="922" w:type="dxa"/>
                  <w:tcBorders>
                    <w:top w:val="single" w:color="000000" w:sz="4" w:space="0"/>
                    <w:left w:val="single" w:color="000000" w:sz="4" w:space="0"/>
                    <w:bottom w:val="single" w:color="000000" w:sz="4" w:space="0"/>
                    <w:right w:val="single" w:color="000000" w:sz="4" w:space="0"/>
                  </w:tcBorders>
                  <w:vAlign w:val="center"/>
                </w:tcPr>
                <w:p w14:paraId="025AAF54">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13</w:t>
                  </w:r>
                </w:p>
              </w:tc>
              <w:tc>
                <w:tcPr>
                  <w:tcW w:w="911" w:type="dxa"/>
                  <w:tcBorders>
                    <w:top w:val="single" w:color="000000" w:sz="4" w:space="0"/>
                    <w:left w:val="single" w:color="000000" w:sz="4" w:space="0"/>
                    <w:bottom w:val="single" w:color="000000" w:sz="4" w:space="0"/>
                    <w:right w:val="single" w:color="000000" w:sz="4" w:space="0"/>
                  </w:tcBorders>
                  <w:vAlign w:val="center"/>
                </w:tcPr>
                <w:p w14:paraId="6C04E47B">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14</w:t>
                  </w:r>
                </w:p>
              </w:tc>
            </w:tr>
            <w:tr w14:paraId="1AD8C9E2">
              <w:tblPrEx>
                <w:tblCellMar>
                  <w:top w:w="0" w:type="dxa"/>
                  <w:left w:w="108" w:type="dxa"/>
                  <w:bottom w:w="0" w:type="dxa"/>
                  <w:right w:w="108" w:type="dxa"/>
                </w:tblCellMar>
              </w:tblPrEx>
              <w:trPr>
                <w:trHeight w:val="570" w:hRule="atLeast"/>
              </w:trPr>
              <w:tc>
                <w:tcPr>
                  <w:tcW w:w="1630" w:type="dxa"/>
                  <w:tcBorders>
                    <w:top w:val="single" w:color="000000" w:sz="4" w:space="0"/>
                    <w:left w:val="single" w:color="000000" w:sz="4" w:space="0"/>
                    <w:bottom w:val="single" w:color="000000" w:sz="4" w:space="0"/>
                    <w:right w:val="single" w:color="000000" w:sz="4" w:space="0"/>
                  </w:tcBorders>
                  <w:vAlign w:val="center"/>
                </w:tcPr>
                <w:p w14:paraId="27D10A73">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下浮系数（%）</w:t>
                  </w:r>
                </w:p>
              </w:tc>
              <w:tc>
                <w:tcPr>
                  <w:tcW w:w="883" w:type="dxa"/>
                  <w:tcBorders>
                    <w:top w:val="single" w:color="000000" w:sz="4" w:space="0"/>
                    <w:left w:val="single" w:color="000000" w:sz="4" w:space="0"/>
                    <w:bottom w:val="single" w:color="000000" w:sz="4" w:space="0"/>
                    <w:right w:val="single" w:color="000000" w:sz="4" w:space="0"/>
                  </w:tcBorders>
                  <w:vAlign w:val="center"/>
                </w:tcPr>
                <w:p w14:paraId="198AA902">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1.7</w:t>
                  </w:r>
                </w:p>
              </w:tc>
              <w:tc>
                <w:tcPr>
                  <w:tcW w:w="923" w:type="dxa"/>
                  <w:tcBorders>
                    <w:top w:val="single" w:color="000000" w:sz="4" w:space="0"/>
                    <w:left w:val="single" w:color="000000" w:sz="4" w:space="0"/>
                    <w:bottom w:val="single" w:color="000000" w:sz="4" w:space="0"/>
                    <w:right w:val="single" w:color="000000" w:sz="4" w:space="0"/>
                  </w:tcBorders>
                  <w:vAlign w:val="center"/>
                </w:tcPr>
                <w:p w14:paraId="77827349">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1.8</w:t>
                  </w:r>
                </w:p>
              </w:tc>
              <w:tc>
                <w:tcPr>
                  <w:tcW w:w="961" w:type="dxa"/>
                  <w:tcBorders>
                    <w:top w:val="single" w:color="000000" w:sz="4" w:space="0"/>
                    <w:left w:val="single" w:color="000000" w:sz="4" w:space="0"/>
                    <w:bottom w:val="single" w:color="000000" w:sz="4" w:space="0"/>
                    <w:right w:val="single" w:color="000000" w:sz="4" w:space="0"/>
                  </w:tcBorders>
                  <w:vAlign w:val="center"/>
                </w:tcPr>
                <w:p w14:paraId="628DB53F">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1.9</w:t>
                  </w:r>
                </w:p>
              </w:tc>
              <w:tc>
                <w:tcPr>
                  <w:tcW w:w="943" w:type="dxa"/>
                  <w:tcBorders>
                    <w:top w:val="single" w:color="000000" w:sz="4" w:space="0"/>
                    <w:left w:val="single" w:color="000000" w:sz="4" w:space="0"/>
                    <w:bottom w:val="single" w:color="000000" w:sz="4" w:space="0"/>
                    <w:right w:val="single" w:color="000000" w:sz="4" w:space="0"/>
                  </w:tcBorders>
                  <w:vAlign w:val="center"/>
                </w:tcPr>
                <w:p w14:paraId="716F2A4B">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2.0</w:t>
                  </w:r>
                </w:p>
              </w:tc>
              <w:tc>
                <w:tcPr>
                  <w:tcW w:w="981" w:type="dxa"/>
                  <w:tcBorders>
                    <w:top w:val="single" w:color="000000" w:sz="4" w:space="0"/>
                    <w:left w:val="single" w:color="000000" w:sz="4" w:space="0"/>
                    <w:bottom w:val="single" w:color="000000" w:sz="4" w:space="0"/>
                    <w:right w:val="single" w:color="000000" w:sz="4" w:space="0"/>
                  </w:tcBorders>
                  <w:vAlign w:val="center"/>
                </w:tcPr>
                <w:p w14:paraId="50B67B7A">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2.1</w:t>
                  </w:r>
                </w:p>
              </w:tc>
              <w:tc>
                <w:tcPr>
                  <w:tcW w:w="922" w:type="dxa"/>
                  <w:tcBorders>
                    <w:top w:val="single" w:color="000000" w:sz="4" w:space="0"/>
                    <w:left w:val="single" w:color="000000" w:sz="4" w:space="0"/>
                    <w:bottom w:val="single" w:color="000000" w:sz="4" w:space="0"/>
                    <w:right w:val="single" w:color="000000" w:sz="4" w:space="0"/>
                  </w:tcBorders>
                  <w:vAlign w:val="center"/>
                </w:tcPr>
                <w:p w14:paraId="03ABD775">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2.2</w:t>
                  </w:r>
                </w:p>
              </w:tc>
              <w:tc>
                <w:tcPr>
                  <w:tcW w:w="911" w:type="dxa"/>
                  <w:tcBorders>
                    <w:top w:val="single" w:color="000000" w:sz="4" w:space="0"/>
                    <w:left w:val="single" w:color="000000" w:sz="4" w:space="0"/>
                    <w:bottom w:val="single" w:color="000000" w:sz="4" w:space="0"/>
                    <w:right w:val="single" w:color="000000" w:sz="4" w:space="0"/>
                  </w:tcBorders>
                  <w:vAlign w:val="center"/>
                </w:tcPr>
                <w:p w14:paraId="727558B3">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2.3</w:t>
                  </w:r>
                </w:p>
              </w:tc>
            </w:tr>
            <w:tr w14:paraId="1702CA86">
              <w:tblPrEx>
                <w:tblCellMar>
                  <w:top w:w="0" w:type="dxa"/>
                  <w:left w:w="108" w:type="dxa"/>
                  <w:bottom w:w="0" w:type="dxa"/>
                  <w:right w:w="108" w:type="dxa"/>
                </w:tblCellMar>
              </w:tblPrEx>
              <w:trPr>
                <w:trHeight w:val="521" w:hRule="atLeast"/>
              </w:trPr>
              <w:tc>
                <w:tcPr>
                  <w:tcW w:w="1630" w:type="dxa"/>
                  <w:tcBorders>
                    <w:top w:val="single" w:color="000000" w:sz="4" w:space="0"/>
                    <w:left w:val="single" w:color="000000" w:sz="4" w:space="0"/>
                    <w:bottom w:val="single" w:color="000000" w:sz="4" w:space="0"/>
                    <w:right w:val="single" w:color="000000" w:sz="4" w:space="0"/>
                  </w:tcBorders>
                  <w:vAlign w:val="center"/>
                </w:tcPr>
                <w:p w14:paraId="09C5AA83">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号球</w:t>
                  </w:r>
                </w:p>
              </w:tc>
              <w:tc>
                <w:tcPr>
                  <w:tcW w:w="883" w:type="dxa"/>
                  <w:tcBorders>
                    <w:top w:val="single" w:color="000000" w:sz="4" w:space="0"/>
                    <w:left w:val="single" w:color="000000" w:sz="4" w:space="0"/>
                    <w:bottom w:val="single" w:color="000000" w:sz="4" w:space="0"/>
                    <w:right w:val="single" w:color="000000" w:sz="4" w:space="0"/>
                  </w:tcBorders>
                  <w:vAlign w:val="center"/>
                </w:tcPr>
                <w:p w14:paraId="7F2B1B09">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15</w:t>
                  </w:r>
                </w:p>
              </w:tc>
              <w:tc>
                <w:tcPr>
                  <w:tcW w:w="923" w:type="dxa"/>
                  <w:tcBorders>
                    <w:top w:val="single" w:color="000000" w:sz="4" w:space="0"/>
                    <w:left w:val="single" w:color="000000" w:sz="4" w:space="0"/>
                    <w:bottom w:val="single" w:color="000000" w:sz="4" w:space="0"/>
                    <w:right w:val="single" w:color="000000" w:sz="4" w:space="0"/>
                  </w:tcBorders>
                  <w:vAlign w:val="center"/>
                </w:tcPr>
                <w:p w14:paraId="33B911FF">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16</w:t>
                  </w:r>
                </w:p>
              </w:tc>
              <w:tc>
                <w:tcPr>
                  <w:tcW w:w="961" w:type="dxa"/>
                  <w:tcBorders>
                    <w:top w:val="single" w:color="000000" w:sz="4" w:space="0"/>
                    <w:left w:val="single" w:color="000000" w:sz="4" w:space="0"/>
                    <w:bottom w:val="single" w:color="000000" w:sz="4" w:space="0"/>
                    <w:right w:val="single" w:color="000000" w:sz="4" w:space="0"/>
                  </w:tcBorders>
                  <w:vAlign w:val="center"/>
                </w:tcPr>
                <w:p w14:paraId="5DF42280">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17</w:t>
                  </w:r>
                </w:p>
              </w:tc>
              <w:tc>
                <w:tcPr>
                  <w:tcW w:w="943" w:type="dxa"/>
                  <w:tcBorders>
                    <w:top w:val="single" w:color="000000" w:sz="4" w:space="0"/>
                    <w:left w:val="single" w:color="000000" w:sz="4" w:space="0"/>
                    <w:bottom w:val="single" w:color="000000" w:sz="4" w:space="0"/>
                    <w:right w:val="single" w:color="000000" w:sz="4" w:space="0"/>
                  </w:tcBorders>
                  <w:vAlign w:val="center"/>
                </w:tcPr>
                <w:p w14:paraId="79DC718C">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18</w:t>
                  </w:r>
                </w:p>
              </w:tc>
              <w:tc>
                <w:tcPr>
                  <w:tcW w:w="981" w:type="dxa"/>
                  <w:tcBorders>
                    <w:top w:val="single" w:color="000000" w:sz="4" w:space="0"/>
                    <w:left w:val="single" w:color="000000" w:sz="4" w:space="0"/>
                    <w:bottom w:val="single" w:color="000000" w:sz="4" w:space="0"/>
                    <w:right w:val="single" w:color="000000" w:sz="4" w:space="0"/>
                  </w:tcBorders>
                  <w:vAlign w:val="center"/>
                </w:tcPr>
                <w:p w14:paraId="18FCFB07">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19</w:t>
                  </w:r>
                </w:p>
              </w:tc>
              <w:tc>
                <w:tcPr>
                  <w:tcW w:w="922" w:type="dxa"/>
                  <w:tcBorders>
                    <w:top w:val="single" w:color="000000" w:sz="4" w:space="0"/>
                    <w:left w:val="single" w:color="000000" w:sz="4" w:space="0"/>
                    <w:bottom w:val="single" w:color="000000" w:sz="4" w:space="0"/>
                    <w:right w:val="single" w:color="000000" w:sz="4" w:space="0"/>
                  </w:tcBorders>
                  <w:vAlign w:val="center"/>
                </w:tcPr>
                <w:p w14:paraId="3C36F610">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20</w:t>
                  </w:r>
                </w:p>
              </w:tc>
              <w:tc>
                <w:tcPr>
                  <w:tcW w:w="911" w:type="dxa"/>
                  <w:tcBorders>
                    <w:top w:val="single" w:color="000000" w:sz="4" w:space="0"/>
                    <w:left w:val="single" w:color="000000" w:sz="4" w:space="0"/>
                    <w:bottom w:val="single" w:color="000000" w:sz="4" w:space="0"/>
                    <w:right w:val="single" w:color="000000" w:sz="4" w:space="0"/>
                  </w:tcBorders>
                  <w:vAlign w:val="center"/>
                </w:tcPr>
                <w:p w14:paraId="238A9855">
                  <w:pPr>
                    <w:wordWrap w:val="0"/>
                    <w:spacing w:line="360" w:lineRule="auto"/>
                    <w:jc w:val="center"/>
                    <w:rPr>
                      <w:rFonts w:hint="eastAsia" w:ascii="宋体" w:hAnsi="宋体" w:eastAsia="宋体" w:cs="宋体"/>
                      <w:b/>
                      <w:bCs/>
                      <w:color w:val="auto"/>
                      <w:lang w:eastAsia="zh-CN"/>
                    </w:rPr>
                  </w:pPr>
                  <w:r>
                    <w:rPr>
                      <w:rFonts w:hint="eastAsia" w:ascii="宋体" w:hAnsi="宋体" w:eastAsia="宋体" w:cs="宋体"/>
                      <w:b/>
                      <w:bCs/>
                      <w:color w:val="auto"/>
                      <w:lang w:eastAsia="zh-CN"/>
                    </w:rPr>
                    <w:t>21</w:t>
                  </w:r>
                </w:p>
              </w:tc>
            </w:tr>
            <w:tr w14:paraId="210DC9E6">
              <w:tblPrEx>
                <w:tblCellMar>
                  <w:top w:w="0" w:type="dxa"/>
                  <w:left w:w="108" w:type="dxa"/>
                  <w:bottom w:w="0" w:type="dxa"/>
                  <w:right w:w="108" w:type="dxa"/>
                </w:tblCellMar>
              </w:tblPrEx>
              <w:trPr>
                <w:trHeight w:val="673" w:hRule="atLeast"/>
              </w:trPr>
              <w:tc>
                <w:tcPr>
                  <w:tcW w:w="1630" w:type="dxa"/>
                  <w:tcBorders>
                    <w:top w:val="single" w:color="000000" w:sz="4" w:space="0"/>
                    <w:left w:val="single" w:color="000000" w:sz="4" w:space="0"/>
                    <w:bottom w:val="single" w:color="000000" w:sz="4" w:space="0"/>
                    <w:right w:val="single" w:color="000000" w:sz="4" w:space="0"/>
                  </w:tcBorders>
                  <w:vAlign w:val="center"/>
                </w:tcPr>
                <w:p w14:paraId="612041C2">
                  <w:pPr>
                    <w:wordWrap w:val="0"/>
                    <w:spacing w:line="360" w:lineRule="auto"/>
                    <w:jc w:val="center"/>
                    <w:rPr>
                      <w:rFonts w:hint="eastAsia" w:ascii="宋体" w:hAnsi="宋体" w:eastAsia="宋体" w:cs="宋体"/>
                      <w:b/>
                      <w:color w:val="auto"/>
                      <w:lang w:eastAsia="zh-CN"/>
                    </w:rPr>
                  </w:pPr>
                  <w:r>
                    <w:rPr>
                      <w:rFonts w:hint="eastAsia" w:ascii="宋体" w:hAnsi="宋体" w:eastAsia="宋体" w:cs="宋体"/>
                      <w:b/>
                      <w:color w:val="auto"/>
                      <w:lang w:eastAsia="zh-CN"/>
                    </w:rPr>
                    <w:t>下浮系数（%）</w:t>
                  </w:r>
                </w:p>
              </w:tc>
              <w:tc>
                <w:tcPr>
                  <w:tcW w:w="883" w:type="dxa"/>
                  <w:tcBorders>
                    <w:top w:val="single" w:color="000000" w:sz="4" w:space="0"/>
                    <w:left w:val="single" w:color="000000" w:sz="4" w:space="0"/>
                    <w:bottom w:val="single" w:color="000000" w:sz="4" w:space="0"/>
                    <w:right w:val="single" w:color="000000" w:sz="4" w:space="0"/>
                  </w:tcBorders>
                  <w:vAlign w:val="center"/>
                </w:tcPr>
                <w:p w14:paraId="2D878978">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2.4</w:t>
                  </w:r>
                </w:p>
              </w:tc>
              <w:tc>
                <w:tcPr>
                  <w:tcW w:w="923" w:type="dxa"/>
                  <w:tcBorders>
                    <w:top w:val="single" w:color="000000" w:sz="4" w:space="0"/>
                    <w:left w:val="single" w:color="000000" w:sz="4" w:space="0"/>
                    <w:bottom w:val="single" w:color="000000" w:sz="4" w:space="0"/>
                    <w:right w:val="single" w:color="000000" w:sz="4" w:space="0"/>
                  </w:tcBorders>
                  <w:vAlign w:val="center"/>
                </w:tcPr>
                <w:p w14:paraId="43B179D7">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2.5</w:t>
                  </w:r>
                </w:p>
              </w:tc>
              <w:tc>
                <w:tcPr>
                  <w:tcW w:w="961" w:type="dxa"/>
                  <w:tcBorders>
                    <w:top w:val="single" w:color="000000" w:sz="4" w:space="0"/>
                    <w:left w:val="single" w:color="000000" w:sz="4" w:space="0"/>
                    <w:bottom w:val="single" w:color="000000" w:sz="4" w:space="0"/>
                    <w:right w:val="single" w:color="000000" w:sz="4" w:space="0"/>
                  </w:tcBorders>
                  <w:vAlign w:val="center"/>
                </w:tcPr>
                <w:p w14:paraId="0A9BFE42">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2.6</w:t>
                  </w:r>
                </w:p>
              </w:tc>
              <w:tc>
                <w:tcPr>
                  <w:tcW w:w="943" w:type="dxa"/>
                  <w:tcBorders>
                    <w:top w:val="single" w:color="000000" w:sz="4" w:space="0"/>
                    <w:left w:val="single" w:color="000000" w:sz="4" w:space="0"/>
                    <w:bottom w:val="single" w:color="000000" w:sz="4" w:space="0"/>
                    <w:right w:val="single" w:color="000000" w:sz="4" w:space="0"/>
                  </w:tcBorders>
                  <w:vAlign w:val="center"/>
                </w:tcPr>
                <w:p w14:paraId="1D75D297">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2.7</w:t>
                  </w:r>
                </w:p>
              </w:tc>
              <w:tc>
                <w:tcPr>
                  <w:tcW w:w="981" w:type="dxa"/>
                  <w:tcBorders>
                    <w:top w:val="single" w:color="000000" w:sz="4" w:space="0"/>
                    <w:left w:val="single" w:color="000000" w:sz="4" w:space="0"/>
                    <w:bottom w:val="single" w:color="000000" w:sz="4" w:space="0"/>
                    <w:right w:val="single" w:color="000000" w:sz="4" w:space="0"/>
                  </w:tcBorders>
                  <w:vAlign w:val="center"/>
                </w:tcPr>
                <w:p w14:paraId="4C1CAF90">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2.8</w:t>
                  </w:r>
                </w:p>
              </w:tc>
              <w:tc>
                <w:tcPr>
                  <w:tcW w:w="922" w:type="dxa"/>
                  <w:tcBorders>
                    <w:top w:val="single" w:color="000000" w:sz="4" w:space="0"/>
                    <w:left w:val="single" w:color="000000" w:sz="4" w:space="0"/>
                    <w:bottom w:val="single" w:color="000000" w:sz="4" w:space="0"/>
                    <w:right w:val="single" w:color="000000" w:sz="4" w:space="0"/>
                  </w:tcBorders>
                  <w:vAlign w:val="center"/>
                </w:tcPr>
                <w:p w14:paraId="038816CF">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2.9</w:t>
                  </w:r>
                </w:p>
              </w:tc>
              <w:tc>
                <w:tcPr>
                  <w:tcW w:w="911" w:type="dxa"/>
                  <w:tcBorders>
                    <w:top w:val="single" w:color="000000" w:sz="4" w:space="0"/>
                    <w:left w:val="single" w:color="000000" w:sz="4" w:space="0"/>
                    <w:bottom w:val="single" w:color="000000" w:sz="4" w:space="0"/>
                    <w:right w:val="single" w:color="000000" w:sz="4" w:space="0"/>
                  </w:tcBorders>
                  <w:vAlign w:val="center"/>
                </w:tcPr>
                <w:p w14:paraId="16DFC178">
                  <w:pPr>
                    <w:wordWrap w:val="0"/>
                    <w:spacing w:line="360" w:lineRule="auto"/>
                    <w:jc w:val="center"/>
                    <w:rPr>
                      <w:rFonts w:hint="eastAsia" w:ascii="宋体" w:hAnsi="宋体" w:eastAsia="宋体" w:cs="宋体"/>
                      <w:color w:val="auto"/>
                      <w:lang w:eastAsia="zh-CN"/>
                    </w:rPr>
                  </w:pPr>
                  <w:r>
                    <w:rPr>
                      <w:rFonts w:hint="eastAsia" w:ascii="宋体" w:hAnsi="宋体" w:eastAsia="宋体" w:cs="宋体"/>
                      <w:color w:val="auto"/>
                      <w:lang w:eastAsia="zh-CN"/>
                    </w:rPr>
                    <w:t>3.0</w:t>
                  </w:r>
                </w:p>
              </w:tc>
            </w:tr>
          </w:tbl>
          <w:p w14:paraId="290743F7">
            <w:pPr>
              <w:wordWrap w:val="0"/>
              <w:spacing w:line="360" w:lineRule="auto"/>
              <w:ind w:firstLine="420" w:firstLineChars="200"/>
              <w:rPr>
                <w:rFonts w:hint="eastAsia" w:ascii="宋体" w:hAnsi="宋体" w:eastAsia="宋体" w:cs="宋体"/>
                <w:color w:val="auto"/>
                <w:lang w:eastAsia="zh-CN"/>
              </w:rPr>
            </w:pPr>
            <w:r>
              <w:rPr>
                <w:rFonts w:hint="eastAsia" w:ascii="宋体" w:hAnsi="宋体" w:eastAsia="宋体" w:cs="宋体"/>
                <w:color w:val="auto"/>
                <w:lang w:eastAsia="zh-CN"/>
              </w:rPr>
              <w:t>（2）评标基准价D＝最高投标限价×（1－n）</w:t>
            </w:r>
          </w:p>
        </w:tc>
      </w:tr>
      <w:tr w14:paraId="403BE403">
        <w:tblPrEx>
          <w:tblCellMar>
            <w:top w:w="0" w:type="dxa"/>
            <w:left w:w="108" w:type="dxa"/>
            <w:bottom w:w="0" w:type="dxa"/>
            <w:right w:w="108" w:type="dxa"/>
          </w:tblCellMar>
        </w:tblPrEx>
        <w:trPr>
          <w:trHeight w:val="2401" w:hRule="atLeast"/>
          <w:jc w:val="center"/>
        </w:trPr>
        <w:tc>
          <w:tcPr>
            <w:tcW w:w="1404" w:type="dxa"/>
            <w:tcBorders>
              <w:top w:val="single" w:color="auto" w:sz="4" w:space="0"/>
              <w:left w:val="single" w:color="auto" w:sz="4" w:space="0"/>
              <w:bottom w:val="single" w:color="auto" w:sz="4" w:space="0"/>
              <w:right w:val="single" w:color="auto" w:sz="4" w:space="0"/>
            </w:tcBorders>
            <w:vAlign w:val="center"/>
          </w:tcPr>
          <w:p w14:paraId="6E113212">
            <w:pPr>
              <w:pStyle w:val="33"/>
              <w:wordWrap w:val="0"/>
              <w:adjustRightInd w:val="0"/>
              <w:snapToGrid w:val="0"/>
              <w:spacing w:line="360" w:lineRule="exact"/>
              <w:jc w:val="center"/>
              <w:rPr>
                <w:rFonts w:hint="eastAsia" w:ascii="宋体" w:hAnsi="宋体" w:eastAsia="宋体" w:cs="宋体"/>
                <w:snapToGrid w:val="0"/>
                <w:kern w:val="0"/>
                <w:szCs w:val="21"/>
              </w:rPr>
            </w:pPr>
            <w:r>
              <w:rPr>
                <w:rFonts w:hint="eastAsia" w:ascii="宋体" w:hAnsi="宋体" w:eastAsia="宋体" w:cs="宋体"/>
                <w:snapToGrid w:val="0"/>
                <w:kern w:val="0"/>
                <w:szCs w:val="21"/>
              </w:rPr>
              <w:t xml:space="preserve"> 投标报价</w:t>
            </w:r>
          </w:p>
          <w:p w14:paraId="24BAC1B2">
            <w:pPr>
              <w:pStyle w:val="33"/>
              <w:wordWrap w:val="0"/>
              <w:adjustRightInd w:val="0"/>
              <w:snapToGrid w:val="0"/>
              <w:spacing w:line="360" w:lineRule="exact"/>
              <w:jc w:val="center"/>
              <w:rPr>
                <w:rFonts w:hint="eastAsia" w:ascii="宋体" w:hAnsi="宋体" w:eastAsia="宋体" w:cs="宋体"/>
                <w:snapToGrid w:val="0"/>
                <w:kern w:val="0"/>
                <w:szCs w:val="21"/>
              </w:rPr>
            </w:pPr>
            <w:r>
              <w:rPr>
                <w:rFonts w:hint="eastAsia" w:ascii="宋体" w:hAnsi="宋体" w:eastAsia="宋体" w:cs="宋体"/>
                <w:snapToGrid w:val="0"/>
                <w:kern w:val="0"/>
                <w:szCs w:val="21"/>
              </w:rPr>
              <w:t>得分N</w:t>
            </w:r>
          </w:p>
        </w:tc>
        <w:tc>
          <w:tcPr>
            <w:tcW w:w="8562" w:type="dxa"/>
            <w:gridSpan w:val="2"/>
            <w:tcBorders>
              <w:top w:val="single" w:color="auto" w:sz="4" w:space="0"/>
              <w:left w:val="single" w:color="auto" w:sz="4" w:space="0"/>
              <w:bottom w:val="single" w:color="auto" w:sz="4" w:space="0"/>
              <w:right w:val="single" w:color="auto" w:sz="4" w:space="0"/>
            </w:tcBorders>
            <w:vAlign w:val="center"/>
          </w:tcPr>
          <w:p w14:paraId="2BA58589">
            <w:pPr>
              <w:spacing w:line="360" w:lineRule="auto"/>
              <w:ind w:firstLine="420" w:firstLineChars="200"/>
              <w:rPr>
                <w:rFonts w:hint="eastAsia" w:ascii="宋体" w:hAnsi="宋体" w:eastAsia="宋体" w:cs="宋体"/>
                <w:color w:val="auto"/>
                <w:lang w:eastAsia="zh-CN"/>
              </w:rPr>
            </w:pPr>
            <w:r>
              <w:rPr>
                <w:rFonts w:hint="eastAsia" w:ascii="宋体" w:hAnsi="宋体" w:eastAsia="宋体" w:cs="宋体"/>
                <w:color w:val="auto"/>
                <w:lang w:eastAsia="zh-CN"/>
              </w:rPr>
              <w:t>采用内插法计算某投标人的投标报价得分N，即当投标人的投标总价等于评标基准价时得100分，每高于评标基准价一个百分点扣1分,每低于评标基准价一个百分点扣0.5分，扣完为止。公式如下：</w:t>
            </w:r>
          </w:p>
          <w:p w14:paraId="08009145">
            <w:pPr>
              <w:spacing w:line="360" w:lineRule="auto"/>
              <w:ind w:firstLine="420" w:firstLineChars="200"/>
              <w:rPr>
                <w:rFonts w:hint="eastAsia" w:ascii="宋体" w:hAnsi="宋体" w:eastAsia="宋体" w:cs="宋体"/>
                <w:color w:val="auto"/>
                <w:lang w:eastAsia="zh-CN"/>
              </w:rPr>
            </w:pPr>
            <w:r>
              <w:rPr>
                <w:rFonts w:hint="eastAsia" w:ascii="宋体" w:hAnsi="宋体" w:eastAsia="宋体" w:cs="宋体"/>
                <w:color w:val="auto"/>
                <w:lang w:eastAsia="zh-CN"/>
              </w:rPr>
              <w:t>N＝100－（|Di－D|÷D）×100×E</w:t>
            </w:r>
          </w:p>
          <w:p w14:paraId="18D1B5E5">
            <w:pPr>
              <w:spacing w:line="360" w:lineRule="auto"/>
              <w:ind w:firstLine="420" w:firstLineChars="200"/>
              <w:rPr>
                <w:rFonts w:hint="eastAsia" w:ascii="宋体" w:hAnsi="宋体" w:eastAsia="宋体" w:cs="宋体"/>
                <w:color w:val="auto"/>
                <w:lang w:eastAsia="zh-CN"/>
              </w:rPr>
            </w:pPr>
            <w:r>
              <w:rPr>
                <w:rFonts w:hint="eastAsia" w:ascii="宋体" w:hAnsi="宋体" w:eastAsia="宋体" w:cs="宋体"/>
                <w:color w:val="auto"/>
                <w:lang w:eastAsia="zh-CN"/>
              </w:rPr>
              <w:t>式中：D为评标基准价；Di为某投标人的投标总价；E为扣分因子，当Di＞D时，E＝1；当Di＜D时，E＝0.5。</w:t>
            </w:r>
          </w:p>
        </w:tc>
      </w:tr>
    </w:tbl>
    <w:p w14:paraId="3E3DF6AC">
      <w:pPr>
        <w:keepNext w:val="0"/>
        <w:keepLines w:val="0"/>
        <w:pageBreakBefore w:val="0"/>
        <w:wordWrap w:val="0"/>
        <w:overflowPunct/>
        <w:topLinePunct w:val="0"/>
        <w:bidi w:val="0"/>
        <w:spacing w:before="155" w:line="211" w:lineRule="auto"/>
        <w:ind w:firstLine="482" w:firstLineChars="200"/>
        <w:outlineLvl w:val="9"/>
        <w:rPr>
          <w:rFonts w:hint="eastAsia" w:ascii="宋体" w:hAnsi="宋体" w:eastAsia="宋体" w:cs="宋体"/>
          <w:color w:val="000000" w:themeColor="text1"/>
          <w:spacing w:val="0"/>
          <w:sz w:val="25"/>
          <w:szCs w:val="25"/>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15.5.2  </w:t>
      </w:r>
      <w:r>
        <w:rPr>
          <w:rFonts w:hint="eastAsia" w:ascii="宋体" w:hAnsi="宋体" w:eastAsia="宋体" w:cs="宋体"/>
          <w:color w:val="000000" w:themeColor="text1"/>
          <w:spacing w:val="0"/>
          <w:sz w:val="24"/>
          <w:szCs w:val="24"/>
          <w:highlight w:val="none"/>
          <w14:textFill>
            <w14:solidFill>
              <w14:schemeClr w14:val="tx1"/>
            </w14:solidFill>
          </w14:textFill>
        </w:rPr>
        <w:t>否决投标说明</w:t>
      </w:r>
      <w:bookmarkEnd w:id="130"/>
      <w:bookmarkEnd w:id="131"/>
      <w:bookmarkEnd w:id="132"/>
      <w:bookmarkEnd w:id="133"/>
    </w:p>
    <w:p w14:paraId="7A2EE53E">
      <w:pPr>
        <w:keepNext w:val="0"/>
        <w:keepLines w:val="0"/>
        <w:pageBreakBefore w:val="0"/>
        <w:wordWrap w:val="0"/>
        <w:overflowPunct/>
        <w:topLinePunct w:val="0"/>
        <w:bidi w:val="0"/>
        <w:spacing w:before="150" w:line="332" w:lineRule="auto"/>
        <w:ind w:left="10" w:right="195" w:firstLine="5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3E787E43">
      <w:pPr>
        <w:keepNext w:val="0"/>
        <w:keepLines w:val="0"/>
        <w:pageBreakBefore w:val="0"/>
        <w:wordWrap w:val="0"/>
        <w:overflowPunct/>
        <w:topLinePunct w:val="0"/>
        <w:bidi w:val="0"/>
        <w:spacing w:before="59" w:line="330" w:lineRule="auto"/>
        <w:ind w:left="10" w:right="195"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温馨提示</w:t>
      </w:r>
      <w:r>
        <w:rPr>
          <w:rFonts w:hint="eastAsia" w:ascii="宋体" w:hAnsi="宋体" w:eastAsia="宋体" w:cs="宋体"/>
          <w:b/>
          <w:bCs/>
          <w:color w:val="000000" w:themeColor="text1"/>
          <w:spacing w:val="0"/>
          <w:sz w:val="24"/>
          <w:szCs w:val="24"/>
          <w:highlight w:val="none"/>
          <w14:textFill>
            <w14:solidFill>
              <w14:schemeClr w14:val="tx1"/>
            </w14:solidFill>
          </w14:textFill>
        </w:rPr>
        <w:t>：投标人在详细评审阶段根据评分方法提供的佐证材料，其合法性、有效性和准确性不符合要求的，有关量化因素（或评分因素）的折算、调整（或评分）按相应量化标准（或评分标准）处理，但不否决投标。</w:t>
      </w:r>
    </w:p>
    <w:p w14:paraId="354AC629">
      <w:pPr>
        <w:wordWrap w:val="0"/>
        <w:spacing w:before="78" w:line="220" w:lineRule="auto"/>
        <w:ind w:left="496"/>
        <w:outlineLvl w:val="2"/>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34" w:name="bookmark137"/>
      <w:bookmarkEnd w:id="134"/>
      <w:bookmarkStart w:id="135" w:name="_Toc16384"/>
      <w:bookmarkStart w:id="136" w:name="_Toc17694"/>
      <w:bookmarkStart w:id="137" w:name="_Toc13265"/>
      <w:bookmarkStart w:id="138" w:name="_Toc18006"/>
      <w:r>
        <w:rPr>
          <w:rFonts w:hint="eastAsia" w:ascii="宋体" w:hAnsi="宋体" w:eastAsia="宋体" w:cs="宋体"/>
          <w:b/>
          <w:bCs/>
          <w:color w:val="000000" w:themeColor="text1"/>
          <w:sz w:val="24"/>
          <w:szCs w:val="24"/>
          <w:highlight w:val="none"/>
          <w:lang w:eastAsia="zh-CN"/>
          <w14:textFill>
            <w14:solidFill>
              <w14:schemeClr w14:val="tx1"/>
            </w14:solidFill>
          </w14:textFill>
        </w:rPr>
        <w:t>16 ．</w:t>
      </w:r>
      <w:bookmarkEnd w:id="135"/>
      <w:r>
        <w:rPr>
          <w:rFonts w:hint="eastAsia" w:ascii="宋体" w:hAnsi="宋体" w:eastAsia="宋体" w:cs="宋体"/>
          <w:b/>
          <w:bCs/>
          <w:color w:val="000000" w:themeColor="text1"/>
          <w:sz w:val="24"/>
          <w:szCs w:val="24"/>
          <w:highlight w:val="none"/>
          <w:lang w:eastAsia="zh-CN"/>
          <w14:textFill>
            <w14:solidFill>
              <w14:schemeClr w14:val="tx1"/>
            </w14:solidFill>
          </w14:textFill>
        </w:rPr>
        <w:t>评标结果公示</w:t>
      </w:r>
      <w:bookmarkEnd w:id="136"/>
      <w:bookmarkEnd w:id="137"/>
      <w:bookmarkEnd w:id="138"/>
    </w:p>
    <w:p w14:paraId="0018E5A6">
      <w:pPr>
        <w:wordWrap w:val="0"/>
        <w:spacing w:before="135" w:line="360"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 xml:space="preserve">16.1  </w:t>
      </w:r>
      <w:r>
        <w:rPr>
          <w:rFonts w:hint="eastAsia" w:ascii="宋体" w:hAnsi="宋体" w:eastAsia="宋体" w:cs="宋体"/>
          <w:color w:val="000000" w:themeColor="text1"/>
          <w:sz w:val="24"/>
          <w:szCs w:val="24"/>
          <w:highlight w:val="none"/>
          <w:lang w:eastAsia="zh-CN"/>
          <w14:textFill>
            <w14:solidFill>
              <w14:schemeClr w14:val="tx1"/>
            </w14:solidFill>
          </w14:textFill>
        </w:rPr>
        <w:t>招标人应当自收到评标报告之日起3个日历天内，在广东省招标投标监管网和全国公共资源交易平台（广东省·韶关市）上对定标候选人、评标情况予以公示，公示期不少于3个日历天。公示主要内容包括：</w:t>
      </w:r>
    </w:p>
    <w:p w14:paraId="6E8417CC">
      <w:pPr>
        <w:wordWrap w:val="0"/>
        <w:spacing w:before="135" w:line="360"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（1）定标候选人名称、投标报价、业绩、质量、工期、拟派驻招标项目管理机构人员信息等；</w:t>
      </w:r>
    </w:p>
    <w:p w14:paraId="1B3C16F2">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（2）定标候选人按照招标文件要求承诺的项目负责人姓名及相关证书名称和编号；（3）响应招标文件要求的资格能力条件；</w:t>
      </w:r>
    </w:p>
    <w:p w14:paraId="40845CAE">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（4）提出异议的渠道和方式；</w:t>
      </w:r>
    </w:p>
    <w:p w14:paraId="7E202C44">
      <w:pPr>
        <w:wordWrap w:val="0"/>
        <w:spacing w:before="135" w:line="360" w:lineRule="auto"/>
        <w:ind w:right="105" w:firstLine="480" w:firstLineChars="200"/>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（5）评标专家代码（评标专家姓名可用代码进行标示，如专家一、专家二等）及其对应的具体评标意见（含对否决投标人相关意见等）以及评标报告；</w:t>
      </w:r>
    </w:p>
    <w:p w14:paraId="430CA5E9">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（6）投标文件；</w:t>
      </w:r>
    </w:p>
    <w:p w14:paraId="031C9164">
      <w:pPr>
        <w:wordWrap w:val="0"/>
        <w:spacing w:before="135" w:line="360" w:lineRule="auto"/>
        <w:ind w:left="479" w:leftChars="228" w:right="105"/>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（7）招标文件确认公示的其他内容。</w:t>
      </w:r>
    </w:p>
    <w:p w14:paraId="525B6BC8">
      <w:pPr>
        <w:keepNext w:val="0"/>
        <w:keepLines w:val="0"/>
        <w:pageBreakBefore w:val="0"/>
        <w:wordWrap w:val="0"/>
        <w:overflowPunct/>
        <w:topLinePunct w:val="0"/>
        <w:bidi w:val="0"/>
        <w:spacing w:before="135" w:line="316"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16.2</w:t>
      </w:r>
      <w:r>
        <w:rPr>
          <w:rFonts w:hint="eastAsia" w:ascii="宋体" w:hAnsi="宋体" w:eastAsia="宋体" w:cs="宋体"/>
          <w:color w:val="000000" w:themeColor="text1"/>
          <w:sz w:val="24"/>
          <w:szCs w:val="24"/>
          <w:highlight w:val="none"/>
          <w:lang w:eastAsia="zh-CN"/>
          <w14:textFill>
            <w14:solidFill>
              <w14:schemeClr w14:val="tx1"/>
            </w14:solidFill>
          </w14:textFill>
        </w:rPr>
        <w:t xml:space="preserve"> 投标人或其他利害关系人对定标候选人有异议的，应当在公示期内提出。异议及投诉处理，严格按照招标投标有关法律法规及《韶关市工程建设项目招标投标活动异议和投诉处理办法》的规定执行。招标人及其评标委员会发现招标投标活动存在违反法律法规规定的，由招标人向有关监管部门投诉。</w:t>
      </w:r>
    </w:p>
    <w:p w14:paraId="4AA593BC">
      <w:pPr>
        <w:keepNext w:val="0"/>
        <w:keepLines w:val="0"/>
        <w:pageBreakBefore w:val="0"/>
        <w:wordWrap w:val="0"/>
        <w:overflowPunct/>
        <w:topLinePunct w:val="0"/>
        <w:bidi w:val="0"/>
        <w:spacing w:before="135" w:line="316" w:lineRule="auto"/>
        <w:ind w:left="2" w:right="105" w:firstLine="494"/>
        <w:jc w:val="both"/>
        <w:rPr>
          <w:rFonts w:hint="eastAsia" w:ascii="宋体" w:hAnsi="宋体" w:eastAsia="宋体" w:cs="宋体"/>
          <w:color w:val="000000" w:themeColor="text1"/>
          <w:sz w:val="24"/>
          <w:szCs w:val="24"/>
          <w:highlight w:val="none"/>
          <w:lang w:eastAsia="zh-CN"/>
          <w14:textFill>
            <w14:solidFill>
              <w14:schemeClr w14:val="tx1"/>
            </w14:solidFill>
          </w14:textFill>
        </w:rPr>
      </w:pPr>
    </w:p>
    <w:p w14:paraId="0F1389C7">
      <w:pPr>
        <w:keepNext w:val="0"/>
        <w:keepLines w:val="0"/>
        <w:pageBreakBefore w:val="0"/>
        <w:wordWrap w:val="0"/>
        <w:overflowPunct/>
        <w:topLinePunct w:val="0"/>
        <w:bidi w:val="0"/>
        <w:spacing w:line="309" w:lineRule="auto"/>
        <w:rPr>
          <w:rFonts w:hint="eastAsia" w:ascii="宋体" w:hAnsi="宋体" w:eastAsia="宋体" w:cs="宋体"/>
          <w:color w:val="000000" w:themeColor="text1"/>
          <w:spacing w:val="0"/>
          <w:sz w:val="24"/>
          <w:szCs w:val="24"/>
          <w:highlight w:val="none"/>
          <w14:textFill>
            <w14:solidFill>
              <w14:schemeClr w14:val="tx1"/>
            </w14:solidFill>
          </w14:textFill>
        </w:rPr>
        <w:sectPr>
          <w:headerReference r:id="rId8" w:type="default"/>
          <w:footerReference r:id="rId9" w:type="default"/>
          <w:pgSz w:w="11906" w:h="16839"/>
          <w:pgMar w:top="1440" w:right="1253" w:bottom="1440" w:left="1253" w:header="0" w:footer="1020" w:gutter="0"/>
          <w:pgBorders>
            <w:top w:val="none" w:sz="0" w:space="0"/>
            <w:left w:val="none" w:sz="0" w:space="0"/>
            <w:bottom w:val="none" w:sz="0" w:space="0"/>
            <w:right w:val="none" w:sz="0" w:space="0"/>
          </w:pgBorders>
          <w:pgNumType w:fmt="decimal"/>
          <w:cols w:space="720" w:num="1"/>
          <w:rtlGutter w:val="0"/>
          <w:docGrid w:linePitch="0" w:charSpace="0"/>
        </w:sectPr>
      </w:pPr>
    </w:p>
    <w:p w14:paraId="4598D3DD">
      <w:pPr>
        <w:keepNext w:val="0"/>
        <w:keepLines w:val="0"/>
        <w:pageBreakBefore w:val="0"/>
        <w:wordWrap w:val="0"/>
        <w:overflowPunct/>
        <w:topLinePunct w:val="0"/>
        <w:bidi w:val="0"/>
        <w:spacing w:before="78" w:line="220" w:lineRule="auto"/>
        <w:ind w:left="9"/>
        <w:jc w:val="center"/>
        <w:outlineLvl w:val="1"/>
        <w:rPr>
          <w:rFonts w:hint="eastAsia" w:ascii="宋体" w:hAnsi="宋体" w:eastAsia="宋体" w:cs="宋体"/>
          <w:color w:val="000000" w:themeColor="text1"/>
          <w:spacing w:val="0"/>
          <w:sz w:val="24"/>
          <w:szCs w:val="24"/>
          <w:highlight w:val="none"/>
          <w14:textFill>
            <w14:solidFill>
              <w14:schemeClr w14:val="tx1"/>
            </w14:solidFill>
          </w14:textFill>
        </w:rPr>
      </w:pPr>
      <w:bookmarkStart w:id="139" w:name="bookmark138"/>
      <w:bookmarkEnd w:id="139"/>
      <w:bookmarkStart w:id="140" w:name="_Toc16450"/>
      <w:r>
        <w:rPr>
          <w:rFonts w:hint="eastAsia" w:ascii="宋体" w:hAnsi="宋体" w:eastAsia="宋体" w:cs="宋体"/>
          <w:b/>
          <w:bCs/>
          <w:color w:val="000000" w:themeColor="text1"/>
          <w:spacing w:val="0"/>
          <w:sz w:val="24"/>
          <w:szCs w:val="24"/>
          <w:highlight w:val="none"/>
          <w14:textFill>
            <w14:solidFill>
              <w14:schemeClr w14:val="tx1"/>
            </w14:solidFill>
          </w14:textFill>
        </w:rPr>
        <w:t>第四节</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否决投标条件</w:t>
      </w:r>
      <w:bookmarkEnd w:id="140"/>
    </w:p>
    <w:p w14:paraId="46F7EEA7">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602D2B7C">
      <w:pPr>
        <w:keepNext w:val="0"/>
        <w:keepLines w:val="0"/>
        <w:pageBreakBefore w:val="0"/>
        <w:wordWrap w:val="0"/>
        <w:overflowPunct/>
        <w:topLinePunct w:val="0"/>
        <w:bidi w:val="0"/>
        <w:spacing w:before="78" w:line="330" w:lineRule="auto"/>
        <w:ind w:left="10" w:right="65"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000000" w:themeColor="text1"/>
          <w:spacing w:val="0"/>
          <w:sz w:val="24"/>
          <w:szCs w:val="24"/>
          <w:highlight w:val="none"/>
          <w14:textFill>
            <w14:solidFill>
              <w14:schemeClr w14:val="tx1"/>
            </w14:solidFill>
          </w14:textFill>
        </w:rPr>
        <w:t>投标人未有列入本节情形的，评标时一律不得否决其投标。</w:t>
      </w:r>
      <w:r>
        <w:rPr>
          <w:rFonts w:hint="eastAsia" w:ascii="宋体" w:hAnsi="宋体" w:eastAsia="宋体" w:cs="宋体"/>
          <w:color w:val="000000" w:themeColor="text1"/>
          <w:spacing w:val="0"/>
          <w:sz w:val="24"/>
          <w:szCs w:val="24"/>
          <w:highlight w:val="none"/>
          <w14:textFill>
            <w14:solidFill>
              <w14:schemeClr w14:val="tx1"/>
            </w14:solidFill>
          </w14:textFill>
        </w:rPr>
        <w:t>本节所称“规定 ”均指招标文件的规定。</w:t>
      </w:r>
    </w:p>
    <w:p w14:paraId="112C2E94">
      <w:pPr>
        <w:keepNext w:val="0"/>
        <w:keepLines w:val="0"/>
        <w:pageBreakBefore w:val="0"/>
        <w:wordWrap w:val="0"/>
        <w:overflowPunct/>
        <w:topLinePunct w:val="0"/>
        <w:bidi w:val="0"/>
        <w:spacing w:before="34" w:line="220" w:lineRule="auto"/>
        <w:ind w:left="49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1" w:name="_Toc20652"/>
      <w:r>
        <w:rPr>
          <w:rFonts w:hint="eastAsia" w:ascii="宋体" w:hAnsi="宋体" w:eastAsia="宋体" w:cs="宋体"/>
          <w:b/>
          <w:bCs/>
          <w:color w:val="000000" w:themeColor="text1"/>
          <w:spacing w:val="0"/>
          <w:sz w:val="24"/>
          <w:szCs w:val="24"/>
          <w:highlight w:val="none"/>
          <w14:textFill>
            <w14:solidFill>
              <w14:schemeClr w14:val="tx1"/>
            </w14:solidFill>
          </w14:textFill>
        </w:rPr>
        <w:t>1 ．资格评审环节</w:t>
      </w:r>
      <w:bookmarkEnd w:id="141"/>
    </w:p>
    <w:p w14:paraId="74FEF03C">
      <w:pPr>
        <w:keepNext w:val="0"/>
        <w:keepLines w:val="0"/>
        <w:pageBreakBefore w:val="0"/>
        <w:wordWrap w:val="0"/>
        <w:overflowPunct/>
        <w:topLinePunct w:val="0"/>
        <w:bidi w:val="0"/>
        <w:spacing w:before="152" w:line="327" w:lineRule="auto"/>
        <w:ind w:left="13" w:right="65"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投标人有下列情形之一的，评标委员会应否决其投标。被否决的投标人，不进入形式评审环节。</w:t>
      </w:r>
    </w:p>
    <w:p w14:paraId="45FE5554">
      <w:pPr>
        <w:keepNext w:val="0"/>
        <w:keepLines w:val="0"/>
        <w:pageBreakBefore w:val="0"/>
        <w:wordWrap w:val="0"/>
        <w:overflowPunct/>
        <w:topLinePunct w:val="0"/>
        <w:bidi w:val="0"/>
        <w:spacing w:before="32" w:line="219"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（1）有本章第三节第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”规定的任何一种情形；</w:t>
      </w:r>
    </w:p>
    <w:p w14:paraId="03414978">
      <w:pPr>
        <w:keepNext w:val="0"/>
        <w:keepLines w:val="0"/>
        <w:pageBreakBefore w:val="0"/>
        <w:wordWrap w:val="0"/>
        <w:overflowPunct/>
        <w:topLinePunct w:val="0"/>
        <w:bidi w:val="0"/>
        <w:spacing w:before="154" w:line="220" w:lineRule="auto"/>
        <w:ind w:left="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（2）投标人资质不符合规定的；</w:t>
      </w:r>
    </w:p>
    <w:p w14:paraId="32EED32B">
      <w:pPr>
        <w:keepNext w:val="0"/>
        <w:keepLines w:val="0"/>
        <w:pageBreakBefore w:val="0"/>
        <w:wordWrap w:val="0"/>
        <w:overflowPunct/>
        <w:topLinePunct w:val="0"/>
        <w:bidi w:val="0"/>
        <w:spacing w:before="153" w:line="315" w:lineRule="auto"/>
        <w:ind w:right="57" w:firstLine="5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0F2A74BC">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3462506">
      <w:pPr>
        <w:keepNext w:val="0"/>
        <w:keepLines w:val="0"/>
        <w:pageBreakBefore w:val="0"/>
        <w:wordWrap w:val="0"/>
        <w:overflowPunct/>
        <w:topLinePunct w:val="0"/>
        <w:bidi w:val="0"/>
        <w:spacing w:before="32" w:line="325" w:lineRule="auto"/>
        <w:ind w:left="10" w:right="65" w:firstLine="49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字确认。</w:t>
      </w:r>
    </w:p>
    <w:p w14:paraId="1444556B">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温馨提示：建造师打印电子证书后，应在个人签名处手写本人签名，未手写签名或与签名图像笔迹不一致的，该电子证书无效。</w:t>
      </w:r>
    </w:p>
    <w:p w14:paraId="4C6FF41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w:t>
      </w:r>
      <w:r>
        <w:rPr>
          <w:rFonts w:hint="eastAsia" w:ascii="宋体" w:hAnsi="宋体" w:eastAsia="宋体" w:cs="宋体"/>
          <w:b/>
          <w:bCs/>
          <w:color w:val="000000" w:themeColor="text1"/>
          <w:spacing w:val="0"/>
          <w:sz w:val="24"/>
          <w:szCs w:val="24"/>
          <w:highlight w:val="none"/>
          <w14:textFill>
            <w14:solidFill>
              <w14:schemeClr w14:val="tx1"/>
            </w14:solidFill>
          </w14:textFill>
        </w:rPr>
        <w:t>建造师注册证书不在使用有效期内的</w:t>
      </w:r>
      <w:r>
        <w:rPr>
          <w:rFonts w:hint="eastAsia" w:ascii="宋体" w:hAnsi="宋体" w:eastAsia="宋体" w:cs="宋体"/>
          <w:color w:val="000000" w:themeColor="text1"/>
          <w:spacing w:val="0"/>
          <w:sz w:val="24"/>
          <w:szCs w:val="24"/>
          <w:highlight w:val="none"/>
          <w14:textFill>
            <w14:solidFill>
              <w14:schemeClr w14:val="tx1"/>
            </w14:solidFill>
          </w14:textFill>
        </w:rPr>
        <w:t>）；擅自修改、遗漏《项目经理任职声明》实质性内容的；</w:t>
      </w:r>
    </w:p>
    <w:p w14:paraId="798C8207">
      <w:pPr>
        <w:keepNext w:val="0"/>
        <w:keepLines w:val="0"/>
        <w:pageBreakBefore w:val="0"/>
        <w:wordWrap w:val="0"/>
        <w:overflowPunct/>
        <w:topLinePunct w:val="0"/>
        <w:bidi w:val="0"/>
        <w:spacing w:before="1" w:line="293" w:lineRule="auto"/>
        <w:ind w:left="28" w:right="66" w:firstLine="4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注：投标人已经工商变更，但其员工执业资格注册证书的注册单位名称未完成变更的，不得否决其投标。</w:t>
      </w:r>
    </w:p>
    <w:p w14:paraId="4F7B3592">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42" w:name="OLE_LINK27"/>
      <w:r>
        <w:rPr>
          <w:rFonts w:hint="eastAsia" w:ascii="宋体" w:hAnsi="宋体" w:eastAsia="宋体" w:cs="宋体"/>
          <w:b/>
          <w:bCs/>
          <w:color w:val="000000" w:themeColor="text1"/>
          <w:spacing w:val="0"/>
          <w:sz w:val="24"/>
          <w:szCs w:val="24"/>
          <w:highlight w:val="none"/>
          <w14:textFill>
            <w14:solidFill>
              <w14:schemeClr w14:val="tx1"/>
            </w14:solidFill>
          </w14:textFill>
        </w:rPr>
        <w:t>鉴于目前继续教育开展的实际情况，建筑和市政工程施工现场专业人员（例如：施</w:t>
      </w:r>
      <w:bookmarkStart w:id="143" w:name="bookmark139"/>
      <w:bookmarkEnd w:id="143"/>
      <w:r>
        <w:rPr>
          <w:rFonts w:hint="eastAsia" w:ascii="宋体" w:hAnsi="宋体" w:eastAsia="宋体" w:cs="宋体"/>
          <w:b/>
          <w:bCs/>
          <w:color w:val="000000" w:themeColor="text1"/>
          <w:spacing w:val="0"/>
          <w:sz w:val="24"/>
          <w:szCs w:val="24"/>
          <w:highlight w:val="none"/>
          <w14:textFill>
            <w14:solidFill>
              <w14:schemeClr w14:val="tx1"/>
            </w14:solidFill>
          </w14:textFill>
        </w:rPr>
        <w:t>工员、质量员、材料员、资料员）的岗位证书或培训证书不审查其证书的有效期。</w:t>
      </w:r>
      <w:bookmarkEnd w:id="142"/>
    </w:p>
    <w:p w14:paraId="0F791476">
      <w:pPr>
        <w:keepNext w:val="0"/>
        <w:keepLines w:val="0"/>
        <w:pageBreakBefore w:val="0"/>
        <w:wordWrap w:val="0"/>
        <w:overflowPunct/>
        <w:topLinePunct w:val="0"/>
        <w:bidi w:val="0"/>
        <w:spacing w:before="146" w:line="220" w:lineRule="auto"/>
        <w:ind w:left="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（6）招标文件规定不接受联合体投标，但以联合体投标的；</w:t>
      </w:r>
    </w:p>
    <w:p w14:paraId="2C69257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（7）联合体投标，未提交《联合体协议书》的；擅自修改、遗漏《联合体协议书》实质性内容的；联合体成员的数量、资质不符合规定的；联合体成员同时以自己名义单独投标或者参加其他联合体投标的；</w:t>
      </w:r>
    </w:p>
    <w:p w14:paraId="5001119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pacing w:val="0"/>
          <w:sz w:val="24"/>
          <w:szCs w:val="24"/>
          <w:highlight w:val="none"/>
          <w14:textFill>
            <w14:solidFill>
              <w14:schemeClr w14:val="tx1"/>
            </w14:solidFill>
          </w14:textFill>
        </w:rPr>
        <w:t>）投标人为外省建筑企业，但未提供“进粤企业和人员诚信信息登记平台 ”企业和拟派人员信息情况打印页或网页截图的。</w:t>
      </w:r>
    </w:p>
    <w:p w14:paraId="4A7BFED6">
      <w:pPr>
        <w:keepNext w:val="0"/>
        <w:keepLines w:val="0"/>
        <w:pageBreakBefore w:val="0"/>
        <w:wordWrap w:val="0"/>
        <w:overflowPunct/>
        <w:topLinePunct w:val="0"/>
        <w:bidi w:val="0"/>
        <w:spacing w:before="154" w:line="221" w:lineRule="auto"/>
        <w:ind w:left="477"/>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4" w:name="_Toc32536"/>
      <w:r>
        <w:rPr>
          <w:rFonts w:hint="eastAsia" w:ascii="宋体" w:hAnsi="宋体" w:eastAsia="宋体" w:cs="宋体"/>
          <w:b/>
          <w:bCs/>
          <w:color w:val="000000" w:themeColor="text1"/>
          <w:spacing w:val="0"/>
          <w:sz w:val="24"/>
          <w:szCs w:val="24"/>
          <w:highlight w:val="none"/>
          <w14:textFill>
            <w14:solidFill>
              <w14:schemeClr w14:val="tx1"/>
            </w14:solidFill>
          </w14:textFill>
        </w:rPr>
        <w:t>2 ．形式评审环节</w:t>
      </w:r>
      <w:bookmarkEnd w:id="144"/>
    </w:p>
    <w:p w14:paraId="33654F10">
      <w:pPr>
        <w:keepNext w:val="0"/>
        <w:keepLines w:val="0"/>
        <w:pageBreakBefore w:val="0"/>
        <w:wordWrap w:val="0"/>
        <w:overflowPunct/>
        <w:topLinePunct w:val="0"/>
        <w:bidi w:val="0"/>
        <w:spacing w:before="151" w:line="327" w:lineRule="auto"/>
        <w:ind w:right="200" w:firstLine="48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投标人有下列情形之一的，评标委员会应否决其投标。被否决的投标人，不进入响应性评审环节。</w:t>
      </w:r>
    </w:p>
    <w:p w14:paraId="4BAC9BEA">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（1）各分册没按招标文件规定加盖电子印章；</w:t>
      </w:r>
    </w:p>
    <w:p w14:paraId="6E2B21D1">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（2）本章第三节第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10.2.2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10.3.2</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目、第 </w:t>
      </w:r>
      <w:r>
        <w:rPr>
          <w:rFonts w:hint="eastAsia" w:ascii="宋体" w:hAnsi="宋体" w:eastAsia="宋体" w:cs="宋体"/>
          <w:b/>
          <w:bCs/>
          <w:color w:val="000000" w:themeColor="text1"/>
          <w:spacing w:val="0"/>
          <w:sz w:val="24"/>
          <w:szCs w:val="24"/>
          <w:highlight w:val="none"/>
          <w14:textFill>
            <w14:solidFill>
              <w14:schemeClr w14:val="tx1"/>
            </w14:solidFill>
          </w14:textFill>
        </w:rPr>
        <w:t>10.4.3</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目中规定的“所有投标人均应提供 ”的组成内容（包括该组成内容的所附资料）中，任何一项有缺漏的；</w:t>
      </w:r>
    </w:p>
    <w:p w14:paraId="36D3CEC6">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5FFF89B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（4）投标文件未按规定签字、盖章的。</w:t>
      </w:r>
    </w:p>
    <w:p w14:paraId="707E04F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（5）招标文件规定施工组织设计采用“暗标 ”方式进行评审，但施工组织设计的规格颜色、文字排版、正文篇幅（若有）不符合规定的；其任何部位出现手写以及涂改、 行间插字或删除痕迹的；其任何部位出现投标人的名称和其它可识别投标人身份的字符、徽标、人员名称以及其他特殊标记的。</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（本次招标项目不适用）</w:t>
      </w:r>
    </w:p>
    <w:p w14:paraId="1C64F3A3">
      <w:pPr>
        <w:keepNext w:val="0"/>
        <w:keepLines w:val="0"/>
        <w:pageBreakBefore w:val="0"/>
        <w:wordWrap w:val="0"/>
        <w:overflowPunct/>
        <w:topLinePunct w:val="0"/>
        <w:bidi w:val="0"/>
        <w:spacing w:before="227" w:line="221" w:lineRule="auto"/>
        <w:ind w:left="47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5" w:name="_Toc25928"/>
      <w:r>
        <w:rPr>
          <w:rFonts w:hint="eastAsia" w:ascii="宋体" w:hAnsi="宋体" w:eastAsia="宋体" w:cs="宋体"/>
          <w:b/>
          <w:bCs/>
          <w:color w:val="000000" w:themeColor="text1"/>
          <w:spacing w:val="0"/>
          <w:sz w:val="24"/>
          <w:szCs w:val="24"/>
          <w:highlight w:val="none"/>
          <w14:textFill>
            <w14:solidFill>
              <w14:schemeClr w14:val="tx1"/>
            </w14:solidFill>
          </w14:textFill>
        </w:rPr>
        <w:t>3 ．响应性评审环节</w:t>
      </w:r>
      <w:bookmarkEnd w:id="145"/>
    </w:p>
    <w:p w14:paraId="023371C4">
      <w:pPr>
        <w:keepNext w:val="0"/>
        <w:keepLines w:val="0"/>
        <w:pageBreakBefore w:val="0"/>
        <w:wordWrap w:val="0"/>
        <w:overflowPunct/>
        <w:topLinePunct w:val="0"/>
        <w:bidi w:val="0"/>
        <w:spacing w:before="151" w:line="327" w:lineRule="auto"/>
        <w:ind w:left="1" w:right="200"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投标人有下列情形之一的，评标委员会应否决其投标。被否决的投标人，不进入详细评审阶段。</w:t>
      </w:r>
    </w:p>
    <w:p w14:paraId="039432F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（1）承诺的投标有效期短于规定的；质量标准低于规定的；工期超出规定的；擅自修改、遗漏《投标函》《各项承诺一览表》实质性内容的；</w:t>
      </w:r>
    </w:p>
    <w:p w14:paraId="3A9ED79E">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（2）编制《投标总价》的造价工程师，其注册证书不是</w:t>
      </w:r>
      <w:r>
        <w:rPr>
          <w:rFonts w:hint="eastAsia" w:ascii="宋体" w:hAnsi="宋体" w:eastAsia="宋体" w:cs="宋体"/>
          <w:b/>
          <w:bCs/>
          <w:color w:val="000000" w:themeColor="text1"/>
          <w:spacing w:val="0"/>
          <w:sz w:val="24"/>
          <w:szCs w:val="24"/>
          <w:highlight w:val="none"/>
          <w14:textFill>
            <w14:solidFill>
              <w14:schemeClr w14:val="tx1"/>
            </w14:solidFill>
          </w14:textFill>
        </w:rPr>
        <w:t>住建部门</w:t>
      </w:r>
      <w:r>
        <w:rPr>
          <w:rFonts w:hint="eastAsia" w:ascii="宋体" w:hAnsi="宋体" w:eastAsia="宋体" w:cs="宋体"/>
          <w:color w:val="000000" w:themeColor="text1"/>
          <w:spacing w:val="0"/>
          <w:sz w:val="24"/>
          <w:szCs w:val="24"/>
          <w:highlight w:val="none"/>
          <w14:textFill>
            <w14:solidFill>
              <w14:schemeClr w14:val="tx1"/>
            </w14:solidFill>
          </w14:textFill>
        </w:rPr>
        <w:t>颁发的；其注册单位与投标人（或造价咨询人）不一致的；其注册证书不在有效期内的。</w:t>
      </w:r>
    </w:p>
    <w:p w14:paraId="7EBE7469">
      <w:pPr>
        <w:keepNext w:val="0"/>
        <w:keepLines w:val="0"/>
        <w:pageBreakBefore w:val="0"/>
        <w:wordWrap w:val="0"/>
        <w:overflowPunct/>
        <w:topLinePunct w:val="0"/>
        <w:bidi w:val="0"/>
        <w:spacing w:before="156" w:line="329" w:lineRule="auto"/>
        <w:ind w:right="200" w:firstLine="480"/>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注：投标人（或造价咨询人）已经工商变更，但其员工的执业资格注册证书的注册单位名称未完成变更的，不得否决其投标。</w:t>
      </w:r>
    </w:p>
    <w:p w14:paraId="70E2ADFC">
      <w:pPr>
        <w:keepNext w:val="0"/>
        <w:keepLines w:val="0"/>
        <w:pageBreakBefore w:val="0"/>
        <w:wordWrap w:val="0"/>
        <w:overflowPunct/>
        <w:topLinePunct w:val="0"/>
        <w:bidi w:val="0"/>
        <w:spacing w:before="78" w:line="299" w:lineRule="auto"/>
        <w:ind w:left="2" w:right="81"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（3）投标人委托造价咨询单位编制《投标总价》，但未在《投标总价扉页》“投标人”栏目加盖造价咨询人公章的；未提供造价咨询人的营业执照副本彩色扫描件；</w:t>
      </w:r>
    </w:p>
    <w:p w14:paraId="05BC2C53">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（4）出现两个或两个以上投标总价的（同一个投标总价大、小写不一致的除外）；投标总价超出</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62906720">
      <w:pPr>
        <w:keepNext w:val="0"/>
        <w:keepLines w:val="0"/>
        <w:pageBreakBefore w:val="0"/>
        <w:wordWrap w:val="0"/>
        <w:overflowPunct/>
        <w:topLinePunct w:val="0"/>
        <w:bidi w:val="0"/>
        <w:spacing w:before="156" w:line="299" w:lineRule="auto"/>
        <w:ind w:right="8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（5）在施工组织设计评审中，评标委员会认定质量、进度保障措施与国家和省市现行有关规范、规定、标准有重大偏差，</w:t>
      </w:r>
      <w:r>
        <w:rPr>
          <w:rFonts w:hint="eastAsia" w:ascii="宋体" w:hAnsi="宋体" w:eastAsia="宋体" w:cs="宋体"/>
          <w:b/>
          <w:bCs/>
          <w:color w:val="000000" w:themeColor="text1"/>
          <w:spacing w:val="0"/>
          <w:sz w:val="24"/>
          <w:szCs w:val="24"/>
          <w:highlight w:val="none"/>
          <w14:textFill>
            <w14:solidFill>
              <w14:schemeClr w14:val="tx1"/>
            </w14:solidFill>
          </w14:textFill>
        </w:rPr>
        <w:t>且该种过错将导致工程质量、进度管理目标无法实现的</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0DBFDD7A">
      <w:pPr>
        <w:keepNext w:val="0"/>
        <w:keepLines w:val="0"/>
        <w:pageBreakBefore w:val="0"/>
        <w:wordWrap w:val="0"/>
        <w:overflowPunct/>
        <w:topLinePunct w:val="0"/>
        <w:bidi w:val="0"/>
        <w:spacing w:before="151" w:line="221" w:lineRule="auto"/>
        <w:ind w:left="476"/>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46" w:name="_Toc27917"/>
      <w:r>
        <w:rPr>
          <w:rFonts w:hint="eastAsia" w:ascii="宋体" w:hAnsi="宋体" w:eastAsia="宋体" w:cs="宋体"/>
          <w:b/>
          <w:bCs/>
          <w:color w:val="000000" w:themeColor="text1"/>
          <w:spacing w:val="0"/>
          <w:sz w:val="24"/>
          <w:szCs w:val="24"/>
          <w:highlight w:val="none"/>
          <w14:textFill>
            <w14:solidFill>
              <w14:schemeClr w14:val="tx1"/>
            </w14:solidFill>
          </w14:textFill>
        </w:rPr>
        <w:t>4 ．其他</w:t>
      </w:r>
      <w:bookmarkEnd w:id="146"/>
    </w:p>
    <w:p w14:paraId="1DB8C9B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在任何评标环节（或阶段），投标人有下列情形之一的，评标委员会应否决其投标。 被否决的投标人，不进入下一环节（或阶段）。</w:t>
      </w:r>
    </w:p>
    <w:p w14:paraId="0CA58726">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（1）不按评标委员会要求澄清、说明或补正的；</w:t>
      </w:r>
    </w:p>
    <w:p w14:paraId="0D1C3C0F">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（2）有下列情形之一，被评标委员会认定属于串通投标的：</w:t>
      </w:r>
    </w:p>
    <w:p w14:paraId="66C929C2">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①不同投标人的投标文件两处以上（含两处）错、漏一致；</w:t>
      </w:r>
    </w:p>
    <w:p w14:paraId="6D5FB77A">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②不同投标人的投标总价相近且各分项报价、综合单价分析表内容混乱不能相互对应、乱调乱压或乱抬的，而在询标时没有合理的解释或者不能提供计算依据和报价依据；</w:t>
      </w:r>
    </w:p>
    <w:p w14:paraId="22325080">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③不同投标人的投标各项报价存在异常一致或者呈规律性变化；</w:t>
      </w:r>
    </w:p>
    <w:p w14:paraId="36C4CB17">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④不同投标人的投标文件由同一单位或者同一个人编制；</w:t>
      </w:r>
    </w:p>
    <w:p w14:paraId="1A519F5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⑤不同投标人的投标文件中投标资料（包括电子资料）相互混装或项目班子成员出现同一人；</w:t>
      </w:r>
    </w:p>
    <w:p w14:paraId="2D971149">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⑥不同投标人的投标文件由同一电脑编制或同一台附属设备打印，或投标报价用同一个预算编制软件密码锁制作或出自同一电子文档；</w:t>
      </w:r>
    </w:p>
    <w:p w14:paraId="3D4E49B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⑦不同投标人的投标保证由同一企业或同一账户资金缴纳；</w:t>
      </w:r>
    </w:p>
    <w:p w14:paraId="16BEF131">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⑧不同投标人委托同一个人或注册在同一家企业的注册人员或同一家企业为其投标提供投标咨询、商务报价、技术咨询（招标项目本身要求采用专有技术的除外）等服务。</w:t>
      </w:r>
    </w:p>
    <w:p w14:paraId="72728FDA">
      <w:pPr>
        <w:pStyle w:val="24"/>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451E5D4B">
      <w:pPr>
        <w:keepNext w:val="0"/>
        <w:keepLines w:val="0"/>
        <w:pageBreakBefore w:val="0"/>
        <w:wordWrap w:val="0"/>
        <w:overflowPunct/>
        <w:topLinePunct w:val="0"/>
        <w:bidi w:val="0"/>
        <w:spacing w:line="29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F20CA48">
      <w:pPr>
        <w:tabs>
          <w:tab w:val="left" w:pos="885"/>
        </w:tabs>
        <w:kinsoku/>
        <w:autoSpaceDE/>
        <w:autoSpaceDN/>
        <w:adjustRightInd/>
        <w:spacing w:line="360" w:lineRule="auto"/>
        <w:jc w:val="both"/>
        <w:outlineLvl w:val="1"/>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47" w:name="bookmark57"/>
      <w:bookmarkEnd w:id="147"/>
      <w:bookmarkStart w:id="148" w:name="_Toc28716"/>
      <w:bookmarkStart w:id="149" w:name="_Toc366"/>
      <w:bookmarkStart w:id="150" w:name="_Toc15025"/>
      <w:r>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第五节 定标规定及细则（本项目采用票决数量法定标）</w:t>
      </w:r>
      <w:bookmarkEnd w:id="148"/>
      <w:bookmarkEnd w:id="149"/>
      <w:bookmarkEnd w:id="150"/>
    </w:p>
    <w:p w14:paraId="140003FA">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1.确定定标会时间</w:t>
      </w:r>
    </w:p>
    <w:p w14:paraId="34D97AFA">
      <w:pPr>
        <w:kinsoku/>
        <w:autoSpaceDE/>
        <w:autoSpaceDN/>
        <w:adjustRightInd/>
        <w:snapToGrid/>
        <w:spacing w:line="360" w:lineRule="auto"/>
        <w:ind w:firstLine="480" w:firstLineChars="200"/>
        <w:jc w:val="both"/>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定标会由招标人组织，原则上应当在定标候选人公示结束后5个工作日内进入韶关市公共资源交易中心召开定标会议。定标会议全过程录音录像。不能按时定标的，应通过广东省招标投标监管网和全国公共资源交易平台（广东省·韶关市）公布延期原因和最终定标时间。若招标人需要对定标候选人或拟派项目负责人进行考察的，定标时间可以适当延迟，但延迟一般不超过 3 个工作日。</w:t>
      </w:r>
    </w:p>
    <w:p w14:paraId="7E570950">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2.定标委员会</w:t>
      </w:r>
    </w:p>
    <w:p w14:paraId="53C3C234">
      <w:pPr>
        <w:kinsoku/>
        <w:autoSpaceDE/>
        <w:autoSpaceDN/>
        <w:adjustRightInd/>
        <w:snapToGrid/>
        <w:spacing w:line="360" w:lineRule="auto"/>
        <w:ind w:firstLine="480" w:firstLineChars="200"/>
        <w:jc w:val="both"/>
        <w:rPr>
          <w:rStyle w:val="26"/>
          <w:rFonts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2.1</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从广东省综合评标评审专家库抽取补足的专家人数最多为2人），成员数量为7人以上单数，定标委员会成员数量在本投标人须知前附表中约定。定标委员会应当推荐定标组长，招标人（不含代理机构）的法定代表人或者主要负责人参加定标委员会的，由其直接担任定标委员会组长。定标委员会名单在中标结果公告前应当保密。</w:t>
      </w:r>
    </w:p>
    <w:p w14:paraId="74FF2747">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0E760EF2">
      <w:pPr>
        <w:kinsoku/>
        <w:autoSpaceDE/>
        <w:autoSpaceDN/>
        <w:adjustRightInd/>
        <w:snapToGrid/>
        <w:spacing w:line="360" w:lineRule="auto"/>
        <w:ind w:firstLine="480" w:firstLineChars="200"/>
        <w:jc w:val="both"/>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6E17EF85">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3.组建招标监督小组</w:t>
      </w:r>
    </w:p>
    <w:p w14:paraId="720AAF51">
      <w:pPr>
        <w:kinsoku/>
        <w:autoSpaceDE/>
        <w:autoSpaceDN/>
        <w:adjustRightInd/>
        <w:snapToGrid/>
        <w:spacing w:line="360" w:lineRule="auto"/>
        <w:ind w:firstLine="480" w:firstLineChars="200"/>
        <w:jc w:val="both"/>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招标人应及时组建招标监督小组，招标监督小组原则上由不少于3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684CB560">
      <w:pPr>
        <w:kinsoku/>
        <w:autoSpaceDE/>
        <w:autoSpaceDN/>
        <w:adjustRightInd/>
        <w:snapToGrid/>
        <w:spacing w:line="360" w:lineRule="auto"/>
        <w:ind w:firstLine="482" w:firstLineChars="200"/>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4.定标办法</w:t>
      </w:r>
    </w:p>
    <w:p w14:paraId="3A8DFE5F">
      <w:pPr>
        <w:kinsoku/>
        <w:autoSpaceDE/>
        <w:autoSpaceDN/>
        <w:adjustRightInd/>
        <w:snapToGrid/>
        <w:spacing w:line="360" w:lineRule="auto"/>
        <w:ind w:firstLine="482" w:firstLineChars="200"/>
        <w:jc w:val="both"/>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bookmarkStart w:id="151" w:name="OLE_LINK3"/>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本项目</w:t>
      </w:r>
      <w:bookmarkEnd w:id="151"/>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采用票决数量法定标。</w:t>
      </w:r>
    </w:p>
    <w:p w14:paraId="5693A3B1">
      <w:pPr>
        <w:kinsoku/>
        <w:autoSpaceDE/>
        <w:autoSpaceDN/>
        <w:adjustRightInd/>
        <w:snapToGrid/>
        <w:spacing w:line="360" w:lineRule="auto"/>
        <w:ind w:firstLine="482" w:firstLineChars="200"/>
        <w:jc w:val="both"/>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b/>
          <w:bCs/>
          <w:snapToGrid/>
          <w:color w:val="000000" w:themeColor="text1"/>
          <w:sz w:val="24"/>
          <w:szCs w:val="24"/>
          <w:highlight w:val="none"/>
          <w:lang w:eastAsia="zh-CN"/>
          <w14:textFill>
            <w14:solidFill>
              <w14:schemeClr w14:val="tx1"/>
            </w14:solidFill>
          </w14:textFill>
        </w:rPr>
        <w:t>5.定标细则</w:t>
      </w:r>
    </w:p>
    <w:p w14:paraId="345E502E">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5.1票决数量法程序</w:t>
      </w:r>
    </w:p>
    <w:p w14:paraId="704CC2E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定标委员会根据定标因素对定标候选人进行评审比较后，每名定标委员会成员</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有且仅有投出1票的权利，1票只能投1名定标候选人，根据</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票决</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数量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排名确定中标候选人</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的</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排序。即各定标委员会成员对定标候选人进行投票，按得票高低排序的前三名</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确定</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中标候选人</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的排序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r>
        <w:rPr>
          <w:rFonts w:hint="eastAsia" w:ascii="宋体" w:hAnsi="宋体" w:eastAsia="宋体" w:cs="宋体"/>
          <w:snapToGrid/>
          <w:color w:val="000000" w:themeColor="text1"/>
          <w:kern w:val="2"/>
          <w:sz w:val="24"/>
          <w:szCs w:val="24"/>
          <w:highlight w:val="none"/>
          <w:shd w:val="clear" w:color="auto" w:fill="FFFFFF"/>
          <w:lang w:val="en-US" w:eastAsia="zh-CN"/>
          <w14:textFill>
            <w14:solidFill>
              <w14:schemeClr w14:val="tx1"/>
            </w14:solidFill>
          </w14:textFill>
        </w:rPr>
        <w:t>若第一轮投票中有得票相同且影响中标候选人排序确定的，由定标委员会对总票数相同的单位进行再次票决确定排序,直至决出排序的前三名中标候选人。</w:t>
      </w:r>
    </w:p>
    <w:p w14:paraId="0440E13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票决采用</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记名方式</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并注明</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投票理由</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p>
    <w:p w14:paraId="69B9C108">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5.1.1.</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项目情况介绍</w:t>
      </w:r>
    </w:p>
    <w:p w14:paraId="500EA44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招标人代表介绍项目的概况及招标要求，以及定标方法与定标工作规则，不得发表具有倾向性的言论。</w:t>
      </w:r>
    </w:p>
    <w:p w14:paraId="32132C59">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5.1.2.</w:t>
      </w:r>
      <w:r>
        <w:rPr>
          <w:rFonts w:hint="eastAsia" w:ascii="宋体" w:hAnsi="宋体" w:eastAsia="宋体" w:cs="宋体"/>
          <w:b/>
          <w:bCs/>
          <w:snapToGrid/>
          <w:color w:val="000000" w:themeColor="text1"/>
          <w:kern w:val="2"/>
          <w:sz w:val="24"/>
          <w:szCs w:val="24"/>
          <w:highlight w:val="none"/>
          <w:shd w:val="clear" w:color="auto" w:fill="FFFFFF"/>
          <w:lang w:eastAsia="zh-CN"/>
          <w14:textFill>
            <w14:solidFill>
              <w14:schemeClr w14:val="tx1"/>
            </w14:solidFill>
          </w14:textFill>
        </w:rPr>
        <w:t>审阅定标资料</w:t>
      </w:r>
    </w:p>
    <w:p w14:paraId="44EFA81D">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定标委员会成员对各定标候选人的投标文件进行审阅，审阅内容主要是定标工作规则所规定的定标因素，聚焦于项目需求与候选人能力的匹配度</w:t>
      </w: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w:t>
      </w:r>
    </w:p>
    <w:p w14:paraId="1B34CBBC">
      <w:pPr>
        <w:shd w:val="clear" w:color="auto" w:fill="FFFFFF"/>
        <w:kinsoku/>
        <w:autoSpaceDE/>
        <w:autoSpaceDN/>
        <w:adjustRightInd/>
        <w:snapToGrid/>
        <w:spacing w:line="360" w:lineRule="exact"/>
        <w:ind w:firstLine="482" w:firstLineChars="200"/>
        <w:jc w:val="both"/>
        <w:textAlignment w:val="auto"/>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5.1.3.</w:t>
      </w:r>
      <w:r>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t>疑问澄清</w:t>
      </w:r>
    </w:p>
    <w:p w14:paraId="79AB07BE">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shd w:val="clear" w:color="auto" w:fill="FFFFFF"/>
          <w:lang w:eastAsia="zh-CN"/>
          <w14:textFill>
            <w14:solidFill>
              <w14:schemeClr w14:val="tx1"/>
            </w14:solidFill>
          </w14:textFill>
        </w:rPr>
        <w:t>定标会议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424A569">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5.1.4.投票，收票，点票和汇总</w:t>
      </w:r>
    </w:p>
    <w:p w14:paraId="3869271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定标委员会成员按照</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票决数量法</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定标</w:t>
      </w:r>
      <w:r>
        <w:rPr>
          <w:rFonts w:hint="eastAsia" w:ascii="宋体" w:hAnsi="宋体" w:eastAsia="宋体" w:cs="宋体"/>
          <w:snapToGrid/>
          <w:color w:val="000000" w:themeColor="text1"/>
          <w:kern w:val="2"/>
          <w:sz w:val="24"/>
          <w:szCs w:val="24"/>
          <w:highlight w:val="none"/>
          <w:lang w:val="en-US" w:eastAsia="zh-CN"/>
          <w14:textFill>
            <w14:solidFill>
              <w14:schemeClr w14:val="tx1"/>
            </w14:solidFill>
          </w14:textFill>
        </w:rPr>
        <w:t>办</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法程序，根据公平、公正、择优原则，独立完成票决后，统一由定标工作人员收集、清点，并对票数进行汇总排名。得票相同且影响中标候选人排序确定的，可由定标委员会对总票数相同的单位进行再次票决确定排序。</w:t>
      </w:r>
    </w:p>
    <w:p w14:paraId="2FEF72FF">
      <w:pPr>
        <w:widowControl w:val="0"/>
        <w:kinsoku/>
        <w:autoSpaceDE/>
        <w:autoSpaceDN/>
        <w:adjustRightInd/>
        <w:snapToGrid/>
        <w:spacing w:line="400" w:lineRule="exact"/>
        <w:ind w:firstLine="482" w:firstLineChars="200"/>
        <w:jc w:val="both"/>
        <w:textAlignment w:val="auto"/>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5.1.5.公布结果和出具定标报告</w:t>
      </w:r>
    </w:p>
    <w:p w14:paraId="5916289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t>点票工作完成后，定标委员会组长汇总定标结果，编制定标报告，确定中标候选人，全体成员签名。</w:t>
      </w:r>
    </w:p>
    <w:p w14:paraId="4155CD7C">
      <w:pPr>
        <w:shd w:val="clear" w:color="auto" w:fill="FFFFFF"/>
        <w:kinsoku/>
        <w:autoSpaceDE/>
        <w:autoSpaceDN/>
        <w:adjustRightInd/>
        <w:snapToGrid/>
        <w:spacing w:line="360" w:lineRule="exact"/>
        <w:ind w:left="420" w:leftChars="200"/>
        <w:jc w:val="both"/>
        <w:textAlignment w:val="auto"/>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5.1.6.</w:t>
      </w:r>
      <w:r>
        <w:rPr>
          <w:rFonts w:hint="eastAsia" w:ascii="宋体" w:hAnsi="宋体" w:eastAsia="宋体" w:cs="宋体"/>
          <w:b/>
          <w:bCs/>
          <w:color w:val="000000" w:themeColor="text1"/>
          <w:sz w:val="24"/>
          <w:szCs w:val="24"/>
          <w:highlight w:val="none"/>
          <w:shd w:val="clear" w:color="auto" w:fill="FFFFFF"/>
          <w:lang w:eastAsia="zh-CN"/>
          <w14:textFill>
            <w14:solidFill>
              <w14:schemeClr w14:val="tx1"/>
            </w14:solidFill>
          </w14:textFill>
        </w:rPr>
        <w:t>全程监督</w:t>
      </w:r>
    </w:p>
    <w:p w14:paraId="4F73540D">
      <w:pPr>
        <w:widowControl w:val="0"/>
        <w:kinsoku/>
        <w:autoSpaceDE/>
        <w:autoSpaceDN/>
        <w:adjustRightInd/>
        <w:snapToGrid/>
        <w:spacing w:line="400" w:lineRule="exact"/>
        <w:ind w:firstLine="480" w:firstLineChars="200"/>
        <w:jc w:val="both"/>
        <w:textAlignment w:val="auto"/>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Cs/>
          <w:snapToGrid/>
          <w:color w:val="000000" w:themeColor="text1"/>
          <w:kern w:val="2"/>
          <w:sz w:val="24"/>
          <w:szCs w:val="24"/>
          <w:highlight w:val="none"/>
          <w:lang w:eastAsia="zh-CN"/>
          <w14:textFill>
            <w14:solidFill>
              <w14:schemeClr w14:val="tx1"/>
            </w14:solidFill>
          </w14:textFill>
        </w:rPr>
        <w:t>招标监督小组对定标会议的全过程进行监督，确保程序合规、记录完整，结论形成过程公正、透明。</w:t>
      </w:r>
    </w:p>
    <w:p w14:paraId="157B35CE">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5.2定标因素</w:t>
      </w:r>
    </w:p>
    <w:p w14:paraId="72CF9F9A">
      <w:pPr>
        <w:widowControl w:val="0"/>
        <w:kinsoku/>
        <w:autoSpaceDE/>
        <w:autoSpaceDN/>
        <w:adjustRightInd/>
        <w:snapToGrid/>
        <w:spacing w:line="400" w:lineRule="exact"/>
        <w:ind w:firstLine="480" w:firstLineChars="200"/>
        <w:jc w:val="both"/>
        <w:textAlignment w:val="auto"/>
        <w:rPr>
          <w:rFonts w:hint="eastAsia" w:ascii="宋体" w:hAnsi="宋体" w:eastAsia="宋体" w:cs="宋体"/>
          <w:i/>
          <w:i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在同等条件下，择优的定标因素和相对标准有以下几个方面：</w:t>
      </w:r>
    </w:p>
    <w:p w14:paraId="4496004D">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（1）拟派团队管理能力与水平（履约能力）</w:t>
      </w:r>
    </w:p>
    <w:p w14:paraId="66B6802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相对标准：拟派团队管理能力与水平（履约能力）强的定标候选人优于拟派团队管理能力与水平（履约能力）一般的定标候选人。</w:t>
      </w:r>
    </w:p>
    <w:p w14:paraId="4A0B512F">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（2）企业信誉</w:t>
      </w:r>
    </w:p>
    <w:p w14:paraId="7D6987F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相对标准：企业信誉评价好的定标候选人优于企业信誉评价一般的定标候选人。</w:t>
      </w:r>
    </w:p>
    <w:p w14:paraId="72003E28">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（3）企业实力</w:t>
      </w:r>
    </w:p>
    <w:p w14:paraId="7F5DD8C9">
      <w:pPr>
        <w:widowControl w:val="0"/>
        <w:kinsoku/>
        <w:autoSpaceDE/>
        <w:autoSpaceDN/>
        <w:adjustRightInd/>
        <w:snapToGrid/>
        <w:spacing w:line="400" w:lineRule="exact"/>
        <w:ind w:firstLine="480"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相对标准：企业实力强的定标候选人优于企业实力弱的定标候选人（结合定标候选人提交的证明材料进行评审）。</w:t>
      </w:r>
    </w:p>
    <w:p w14:paraId="7B4A332C">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（4）评标报告</w:t>
      </w:r>
    </w:p>
    <w:p w14:paraId="0D2CE09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0DCAD98F">
      <w:pPr>
        <w:widowControl w:val="0"/>
        <w:kinsoku/>
        <w:autoSpaceDE/>
        <w:autoSpaceDN/>
        <w:adjustRightInd/>
        <w:snapToGrid/>
        <w:spacing w:line="400" w:lineRule="exact"/>
        <w:ind w:firstLine="482" w:firstLineChars="200"/>
        <w:jc w:val="both"/>
        <w:textAlignment w:val="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（5）农民工工资保障情况</w:t>
      </w:r>
    </w:p>
    <w:p w14:paraId="70264F51">
      <w:pPr>
        <w:widowControl w:val="0"/>
        <w:kinsoku/>
        <w:autoSpaceDE/>
        <w:autoSpaceDN/>
        <w:adjustRightInd/>
        <w:snapToGrid/>
        <w:spacing w:line="400" w:lineRule="exact"/>
        <w:ind w:firstLine="480"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相对标准：农民工工资保障情况好的定标候选人优于农民工工资保障情况差的定标候选人（结合</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定标候选人提交的证明材料和招标人查询的材料进行评审）。</w:t>
      </w:r>
    </w:p>
    <w:p w14:paraId="57A215DA">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6.定标结果公示</w:t>
      </w:r>
    </w:p>
    <w:p w14:paraId="28860487">
      <w:pPr>
        <w:widowControl w:val="0"/>
        <w:kinsoku/>
        <w:autoSpaceDE/>
        <w:autoSpaceDN/>
        <w:adjustRightInd/>
        <w:snapToGrid/>
        <w:spacing w:line="400" w:lineRule="exact"/>
        <w:ind w:firstLine="480" w:firstLineChars="200"/>
        <w:jc w:val="both"/>
        <w:textAlignment w:val="auto"/>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pP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招标人应当自收到定标报告之日起3个日历天内，在广东省招标投标监管网和全国公共资源交易平台（广东省·韶关市）上公示，公示时间不少于3个日历天，招标人及行政监督主管部门按照有关法律法规处理有关异议投诉。公示主要内容包括：定标报告（定标成员信息除外）、</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中标候选人名单</w:t>
      </w: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w:t>
      </w:r>
      <w:r>
        <w:rPr>
          <w:rStyle w:val="26"/>
          <w:rFonts w:hint="eastAsia" w:ascii="宋体" w:hAnsi="宋体" w:eastAsia="宋体" w:cs="宋体"/>
          <w:snapToGrid/>
          <w:color w:val="000000" w:themeColor="text1"/>
          <w:sz w:val="24"/>
          <w:szCs w:val="24"/>
          <w:highlight w:val="none"/>
          <w:lang w:val="en-US" w:eastAsia="zh-CN"/>
          <w14:textFill>
            <w14:solidFill>
              <w14:schemeClr w14:val="tx1"/>
            </w14:solidFill>
          </w14:textFill>
        </w:rPr>
        <w:t>投标报</w:t>
      </w:r>
      <w:r>
        <w:rPr>
          <w:rStyle w:val="26"/>
          <w:rFonts w:hint="eastAsia" w:ascii="宋体" w:hAnsi="宋体" w:eastAsia="宋体" w:cs="宋体"/>
          <w:snapToGrid/>
          <w:color w:val="000000" w:themeColor="text1"/>
          <w:sz w:val="24"/>
          <w:szCs w:val="24"/>
          <w:highlight w:val="none"/>
          <w:lang w:eastAsia="zh-CN"/>
          <w14:textFill>
            <w14:solidFill>
              <w14:schemeClr w14:val="tx1"/>
            </w14:solidFill>
          </w14:textFill>
        </w:rPr>
        <w:t>价和拟投入本项目的项目负责人、技术负责人及各专业负责人（如有）等内容。</w:t>
      </w:r>
    </w:p>
    <w:p w14:paraId="0B89A205">
      <w:pPr>
        <w:tabs>
          <w:tab w:val="left" w:pos="885"/>
        </w:tabs>
        <w:kinsoku/>
        <w:autoSpaceDE/>
        <w:autoSpaceDN/>
        <w:adjustRightInd/>
        <w:spacing w:line="360" w:lineRule="auto"/>
        <w:jc w:val="both"/>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2" w:name="_Toc13023"/>
      <w:bookmarkStart w:id="153" w:name="_Toc209"/>
    </w:p>
    <w:p w14:paraId="522A5B12">
      <w:pPr>
        <w:tabs>
          <w:tab w:val="left" w:pos="885"/>
        </w:tabs>
        <w:kinsoku/>
        <w:autoSpaceDE/>
        <w:autoSpaceDN/>
        <w:adjustRightInd/>
        <w:spacing w:line="360" w:lineRule="auto"/>
        <w:jc w:val="both"/>
        <w:outlineLvl w:val="1"/>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bookmarkStart w:id="154" w:name="_Toc10012"/>
      <w:bookmarkStart w:id="155" w:name="_Toc5550"/>
      <w:r>
        <w:rPr>
          <w:rStyle w:val="26"/>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第六节 中标确认</w:t>
      </w:r>
      <w:bookmarkEnd w:id="152"/>
      <w:bookmarkEnd w:id="153"/>
      <w:bookmarkEnd w:id="154"/>
      <w:bookmarkEnd w:id="155"/>
    </w:p>
    <w:p w14:paraId="1D3E4A27">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1.中标人确定</w:t>
      </w:r>
    </w:p>
    <w:p w14:paraId="33C89CE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1.1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中标人确定。定标结果公示期满无异议的，招标人确认排名第一的中标候选人为中标人，中标人的投标报价即为中标价。</w:t>
      </w:r>
    </w:p>
    <w:p w14:paraId="55B5EC46">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1.2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中标人确定后，招标人应当在中标人确定之日起七日内向中标人发出中标通知书并将中标结果通知其他投标人。</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在中标通知书发出后</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五日</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内，将投标保证金及银行同期存款利息退回中标候选人以外的投标人，在书面合同订立之日起五日内将投标保证金及银行同期存款利息退回中标人和其他中标候选人。</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r>
        <w:rPr>
          <w:rFonts w:hint="eastAsia" w:ascii="宋体" w:hAnsi="宋体" w:eastAsia="宋体" w:cs="宋体"/>
          <w:b/>
          <w:bCs/>
          <w:snapToGrid/>
          <w:color w:val="000000" w:themeColor="text1"/>
          <w:sz w:val="24"/>
          <w:szCs w:val="24"/>
          <w:highlight w:val="none"/>
          <w:shd w:val="clear" w:color="auto" w:fill="FFFFFF"/>
          <w:lang w:val="en-US" w:eastAsia="zh-CN"/>
          <w14:textFill>
            <w14:solidFill>
              <w14:schemeClr w14:val="tx1"/>
            </w14:solidFill>
          </w14:textFill>
        </w:rPr>
        <w:t>具体投标保证金退回按韶关市公共资源交易中心相应规定操作</w:t>
      </w:r>
      <w:r>
        <w:rPr>
          <w:rFonts w:hint="eastAsia" w:ascii="宋体" w:hAnsi="宋体" w:eastAsia="宋体" w:cs="宋体"/>
          <w:b/>
          <w:bCs/>
          <w:snapToGrid/>
          <w:color w:val="000000" w:themeColor="text1"/>
          <w:sz w:val="24"/>
          <w:szCs w:val="24"/>
          <w:highlight w:val="none"/>
          <w:shd w:val="clear" w:color="auto" w:fill="FFFFFF"/>
          <w:lang w:eastAsia="zh-CN"/>
          <w14:textFill>
            <w14:solidFill>
              <w14:schemeClr w14:val="tx1"/>
            </w14:solidFill>
          </w14:textFill>
        </w:rPr>
        <w:t>）</w:t>
      </w:r>
    </w:p>
    <w:p w14:paraId="4958ED9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1.3 中标通知书发出后15日内，招标人应将中标结果在广东省招标投标监管网、全国公共资源交易平台（广东省·韶关市）进行公示。招标人应当自确定中标人之日起15日内，向有关招标管理部门提交招标投标情况的书面报告。</w:t>
      </w:r>
    </w:p>
    <w:p w14:paraId="11EE4655">
      <w:pPr>
        <w:widowControl w:val="0"/>
        <w:kinsoku/>
        <w:autoSpaceDE/>
        <w:autoSpaceDN/>
        <w:adjustRightInd/>
        <w:snapToGrid/>
        <w:spacing w:line="400" w:lineRule="exact"/>
        <w:ind w:firstLine="482" w:firstLineChars="200"/>
        <w:jc w:val="both"/>
        <w:textAlignment w:val="auto"/>
        <w:rPr>
          <w:rFonts w:hint="eastAsia" w:ascii="宋体" w:hAnsi="宋体" w:eastAsia="宋体" w:cs="宋体"/>
          <w:b/>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2.异议和投诉</w:t>
      </w:r>
    </w:p>
    <w:p w14:paraId="736BE44F">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2.1 投标人或者其他利害关系人对招标项目的评标和定标结果有异议的，应当在定标候选人和定标结果公示期间按规定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582E75B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2.2在定标候选人和定标结果公示期间有关评审结果的异议成立的，招标人原则上应当组织原评标委员会和原定标委员会对有关的问题予以纠正，问题纠正后再公示定标候选人和</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定标结果</w:t>
      </w: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w:t>
      </w:r>
    </w:p>
    <w:p w14:paraId="632F45B6">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2.3投标人或其他利害关系人认为招标投标活动不符合法律、行政法规规定的，可以自知道或者应当知道之日起10日内按规定向有关招标管理部门投诉。投诉应当有明确的请求和必要的证明材料。招标管理部门应当自收到投诉之日起30个工作日内作出书面处理决定。</w:t>
      </w:r>
    </w:p>
    <w:p w14:paraId="142EE43A">
      <w:pPr>
        <w:widowControl w:val="0"/>
        <w:kinsoku/>
        <w:adjustRightInd/>
        <w:snapToGrid/>
        <w:spacing w:line="340" w:lineRule="exact"/>
        <w:ind w:firstLine="482" w:firstLineChars="200"/>
        <w:jc w:val="both"/>
        <w:textAlignment w:val="auto"/>
        <w:rPr>
          <w:rFonts w:hint="eastAsia" w:ascii="宋体" w:hAnsi="宋体" w:eastAsia="宋体" w:cs="宋体"/>
          <w:b/>
          <w:bCs/>
          <w:i/>
          <w:color w:val="000000" w:themeColor="text1"/>
          <w:sz w:val="24"/>
          <w:szCs w:val="24"/>
          <w:highlight w:val="none"/>
          <w:lang w:eastAsia="zh-CN"/>
          <w14:textFill>
            <w14:solidFill>
              <w14:schemeClr w14:val="tx1"/>
            </w14:solidFill>
          </w14:textFill>
        </w:rPr>
      </w:pPr>
      <w:bookmarkStart w:id="156" w:name="_Toc236550039"/>
      <w:r>
        <w:rPr>
          <w:rStyle w:val="19"/>
          <w:rFonts w:hint="eastAsia" w:ascii="宋体" w:hAnsi="宋体" w:eastAsia="宋体" w:cs="宋体"/>
          <w:b/>
          <w:bCs/>
          <w:i w:val="0"/>
          <w:color w:val="000000" w:themeColor="text1"/>
          <w:kern w:val="2"/>
          <w:sz w:val="24"/>
          <w:szCs w:val="24"/>
          <w:highlight w:val="none"/>
          <w:lang w:eastAsia="zh-CN"/>
          <w14:textFill>
            <w14:solidFill>
              <w14:schemeClr w14:val="tx1"/>
            </w14:solidFill>
          </w14:textFill>
        </w:rPr>
        <w:t>3．废除授标</w:t>
      </w:r>
      <w:bookmarkEnd w:id="156"/>
      <w:r>
        <w:rPr>
          <w:rStyle w:val="19"/>
          <w:rFonts w:hint="eastAsia" w:ascii="宋体" w:hAnsi="宋体" w:eastAsia="宋体" w:cs="宋体"/>
          <w:b/>
          <w:bCs/>
          <w:i w:val="0"/>
          <w:color w:val="000000" w:themeColor="text1"/>
          <w:kern w:val="2"/>
          <w:sz w:val="24"/>
          <w:szCs w:val="24"/>
          <w:highlight w:val="none"/>
          <w:lang w:eastAsia="zh-CN"/>
          <w14:textFill>
            <w14:solidFill>
              <w14:schemeClr w14:val="tx1"/>
            </w14:solidFill>
          </w14:textFill>
        </w:rPr>
        <w:t>及授标</w:t>
      </w:r>
    </w:p>
    <w:p w14:paraId="46A85D10">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3.1评定标完成后，中标人有下列情形之一的，招标人应按规定取消中标人资格或废除授标：</w:t>
      </w:r>
    </w:p>
    <w:p w14:paraId="7B86979C">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（1）以他人名义投标或者以其他方式弄虚作假骗取中标的；</w:t>
      </w:r>
    </w:p>
    <w:p w14:paraId="7CD8292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（2）与其他投标人串通投标或以行贿的手段谋取中标的；</w:t>
      </w:r>
    </w:p>
    <w:p w14:paraId="6EC6EE2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（3）不是从本投标企业基本账户提交投标担保或以虚假方式提交投标保证金保函（保单）的；</w:t>
      </w:r>
    </w:p>
    <w:p w14:paraId="2C4E77D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（4）中标人于投标有效期终止之前撤回投标文件，或者放弃中标资格的；</w:t>
      </w:r>
    </w:p>
    <w:p w14:paraId="0B9C8FD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（5）因中标人过错而未能按照规定与招标人签订工程承包合同或中标人因不可抗力提出不能履行合同的；</w:t>
      </w:r>
    </w:p>
    <w:p w14:paraId="538352D2">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（6）因中标人过错而未能按照招标文件要求向招标人提交履约担保的；</w:t>
      </w:r>
    </w:p>
    <w:p w14:paraId="36D0E8E9">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（7）中标单位拟派的项目负责人从投标截止时间起在其他建设工程担任项目负责人；</w:t>
      </w:r>
    </w:p>
    <w:p w14:paraId="499CDD6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（8）中标人被有关部门查实存在影响中标结果的违法行为，不符合中标条件的；</w:t>
      </w:r>
    </w:p>
    <w:p w14:paraId="6C763D5B">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（9）中标人在参加本项目投标时有本企业投标承诺书所列被依法限制或暂停承揽业务或停业的处罚的；</w:t>
      </w:r>
    </w:p>
    <w:p w14:paraId="155DAA55">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（10）招标文件明确规定可以废除授标的其他情形。</w:t>
      </w:r>
    </w:p>
    <w:p w14:paraId="06D3F036">
      <w:pPr>
        <w:widowControl w:val="0"/>
        <w:kinsoku/>
        <w:autoSpaceDE/>
        <w:autoSpaceDN/>
        <w:adjustRightInd/>
        <w:snapToGrid/>
        <w:spacing w:line="400" w:lineRule="exact"/>
        <w:ind w:firstLine="480" w:firstLineChars="200"/>
        <w:jc w:val="both"/>
        <w:textAlignment w:val="auto"/>
        <w:rPr>
          <w:rFonts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 xml:space="preserve">3.2 </w:t>
      </w:r>
      <w:r>
        <w:rPr>
          <w:rFonts w:hint="eastAsia" w:ascii="宋体" w:hAnsi="宋体" w:eastAsia="宋体" w:cs="宋体"/>
          <w:snapToGrid/>
          <w:color w:val="000000" w:themeColor="text1"/>
          <w:sz w:val="24"/>
          <w:szCs w:val="24"/>
          <w:highlight w:val="none"/>
          <w:shd w:val="clear" w:color="auto" w:fill="FFFFFF"/>
          <w:lang w:val="en-US" w:eastAsia="zh-CN"/>
          <w14:textFill>
            <w14:solidFill>
              <w14:schemeClr w14:val="tx1"/>
            </w14:solidFill>
          </w14:textFill>
        </w:rPr>
        <w:t>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0CC023F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3.3 招标人有下列情形之一的，应依法承担相应的责任：</w:t>
      </w:r>
    </w:p>
    <w:p w14:paraId="2280616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（1）无正当理由不发出中标通知书的；</w:t>
      </w:r>
    </w:p>
    <w:p w14:paraId="524FFCC1">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（2）招标人不按照规定确定中标人的；</w:t>
      </w:r>
    </w:p>
    <w:p w14:paraId="194C0673">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（3）中标通知书发出后无正当理由改变中标结果的；</w:t>
      </w:r>
    </w:p>
    <w:p w14:paraId="5152CF18">
      <w:pPr>
        <w:widowControl w:val="0"/>
        <w:kinsoku/>
        <w:autoSpaceDE/>
        <w:autoSpaceDN/>
        <w:adjustRightInd/>
        <w:snapToGrid/>
        <w:spacing w:line="400" w:lineRule="exact"/>
        <w:ind w:firstLine="480" w:firstLineChars="200"/>
        <w:jc w:val="both"/>
        <w:textAlignment w:val="auto"/>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（4）无正当理由不与中标人签订工程承包合同的；</w:t>
      </w:r>
    </w:p>
    <w:p w14:paraId="506DE973">
      <w:pPr>
        <w:keepNext w:val="0"/>
        <w:keepLines w:val="0"/>
        <w:pageBreakBefore w:val="0"/>
        <w:wordWrap w:val="0"/>
        <w:overflowPunct/>
        <w:topLinePunct w:val="0"/>
        <w:bidi w:val="0"/>
        <w:spacing w:before="78" w:line="219" w:lineRule="auto"/>
        <w:ind w:firstLine="480" w:firstLineChars="200"/>
        <w:outlineLvl w:val="9"/>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snapToGrid/>
          <w:color w:val="000000" w:themeColor="text1"/>
          <w:sz w:val="24"/>
          <w:szCs w:val="24"/>
          <w:highlight w:val="none"/>
          <w:shd w:val="clear" w:color="auto" w:fill="FFFFFF"/>
          <w:lang w:eastAsia="zh-CN"/>
          <w14:textFill>
            <w14:solidFill>
              <w14:schemeClr w14:val="tx1"/>
            </w14:solidFill>
          </w14:textFill>
        </w:rPr>
        <w:t>（5）在签订工程承包合同时向中标人提出附加条件或者更改合同实质性内容的。</w:t>
      </w:r>
    </w:p>
    <w:p w14:paraId="59129807">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FFFBA50">
      <w:pPr>
        <w:keepNext w:val="0"/>
        <w:keepLines w:val="0"/>
        <w:pageBreakBefore w:val="0"/>
        <w:wordWrap w:val="0"/>
        <w:overflowPunct/>
        <w:topLinePunct w:val="0"/>
        <w:bidi w:val="0"/>
        <w:spacing w:before="78" w:line="219" w:lineRule="auto"/>
        <w:ind w:left="3525"/>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57" w:name="_Toc5449"/>
      <w:r>
        <w:rPr>
          <w:rFonts w:hint="eastAsia" w:ascii="宋体" w:hAnsi="宋体" w:eastAsia="宋体" w:cs="宋体"/>
          <w:b/>
          <w:bCs/>
          <w:color w:val="000000" w:themeColor="text1"/>
          <w:spacing w:val="0"/>
          <w:sz w:val="24"/>
          <w:szCs w:val="24"/>
          <w:highlight w:val="none"/>
          <w14:textFill>
            <w14:solidFill>
              <w14:schemeClr w14:val="tx1"/>
            </w14:solidFill>
          </w14:textFill>
        </w:rPr>
        <w:t>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bookmarkEnd w:id="157"/>
    </w:p>
    <w:p w14:paraId="3C63E460">
      <w:pPr>
        <w:keepNext w:val="0"/>
        <w:keepLines w:val="0"/>
        <w:pageBreakBefore w:val="0"/>
        <w:wordWrap w:val="0"/>
        <w:overflowPunct/>
        <w:topLinePunct w:val="0"/>
        <w:bidi w:val="0"/>
        <w:spacing w:before="78" w:line="219" w:lineRule="auto"/>
        <w:ind w:left="58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58" w:name="_Toc22056"/>
      <w:r>
        <w:rPr>
          <w:rFonts w:hint="eastAsia" w:ascii="宋体" w:hAnsi="宋体" w:eastAsia="宋体" w:cs="宋体"/>
          <w:b/>
          <w:bCs/>
          <w:color w:val="000000" w:themeColor="text1"/>
          <w:spacing w:val="0"/>
          <w:sz w:val="24"/>
          <w:szCs w:val="24"/>
          <w:highlight w:val="none"/>
          <w14:textFill>
            <w14:solidFill>
              <w14:schemeClr w14:val="tx1"/>
            </w14:solidFill>
          </w14:textFill>
        </w:rPr>
        <w:t>1 ．中标通知书</w:t>
      </w:r>
      <w:bookmarkEnd w:id="158"/>
    </w:p>
    <w:p w14:paraId="33680385">
      <w:pPr>
        <w:keepNext w:val="0"/>
        <w:keepLines w:val="0"/>
        <w:pageBreakBefore w:val="0"/>
        <w:wordWrap w:val="0"/>
        <w:overflowPunct/>
        <w:topLinePunct w:val="0"/>
        <w:bidi w:val="0"/>
        <w:spacing w:before="152" w:line="332" w:lineRule="auto"/>
        <w:ind w:left="17" w:firstLine="559"/>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招标人确定第一中标候选人为中标人，并在中标人确定之日起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E2EC4A2">
      <w:pPr>
        <w:keepNext w:val="0"/>
        <w:keepLines w:val="0"/>
        <w:pageBreakBefore w:val="0"/>
        <w:wordWrap w:val="0"/>
        <w:overflowPunct/>
        <w:topLinePunct w:val="0"/>
        <w:bidi w:val="0"/>
        <w:spacing w:before="78" w:line="221" w:lineRule="auto"/>
        <w:ind w:left="572"/>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59" w:name="_Toc16454"/>
      <w:r>
        <w:rPr>
          <w:rFonts w:hint="eastAsia" w:ascii="宋体" w:hAnsi="宋体" w:eastAsia="宋体" w:cs="宋体"/>
          <w:b/>
          <w:bCs/>
          <w:color w:val="000000" w:themeColor="text1"/>
          <w:spacing w:val="0"/>
          <w:sz w:val="24"/>
          <w:szCs w:val="24"/>
          <w:highlight w:val="none"/>
          <w14:textFill>
            <w14:solidFill>
              <w14:schemeClr w14:val="tx1"/>
            </w14:solidFill>
          </w14:textFill>
        </w:rPr>
        <w:t>2 ．中标结果公示</w:t>
      </w:r>
      <w:bookmarkEnd w:id="159"/>
    </w:p>
    <w:p w14:paraId="6D402282">
      <w:pPr>
        <w:keepNext w:val="0"/>
        <w:keepLines w:val="0"/>
        <w:pageBreakBefore w:val="0"/>
        <w:wordWrap w:val="0"/>
        <w:overflowPunct/>
        <w:topLinePunct w:val="0"/>
        <w:bidi w:val="0"/>
        <w:spacing w:before="115" w:line="316" w:lineRule="auto"/>
        <w:ind w:left="2" w:right="203" w:firstLine="595"/>
        <w:jc w:val="both"/>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中标通知书发出后 15</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日内，招标人应将中标结果在广东省招标投标监管网（http://zbtb.gd.gov.cn）、全国公共资源交易平台（广东省 ·韶关市）（https://ygp.gdzwfw.gov.cn/ggzy-portal/#/440200/index）进行公示。</w:t>
      </w:r>
    </w:p>
    <w:p w14:paraId="2C95E54C">
      <w:pPr>
        <w:keepNext w:val="0"/>
        <w:keepLines w:val="0"/>
        <w:pageBreakBefore w:val="0"/>
        <w:wordWrap w:val="0"/>
        <w:overflowPunct/>
        <w:topLinePunct w:val="0"/>
        <w:bidi w:val="0"/>
        <w:spacing w:before="79" w:line="221" w:lineRule="auto"/>
        <w:ind w:left="570"/>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0" w:name="_Toc20203"/>
      <w:r>
        <w:rPr>
          <w:rFonts w:hint="eastAsia" w:ascii="宋体" w:hAnsi="宋体" w:eastAsia="宋体" w:cs="宋体"/>
          <w:b/>
          <w:bCs/>
          <w:color w:val="000000" w:themeColor="text1"/>
          <w:spacing w:val="0"/>
          <w:sz w:val="24"/>
          <w:szCs w:val="24"/>
          <w:highlight w:val="none"/>
          <w14:textFill>
            <w14:solidFill>
              <w14:schemeClr w14:val="tx1"/>
            </w14:solidFill>
          </w14:textFill>
        </w:rPr>
        <w:t>3 ．履约保证</w:t>
      </w:r>
      <w:bookmarkEnd w:id="160"/>
    </w:p>
    <w:p w14:paraId="677C4C26">
      <w:pPr>
        <w:keepNext w:val="0"/>
        <w:keepLines w:val="0"/>
        <w:pageBreakBefore w:val="0"/>
        <w:widowControl/>
        <w:kinsoku w:val="0"/>
        <w:wordWrap w:val="0"/>
        <w:overflowPunct/>
        <w:topLinePunct w:val="0"/>
        <w:autoSpaceDE w:val="0"/>
        <w:autoSpaceDN w:val="0"/>
        <w:bidi w:val="0"/>
        <w:adjustRightInd w:val="0"/>
        <w:snapToGrid w:val="0"/>
        <w:spacing w:before="153" w:line="312" w:lineRule="auto"/>
        <w:ind w:firstLine="482"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3.1  </w:t>
      </w:r>
      <w:r>
        <w:rPr>
          <w:rFonts w:hint="eastAsia" w:ascii="宋体" w:hAnsi="宋体" w:eastAsia="宋体" w:cs="宋体"/>
          <w:color w:val="000000" w:themeColor="text1"/>
          <w:spacing w:val="0"/>
          <w:sz w:val="24"/>
          <w:szCs w:val="24"/>
          <w:highlight w:val="none"/>
          <w14:textFill>
            <w14:solidFill>
              <w14:schemeClr w14:val="tx1"/>
            </w14:solidFill>
          </w14:textFill>
        </w:rPr>
        <w:t>中标人须在领取中标通知书之日起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个工作日内、签订合同前向招标人提交金额</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为中标价</w:t>
      </w:r>
      <w:r>
        <w:rPr>
          <w:rFonts w:hint="eastAsia" w:ascii="宋体" w:hAnsi="宋体" w:eastAsia="宋体" w:cs="宋体"/>
          <w:color w:val="000000" w:themeColor="text1"/>
          <w:spacing w:val="0"/>
          <w:position w:val="2"/>
          <w:sz w:val="24"/>
          <w:szCs w:val="24"/>
          <w:highlight w:val="none"/>
          <w:u w:val="single"/>
          <w:lang w:val="en-US" w:eastAsia="zh-CN"/>
          <w14:textFill>
            <w14:solidFill>
              <w14:schemeClr w14:val="tx1"/>
            </w14:solidFill>
          </w14:textFill>
        </w:rPr>
        <w:t xml:space="preserve"> 5</w:t>
      </w:r>
      <w:r>
        <w:rPr>
          <w:rFonts w:hint="eastAsia" w:ascii="宋体" w:hAnsi="宋体" w:eastAsia="宋体" w:cs="宋体"/>
          <w:color w:val="000000" w:themeColor="text1"/>
          <w:spacing w:val="0"/>
          <w:position w:val="2"/>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的履约保证。联合体中标的，由联合体牵头人提交。</w:t>
      </w:r>
    </w:p>
    <w:p w14:paraId="49B5F994">
      <w:pPr>
        <w:keepNext w:val="0"/>
        <w:keepLines w:val="0"/>
        <w:pageBreakBefore w:val="0"/>
        <w:wordWrap w:val="0"/>
        <w:overflowPunct/>
        <w:topLinePunct w:val="0"/>
        <w:bidi w:val="0"/>
        <w:spacing w:before="89" w:line="286"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3.2</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position w:val="2"/>
          <w:sz w:val="24"/>
          <w:szCs w:val="24"/>
          <w:highlight w:val="none"/>
          <w14:textFill>
            <w14:solidFill>
              <w14:schemeClr w14:val="tx1"/>
            </w14:solidFill>
          </w14:textFill>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000000" w:themeColor="text1"/>
          <w:spacing w:val="0"/>
          <w:sz w:val="24"/>
          <w:szCs w:val="24"/>
          <w:highlight w:val="none"/>
          <w14:textFill>
            <w14:solidFill>
              <w14:schemeClr w14:val="tx1"/>
            </w14:solidFill>
          </w14:textFill>
        </w:rPr>
        <w:t>。商业保函、银行保函或保险合同（或保险单）的有效期应当自合同生效之日起至项目通过竣工验收之日后 28 天止。</w:t>
      </w:r>
    </w:p>
    <w:p w14:paraId="0431B761">
      <w:pPr>
        <w:keepNext w:val="0"/>
        <w:keepLines w:val="0"/>
        <w:pageBreakBefore w:val="0"/>
        <w:wordWrap w:val="0"/>
        <w:overflowPunct/>
        <w:topLinePunct w:val="0"/>
        <w:bidi w:val="0"/>
        <w:spacing w:line="440" w:lineRule="exact"/>
        <w:ind w:firstLine="562"/>
        <w:rPr>
          <w:rFonts w:hint="eastAsia" w:ascii="宋体" w:hAnsi="宋体" w:eastAsia="宋体" w:cs="宋体"/>
          <w:color w:val="000000" w:themeColor="text1"/>
          <w:spacing w:val="0"/>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position w:val="2"/>
          <w:sz w:val="24"/>
          <w:szCs w:val="24"/>
          <w:highlight w:val="none"/>
          <w:lang w:eastAsia="zh-CN"/>
          <w14:textFill>
            <w14:solidFill>
              <w14:schemeClr w14:val="tx1"/>
            </w14:solidFill>
          </w14:textFill>
        </w:rPr>
        <w:t>注：中标通知书发出时，招标人发起收缴履约保证金并填写保证金金额、缴交时限和项目工期；由中标人在建设工程交易系统中自主选择一种进行缴交。项目竣工后，由招标人发起退保。）</w:t>
      </w:r>
    </w:p>
    <w:p w14:paraId="1AD60AEA">
      <w:pPr>
        <w:keepNext w:val="0"/>
        <w:keepLines w:val="0"/>
        <w:pageBreakBefore w:val="0"/>
        <w:wordWrap w:val="0"/>
        <w:overflowPunct/>
        <w:topLinePunct w:val="0"/>
        <w:bidi w:val="0"/>
        <w:spacing w:before="145" w:line="319" w:lineRule="auto"/>
        <w:ind w:left="12" w:right="108"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3.3  </w:t>
      </w:r>
      <w:r>
        <w:rPr>
          <w:rFonts w:hint="eastAsia" w:ascii="宋体" w:hAnsi="宋体" w:eastAsia="宋体" w:cs="宋体"/>
          <w:color w:val="000000" w:themeColor="text1"/>
          <w:spacing w:val="0"/>
          <w:sz w:val="24"/>
          <w:szCs w:val="24"/>
          <w:highlight w:val="none"/>
          <w14:textFill>
            <w14:solidFill>
              <w14:schemeClr w14:val="tx1"/>
            </w14:solidFill>
          </w14:textFill>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439D8102">
      <w:pPr>
        <w:keepNext w:val="0"/>
        <w:keepLines w:val="0"/>
        <w:pageBreakBefore w:val="0"/>
        <w:wordWrap w:val="0"/>
        <w:overflowPunct/>
        <w:topLinePunct w:val="0"/>
        <w:bidi w:val="0"/>
        <w:spacing w:before="152" w:line="299" w:lineRule="auto"/>
        <w:ind w:left="12" w:right="108"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3.4  </w:t>
      </w:r>
      <w:r>
        <w:rPr>
          <w:rFonts w:hint="eastAsia" w:ascii="宋体" w:hAnsi="宋体" w:eastAsia="宋体" w:cs="宋体"/>
          <w:color w:val="000000" w:themeColor="text1"/>
          <w:spacing w:val="0"/>
          <w:sz w:val="24"/>
          <w:szCs w:val="24"/>
          <w:highlight w:val="none"/>
          <w14:textFill>
            <w14:solidFill>
              <w14:schemeClr w14:val="tx1"/>
            </w14:solidFill>
          </w14:textFill>
        </w:rPr>
        <w:t>在工程实施过程中，如果承包人（即招标阶段的中标人，下同）由于自身的资金、技术、质量、非不可抗力等原因给发包人（即招标阶段的招标人，下同）造成经济损失，发包人有权扣划相应金额的履约保证。</w:t>
      </w:r>
    </w:p>
    <w:p w14:paraId="05A3F90E">
      <w:pPr>
        <w:keepNext w:val="0"/>
        <w:keepLines w:val="0"/>
        <w:pageBreakBefore w:val="0"/>
        <w:wordWrap w:val="0"/>
        <w:overflowPunct/>
        <w:topLinePunct w:val="0"/>
        <w:bidi w:val="0"/>
        <w:spacing w:before="154" w:line="220" w:lineRule="auto"/>
        <w:ind w:left="486"/>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3.5  </w:t>
      </w:r>
      <w:r>
        <w:rPr>
          <w:rFonts w:hint="eastAsia" w:ascii="宋体" w:hAnsi="宋体" w:eastAsia="宋体" w:cs="宋体"/>
          <w:color w:val="000000" w:themeColor="text1"/>
          <w:spacing w:val="0"/>
          <w:sz w:val="24"/>
          <w:szCs w:val="24"/>
          <w:highlight w:val="none"/>
          <w14:textFill>
            <w14:solidFill>
              <w14:schemeClr w14:val="tx1"/>
            </w14:solidFill>
          </w14:textFill>
        </w:rPr>
        <w:t>项目通过竣工验收之日后 28 天内，发包人将履约保证退还给承包人。</w:t>
      </w:r>
    </w:p>
    <w:p w14:paraId="13852EBE">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52841E06">
      <w:pPr>
        <w:keepNext w:val="0"/>
        <w:keepLines w:val="0"/>
        <w:pageBreakBefore w:val="0"/>
        <w:wordWrap w:val="0"/>
        <w:overflowPunct/>
        <w:topLinePunct w:val="0"/>
        <w:bidi w:val="0"/>
        <w:spacing w:before="78" w:line="222"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1" w:name="_Toc624"/>
      <w:r>
        <w:rPr>
          <w:rFonts w:hint="eastAsia" w:ascii="宋体" w:hAnsi="宋体" w:eastAsia="宋体" w:cs="宋体"/>
          <w:b/>
          <w:bCs/>
          <w:color w:val="000000" w:themeColor="text1"/>
          <w:spacing w:val="0"/>
          <w:sz w:val="24"/>
          <w:szCs w:val="24"/>
          <w:highlight w:val="none"/>
          <w14:textFill>
            <w14:solidFill>
              <w14:schemeClr w14:val="tx1"/>
            </w14:solidFill>
          </w14:textFill>
        </w:rPr>
        <w:t>4 ．合同订立</w:t>
      </w:r>
      <w:bookmarkEnd w:id="161"/>
    </w:p>
    <w:p w14:paraId="60A8639F">
      <w:pPr>
        <w:keepNext w:val="0"/>
        <w:keepLines w:val="0"/>
        <w:pageBreakBefore w:val="0"/>
        <w:widowControl/>
        <w:kinsoku w:val="0"/>
        <w:wordWrap w:val="0"/>
        <w:overflowPunct/>
        <w:topLinePunct w:val="0"/>
        <w:autoSpaceDE w:val="0"/>
        <w:autoSpaceDN w:val="0"/>
        <w:bidi w:val="0"/>
        <w:adjustRightInd w:val="0"/>
        <w:snapToGrid w:val="0"/>
        <w:spacing w:before="150" w:line="300" w:lineRule="auto"/>
        <w:ind w:left="11" w:right="108"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4.1  </w:t>
      </w:r>
      <w:r>
        <w:rPr>
          <w:rFonts w:hint="eastAsia" w:ascii="宋体" w:hAnsi="宋体" w:eastAsia="宋体" w:cs="宋体"/>
          <w:color w:val="000000" w:themeColor="text1"/>
          <w:spacing w:val="0"/>
          <w:sz w:val="24"/>
          <w:szCs w:val="24"/>
          <w:highlight w:val="none"/>
          <w14:textFill>
            <w14:solidFill>
              <w14:schemeClr w14:val="tx1"/>
            </w14:solidFill>
          </w14:textFill>
        </w:rPr>
        <w:t>招标人应当自中标通知书发出之日起</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三十 </w:t>
      </w:r>
      <w:r>
        <w:rPr>
          <w:rFonts w:hint="eastAsia" w:ascii="宋体" w:hAnsi="宋体" w:eastAsia="宋体" w:cs="宋体"/>
          <w:color w:val="000000" w:themeColor="text1"/>
          <w:spacing w:val="0"/>
          <w:sz w:val="24"/>
          <w:szCs w:val="24"/>
          <w:highlight w:val="none"/>
          <w14:textFill>
            <w14:solidFill>
              <w14:schemeClr w14:val="tx1"/>
            </w14:solidFill>
          </w14:textFill>
        </w:rPr>
        <w:t>日内，按照招标文件、中标人的投标文件与中标人订立书面合同。</w:t>
      </w:r>
    </w:p>
    <w:p w14:paraId="44F9543E">
      <w:pPr>
        <w:keepNext w:val="0"/>
        <w:keepLines w:val="0"/>
        <w:pageBreakBefore w:val="0"/>
        <w:wordWrap w:val="0"/>
        <w:overflowPunct/>
        <w:topLinePunct w:val="0"/>
        <w:bidi w:val="0"/>
        <w:spacing w:before="156"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  </w:t>
      </w:r>
      <w:r>
        <w:rPr>
          <w:rFonts w:hint="eastAsia" w:ascii="宋体" w:hAnsi="宋体" w:eastAsia="宋体" w:cs="宋体"/>
          <w:color w:val="000000" w:themeColor="text1"/>
          <w:spacing w:val="0"/>
          <w:sz w:val="24"/>
          <w:szCs w:val="24"/>
          <w:highlight w:val="none"/>
          <w14:textFill>
            <w14:solidFill>
              <w14:schemeClr w14:val="tx1"/>
            </w14:solidFill>
          </w14:textFill>
        </w:rPr>
        <w:t>不正常报价的梳理和确认</w:t>
      </w:r>
    </w:p>
    <w:p w14:paraId="416E0180">
      <w:pPr>
        <w:keepNext w:val="0"/>
        <w:keepLines w:val="0"/>
        <w:pageBreakBefore w:val="0"/>
        <w:wordWrap w:val="0"/>
        <w:overflowPunct/>
        <w:topLinePunct w:val="0"/>
        <w:bidi w:val="0"/>
        <w:spacing w:before="154" w:line="299" w:lineRule="auto"/>
        <w:ind w:left="14" w:right="64"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000000" w:themeColor="text1"/>
          <w:spacing w:val="0"/>
          <w:sz w:val="24"/>
          <w:szCs w:val="24"/>
          <w:highlight w:val="none"/>
          <w14:textFill>
            <w14:solidFill>
              <w14:schemeClr w14:val="tx1"/>
            </w14:solidFill>
          </w14:textFill>
        </w:rPr>
        <w:t>招标人不具备以上能力的，可授权编制本项目</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的造价咨询单位实施。</w:t>
      </w:r>
    </w:p>
    <w:p w14:paraId="0BF121F6">
      <w:pPr>
        <w:keepNext w:val="0"/>
        <w:keepLines w:val="0"/>
        <w:pageBreakBefore w:val="0"/>
        <w:wordWrap w:val="0"/>
        <w:overflowPunct/>
        <w:topLinePunct w:val="0"/>
        <w:bidi w:val="0"/>
        <w:spacing w:before="121" w:line="309" w:lineRule="auto"/>
        <w:ind w:left="14" w:right="65" w:firstLine="4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4.2.2  </w:t>
      </w:r>
      <w:r>
        <w:rPr>
          <w:rFonts w:hint="eastAsia" w:ascii="宋体" w:hAnsi="宋体" w:eastAsia="宋体" w:cs="宋体"/>
          <w:color w:val="000000" w:themeColor="text1"/>
          <w:spacing w:val="0"/>
          <w:sz w:val="24"/>
          <w:szCs w:val="24"/>
          <w:highlight w:val="none"/>
          <w14:textFill>
            <w14:solidFill>
              <w14:schemeClr w14:val="tx1"/>
            </w14:solidFill>
          </w14:textFill>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0D1041E0">
      <w:pPr>
        <w:keepNext w:val="0"/>
        <w:keepLines w:val="0"/>
        <w:pageBreakBefore w:val="0"/>
        <w:wordWrap w:val="0"/>
        <w:overflowPunct/>
        <w:topLinePunct w:val="0"/>
        <w:bidi w:val="0"/>
        <w:spacing w:before="157" w:line="279" w:lineRule="auto"/>
        <w:ind w:left="12" w:right="66"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4.2.3  </w:t>
      </w:r>
      <w:r>
        <w:rPr>
          <w:rFonts w:hint="eastAsia" w:ascii="宋体" w:hAnsi="宋体" w:eastAsia="宋体" w:cs="宋体"/>
          <w:color w:val="000000" w:themeColor="text1"/>
          <w:spacing w:val="0"/>
          <w:sz w:val="24"/>
          <w:szCs w:val="24"/>
          <w:highlight w:val="none"/>
          <w14:textFill>
            <w14:solidFill>
              <w14:schemeClr w14:val="tx1"/>
            </w14:solidFill>
          </w14:textFill>
        </w:rPr>
        <w:t>错漏项的认定。中标人已标价工程量清单中，任一清单项目未填报价格或价格为零的，视为错漏项。</w:t>
      </w:r>
    </w:p>
    <w:p w14:paraId="3A357F91">
      <w:pPr>
        <w:keepNext w:val="0"/>
        <w:keepLines w:val="0"/>
        <w:pageBreakBefore w:val="0"/>
        <w:wordWrap w:val="0"/>
        <w:overflowPunct/>
        <w:topLinePunct w:val="0"/>
        <w:bidi w:val="0"/>
        <w:spacing w:before="121" w:line="360" w:lineRule="auto"/>
        <w:ind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4.2.4  </w:t>
      </w:r>
      <w:r>
        <w:rPr>
          <w:rFonts w:hint="eastAsia" w:ascii="宋体" w:hAnsi="宋体" w:eastAsia="宋体" w:cs="宋体"/>
          <w:color w:val="000000" w:themeColor="text1"/>
          <w:spacing w:val="0"/>
          <w:sz w:val="24"/>
          <w:szCs w:val="24"/>
          <w:highlight w:val="none"/>
          <w14:textFill>
            <w14:solidFill>
              <w14:schemeClr w14:val="tx1"/>
            </w14:solidFill>
          </w14:textFill>
        </w:rPr>
        <w:t>不平衡报价的认定。经修正算术性错误后的中标人已标价工程量清单中，</w:t>
      </w:r>
      <w:r>
        <w:rPr>
          <w:rFonts w:hint="eastAsia" w:ascii="宋体" w:hAnsi="宋体" w:eastAsia="宋体" w:cs="宋体"/>
          <w:color w:val="000000" w:themeColor="text1"/>
          <w:spacing w:val="0"/>
          <w:sz w:val="24"/>
          <w:szCs w:val="24"/>
          <w:highlight w:val="none"/>
          <w:u w:val="single"/>
          <w14:textFill>
            <w14:solidFill>
              <w14:schemeClr w14:val="tx1"/>
            </w14:solidFill>
          </w14:textFill>
        </w:rPr>
        <w:t>对于投标报价中综合单价相对</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u w:val="single"/>
          <w14:textFill>
            <w14:solidFill>
              <w14:schemeClr w14:val="tx1"/>
            </w14:solidFill>
          </w14:textFill>
        </w:rPr>
        <w:t>《</w:t>
      </w:r>
      <w:r>
        <w:rPr>
          <w:rFonts w:hint="eastAsia" w:ascii="宋体" w:hAnsi="宋体" w:eastAsia="宋体" w:cs="宋体"/>
          <w:color w:val="000000" w:themeColor="text1"/>
          <w:spacing w:val="0"/>
          <w:sz w:val="24"/>
          <w:szCs w:val="24"/>
          <w:highlight w:val="none"/>
          <w:u w:val="singl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》中对应综合单价的偏差大于±15% </w:t>
      </w:r>
      <w:r>
        <w:rPr>
          <w:rFonts w:hint="eastAsia" w:ascii="宋体" w:hAnsi="宋体" w:eastAsia="宋体" w:cs="宋体"/>
          <w:color w:val="000000" w:themeColor="text1"/>
          <w:spacing w:val="0"/>
          <w:sz w:val="24"/>
          <w:szCs w:val="24"/>
          <w:highlight w:val="none"/>
          <w:u w:val="none"/>
          <w14:textFill>
            <w14:solidFill>
              <w14:schemeClr w14:val="tx1"/>
            </w14:solidFill>
          </w14:textFill>
        </w:rPr>
        <w:t>的清单项目</w:t>
      </w:r>
      <w:r>
        <w:rPr>
          <w:rFonts w:hint="eastAsia" w:ascii="宋体" w:hAnsi="宋体" w:eastAsia="宋体" w:cs="宋体"/>
          <w:color w:val="000000" w:themeColor="text1"/>
          <w:spacing w:val="0"/>
          <w:sz w:val="24"/>
          <w:szCs w:val="24"/>
          <w:highlight w:val="none"/>
          <w14:textFill>
            <w14:solidFill>
              <w14:schemeClr w14:val="tx1"/>
            </w14:solidFill>
          </w14:textFill>
        </w:rPr>
        <w:t>，视为不平衡报价项目。</w:t>
      </w:r>
    </w:p>
    <w:p w14:paraId="59BB732F">
      <w:pPr>
        <w:keepNext w:val="0"/>
        <w:keepLines w:val="0"/>
        <w:pageBreakBefore w:val="0"/>
        <w:wordWrap w:val="0"/>
        <w:overflowPunct/>
        <w:topLinePunct w:val="0"/>
        <w:bidi w:val="0"/>
        <w:spacing w:before="146" w:line="330" w:lineRule="auto"/>
        <w:ind w:left="10" w:right="65"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4.2.5 </w:t>
      </w:r>
      <w:r>
        <w:rPr>
          <w:rFonts w:hint="eastAsia" w:ascii="宋体" w:hAnsi="宋体" w:eastAsia="宋体" w:cs="宋体"/>
          <w:color w:val="000000" w:themeColor="text1"/>
          <w:spacing w:val="0"/>
          <w:sz w:val="24"/>
          <w:szCs w:val="24"/>
          <w:highlight w:val="none"/>
          <w14:textFill>
            <w14:solidFill>
              <w14:schemeClr w14:val="tx1"/>
            </w14:solidFill>
          </w14:textFill>
        </w:rPr>
        <w:t>施工合同签订前，招标人或其授权的造价咨询单位应就发现的以上所有不平衡报价进行修正，形成《不平衡报价修正报告》，并由招标人和中标人共同签章确认，构成施工合同的组成部分。</w:t>
      </w:r>
    </w:p>
    <w:p w14:paraId="1B35F881">
      <w:pPr>
        <w:keepNext w:val="0"/>
        <w:keepLines w:val="0"/>
        <w:pageBreakBefore w:val="0"/>
        <w:wordWrap w:val="0"/>
        <w:overflowPunct/>
        <w:topLinePunct w:val="0"/>
        <w:bidi w:val="0"/>
        <w:spacing w:before="34" w:line="326" w:lineRule="auto"/>
        <w:ind w:left="12" w:right="65"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4.2.6 合同履行过程中，被认定为错漏项的清单项目，结算时按照第三章“拟签订合同的主要条款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”规定处理。</w:t>
      </w:r>
    </w:p>
    <w:p w14:paraId="0A0FE849">
      <w:pPr>
        <w:keepNext w:val="0"/>
        <w:keepLines w:val="0"/>
        <w:pageBreakBefore w:val="0"/>
        <w:wordWrap w:val="0"/>
        <w:overflowPunct/>
        <w:topLinePunct w:val="0"/>
        <w:bidi w:val="0"/>
        <w:spacing w:before="33" w:line="317" w:lineRule="auto"/>
        <w:ind w:left="12" w:right="38" w:firstLine="476"/>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按照第三章“拟签订合同的主要条款</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”有关规定调整合同价款。</w:t>
      </w:r>
    </w:p>
    <w:p w14:paraId="4C2BA967">
      <w:pPr>
        <w:keepNext w:val="0"/>
        <w:keepLines w:val="0"/>
        <w:pageBreakBefore w:val="0"/>
        <w:wordWrap w:val="0"/>
        <w:overflowPunct/>
        <w:topLinePunct w:val="0"/>
        <w:bidi w:val="0"/>
        <w:spacing w:before="87" w:line="276"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4.3  </w:t>
      </w:r>
      <w:r>
        <w:rPr>
          <w:rFonts w:hint="eastAsia" w:ascii="宋体" w:hAnsi="宋体" w:eastAsia="宋体" w:cs="宋体"/>
          <w:color w:val="000000" w:themeColor="text1"/>
          <w:spacing w:val="0"/>
          <w:sz w:val="24"/>
          <w:szCs w:val="24"/>
          <w:highlight w:val="none"/>
          <w14:textFill>
            <w14:solidFill>
              <w14:schemeClr w14:val="tx1"/>
            </w14:solidFill>
          </w14:textFill>
        </w:rPr>
        <w:t>本招标项目合同计价方式为：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单价 </w:t>
      </w:r>
      <w:r>
        <w:rPr>
          <w:rFonts w:hint="eastAsia" w:ascii="宋体" w:hAnsi="宋体" w:eastAsia="宋体" w:cs="宋体"/>
          <w:color w:val="000000" w:themeColor="text1"/>
          <w:spacing w:val="0"/>
          <w:sz w:val="24"/>
          <w:szCs w:val="24"/>
          <w:highlight w:val="none"/>
          <w14:textFill>
            <w14:solidFill>
              <w14:schemeClr w14:val="tx1"/>
            </w14:solidFill>
          </w14:textFill>
        </w:rPr>
        <w:t>合同。</w:t>
      </w:r>
    </w:p>
    <w:p w14:paraId="7AD8D0F4">
      <w:pPr>
        <w:keepNext w:val="0"/>
        <w:keepLines w:val="0"/>
        <w:pageBreakBefore w:val="0"/>
        <w:wordWrap w:val="0"/>
        <w:overflowPunct/>
        <w:topLinePunct w:val="0"/>
        <w:bidi w:val="0"/>
        <w:spacing w:before="120" w:line="298" w:lineRule="auto"/>
        <w:ind w:left="11" w:right="28"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4.4  </w:t>
      </w:r>
      <w:r>
        <w:rPr>
          <w:rFonts w:hint="eastAsia" w:ascii="宋体" w:hAnsi="宋体" w:eastAsia="宋体" w:cs="宋体"/>
          <w:color w:val="000000" w:themeColor="text1"/>
          <w:spacing w:val="0"/>
          <w:sz w:val="24"/>
          <w:szCs w:val="24"/>
          <w:highlight w:val="none"/>
          <w14:textFill>
            <w14:solidFill>
              <w14:schemeClr w14:val="tx1"/>
            </w14:solidFill>
          </w14:textFill>
        </w:rPr>
        <w:t>合同的标的、质量、履行期限条款和合同的价款、单价、比例条款等主要条款，应当与招标文件、中标人的投标文件的内容一致。中标人在签订合同时不得向招标人提出附加条件。</w:t>
      </w:r>
    </w:p>
    <w:p w14:paraId="77C16957">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4.5  若中标人在领取中标通知书之日起 30 天内仍未签订合同，招标人发出第一次提醒函；在领取中标通知书之日起 40 天内仍未签订，招标人发出第二次提醒函；在领取中标通知书之日起 45 天内仍未签订，视其放弃中标。</w:t>
      </w:r>
    </w:p>
    <w:p w14:paraId="3235BDE2">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4.6  在书面合同订立之日起 2 个工作日内，由中标人或招标代理机构将合同上传至建设工程交易系统，并发起退还投标保证的申请。韶关市公共资源交易中心在收到申请之日起 3 个工作日内，将投标保证金（或银行保函）退还给中标人和其他中标候选人。</w:t>
      </w:r>
    </w:p>
    <w:p w14:paraId="1D51752E">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2" w:name="_Toc13877"/>
      <w:r>
        <w:rPr>
          <w:rFonts w:hint="eastAsia" w:ascii="宋体" w:hAnsi="宋体" w:eastAsia="宋体" w:cs="宋体"/>
          <w:b/>
          <w:bCs/>
          <w:color w:val="000000" w:themeColor="text1"/>
          <w:spacing w:val="0"/>
          <w:sz w:val="24"/>
          <w:szCs w:val="24"/>
          <w:highlight w:val="none"/>
          <w14:textFill>
            <w14:solidFill>
              <w14:schemeClr w14:val="tx1"/>
            </w14:solidFill>
          </w14:textFill>
        </w:rPr>
        <w:t>5 ．放弃中标的处理</w:t>
      </w:r>
      <w:bookmarkEnd w:id="162"/>
    </w:p>
    <w:p w14:paraId="18C72D34">
      <w:pPr>
        <w:keepNext w:val="0"/>
        <w:keepLines w:val="0"/>
        <w:pageBreakBefore w:val="0"/>
        <w:wordWrap w:val="0"/>
        <w:overflowPunct/>
        <w:topLinePunct w:val="0"/>
        <w:bidi w:val="0"/>
        <w:spacing w:before="150" w:line="319" w:lineRule="auto"/>
        <w:ind w:left="12" w:right="91" w:firstLine="477"/>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5.1</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中标人无正当理由放弃中标的，取消其中标资格，其投标保证不予退还，给招标人造成的损失超过投标保证金额的，弃标人还应当对超过部分予以赔偿。招标人可按照</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4"/>
          <w:szCs w:val="24"/>
          <w:highlight w:val="none"/>
          <w14:textFill>
            <w14:solidFill>
              <w14:schemeClr w14:val="tx1"/>
            </w14:solidFill>
          </w14:textFill>
        </w:rPr>
        <w:t>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w:t>
      </w:r>
      <w:r>
        <w:rPr>
          <w:rFonts w:hint="eastAsia" w:ascii="宋体" w:hAnsi="宋体" w:eastAsia="宋体" w:cs="宋体"/>
          <w:b/>
          <w:bCs/>
          <w:color w:val="000000" w:themeColor="text1"/>
          <w:spacing w:val="0"/>
          <w:sz w:val="24"/>
          <w:szCs w:val="24"/>
          <w:highlight w:val="none"/>
          <w14:textFill>
            <w14:solidFill>
              <w14:schemeClr w14:val="tx1"/>
            </w14:solidFill>
          </w14:textFill>
        </w:rPr>
        <w:t>招标人应将该弃标人的失信行为向行政监督部门报告。</w:t>
      </w:r>
    </w:p>
    <w:p w14:paraId="0C97F14D">
      <w:pPr>
        <w:keepNext w:val="0"/>
        <w:keepLines w:val="0"/>
        <w:pageBreakBefore w:val="0"/>
        <w:wordWrap w:val="0"/>
        <w:overflowPunct/>
        <w:topLinePunct w:val="0"/>
        <w:bidi w:val="0"/>
        <w:spacing w:before="79" w:line="298" w:lineRule="auto"/>
        <w:ind w:left="10" w:right="91"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5.2  </w:t>
      </w:r>
      <w:r>
        <w:rPr>
          <w:rFonts w:hint="eastAsia" w:ascii="宋体" w:hAnsi="宋体" w:eastAsia="宋体" w:cs="宋体"/>
          <w:color w:val="000000" w:themeColor="text1"/>
          <w:spacing w:val="0"/>
          <w:sz w:val="24"/>
          <w:szCs w:val="24"/>
          <w:highlight w:val="none"/>
          <w14:textFill>
            <w14:solidFill>
              <w14:schemeClr w14:val="tx1"/>
            </w14:solidFill>
          </w14:textFill>
        </w:rPr>
        <w:t>中标人因不可抗力提出不能履行合同的，须在领取中标通知书之日起 10 天内提供有关证明文件或资料，其投标保证予以退还，</w:t>
      </w:r>
      <w:r>
        <w:rPr>
          <w:rFonts w:hint="eastAsia" w:ascii="宋体" w:hAnsi="宋体" w:eastAsia="宋体" w:cs="宋体"/>
          <w:color w:val="000000" w:themeColor="text1"/>
          <w:sz w:val="24"/>
          <w:szCs w:val="24"/>
          <w:highlight w:val="none"/>
          <w:lang w:eastAsia="zh-CN"/>
          <w14:textFill>
            <w14:solidFill>
              <w14:schemeClr w14:val="tx1"/>
            </w14:solidFill>
          </w14:textFill>
        </w:rPr>
        <w:t>招标人可按照</w:t>
      </w:r>
      <w:r>
        <w:rPr>
          <w:rFonts w:hint="eastAsia" w:ascii="宋体" w:hAnsi="宋体" w:eastAsia="宋体" w:cs="宋体"/>
          <w:color w:val="000000" w:themeColor="text1"/>
          <w:sz w:val="24"/>
          <w:szCs w:val="24"/>
          <w:highlight w:val="none"/>
          <w:lang w:val="en-US" w:eastAsia="zh-CN"/>
          <w14:textFill>
            <w14:solidFill>
              <w14:schemeClr w14:val="tx1"/>
            </w14:solidFill>
          </w14:textFill>
        </w:rPr>
        <w:t>定</w:t>
      </w:r>
      <w:r>
        <w:rPr>
          <w:rFonts w:hint="eastAsia" w:ascii="宋体" w:hAnsi="宋体" w:eastAsia="宋体" w:cs="宋体"/>
          <w:color w:val="000000" w:themeColor="text1"/>
          <w:sz w:val="24"/>
          <w:szCs w:val="24"/>
          <w:highlight w:val="none"/>
          <w:lang w:eastAsia="zh-CN"/>
          <w14:textFill>
            <w14:solidFill>
              <w14:schemeClr w14:val="tx1"/>
            </w14:solidFill>
          </w14:textFill>
        </w:rPr>
        <w:t>标委员会提出的中标候选人名单排序依次确定其他中标候选人为中标人。如果招标人认为其他中标候选人的条</w:t>
      </w:r>
      <w:bookmarkStart w:id="163" w:name="bookmark84"/>
      <w:bookmarkEnd w:id="163"/>
      <w:r>
        <w:rPr>
          <w:rFonts w:hint="eastAsia" w:ascii="宋体" w:hAnsi="宋体" w:eastAsia="宋体" w:cs="宋体"/>
          <w:color w:val="000000" w:themeColor="text1"/>
          <w:sz w:val="24"/>
          <w:szCs w:val="24"/>
          <w:highlight w:val="none"/>
          <w:lang w:eastAsia="zh-CN"/>
          <w14:textFill>
            <w14:solidFill>
              <w14:schemeClr w14:val="tx1"/>
            </w14:solidFill>
          </w14:textFill>
        </w:rPr>
        <w:t>件明显不利于招标人的，也可以重新招标。</w:t>
      </w:r>
    </w:p>
    <w:p w14:paraId="5D2715B3">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D167E59">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3622B001">
      <w:pPr>
        <w:keepNext w:val="0"/>
        <w:keepLines w:val="0"/>
        <w:pageBreakBefore w:val="0"/>
        <w:wordWrap w:val="0"/>
        <w:overflowPunct/>
        <w:topLinePunct w:val="0"/>
        <w:bidi w:val="0"/>
        <w:spacing w:before="78" w:line="219" w:lineRule="auto"/>
        <w:ind w:left="2923"/>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164" w:name="bookmark86"/>
      <w:bookmarkEnd w:id="164"/>
      <w:bookmarkStart w:id="165" w:name="_Toc10710"/>
      <w:r>
        <w:rPr>
          <w:rFonts w:hint="eastAsia" w:ascii="宋体" w:hAnsi="宋体" w:eastAsia="宋体" w:cs="宋体"/>
          <w:b/>
          <w:bCs/>
          <w:color w:val="000000" w:themeColor="text1"/>
          <w:spacing w:val="0"/>
          <w:sz w:val="24"/>
          <w:szCs w:val="24"/>
          <w:highlight w:val="none"/>
          <w14:textFill>
            <w14:solidFill>
              <w14:schemeClr w14:val="tx1"/>
            </w14:solidFill>
          </w14:textFill>
        </w:rPr>
        <w:t>第三章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拟签订合同的主要条款</w:t>
      </w:r>
      <w:bookmarkEnd w:id="165"/>
    </w:p>
    <w:p w14:paraId="0B04D162">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0B370127">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6F61A5A1">
      <w:pPr>
        <w:keepNext w:val="0"/>
        <w:keepLines w:val="0"/>
        <w:pageBreakBefore w:val="0"/>
        <w:wordWrap w:val="0"/>
        <w:overflowPunct/>
        <w:topLinePunct w:val="0"/>
        <w:bidi w:val="0"/>
        <w:spacing w:before="78" w:line="220" w:lineRule="auto"/>
        <w:ind w:left="49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6" w:name="_Toc29782"/>
      <w:r>
        <w:rPr>
          <w:rFonts w:hint="eastAsia" w:ascii="宋体" w:hAnsi="宋体" w:eastAsia="宋体" w:cs="宋体"/>
          <w:b/>
          <w:bCs/>
          <w:color w:val="000000" w:themeColor="text1"/>
          <w:spacing w:val="0"/>
          <w:sz w:val="24"/>
          <w:szCs w:val="24"/>
          <w:highlight w:val="none"/>
          <w14:textFill>
            <w14:solidFill>
              <w14:schemeClr w14:val="tx1"/>
            </w14:solidFill>
          </w14:textFill>
        </w:rPr>
        <w:t>1 ．工程承包方式</w:t>
      </w:r>
      <w:bookmarkEnd w:id="166"/>
    </w:p>
    <w:p w14:paraId="68DBE4BA">
      <w:pPr>
        <w:keepNext w:val="0"/>
        <w:keepLines w:val="0"/>
        <w:pageBreakBefore w:val="0"/>
        <w:wordWrap w:val="0"/>
        <w:overflowPunct/>
        <w:topLinePunct w:val="0"/>
        <w:bidi w:val="0"/>
        <w:spacing w:before="153" w:line="299" w:lineRule="auto"/>
        <w:ind w:left="11" w:right="295" w:firstLine="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  </w:t>
      </w:r>
      <w:r>
        <w:rPr>
          <w:rFonts w:hint="eastAsia" w:ascii="宋体" w:hAnsi="宋体" w:eastAsia="宋体" w:cs="宋体"/>
          <w:color w:val="000000" w:themeColor="text1"/>
          <w:spacing w:val="0"/>
          <w:sz w:val="24"/>
          <w:szCs w:val="24"/>
          <w:highlight w:val="none"/>
          <w14:textFill>
            <w14:solidFill>
              <w14:schemeClr w14:val="tx1"/>
            </w14:solidFill>
          </w14:textFill>
        </w:rPr>
        <w:t>承包人以中标价按包工包料、包质量、包安全包文明施工、包工期方式总承包施工，不允许转包和违法分包，如果承包人将建设工程转包或违法分包，发包人可以解除合同</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给发包人造成的损失由承包人承担</w:t>
      </w:r>
      <w:r>
        <w:rPr>
          <w:rFonts w:hint="eastAsia" w:ascii="宋体" w:hAnsi="宋体" w:eastAsia="宋体" w:cs="宋体"/>
          <w:color w:val="000000" w:themeColor="text1"/>
          <w:spacing w:val="0"/>
          <w:sz w:val="24"/>
          <w:szCs w:val="24"/>
          <w:highlight w:val="none"/>
          <w14:textFill>
            <w14:solidFill>
              <w14:schemeClr w14:val="tx1"/>
            </w14:solidFill>
          </w14:textFill>
        </w:rPr>
        <w:t>。如果确需分包须与发包人协商，在得到发包人和监理单位同意后报建设行政主管部门备案。</w:t>
      </w:r>
    </w:p>
    <w:p w14:paraId="1A7AD95C">
      <w:pPr>
        <w:keepNext w:val="0"/>
        <w:keepLines w:val="0"/>
        <w:pageBreakBefore w:val="0"/>
        <w:wordWrap w:val="0"/>
        <w:overflowPunct/>
        <w:topLinePunct w:val="0"/>
        <w:bidi w:val="0"/>
        <w:spacing w:before="153" w:line="219"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1.1.1  </w:t>
      </w:r>
      <w:r>
        <w:rPr>
          <w:rFonts w:hint="eastAsia" w:ascii="宋体" w:hAnsi="宋体" w:eastAsia="宋体" w:cs="宋体"/>
          <w:color w:val="000000" w:themeColor="text1"/>
          <w:spacing w:val="0"/>
          <w:sz w:val="24"/>
          <w:szCs w:val="24"/>
          <w:highlight w:val="none"/>
          <w14:textFill>
            <w14:solidFill>
              <w14:schemeClr w14:val="tx1"/>
            </w14:solidFill>
          </w14:textFill>
        </w:rPr>
        <w:t>包工包料：材料符合招标文件要求并报验使用；办理用工保险。</w:t>
      </w:r>
    </w:p>
    <w:p w14:paraId="6D255FC4">
      <w:pPr>
        <w:keepNext w:val="0"/>
        <w:keepLines w:val="0"/>
        <w:pageBreakBefore w:val="0"/>
        <w:wordWrap w:val="0"/>
        <w:overflowPunct/>
        <w:topLinePunct w:val="0"/>
        <w:bidi w:val="0"/>
        <w:spacing w:before="156"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1.1.2  </w:t>
      </w:r>
      <w:r>
        <w:rPr>
          <w:rFonts w:hint="eastAsia" w:ascii="宋体" w:hAnsi="宋体" w:eastAsia="宋体" w:cs="宋体"/>
          <w:color w:val="000000" w:themeColor="text1"/>
          <w:spacing w:val="0"/>
          <w:sz w:val="24"/>
          <w:szCs w:val="24"/>
          <w:highlight w:val="none"/>
          <w14:textFill>
            <w14:solidFill>
              <w14:schemeClr w14:val="tx1"/>
            </w14:solidFill>
          </w14:textFill>
        </w:rPr>
        <w:t>包质量：符合招标文件要求。</w:t>
      </w:r>
    </w:p>
    <w:p w14:paraId="7B161543">
      <w:pPr>
        <w:keepNext w:val="0"/>
        <w:keepLines w:val="0"/>
        <w:pageBreakBefore w:val="0"/>
        <w:wordWrap w:val="0"/>
        <w:overflowPunct/>
        <w:topLinePunct w:val="0"/>
        <w:bidi w:val="0"/>
        <w:spacing w:before="153" w:line="220"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1.1.3  </w:t>
      </w:r>
      <w:r>
        <w:rPr>
          <w:rFonts w:hint="eastAsia" w:ascii="宋体" w:hAnsi="宋体" w:eastAsia="宋体" w:cs="宋体"/>
          <w:color w:val="000000" w:themeColor="text1"/>
          <w:spacing w:val="0"/>
          <w:sz w:val="24"/>
          <w:szCs w:val="24"/>
          <w:highlight w:val="none"/>
          <w14:textFill>
            <w14:solidFill>
              <w14:schemeClr w14:val="tx1"/>
            </w14:solidFill>
          </w14:textFill>
        </w:rPr>
        <w:t>包安全包文明施工：符合招标文件要求。</w:t>
      </w:r>
    </w:p>
    <w:p w14:paraId="41E26BE4">
      <w:pPr>
        <w:keepNext w:val="0"/>
        <w:keepLines w:val="0"/>
        <w:pageBreakBefore w:val="0"/>
        <w:wordWrap w:val="0"/>
        <w:overflowPunct/>
        <w:topLinePunct w:val="0"/>
        <w:bidi w:val="0"/>
        <w:spacing w:before="154" w:line="219" w:lineRule="auto"/>
        <w:ind w:left="5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1.1.4  </w:t>
      </w:r>
      <w:r>
        <w:rPr>
          <w:rFonts w:hint="eastAsia" w:ascii="宋体" w:hAnsi="宋体" w:eastAsia="宋体" w:cs="宋体"/>
          <w:color w:val="000000" w:themeColor="text1"/>
          <w:spacing w:val="0"/>
          <w:sz w:val="24"/>
          <w:szCs w:val="24"/>
          <w:highlight w:val="none"/>
          <w14:textFill>
            <w14:solidFill>
              <w14:schemeClr w14:val="tx1"/>
            </w14:solidFill>
          </w14:textFill>
        </w:rPr>
        <w:t>包工期：本招标项目施工必须在招标工期内完成。</w:t>
      </w:r>
    </w:p>
    <w:p w14:paraId="5E683A9A">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67" w:name="bookmark88"/>
      <w:bookmarkEnd w:id="167"/>
      <w:bookmarkStart w:id="168" w:name="_Toc28189"/>
      <w:r>
        <w:rPr>
          <w:rFonts w:hint="eastAsia" w:ascii="宋体" w:hAnsi="宋体" w:eastAsia="宋体" w:cs="宋体"/>
          <w:b/>
          <w:bCs/>
          <w:color w:val="000000" w:themeColor="text1"/>
          <w:spacing w:val="0"/>
          <w:sz w:val="24"/>
          <w:szCs w:val="24"/>
          <w:highlight w:val="none"/>
          <w14:textFill>
            <w14:solidFill>
              <w14:schemeClr w14:val="tx1"/>
            </w14:solidFill>
          </w14:textFill>
        </w:rPr>
        <w:t>2 ．工程结算原则</w:t>
      </w:r>
      <w:bookmarkEnd w:id="168"/>
    </w:p>
    <w:p w14:paraId="047D1E9F">
      <w:pPr>
        <w:keepNext w:val="0"/>
        <w:keepLines w:val="0"/>
        <w:pageBreakBefore w:val="0"/>
        <w:wordWrap w:val="0"/>
        <w:overflowPunct/>
        <w:topLinePunct w:val="0"/>
        <w:bidi w:val="0"/>
        <w:spacing w:before="153" w:line="219"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承包人的投标总价为中标价，即为签约合同价。</w:t>
      </w:r>
    </w:p>
    <w:p w14:paraId="7FAD113F">
      <w:pPr>
        <w:keepNext w:val="0"/>
        <w:keepLines w:val="0"/>
        <w:pageBreakBefore w:val="0"/>
        <w:wordWrap w:val="0"/>
        <w:overflowPunct/>
        <w:topLinePunct w:val="0"/>
        <w:bidi w:val="0"/>
        <w:spacing w:before="155" w:line="319" w:lineRule="auto"/>
        <w:ind w:left="12" w:right="23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招标工程量清单标明的工程量是投标人投标报价的共同基础，竣工结算的工程量按</w:t>
      </w:r>
      <w:bookmarkStart w:id="169" w:name="OLE_LINK28"/>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）对工程计量的规定进行计量，必须以承包人完成合同工程应予计量的工程量确定。施</w:t>
      </w:r>
      <w:bookmarkEnd w:id="169"/>
      <w:r>
        <w:rPr>
          <w:rFonts w:hint="eastAsia" w:ascii="宋体" w:hAnsi="宋体" w:eastAsia="宋体" w:cs="宋体"/>
          <w:color w:val="000000" w:themeColor="text1"/>
          <w:spacing w:val="0"/>
          <w:sz w:val="24"/>
          <w:szCs w:val="24"/>
          <w:highlight w:val="none"/>
          <w14:textFill>
            <w14:solidFill>
              <w14:schemeClr w14:val="tx1"/>
            </w14:solidFill>
          </w14:textFill>
        </w:rPr>
        <w:t>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0EBA0169">
      <w:pPr>
        <w:keepNext w:val="0"/>
        <w:keepLines w:val="0"/>
        <w:pageBreakBefore w:val="0"/>
        <w:wordWrap w:val="0"/>
        <w:overflowPunct/>
        <w:topLinePunct w:val="0"/>
        <w:bidi w:val="0"/>
        <w:spacing w:before="38" w:line="299" w:lineRule="auto"/>
        <w:ind w:left="12" w:right="183" w:firstLine="4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  </w:t>
      </w:r>
      <w:r>
        <w:rPr>
          <w:rFonts w:hint="eastAsia" w:ascii="宋体" w:hAnsi="宋体" w:eastAsia="宋体" w:cs="宋体"/>
          <w:color w:val="000000" w:themeColor="text1"/>
          <w:spacing w:val="0"/>
          <w:sz w:val="24"/>
          <w:szCs w:val="24"/>
          <w:highlight w:val="none"/>
          <w14:textFill>
            <w14:solidFill>
              <w14:schemeClr w14:val="tx1"/>
            </w14:solidFill>
          </w14:textFill>
        </w:rPr>
        <w:t>施工合同履行期间，若出现下列情形的，发、承包双方应当按照以下规定调整合同价款：</w:t>
      </w:r>
    </w:p>
    <w:p w14:paraId="28C07B92">
      <w:pPr>
        <w:keepNext w:val="0"/>
        <w:keepLines w:val="0"/>
        <w:pageBreakBefore w:val="0"/>
        <w:wordWrap w:val="0"/>
        <w:overflowPunct/>
        <w:topLinePunct w:val="0"/>
        <w:bidi w:val="0"/>
        <w:spacing w:before="227"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  </w:t>
      </w:r>
      <w:r>
        <w:rPr>
          <w:rFonts w:hint="eastAsia" w:ascii="宋体" w:hAnsi="宋体" w:eastAsia="宋体" w:cs="宋体"/>
          <w:color w:val="000000" w:themeColor="text1"/>
          <w:spacing w:val="0"/>
          <w:sz w:val="24"/>
          <w:szCs w:val="24"/>
          <w:highlight w:val="none"/>
          <w14:textFill>
            <w14:solidFill>
              <w14:schemeClr w14:val="tx1"/>
            </w14:solidFill>
          </w14:textFill>
        </w:rPr>
        <w:t>法律法规变化</w:t>
      </w:r>
    </w:p>
    <w:p w14:paraId="6BF5F2D0">
      <w:pPr>
        <w:keepNext w:val="0"/>
        <w:keepLines w:val="0"/>
        <w:pageBreakBefore w:val="0"/>
        <w:wordWrap w:val="0"/>
        <w:overflowPunct/>
        <w:topLinePunct w:val="0"/>
        <w:bidi w:val="0"/>
        <w:spacing w:before="156" w:line="298"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"2.3.1.1"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color w:val="000000" w:themeColor="text1"/>
          <w:spacing w:val="0"/>
          <w:sz w:val="24"/>
          <w:szCs w:val="24"/>
          <w:highlight w:val="none"/>
          <w14:textFill>
            <w14:solidFill>
              <w14:schemeClr w14:val="tx1"/>
            </w14:solidFill>
          </w14:textFill>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215BC69">
      <w:pPr>
        <w:keepNext w:val="0"/>
        <w:keepLines w:val="0"/>
        <w:pageBreakBefore w:val="0"/>
        <w:wordWrap w:val="0"/>
        <w:overflowPunct/>
        <w:topLinePunct w:val="0"/>
        <w:bidi w:val="0"/>
        <w:spacing w:before="157" w:line="325" w:lineRule="auto"/>
        <w:ind w:left="12" w:right="183" w:firstLine="4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注：本招标文件所称“基准日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”，均指投标文件递交截止时间（见第一章第二节“重要事项时间地点一览表</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”）前</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28 天。</w:t>
      </w:r>
    </w:p>
    <w:p w14:paraId="5B8E95D2">
      <w:pPr>
        <w:keepNext w:val="0"/>
        <w:keepLines w:val="0"/>
        <w:pageBreakBefore w:val="0"/>
        <w:wordWrap w:val="0"/>
        <w:overflowPunct/>
        <w:topLinePunct w:val="0"/>
        <w:bidi w:val="0"/>
        <w:spacing w:before="33" w:line="299" w:lineRule="auto"/>
        <w:ind w:left="11"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"2.3.1.2"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2.3.1.2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因承包人原因导致工程延误，本章第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2.3.1.1 </w:t>
      </w:r>
      <w:r>
        <w:rPr>
          <w:rFonts w:hint="eastAsia" w:ascii="宋体" w:hAnsi="宋体" w:eastAsia="宋体" w:cs="宋体"/>
          <w:color w:val="000000" w:themeColor="text1"/>
          <w:spacing w:val="0"/>
          <w:sz w:val="24"/>
          <w:szCs w:val="24"/>
          <w:highlight w:val="none"/>
          <w14:textFill>
            <w14:solidFill>
              <w14:schemeClr w14:val="tx1"/>
            </w14:solidFill>
          </w14:textFill>
        </w:rPr>
        <w:t>子目中的法定机构根据国家法律法规变化发布新规的时间在合同工程原定竣工时间之后的，合同价款调增的不予调整，合同价款调减的予以调整。</w:t>
      </w:r>
    </w:p>
    <w:p w14:paraId="231CEC4D">
      <w:pPr>
        <w:keepNext w:val="0"/>
        <w:keepLines w:val="0"/>
        <w:pageBreakBefore w:val="0"/>
        <w:wordWrap w:val="0"/>
        <w:overflowPunct/>
        <w:topLinePunct w:val="0"/>
        <w:bidi w:val="0"/>
        <w:spacing w:before="155" w:line="220" w:lineRule="auto"/>
        <w:ind w:left="48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  </w:t>
      </w:r>
      <w:r>
        <w:rPr>
          <w:rFonts w:hint="eastAsia" w:ascii="宋体" w:hAnsi="宋体" w:eastAsia="宋体" w:cs="宋体"/>
          <w:color w:val="000000" w:themeColor="text1"/>
          <w:spacing w:val="0"/>
          <w:sz w:val="24"/>
          <w:szCs w:val="24"/>
          <w:highlight w:val="none"/>
          <w14:textFill>
            <w14:solidFill>
              <w14:schemeClr w14:val="tx1"/>
            </w14:solidFill>
          </w14:textFill>
        </w:rPr>
        <w:t>工程量偏差或变化</w:t>
      </w:r>
    </w:p>
    <w:p w14:paraId="655704F0">
      <w:pPr>
        <w:keepNext w:val="0"/>
        <w:keepLines w:val="0"/>
        <w:pageBreakBefore w:val="0"/>
        <w:wordWrap w:val="0"/>
        <w:overflowPunct/>
        <w:topLinePunct w:val="0"/>
        <w:bidi w:val="0"/>
        <w:spacing w:before="158" w:line="309" w:lineRule="auto"/>
        <w:ind w:left="10" w:right="183"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合同履行期间，当应予计算的实际工程量与招标工程量清单出现偏差或因工程变更引起已标价工程量清单项目的工程数量发生变化时，工程量偏差或变化在 15%以内（含 15%）的，其综合单价不予调整；工程量偏差或变化超过 15%的，按照以下规定调整：</w:t>
      </w:r>
    </w:p>
    <w:p w14:paraId="6F1EA887">
      <w:pPr>
        <w:keepNext w:val="0"/>
        <w:keepLines w:val="0"/>
        <w:pageBreakBefore w:val="0"/>
        <w:wordWrap w:val="0"/>
        <w:overflowPunct/>
        <w:topLinePunct w:val="0"/>
        <w:bidi w:val="0"/>
        <w:spacing w:before="78" w:line="327" w:lineRule="auto"/>
        <w:ind w:left="12" w:firstLine="478"/>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70" w:name="bookmark142"/>
      <w:bookmarkEnd w:id="170"/>
      <w:r>
        <w:rPr>
          <w:rFonts w:hint="eastAsia" w:ascii="宋体" w:hAnsi="宋体" w:eastAsia="宋体" w:cs="宋体"/>
          <w:color w:val="000000" w:themeColor="text1"/>
          <w:spacing w:val="0"/>
          <w:sz w:val="24"/>
          <w:szCs w:val="24"/>
          <w:highlight w:val="none"/>
          <w14:textFill>
            <w14:solidFill>
              <w14:schemeClr w14:val="tx1"/>
            </w14:solidFill>
          </w14:textFill>
        </w:rPr>
        <w:t>对于合理报价的清单项目，当工程量增加超过 15%时，增加部分的工程量的综合单价以投标报价《</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》中综合单价为基价调低 3%；当工程量减少超过 15%时，减少后剩余部分的工程量的综合单价以投标报价《</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》中综合单价为基价调高 3%。</w:t>
      </w:r>
    </w:p>
    <w:p w14:paraId="19CF62EE">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对于按照第二章“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条被认定为不平衡报价的清单项目，其综合单价按照以下方法调整：</w:t>
      </w:r>
    </w:p>
    <w:p w14:paraId="25F45A5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以</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中《</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b/>
          <w:bCs/>
          <w:color w:val="000000" w:themeColor="text1"/>
          <w:spacing w:val="0"/>
          <w:sz w:val="24"/>
          <w:szCs w:val="24"/>
          <w:highlight w:val="none"/>
          <w14:textFill>
            <w14:solidFill>
              <w14:schemeClr w14:val="tx1"/>
            </w14:solidFill>
          </w14:textFill>
        </w:rPr>
        <w:t>》子目相对应综合单价×（1-中标下浮率）。</w:t>
      </w:r>
    </w:p>
    <w:p w14:paraId="3E1FC9C8">
      <w:pPr>
        <w:keepNext w:val="0"/>
        <w:keepLines w:val="0"/>
        <w:pageBreakBefore w:val="0"/>
        <w:wordWrap w:val="0"/>
        <w:overflowPunct/>
        <w:topLinePunct w:val="0"/>
        <w:bidi w:val="0"/>
        <w:spacing w:before="97" w:line="324" w:lineRule="auto"/>
        <w:ind w:left="13" w:right="179" w:firstLine="477"/>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71" w:name="_Toc12035"/>
      <w:bookmarkStart w:id="172" w:name="_Toc18478"/>
      <w:bookmarkStart w:id="173" w:name="_Toc30068"/>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bookmarkEnd w:id="171"/>
      <w:bookmarkEnd w:id="172"/>
      <w:bookmarkStart w:id="174" w:name="_Toc13602"/>
      <w:bookmarkStart w:id="175" w:name="_Toc15512"/>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 ×100%</w:t>
      </w:r>
      <w:bookmarkEnd w:id="173"/>
      <w:bookmarkEnd w:id="174"/>
      <w:bookmarkEnd w:id="175"/>
    </w:p>
    <w:p w14:paraId="5F716669">
      <w:pPr>
        <w:keepNext w:val="0"/>
        <w:keepLines w:val="0"/>
        <w:pageBreakBefore w:val="0"/>
        <w:wordWrap w:val="0"/>
        <w:overflowPunct/>
        <w:topLinePunct w:val="0"/>
        <w:bidi w:val="0"/>
        <w:spacing w:before="123" w:line="301" w:lineRule="auto"/>
        <w:ind w:left="10" w:right="116" w:firstLine="48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若修正后的该部分《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》总金额大于原投标报价中的该部分总金额，则从投标报价需调高的综合单价中选择偏离最大的清单开始调整，调整幅度逐步减少，直至修正后的该部分《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》总金额与原投标报价中的该部分总金额一致；若修正后的该部分《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》总金额小于原投标报价中的该部分总金额，则从投标报价需调低的综合单价中选择偏离最大的清单开始调整，调整幅度逐步减少，直至修正后的该部分《</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分部分项工程项目清单计价表</w:t>
      </w:r>
      <w:r>
        <w:rPr>
          <w:rFonts w:hint="eastAsia" w:ascii="宋体" w:hAnsi="宋体" w:eastAsia="宋体" w:cs="宋体"/>
          <w:color w:val="000000" w:themeColor="text1"/>
          <w:spacing w:val="0"/>
          <w:sz w:val="24"/>
          <w:szCs w:val="24"/>
          <w:highlight w:val="none"/>
          <w14:textFill>
            <w14:solidFill>
              <w14:schemeClr w14:val="tx1"/>
            </w14:solidFill>
          </w14:textFill>
        </w:rPr>
        <w:t>》总金额与原投标报价中的该部分总金额一致。修正后的总造价应与总中标价保持一致，形成《不平衡报价修正报告》，并由招标人和中标人共同签章确认。</w:t>
      </w:r>
    </w:p>
    <w:p w14:paraId="2C74F04F">
      <w:pPr>
        <w:keepNext w:val="0"/>
        <w:keepLines w:val="0"/>
        <w:pageBreakBefore w:val="0"/>
        <w:wordWrap w:val="0"/>
        <w:overflowPunct/>
        <w:topLinePunct w:val="0"/>
        <w:bidi w:val="0"/>
        <w:spacing w:before="129" w:line="299" w:lineRule="auto"/>
        <w:ind w:left="12" w:right="17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"2.3.2.2"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2.3.2.2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如果工程量出现本章第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2.3.2.1 </w:t>
      </w:r>
      <w:r>
        <w:rPr>
          <w:rFonts w:hint="eastAsia" w:ascii="宋体" w:hAnsi="宋体" w:eastAsia="宋体" w:cs="宋体"/>
          <w:color w:val="000000" w:themeColor="text1"/>
          <w:spacing w:val="0"/>
          <w:sz w:val="24"/>
          <w:szCs w:val="24"/>
          <w:highlight w:val="none"/>
          <w14:textFill>
            <w14:solidFill>
              <w14:schemeClr w14:val="tx1"/>
            </w14:solidFill>
          </w14:textFill>
        </w:rPr>
        <w:t>子目的变化，且该变化引起相关措施项目相应发生变化时，按系数或单一总价方式计价的，工程量增加的措施项目费调增，工程量减少的措施项目费调减。</w:t>
      </w:r>
    </w:p>
    <w:p w14:paraId="3DB00805">
      <w:pPr>
        <w:keepNext w:val="0"/>
        <w:keepLines w:val="0"/>
        <w:pageBreakBefore w:val="0"/>
        <w:wordWrap w:val="0"/>
        <w:overflowPunct/>
        <w:topLinePunct w:val="0"/>
        <w:bidi w:val="0"/>
        <w:spacing w:before="154" w:line="221" w:lineRule="auto"/>
        <w:ind w:left="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工程变更</w:t>
      </w:r>
    </w:p>
    <w:p w14:paraId="23DCAF42">
      <w:pPr>
        <w:keepNext w:val="0"/>
        <w:keepLines w:val="0"/>
        <w:pageBreakBefore w:val="0"/>
        <w:wordWrap w:val="0"/>
        <w:overflowPunct/>
        <w:topLinePunct w:val="0"/>
        <w:bidi w:val="0"/>
        <w:spacing w:before="153" w:line="279" w:lineRule="auto"/>
        <w:ind w:left="19" w:right="179" w:firstLine="4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合同履行期间，因工程变更引起已标价工程量清单项目发生变化时，按照以下规定调整：</w:t>
      </w:r>
    </w:p>
    <w:p w14:paraId="187CDAE7">
      <w:pPr>
        <w:keepNext w:val="0"/>
        <w:keepLines w:val="0"/>
        <w:pageBreakBefore w:val="0"/>
        <w:numPr>
          <w:ilvl w:val="0"/>
          <w:numId w:val="1"/>
        </w:numPr>
        <w:wordWrap w:val="0"/>
        <w:overflowPunct/>
        <w:topLinePunct w:val="0"/>
        <w:bidi w:val="0"/>
        <w:spacing w:before="78" w:line="360" w:lineRule="auto"/>
        <w:ind w:firstLine="240" w:firstLineChars="10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已标价工程量清单中有适用于变更工程项目的，采用该项目的单价。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w:t>
      </w:r>
      <w:bookmarkStart w:id="176" w:name="bookmark143"/>
      <w:bookmarkEnd w:id="176"/>
      <w:r>
        <w:rPr>
          <w:rFonts w:hint="eastAsia" w:ascii="宋体" w:hAnsi="宋体" w:eastAsia="宋体" w:cs="宋体"/>
          <w:b/>
          <w:bCs/>
          <w:color w:val="000000" w:themeColor="text1"/>
          <w:spacing w:val="0"/>
          <w:sz w:val="24"/>
          <w:szCs w:val="24"/>
          <w:highlight w:val="none"/>
          <w14:textFill>
            <w14:solidFill>
              <w14:schemeClr w14:val="tx1"/>
            </w14:solidFill>
          </w14:textFill>
        </w:rPr>
        <w:t>被采用的项目属于按照第二章“中标人须知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 条被认定为不平衡报价的清单项目，变更工程项目的单价按照本章 2.3.2.1 的方法调整。】</w:t>
      </w:r>
    </w:p>
    <w:p w14:paraId="7205A22D">
      <w:pPr>
        <w:keepNext w:val="0"/>
        <w:keepLines w:val="0"/>
        <w:pageBreakBefore w:val="0"/>
        <w:numPr>
          <w:ilvl w:val="0"/>
          <w:numId w:val="0"/>
        </w:numPr>
        <w:wordWrap w:val="0"/>
        <w:overflowPunct/>
        <w:topLinePunct w:val="0"/>
        <w:bidi w:val="0"/>
        <w:spacing w:before="78" w:line="36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已标价工程量清单中没有适用但有类似于变更工程项目的，可在合理范围内参照类似项目的单价。</w:t>
      </w:r>
      <w:r>
        <w:rPr>
          <w:rFonts w:hint="eastAsia" w:ascii="宋体" w:hAnsi="宋体" w:eastAsia="宋体" w:cs="宋体"/>
          <w:b/>
          <w:bCs/>
          <w:color w:val="000000" w:themeColor="text1"/>
          <w:spacing w:val="0"/>
          <w:sz w:val="24"/>
          <w:szCs w:val="24"/>
          <w:highlight w:val="none"/>
          <w14:textFill>
            <w14:solidFill>
              <w14:schemeClr w14:val="tx1"/>
            </w14:solidFill>
          </w14:textFill>
        </w:rPr>
        <w:t>但如果被参考的类似项目属于按照第二章“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中标人须知</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”第</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4.2条被认定为不平衡报价的清单项目，变更工程项目的单价按照本章2.3.2.1 的方法调整。</w:t>
      </w:r>
    </w:p>
    <w:p w14:paraId="314A12AB">
      <w:pPr>
        <w:keepNext w:val="0"/>
        <w:keepLines w:val="0"/>
        <w:pageBreakBefore w:val="0"/>
        <w:numPr>
          <w:ilvl w:val="0"/>
          <w:numId w:val="0"/>
        </w:numPr>
        <w:wordWrap w:val="0"/>
        <w:overflowPunct/>
        <w:topLinePunct w:val="0"/>
        <w:bidi w:val="0"/>
        <w:spacing w:before="38" w:line="310" w:lineRule="auto"/>
        <w:ind w:right="81" w:rightChars="0" w:firstLine="240" w:firstLineChars="1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3BB23C34">
      <w:pPr>
        <w:keepNext w:val="0"/>
        <w:keepLines w:val="0"/>
        <w:pageBreakBefore w:val="0"/>
        <w:wordWrap w:val="0"/>
        <w:overflowPunct/>
        <w:topLinePunct w:val="0"/>
        <w:bidi w:val="0"/>
        <w:spacing w:before="126" w:line="314" w:lineRule="auto"/>
        <w:ind w:left="29" w:right="21" w:firstLine="50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中标下浮率=[1-（中标价-中标</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14:textFill>
            <w14:solidFill>
              <w14:schemeClr w14:val="tx1"/>
            </w14:solidFill>
          </w14:textFill>
        </w:rPr>
        <w:t>-</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×100%</w:t>
      </w:r>
    </w:p>
    <w:p w14:paraId="132C32ED">
      <w:pPr>
        <w:keepNext w:val="0"/>
        <w:keepLines w:val="0"/>
        <w:pageBreakBefore w:val="0"/>
        <w:wordWrap w:val="0"/>
        <w:overflowPunct/>
        <w:topLinePunct w:val="0"/>
        <w:bidi w:val="0"/>
        <w:spacing w:before="145" w:line="309" w:lineRule="auto"/>
        <w:ind w:right="81" w:firstLine="240" w:firstLineChars="100"/>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7485EB42">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48DB76F2">
      <w:pPr>
        <w:keepNext w:val="0"/>
        <w:keepLines w:val="0"/>
        <w:pageBreakBefore w:val="0"/>
        <w:wordWrap w:val="0"/>
        <w:overflowPunct/>
        <w:topLinePunct w:val="0"/>
        <w:bidi w:val="0"/>
        <w:spacing w:before="152" w:line="220" w:lineRule="auto"/>
        <w:ind w:left="4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应按照实际发生变化的措施项目计算。</w:t>
      </w:r>
    </w:p>
    <w:p w14:paraId="3430AEEE">
      <w:pPr>
        <w:keepNext w:val="0"/>
        <w:keepLines w:val="0"/>
        <w:pageBreakBefore w:val="0"/>
        <w:wordWrap w:val="0"/>
        <w:overflowPunct/>
        <w:topLinePunct w:val="0"/>
        <w:bidi w:val="0"/>
        <w:spacing w:before="156" w:line="309" w:lineRule="auto"/>
        <w:ind w:left="7" w:right="81"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（2）采用单价计算的措施项目费，应按照实际发生变化的措施项目，按本章第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w:t>
      </w:r>
    </w:p>
    <w:p w14:paraId="49A98A6F">
      <w:pPr>
        <w:keepNext w:val="0"/>
        <w:keepLines w:val="0"/>
        <w:pageBreakBefore w:val="0"/>
        <w:wordWrap w:val="0"/>
        <w:overflowPunct/>
        <w:topLinePunct w:val="0"/>
        <w:bidi w:val="0"/>
        <w:spacing w:before="154" w:line="360" w:lineRule="auto"/>
        <w:ind w:left="8" w:right="81" w:firstLine="49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（3）按总价或系数计算的措施项目费，应按照实际发生变化的措施项目费调整并考虑中标下浮率因素，即调整金额＝按照实际变化调整后的金额×（1-中标下浮率）。</w:t>
      </w:r>
    </w:p>
    <w:p w14:paraId="78BE891C">
      <w:pPr>
        <w:keepNext w:val="0"/>
        <w:keepLines w:val="0"/>
        <w:pageBreakBefore w:val="0"/>
        <w:wordWrap w:val="0"/>
        <w:overflowPunct/>
        <w:topLinePunct w:val="0"/>
        <w:bidi w:val="0"/>
        <w:spacing w:before="157" w:line="324" w:lineRule="auto"/>
        <w:ind w:left="21" w:right="81" w:firstLine="47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如果承包人未事先将拟实施的方案提交发包人确认，视为工程变更不引起措施项目费的调整或承包人放弃调整措施项目费的权利。</w:t>
      </w:r>
    </w:p>
    <w:p w14:paraId="2ECDD016">
      <w:pPr>
        <w:keepNext w:val="0"/>
        <w:keepLines w:val="0"/>
        <w:pageBreakBefore w:val="0"/>
        <w:wordWrap w:val="0"/>
        <w:overflowPunct/>
        <w:topLinePunct w:val="0"/>
        <w:bidi w:val="0"/>
        <w:spacing w:before="35" w:line="309" w:lineRule="auto"/>
        <w:ind w:right="81" w:firstLine="42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"2.3.3.3"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2.3.3.3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4E492982">
      <w:pPr>
        <w:keepNext w:val="0"/>
        <w:keepLines w:val="0"/>
        <w:pageBreakBefore w:val="0"/>
        <w:wordWrap w:val="0"/>
        <w:overflowPunct/>
        <w:topLinePunct w:val="0"/>
        <w:bidi w:val="0"/>
        <w:spacing w:before="155" w:line="220"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2.3.4  </w:t>
      </w:r>
      <w:r>
        <w:rPr>
          <w:rFonts w:hint="eastAsia" w:ascii="宋体" w:hAnsi="宋体" w:eastAsia="宋体" w:cs="宋体"/>
          <w:color w:val="000000" w:themeColor="text1"/>
          <w:spacing w:val="0"/>
          <w:sz w:val="24"/>
          <w:szCs w:val="24"/>
          <w:highlight w:val="none"/>
          <w14:textFill>
            <w14:solidFill>
              <w14:schemeClr w14:val="tx1"/>
            </w14:solidFill>
          </w14:textFill>
        </w:rPr>
        <w:t>项目特征不符</w:t>
      </w:r>
    </w:p>
    <w:p w14:paraId="7DBF02D2">
      <w:pPr>
        <w:keepNext w:val="0"/>
        <w:keepLines w:val="0"/>
        <w:pageBreakBefore w:val="0"/>
        <w:wordWrap w:val="0"/>
        <w:overflowPunct/>
        <w:topLinePunct w:val="0"/>
        <w:bidi w:val="0"/>
        <w:spacing w:before="78" w:line="331" w:lineRule="auto"/>
        <w:ind w:left="8" w:right="108"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177" w:name="bookmark144"/>
      <w:bookmarkEnd w:id="177"/>
      <w:r>
        <w:rPr>
          <w:rFonts w:hint="eastAsia" w:ascii="宋体" w:hAnsi="宋体" w:eastAsia="宋体" w:cs="宋体"/>
          <w:color w:val="000000" w:themeColor="text1"/>
          <w:spacing w:val="0"/>
          <w:sz w:val="24"/>
          <w:szCs w:val="24"/>
          <w:highlight w:val="none"/>
          <w14:textFill>
            <w14:solidFill>
              <w14:schemeClr w14:val="tx1"/>
            </w14:solidFill>
          </w14:textFill>
        </w:rPr>
        <w:t xml:space="preserve">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 </w:t>
      </w:r>
      <w:r>
        <w:rPr>
          <w:rFonts w:hint="eastAsia" w:ascii="宋体" w:hAnsi="宋体" w:eastAsia="宋体" w:cs="宋体"/>
          <w:color w:val="000000" w:themeColor="text1"/>
          <w:spacing w:val="0"/>
          <w:sz w:val="24"/>
          <w:szCs w:val="24"/>
          <w:highlight w:val="none"/>
          <w14:textFill>
            <w14:solidFill>
              <w14:schemeClr w14:val="tx1"/>
            </w14:solidFill>
          </w14:textFill>
        </w:rPr>
        <w:t>目相关条款的规定重新确定相应工程量清单项目的综合单价，并调整合同价款。</w:t>
      </w:r>
    </w:p>
    <w:p w14:paraId="197538B0">
      <w:pPr>
        <w:keepNext w:val="0"/>
        <w:keepLines w:val="0"/>
        <w:pageBreakBefore w:val="0"/>
        <w:wordWrap w:val="0"/>
        <w:overflowPunct/>
        <w:topLinePunct w:val="0"/>
        <w:bidi w:val="0"/>
        <w:spacing w:before="38" w:line="221"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2.3.5  </w:t>
      </w:r>
      <w:r>
        <w:rPr>
          <w:rFonts w:hint="eastAsia" w:ascii="宋体" w:hAnsi="宋体" w:eastAsia="宋体" w:cs="宋体"/>
          <w:color w:val="000000" w:themeColor="text1"/>
          <w:spacing w:val="0"/>
          <w:sz w:val="24"/>
          <w:szCs w:val="24"/>
          <w:highlight w:val="none"/>
          <w14:textFill>
            <w14:solidFill>
              <w14:schemeClr w14:val="tx1"/>
            </w14:solidFill>
          </w14:textFill>
        </w:rPr>
        <w:t>招标工程量清单缺项</w:t>
      </w:r>
    </w:p>
    <w:p w14:paraId="5867B021">
      <w:pPr>
        <w:keepNext w:val="0"/>
        <w:keepLines w:val="0"/>
        <w:pageBreakBefore w:val="0"/>
        <w:widowControl/>
        <w:kinsoku w:val="0"/>
        <w:wordWrap w:val="0"/>
        <w:overflowPunct/>
        <w:topLinePunct w:val="0"/>
        <w:autoSpaceDE w:val="0"/>
        <w:autoSpaceDN w:val="0"/>
        <w:bidi w:val="0"/>
        <w:adjustRightInd w:val="0"/>
        <w:snapToGrid w:val="0"/>
        <w:spacing w:before="152" w:line="25" w:lineRule="atLeast"/>
        <w:ind w:left="9" w:right="56" w:firstLine="47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合同履行期间，由于招标工程量清单中缺项，新增分部分项工程清单项目，应按照本章第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子目的规定确定单价，并调整合同价款。</w:t>
      </w:r>
    </w:p>
    <w:p w14:paraId="789762A4">
      <w:pPr>
        <w:keepNext w:val="0"/>
        <w:keepLines w:val="0"/>
        <w:pageBreakBefore w:val="0"/>
        <w:widowControl/>
        <w:kinsoku w:val="0"/>
        <w:wordWrap w:val="0"/>
        <w:overflowPunct/>
        <w:topLinePunct w:val="0"/>
        <w:autoSpaceDE w:val="0"/>
        <w:autoSpaceDN w:val="0"/>
        <w:bidi w:val="0"/>
        <w:adjustRightInd w:val="0"/>
        <w:snapToGrid w:val="0"/>
        <w:spacing w:before="157" w:line="25" w:lineRule="atLeast"/>
        <w:ind w:firstLine="42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新增分部分项工程清单项目后，引起措施项目发生变化的，应按照本章第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子目的规定，在承包人提交的实施方案被发包人批准后调整合同价款。</w:t>
      </w:r>
    </w:p>
    <w:p w14:paraId="64483C48">
      <w:pPr>
        <w:keepNext w:val="0"/>
        <w:keepLines w:val="0"/>
        <w:pageBreakBefore w:val="0"/>
        <w:widowControl/>
        <w:kinsoku w:val="0"/>
        <w:wordWrap w:val="0"/>
        <w:overflowPunct/>
        <w:topLinePunct w:val="0"/>
        <w:autoSpaceDE w:val="0"/>
        <w:autoSpaceDN w:val="0"/>
        <w:bidi w:val="0"/>
        <w:adjustRightInd w:val="0"/>
        <w:snapToGrid w:val="0"/>
        <w:spacing w:before="156" w:line="300" w:lineRule="auto"/>
        <w:ind w:left="11" w:right="108" w:firstLine="471"/>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"2.3.5.3"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2.3.5.3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由于招标工程量清单中措施项目缺项，承包人应将新增措施项目实施方案提交发包人批准后，按照本章第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2.3.3.1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子目、第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2.3.3.2 </w:t>
      </w:r>
      <w:r>
        <w:rPr>
          <w:rFonts w:hint="eastAsia" w:ascii="宋体" w:hAnsi="宋体" w:eastAsia="宋体" w:cs="宋体"/>
          <w:color w:val="000000" w:themeColor="text1"/>
          <w:spacing w:val="0"/>
          <w:sz w:val="24"/>
          <w:szCs w:val="24"/>
          <w:highlight w:val="none"/>
          <w14:textFill>
            <w14:solidFill>
              <w14:schemeClr w14:val="tx1"/>
            </w14:solidFill>
          </w14:textFill>
        </w:rPr>
        <w:t>子目的规定调整合同价款。</w:t>
      </w:r>
    </w:p>
    <w:p w14:paraId="08FB5658">
      <w:pPr>
        <w:keepNext w:val="0"/>
        <w:keepLines w:val="0"/>
        <w:pageBreakBefore w:val="0"/>
        <w:wordWrap w:val="0"/>
        <w:overflowPunct/>
        <w:topLinePunct w:val="0"/>
        <w:bidi w:val="0"/>
        <w:spacing w:before="154" w:line="219"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2.3.6  </w:t>
      </w:r>
      <w:r>
        <w:rPr>
          <w:rFonts w:hint="eastAsia" w:ascii="宋体" w:hAnsi="宋体" w:eastAsia="宋体" w:cs="宋体"/>
          <w:color w:val="000000" w:themeColor="text1"/>
          <w:spacing w:val="0"/>
          <w:sz w:val="24"/>
          <w:szCs w:val="24"/>
          <w:highlight w:val="none"/>
          <w14:textFill>
            <w14:solidFill>
              <w14:schemeClr w14:val="tx1"/>
            </w14:solidFill>
          </w14:textFill>
        </w:rPr>
        <w:t>物价变化</w:t>
      </w:r>
    </w:p>
    <w:p w14:paraId="7D525C3E">
      <w:pPr>
        <w:keepNext w:val="0"/>
        <w:keepLines w:val="0"/>
        <w:pageBreakBefore w:val="0"/>
        <w:wordWrap w:val="0"/>
        <w:overflowPunct/>
        <w:topLinePunct w:val="0"/>
        <w:bidi w:val="0"/>
        <w:spacing w:before="156" w:line="315" w:lineRule="auto"/>
        <w:ind w:left="8" w:right="108"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合同履行期间，项目所在地工程造价管理机构发布的动态人工调整系数发生变化时，如果承包人投标报价中人工费（以下简称“ 中标人工费 ”）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6A69C7F8">
      <w:pPr>
        <w:keepNext w:val="0"/>
        <w:keepLines w:val="0"/>
        <w:pageBreakBefore w:val="0"/>
        <w:wordWrap w:val="0"/>
        <w:overflowPunct/>
        <w:topLinePunct w:val="0"/>
        <w:bidi w:val="0"/>
        <w:spacing w:before="153" w:line="220" w:lineRule="auto"/>
        <w:ind w:left="494"/>
        <w:rPr>
          <w:rFonts w:hint="eastAsia" w:ascii="宋体" w:hAnsi="宋体" w:eastAsia="宋体" w:cs="宋体"/>
          <w:color w:val="000000" w:themeColor="text1"/>
          <w:spacing w:val="0"/>
          <w:sz w:val="15"/>
          <w:szCs w:val="15"/>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结算人工费＝中标人工费×F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p>
    <w:p w14:paraId="381BBD03">
      <w:pPr>
        <w:keepNext w:val="0"/>
        <w:keepLines w:val="0"/>
        <w:pageBreakBefore w:val="0"/>
        <w:wordWrap w:val="0"/>
        <w:overflowPunct/>
        <w:topLinePunct w:val="0"/>
        <w:bidi w:val="0"/>
        <w:spacing w:before="152"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1</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为施工当月项目所在地工程造价管理机构发布的动态人工调整系数。</w:t>
      </w:r>
    </w:p>
    <w:p w14:paraId="4F9CF534">
      <w:pPr>
        <w:keepNext w:val="0"/>
        <w:keepLines w:val="0"/>
        <w:pageBreakBefore w:val="0"/>
        <w:wordWrap w:val="0"/>
        <w:overflowPunct/>
        <w:topLinePunct w:val="0"/>
        <w:bidi w:val="0"/>
        <w:spacing w:before="119" w:line="324" w:lineRule="auto"/>
        <w:ind w:left="1" w:right="108"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pacing w:val="0"/>
          <w:sz w:val="24"/>
          <w:szCs w:val="24"/>
          <w:highlight w:val="none"/>
          <w14:textFill>
            <w14:solidFill>
              <w14:schemeClr w14:val="tx1"/>
            </w14:solidFill>
          </w14:textFill>
        </w:rPr>
        <w:instrText xml:space="preserve"> HYPERLINK "2.3.6.2" </w:instrTex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本招标项目约定，材料、工程设备单价涨跌风险幅度值 A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5%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。合同履行期间，当《承包人提供主要材料和工程设备一览表》（详见招标工程量清单）中的材料、工程设备单价涨跌幅度等于或低于 A 值时，该材料、工程设备单价不予调整；超过A 值时，其超过部分可以调整。相关费用按有关规定进行相应调整。</w:t>
      </w:r>
    </w:p>
    <w:p w14:paraId="62EE16C1">
      <w:pPr>
        <w:keepNext w:val="0"/>
        <w:keepLines w:val="0"/>
        <w:pageBreakBefore w:val="0"/>
        <w:wordWrap w:val="0"/>
        <w:overflowPunct/>
        <w:topLinePunct w:val="0"/>
        <w:bidi w:val="0"/>
        <w:spacing w:before="126" w:line="295" w:lineRule="auto"/>
        <w:ind w:left="11" w:right="108" w:firstLine="47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15C1572F">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5" o:spt="75" type="#_x0000_t75" style="height:33.95pt;width:200.95pt;" o:ole="t" filled="f" o:preferrelative="t" stroked="f" coordsize="21600,21600">
            <v:path/>
            <v:fill on="f" focussize="0,0"/>
            <v:stroke on="f"/>
            <v:imagedata r:id="rId30" embosscolor="#FFFFFF" o:title=""/>
            <o:lock v:ext="edit" grouping="f" rotation="f" text="f" aspectratio="t"/>
            <w10:wrap type="none"/>
            <w10:anchorlock/>
          </v:shape>
          <o:OLEObject Type="Embed" ProgID="Equation.KSEE3" ShapeID="_x0000_i1025" DrawAspect="Content" ObjectID="_1468075725" r:id="rId29">
            <o:LockedField>false</o:LockedField>
          </o:OLEObject>
        </w:object>
      </w:r>
    </w:p>
    <w:p w14:paraId="5FEA2B94">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6" o:spt="75" type="#_x0000_t75" style="height:33.95pt;width:198.95pt;" o:ole="t" filled="f" o:preferrelative="t" stroked="f" coordsize="21600,21600">
            <v:path/>
            <v:fill on="f" focussize="0,0"/>
            <v:stroke on="f"/>
            <v:imagedata r:id="rId32" embosscolor="#FFFFFF" o:title=""/>
            <o:lock v:ext="edit" grouping="f" rotation="f" text="f" aspectratio="t"/>
            <w10:wrap type="none"/>
            <w10:anchorlock/>
          </v:shape>
          <o:OLEObject Type="Embed" ProgID="Equation.KSEE3" ShapeID="_x0000_i1026" DrawAspect="Content" ObjectID="_1468075726" r:id="rId31">
            <o:LockedField>false</o:LockedField>
          </o:OLEObject>
        </w:object>
      </w:r>
    </w:p>
    <w:p w14:paraId="67B1681F">
      <w:pPr>
        <w:keepNext w:val="0"/>
        <w:keepLines w:val="0"/>
        <w:pageBreakBefore w:val="0"/>
        <w:wordWrap w:val="0"/>
        <w:overflowPunct/>
        <w:topLinePunct w:val="0"/>
        <w:bidi w:val="0"/>
        <w:adjustRightInd w:val="0"/>
        <w:snapToGrid w:val="0"/>
        <w:spacing w:before="360" w:beforeLines="150" w:after="240" w:afterLines="100" w:line="440" w:lineRule="exact"/>
        <w:ind w:firstLine="482" w:firstLineChars="200"/>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b</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．如果中标单价高于基准单价，该材料、工程设备的结算单价调整公式为：</w:t>
      </w:r>
    </w:p>
    <w:p w14:paraId="75BCCAF3">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7" o:spt="75" type="#_x0000_t75" style="height:33.95pt;width:198.95pt;" o:ole="t" filled="f" o:preferrelative="t" stroked="f" coordsize="21600,21600">
            <v:path/>
            <v:fill on="f" focussize="0,0"/>
            <v:stroke on="f"/>
            <v:imagedata r:id="rId34" embosscolor="#FFFFFF" o:title=""/>
            <o:lock v:ext="edit" grouping="f" rotation="f" text="f" aspectratio="t"/>
            <w10:wrap type="none"/>
            <w10:anchorlock/>
          </v:shape>
          <o:OLEObject Type="Embed" ProgID="Equation.KSEE3" ShapeID="_x0000_i1027" DrawAspect="Content" ObjectID="_1468075727" r:id="rId33">
            <o:LockedField>false</o:LockedField>
          </o:OLEObject>
        </w:object>
      </w:r>
    </w:p>
    <w:p w14:paraId="416D8DFC">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8" o:spt="75" type="#_x0000_t75" style="height:33.95pt;width:200.95pt;" o:ole="t" filled="f" o:preferrelative="t" stroked="f" coordsize="21600,21600">
            <v:path/>
            <v:fill on="f" focussize="0,0"/>
            <v:stroke on="f"/>
            <v:imagedata r:id="rId36" embosscolor="#FFFFFF" o:title=""/>
            <o:lock v:ext="edit" grouping="f" rotation="f" text="f" aspectratio="t"/>
            <w10:wrap type="none"/>
            <w10:anchorlock/>
          </v:shape>
          <o:OLEObject Type="Embed" ProgID="Equation.KSEE3" ShapeID="_x0000_i1028" DrawAspect="Content" ObjectID="_1468075728" r:id="rId35">
            <o:LockedField>false</o:LockedField>
          </o:OLEObject>
        </w:object>
      </w:r>
    </w:p>
    <w:p w14:paraId="06B55B00">
      <w:pPr>
        <w:keepNext w:val="0"/>
        <w:keepLines w:val="0"/>
        <w:pageBreakBefore w:val="0"/>
        <w:wordWrap w:val="0"/>
        <w:overflowPunct/>
        <w:topLinePunct w:val="0"/>
        <w:bidi w:val="0"/>
        <w:adjustRightInd w:val="0"/>
        <w:snapToGrid w:val="0"/>
        <w:spacing w:before="360" w:beforeLines="150" w:after="240" w:afterLines="100"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c</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．如果中标单价等于基准单价，该材料、工程设备的结算单价调整公式为：</w:t>
      </w:r>
    </w:p>
    <w:p w14:paraId="4FFC8AE1">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29" o:spt="75" type="#_x0000_t75" style="height:33.95pt;width:200.95pt;" o:ole="t" filled="f" o:preferrelative="t" stroked="f" coordsize="21600,21600">
            <v:path/>
            <v:fill on="f" focussize="0,0"/>
            <v:stroke on="f"/>
            <v:imagedata r:id="rId38" embosscolor="#FFFFFF" o:title=""/>
            <o:lock v:ext="edit" grouping="f" rotation="f" text="f" aspectratio="t"/>
            <w10:wrap type="none"/>
            <w10:anchorlock/>
          </v:shape>
          <o:OLEObject Type="Embed" ProgID="Equation.KSEE3" ShapeID="_x0000_i1029" DrawAspect="Content" ObjectID="_1468075729" r:id="rId37">
            <o:LockedField>false</o:LockedField>
          </o:OLEObject>
        </w:object>
      </w:r>
    </w:p>
    <w:p w14:paraId="4903428A">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0" o:spt="75" type="#_x0000_t75" style="height:33.95pt;width:200.95pt;" o:ole="t" filled="f" o:preferrelative="t" stroked="f" coordsize="21600,21600">
            <v:path/>
            <v:fill on="f" focussize="0,0"/>
            <v:stroke on="f"/>
            <v:imagedata r:id="rId40" embosscolor="#FFFFFF" o:title=""/>
            <o:lock v:ext="edit" grouping="f" rotation="f" text="f" aspectratio="t"/>
            <w10:wrap type="none"/>
            <w10:anchorlock/>
          </v:shape>
          <o:OLEObject Type="Embed" ProgID="Equation.KSEE3" ShapeID="_x0000_i1030" DrawAspect="Content" ObjectID="_1468075730" r:id="rId39">
            <o:LockedField>false</o:LockedField>
          </o:OLEObject>
        </w:object>
      </w:r>
    </w:p>
    <w:p w14:paraId="40B2A737">
      <w:pPr>
        <w:keepNext w:val="0"/>
        <w:keepLines w:val="0"/>
        <w:pageBreakBefore w:val="0"/>
        <w:wordWrap w:val="0"/>
        <w:overflowPunct/>
        <w:topLinePunct w:val="0"/>
        <w:bidi w:val="0"/>
        <w:spacing w:before="78"/>
        <w:ind w:left="330"/>
        <w:rPr>
          <w:rFonts w:hint="eastAsia" w:ascii="宋体" w:hAnsi="宋体" w:eastAsia="宋体" w:cs="宋体"/>
          <w:color w:val="000000" w:themeColor="text1"/>
          <w:spacing w:val="0"/>
          <w:sz w:val="24"/>
          <w:szCs w:val="24"/>
          <w:highlight w:val="none"/>
          <w14:textFill>
            <w14:solidFill>
              <w14:schemeClr w14:val="tx1"/>
            </w14:solidFill>
          </w14:textFill>
        </w:rPr>
      </w:pPr>
    </w:p>
    <w:p w14:paraId="0EFBDC2C">
      <w:pPr>
        <w:keepNext w:val="0"/>
        <w:keepLines w:val="0"/>
        <w:pageBreakBefore w:val="0"/>
        <w:wordWrap w:val="0"/>
        <w:overflowPunct/>
        <w:topLinePunct w:val="0"/>
        <w:bidi w:val="0"/>
        <w:spacing w:before="78" w:line="330" w:lineRule="auto"/>
        <w:ind w:right="59" w:firstLine="50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为施工当月项目所在地工程造价管理机构发布的材料、工程设备单价；A 为合同约定的材料、工程设备单价涨跌风险幅度值。</w:t>
      </w:r>
    </w:p>
    <w:p w14:paraId="6F9801F9">
      <w:pPr>
        <w:keepNext w:val="0"/>
        <w:keepLines w:val="0"/>
        <w:pageBreakBefore w:val="0"/>
        <w:wordWrap w:val="0"/>
        <w:overflowPunct/>
        <w:topLinePunct w:val="0"/>
        <w:bidi w:val="0"/>
        <w:spacing w:before="33" w:line="299" w:lineRule="auto"/>
        <w:ind w:right="59"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"2.3.6.3"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2.3.6.3</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合同履行期间，当《发包人提供材料和工程设备一览表》（详见招标工程量清单）中的材料、工程设备单价发生变化时，由发包人按照实际变化调整，并列入合同价款。</w:t>
      </w:r>
    </w:p>
    <w:p w14:paraId="6F47D427">
      <w:pPr>
        <w:keepNext w:val="0"/>
        <w:keepLines w:val="0"/>
        <w:pageBreakBefore w:val="0"/>
        <w:wordWrap w:val="0"/>
        <w:overflowPunct/>
        <w:topLinePunct w:val="0"/>
        <w:bidi w:val="0"/>
        <w:spacing w:before="121" w:line="308" w:lineRule="auto"/>
        <w:ind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"2.3.6.4"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2.3.6.4</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本招标项目约定，施工机具台班单价涨跌风险幅度值 B 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10%  </w:t>
      </w:r>
      <w:r>
        <w:rPr>
          <w:rFonts w:hint="eastAsia" w:ascii="宋体" w:hAnsi="宋体" w:eastAsia="宋体" w:cs="宋体"/>
          <w:color w:val="000000" w:themeColor="text1"/>
          <w:spacing w:val="0"/>
          <w:sz w:val="24"/>
          <w:szCs w:val="24"/>
          <w:highlight w:val="none"/>
          <w14:textFill>
            <w14:solidFill>
              <w14:schemeClr w14:val="tx1"/>
            </w14:solidFill>
          </w14:textFill>
        </w:rPr>
        <w:t>。合同履行期间，当施工机具台班单价涨跌幅度等于或低于 B 值时，该施工机具台班单价不予调整；超过 B 值时，其超过部分可以调整。相关费用按有关规定进行相应调整。</w:t>
      </w:r>
    </w:p>
    <w:p w14:paraId="120353C6">
      <w:pPr>
        <w:keepNext w:val="0"/>
        <w:keepLines w:val="0"/>
        <w:pageBreakBefore w:val="0"/>
        <w:wordWrap w:val="0"/>
        <w:overflowPunct/>
        <w:topLinePunct w:val="0"/>
        <w:bidi w:val="0"/>
        <w:spacing w:before="153" w:line="278" w:lineRule="auto"/>
        <w:ind w:left="42" w:right="59" w:firstLine="44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a </w:t>
      </w:r>
      <w:r>
        <w:rPr>
          <w:rFonts w:hint="eastAsia" w:ascii="宋体" w:hAnsi="宋体" w:eastAsia="宋体" w:cs="宋体"/>
          <w:color w:val="000000" w:themeColor="text1"/>
          <w:spacing w:val="0"/>
          <w:sz w:val="24"/>
          <w:szCs w:val="24"/>
          <w:highlight w:val="none"/>
          <w14:textFill>
            <w14:solidFill>
              <w14:schemeClr w14:val="tx1"/>
            </w14:solidFill>
          </w14:textFill>
        </w:rPr>
        <w:t>．如果承包人投标报价中施工机具台班单价（以下简称“ 中标单价 ”）低于基准日当月项目所在地工程造价管理机构发布的对应施工机具台班单价（以下简称“基准单价 ”），该施工机具台班的结算单价调整公式为：</w:t>
      </w:r>
    </w:p>
    <w:p w14:paraId="0DF110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1" o:spt="75" type="#_x0000_t75" style="height:33.95pt;width:200.95pt;" o:ole="t" filled="f" o:preferrelative="t" stroked="f" coordsize="21600,21600">
            <v:path/>
            <v:fill on="f" focussize="0,0"/>
            <v:stroke on="f"/>
            <v:imagedata r:id="rId42" embosscolor="#FFFFFF" o:title=""/>
            <o:lock v:ext="edit" grouping="f" rotation="f" text="f" aspectratio="t"/>
            <w10:wrap type="none"/>
            <w10:anchorlock/>
          </v:shape>
          <o:OLEObject Type="Embed" ProgID="Equation.KSEE3" ShapeID="_x0000_i1031" DrawAspect="Content" ObjectID="_1468075731" r:id="rId41">
            <o:LockedField>false</o:LockedField>
          </o:OLEObject>
        </w:object>
      </w:r>
    </w:p>
    <w:p w14:paraId="183065CE">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2" o:spt="75" type="#_x0000_t75" style="height:33.95pt;width:198pt;" o:ole="t" filled="f" o:preferrelative="t" stroked="f" coordsize="21600,21600">
            <v:path/>
            <v:fill on="f" focussize="0,0"/>
            <v:stroke on="f"/>
            <v:imagedata r:id="rId44" embosscolor="#FFFFFF" o:title=""/>
            <o:lock v:ext="edit" grouping="f" rotation="f" text="f" aspectratio="t"/>
            <w10:wrap type="none"/>
            <w10:anchorlock/>
          </v:shape>
          <o:OLEObject Type="Embed" ProgID="Equation.KSEE3" ShapeID="_x0000_i1032" DrawAspect="Content" ObjectID="_1468075732" r:id="rId43">
            <o:LockedField>false</o:LockedField>
          </o:OLEObject>
        </w:object>
      </w:r>
    </w:p>
    <w:p w14:paraId="2B2919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b</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．如果中标单价高于基准单价，该施工机具台班的结算单价调整公式为：</w:t>
      </w:r>
    </w:p>
    <w:p w14:paraId="0B4D8697">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3" o:spt="75" type="#_x0000_t75" style="height:33.95pt;width:198pt;" o:ole="t" filled="f" o:preferrelative="t" stroked="f" coordsize="21600,21600">
            <v:path/>
            <v:fill on="f" focussize="0,0"/>
            <v:stroke on="f"/>
            <v:imagedata r:id="rId46" embosscolor="#FFFFFF" o:title=""/>
            <o:lock v:ext="edit" grouping="f" rotation="f" text="f" aspectratio="t"/>
            <w10:wrap type="none"/>
            <w10:anchorlock/>
          </v:shape>
          <o:OLEObject Type="Embed" ProgID="Equation.KSEE3" ShapeID="_x0000_i1033" DrawAspect="Content" ObjectID="_1468075733" r:id="rId45">
            <o:LockedField>false</o:LockedField>
          </o:OLEObject>
        </w:object>
      </w:r>
    </w:p>
    <w:p w14:paraId="3F7BD139">
      <w:pPr>
        <w:keepNext w:val="0"/>
        <w:keepLines w:val="0"/>
        <w:pageBreakBefore w:val="0"/>
        <w:wordWrap w:val="0"/>
        <w:overflowPunct/>
        <w:topLinePunct w:val="0"/>
        <w:bidi w:val="0"/>
        <w:adjustRightIn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4" o:spt="75" type="#_x0000_t75" style="height:33.95pt;width:200.95pt;" o:ole="t" filled="f" o:preferrelative="t" stroked="f" coordsize="21600,21600">
            <v:path/>
            <v:fill on="f" focussize="0,0"/>
            <v:stroke on="f"/>
            <v:imagedata r:id="rId48" embosscolor="#FFFFFF" o:title=""/>
            <o:lock v:ext="edit" grouping="f" rotation="f" text="f" aspectratio="t"/>
            <w10:wrap type="none"/>
            <w10:anchorlock/>
          </v:shape>
          <o:OLEObject Type="Embed" ProgID="Equation.KSEE3" ShapeID="_x0000_i1034" DrawAspect="Content" ObjectID="_1468075734" r:id="rId47">
            <o:LockedField>false</o:LockedField>
          </o:OLEObject>
        </w:object>
      </w:r>
    </w:p>
    <w:p w14:paraId="62112DB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sz w:val="24"/>
          <w:szCs w:val="24"/>
          <w:highlight w:val="none"/>
          <w14:textFill>
            <w14:solidFill>
              <w14:schemeClr w14:val="tx1"/>
            </w14:solidFill>
          </w14:textFill>
        </w:rPr>
        <w:t>c</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．如果中标单价等于基准单价，该施工机具台班的结算单价调整公式为：</w:t>
      </w:r>
    </w:p>
    <w:p w14:paraId="68970ACC">
      <w:pPr>
        <w:keepNext w:val="0"/>
        <w:keepLines w:val="0"/>
        <w:pageBreakBefore w:val="0"/>
        <w:wordWrap w:val="0"/>
        <w:overflowPunct/>
        <w:topLinePunct w:val="0"/>
        <w:bidi w:val="0"/>
        <w:adjustRightInd w:val="0"/>
        <w:snapToGrid w:val="0"/>
        <w:spacing w:before="360" w:beforeLines="150" w:after="240" w:afterLines="100" w:line="440" w:lineRule="exact"/>
        <w:ind w:firstLine="480" w:firstLineChars="200"/>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涨价时，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5" o:spt="75" type="#_x0000_t75" style="height:33.95pt;width:200.95pt;" o:ole="t" filled="f" o:preferrelative="t" stroked="f" coordsize="21600,21600">
            <v:path/>
            <v:fill on="f" focussize="0,0"/>
            <v:stroke on="f"/>
            <v:imagedata r:id="rId50" embosscolor="#FFFFFF" o:title=""/>
            <o:lock v:ext="edit" grouping="f" rotation="f" text="f" aspectratio="t"/>
            <w10:wrap type="none"/>
            <w10:anchorlock/>
          </v:shape>
          <o:OLEObject Type="Embed" ProgID="Equation.KSEE3" ShapeID="_x0000_i1035" DrawAspect="Content" ObjectID="_1468075735" r:id="rId49">
            <o:LockedField>false</o:LockedField>
          </o:OLEObject>
        </w:object>
      </w:r>
    </w:p>
    <w:p w14:paraId="121158F2">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跌价时，</w:t>
      </w:r>
      <w:r>
        <w:rPr>
          <w:rFonts w:hint="eastAsia" w:ascii="宋体" w:hAnsi="宋体" w:eastAsia="宋体" w:cs="宋体"/>
          <w:snapToGrid w:val="0"/>
          <w:color w:val="000000" w:themeColor="text1"/>
          <w:spacing w:val="0"/>
          <w:kern w:val="0"/>
          <w:position w:val="-30"/>
          <w:sz w:val="24"/>
          <w:szCs w:val="24"/>
          <w:highlight w:val="none"/>
          <w14:textFill>
            <w14:solidFill>
              <w14:schemeClr w14:val="tx1"/>
            </w14:solidFill>
          </w14:textFill>
        </w:rPr>
        <w:object>
          <v:shape id="_x0000_i1036" o:spt="75" type="#_x0000_t75" style="height:33.95pt;width:200.95pt;" o:ole="t" filled="f" o:preferrelative="t" stroked="f" coordsize="21600,21600">
            <v:path/>
            <v:fill on="f" focussize="0,0"/>
            <v:stroke on="f"/>
            <v:imagedata r:id="rId52" embosscolor="#FFFFFF" o:title=""/>
            <o:lock v:ext="edit" grouping="f" rotation="f" text="f" aspectratio="t"/>
            <w10:wrap type="none"/>
            <w10:anchorlock/>
          </v:shape>
          <o:OLEObject Type="Embed" ProgID="Equation.KSEE3" ShapeID="_x0000_i1036" DrawAspect="Content" ObjectID="_1468075736" r:id="rId51">
            <o:LockedField>false</o:LockedField>
          </o:OLEObject>
        </w:object>
      </w:r>
    </w:p>
    <w:p w14:paraId="1258EA6F">
      <w:pPr>
        <w:keepNext w:val="0"/>
        <w:keepLines w:val="0"/>
        <w:pageBreakBefore w:val="0"/>
        <w:wordWrap w:val="0"/>
        <w:overflowPunct/>
        <w:topLinePunct w:val="0"/>
        <w:bidi w:val="0"/>
        <w:spacing w:before="79" w:line="324" w:lineRule="auto"/>
        <w:ind w:left="11" w:right="65" w:firstLine="5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以上公式中，F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1 </w:t>
      </w:r>
      <w:r>
        <w:rPr>
          <w:rFonts w:hint="eastAsia" w:ascii="宋体" w:hAnsi="宋体" w:eastAsia="宋体" w:cs="宋体"/>
          <w:color w:val="000000" w:themeColor="text1"/>
          <w:spacing w:val="0"/>
          <w:sz w:val="24"/>
          <w:szCs w:val="24"/>
          <w:highlight w:val="none"/>
          <w14:textFill>
            <w14:solidFill>
              <w14:schemeClr w14:val="tx1"/>
            </w14:solidFill>
          </w14:textFill>
        </w:rPr>
        <w:t>为中标单价；F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0</w:t>
      </w:r>
      <w:r>
        <w:rPr>
          <w:rFonts w:hint="eastAsia" w:ascii="宋体" w:hAnsi="宋体" w:eastAsia="宋体" w:cs="宋体"/>
          <w:color w:val="000000" w:themeColor="text1"/>
          <w:spacing w:val="0"/>
          <w:w w:val="101"/>
          <w:position w:val="-1"/>
          <w:sz w:val="15"/>
          <w:szCs w:val="1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为基准单价；F</w:t>
      </w:r>
      <w:r>
        <w:rPr>
          <w:rFonts w:hint="eastAsia" w:ascii="宋体" w:hAnsi="宋体" w:eastAsia="宋体" w:cs="宋体"/>
          <w:color w:val="000000" w:themeColor="text1"/>
          <w:spacing w:val="0"/>
          <w:position w:val="-1"/>
          <w:sz w:val="15"/>
          <w:szCs w:val="15"/>
          <w:highlight w:val="none"/>
          <w14:textFill>
            <w14:solidFill>
              <w14:schemeClr w14:val="tx1"/>
            </w14:solidFill>
          </w14:textFill>
        </w:rPr>
        <w:t xml:space="preserve">2 </w:t>
      </w:r>
      <w:r>
        <w:rPr>
          <w:rFonts w:hint="eastAsia" w:ascii="宋体" w:hAnsi="宋体" w:eastAsia="宋体" w:cs="宋体"/>
          <w:color w:val="000000" w:themeColor="text1"/>
          <w:spacing w:val="0"/>
          <w:sz w:val="24"/>
          <w:szCs w:val="24"/>
          <w:highlight w:val="none"/>
          <w14:textFill>
            <w14:solidFill>
              <w14:schemeClr w14:val="tx1"/>
            </w14:solidFill>
          </w14:textFill>
        </w:rPr>
        <w:t>为施工当月项目所在地工程造价管理机构发布的施工机具台班单价；B 为合同约定的施工机具台班单价涨跌风险幅度值。</w:t>
      </w:r>
    </w:p>
    <w:p w14:paraId="08F7A996">
      <w:pPr>
        <w:keepNext w:val="0"/>
        <w:keepLines w:val="0"/>
        <w:pageBreakBefore w:val="0"/>
        <w:wordWrap w:val="0"/>
        <w:overflowPunct/>
        <w:topLinePunct w:val="0"/>
        <w:bidi w:val="0"/>
        <w:spacing w:before="39" w:line="219" w:lineRule="auto"/>
        <w:ind w:left="48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2.3.7  </w:t>
      </w:r>
      <w:r>
        <w:rPr>
          <w:rFonts w:hint="eastAsia" w:ascii="宋体" w:hAnsi="宋体" w:eastAsia="宋体" w:cs="宋体"/>
          <w:color w:val="000000" w:themeColor="text1"/>
          <w:spacing w:val="0"/>
          <w:sz w:val="24"/>
          <w:szCs w:val="24"/>
          <w:highlight w:val="none"/>
          <w14:textFill>
            <w14:solidFill>
              <w14:schemeClr w14:val="tx1"/>
            </w14:solidFill>
          </w14:textFill>
        </w:rPr>
        <w:t>暂估价和暂列金额</w:t>
      </w:r>
    </w:p>
    <w:p w14:paraId="55F5A879">
      <w:pPr>
        <w:keepNext w:val="0"/>
        <w:keepLines w:val="0"/>
        <w:pageBreakBefore w:val="0"/>
        <w:wordWrap w:val="0"/>
        <w:overflowPunct/>
        <w:topLinePunct w:val="0"/>
        <w:bidi w:val="0"/>
        <w:spacing w:before="154" w:line="299" w:lineRule="auto"/>
        <w:ind w:left="7" w:right="57" w:firstLine="477"/>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"2.3.7.1"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2.3.7.1</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暂估价项目按第一章第三节“投标人须知正文 ”第 </w:t>
      </w:r>
      <w:r>
        <w:rPr>
          <w:rFonts w:hint="eastAsia" w:ascii="宋体" w:hAnsi="宋体" w:eastAsia="宋体" w:cs="宋体"/>
          <w:b/>
          <w:bCs/>
          <w:snapToGrid w:val="0"/>
          <w:color w:val="000000" w:themeColor="text1"/>
          <w:spacing w:val="0"/>
          <w:kern w:val="0"/>
          <w:sz w:val="24"/>
          <w:szCs w:val="24"/>
          <w:highlight w:val="none"/>
          <w:lang w:eastAsia="zh-CN"/>
          <w14:textFill>
            <w14:solidFill>
              <w14:schemeClr w14:val="tx1"/>
            </w14:solidFill>
          </w14:textFill>
        </w:rPr>
        <w:t>8.5</w:t>
      </w:r>
      <w:r>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t xml:space="preserve"> 条的规定确定专业工程承包人（或材料供应商、工程设备供应商）后，将专业工程合同价款（或材料单价、工程设备单价）取代相应暂估价，并调整合同价款。</w:t>
      </w:r>
    </w:p>
    <w:p w14:paraId="75732179">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highlight w:val="none"/>
          <w14:textFill>
            <w14:solidFill>
              <w14:schemeClr w14:val="tx1"/>
            </w14:solidFill>
          </w14:textFill>
        </w:rPr>
        <w:fldChar w:fldCharType="begin"/>
      </w:r>
      <w:r>
        <w:rPr>
          <w:rFonts w:hint="eastAsia" w:ascii="宋体" w:hAnsi="宋体" w:eastAsia="宋体" w:cs="宋体"/>
          <w:color w:val="000000" w:themeColor="text1"/>
          <w:spacing w:val="0"/>
          <w:highlight w:val="none"/>
          <w14:textFill>
            <w14:solidFill>
              <w14:schemeClr w14:val="tx1"/>
            </w14:solidFill>
          </w14:textFill>
        </w:rPr>
        <w:instrText xml:space="preserve"> HYPERLINK "2.3.7.2" </w:instrText>
      </w:r>
      <w:r>
        <w:rPr>
          <w:rFonts w:hint="eastAsia" w:ascii="宋体" w:hAnsi="宋体" w:eastAsia="宋体" w:cs="宋体"/>
          <w:color w:val="000000" w:themeColor="text1"/>
          <w:spacing w:val="0"/>
          <w:highlight w:val="none"/>
          <w14:textFill>
            <w14:solidFill>
              <w14:schemeClr w14:val="tx1"/>
            </w14:solidFill>
          </w14:textFill>
        </w:rPr>
        <w:fldChar w:fldCharType="separate"/>
      </w:r>
      <w:r>
        <w:rPr>
          <w:rFonts w:hint="eastAsia" w:ascii="宋体" w:hAnsi="宋体" w:eastAsia="宋体" w:cs="宋体"/>
          <w:b/>
          <w:bCs/>
          <w:color w:val="000000" w:themeColor="text1"/>
          <w:spacing w:val="0"/>
          <w:sz w:val="24"/>
          <w:szCs w:val="24"/>
          <w:highlight w:val="none"/>
          <w14:textFill>
            <w14:solidFill>
              <w14:schemeClr w14:val="tx1"/>
            </w14:solidFill>
          </w14:textFill>
        </w:rPr>
        <w:t>2.3.7.2</w:t>
      </w:r>
      <w:r>
        <w:rPr>
          <w:rFonts w:hint="eastAsia" w:ascii="宋体" w:hAnsi="宋体" w:eastAsia="宋体" w:cs="宋体"/>
          <w:b/>
          <w:bCs/>
          <w:color w:val="000000" w:themeColor="text1"/>
          <w:spacing w:val="0"/>
          <w:sz w:val="24"/>
          <w:szCs w:val="24"/>
          <w:highlight w:val="none"/>
          <w14:textFill>
            <w14:solidFill>
              <w14:schemeClr w14:val="tx1"/>
            </w14:solidFill>
          </w14:textFill>
        </w:rPr>
        <w:fldChar w:fldCharType="end"/>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暂列金额由发包人掌握和使用。暂列金额项目若有发生，按第一章第三节“投标人须知正文 ”第 </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8.6 </w:t>
      </w:r>
      <w:r>
        <w:rPr>
          <w:rFonts w:hint="eastAsia" w:ascii="宋体" w:hAnsi="宋体" w:eastAsia="宋体" w:cs="宋体"/>
          <w:color w:val="000000" w:themeColor="text1"/>
          <w:spacing w:val="0"/>
          <w:sz w:val="24"/>
          <w:szCs w:val="24"/>
          <w:highlight w:val="none"/>
          <w14:textFill>
            <w14:solidFill>
              <w14:schemeClr w14:val="tx1"/>
            </w14:solidFill>
          </w14:textFill>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1FFEB093">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2.3.8</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预算包干费预算</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审核时</w:t>
      </w:r>
      <w:r>
        <w:rPr>
          <w:rFonts w:hint="eastAsia" w:ascii="宋体" w:hAnsi="宋体" w:eastAsia="宋体" w:cs="宋体"/>
          <w:color w:val="000000" w:themeColor="text1"/>
          <w:spacing w:val="0"/>
          <w:sz w:val="24"/>
          <w:szCs w:val="24"/>
          <w:highlight w:val="none"/>
          <w14:textFill>
            <w14:solidFill>
              <w14:schemeClr w14:val="tx1"/>
            </w14:solidFill>
          </w14:textFill>
        </w:rPr>
        <w:t>，不计取该项费用</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结算审核时，按实结算。</w:t>
      </w:r>
    </w:p>
    <w:p w14:paraId="00D8F120">
      <w:pPr>
        <w:keepNext w:val="0"/>
        <w:keepLines w:val="0"/>
        <w:pageBreakBefore w:val="0"/>
        <w:wordWrap w:val="0"/>
        <w:overflowPunct/>
        <w:topLinePunct w:val="0"/>
        <w:bidi w:val="0"/>
        <w:spacing w:before="153" w:line="315" w:lineRule="auto"/>
        <w:ind w:left="8" w:right="2"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2.3.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其余事项（如不可抗力、索赔、现场签证等）的调整原则按照《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）有关规定执行。</w:t>
      </w:r>
    </w:p>
    <w:p w14:paraId="0C5E03A8">
      <w:pPr>
        <w:keepNext w:val="0"/>
        <w:keepLines w:val="0"/>
        <w:pageBreakBefore w:val="0"/>
        <w:wordWrap w:val="0"/>
        <w:overflowPunct/>
        <w:topLinePunct w:val="0"/>
        <w:bidi w:val="0"/>
        <w:spacing w:before="156" w:line="299" w:lineRule="auto"/>
        <w:ind w:left="12" w:right="65" w:firstLine="5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2.4  </w:t>
      </w:r>
      <w:r>
        <w:rPr>
          <w:rFonts w:hint="eastAsia" w:ascii="宋体" w:hAnsi="宋体" w:eastAsia="宋体" w:cs="宋体"/>
          <w:color w:val="000000" w:themeColor="text1"/>
          <w:spacing w:val="0"/>
          <w:sz w:val="24"/>
          <w:szCs w:val="24"/>
          <w:highlight w:val="none"/>
          <w14:textFill>
            <w14:solidFill>
              <w14:schemeClr w14:val="tx1"/>
            </w14:solidFill>
          </w14:textFill>
        </w:rPr>
        <w:t>凡将引起合同价款调增的事项，承包人必须于拟实施 14 天前，将详细的报价书（含拟实施项目名称、变更部位、理由、预计造价等）报监理单位审核和发包人批准后方可实施。</w:t>
      </w:r>
    </w:p>
    <w:p w14:paraId="7E55A3E2">
      <w:pPr>
        <w:keepNext w:val="0"/>
        <w:keepLines w:val="0"/>
        <w:pageBreakBefore w:val="0"/>
        <w:wordWrap w:val="0"/>
        <w:overflowPunct/>
        <w:topLinePunct w:val="0"/>
        <w:bidi w:val="0"/>
        <w:spacing w:before="153" w:line="279" w:lineRule="auto"/>
        <w:ind w:left="9" w:right="102" w:firstLine="47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2.5 </w:t>
      </w:r>
      <w:r>
        <w:rPr>
          <w:rFonts w:hint="eastAsia" w:ascii="宋体" w:hAnsi="宋体" w:eastAsia="宋体" w:cs="宋体"/>
          <w:color w:val="000000" w:themeColor="text1"/>
          <w:spacing w:val="0"/>
          <w:sz w:val="24"/>
          <w:szCs w:val="24"/>
          <w:highlight w:val="none"/>
          <w14:textFill>
            <w14:solidFill>
              <w14:schemeClr w14:val="tx1"/>
            </w14:solidFill>
          </w14:textFill>
        </w:rPr>
        <w:t>承包人不得以不完全了解现场情况为理由，提出额外付款或延长工期等要求。 对此类要求，发包人不作任何考虑及答复。</w:t>
      </w:r>
    </w:p>
    <w:p w14:paraId="50E281B0">
      <w:pPr>
        <w:keepNext w:val="0"/>
        <w:keepLines w:val="0"/>
        <w:pageBreakBefore w:val="0"/>
        <w:wordWrap w:val="0"/>
        <w:overflowPunct/>
        <w:topLinePunct w:val="0"/>
        <w:bidi w:val="0"/>
        <w:spacing w:before="154" w:line="279" w:lineRule="auto"/>
        <w:ind w:left="10" w:right="63" w:firstLine="47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2.6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承包人已标价工程量清单中漏报、错报或少报的清单项目，其价格均视为已经包含在其它清单项目中，竣工结算时不得重新组价和调整。</w:t>
      </w:r>
    </w:p>
    <w:p w14:paraId="75BC7B06">
      <w:pPr>
        <w:keepNext w:val="0"/>
        <w:keepLines w:val="0"/>
        <w:pageBreakBefore w:val="0"/>
        <w:wordWrap w:val="0"/>
        <w:overflowPunct/>
        <w:topLinePunct w:val="0"/>
        <w:bidi w:val="0"/>
        <w:spacing w:before="155" w:line="299" w:lineRule="auto"/>
        <w:ind w:left="12" w:right="65"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2.7  </w:t>
      </w:r>
      <w:r>
        <w:rPr>
          <w:rFonts w:hint="eastAsia" w:ascii="宋体" w:hAnsi="宋体" w:eastAsia="宋体" w:cs="宋体"/>
          <w:color w:val="000000" w:themeColor="text1"/>
          <w:spacing w:val="0"/>
          <w:sz w:val="24"/>
          <w:szCs w:val="24"/>
          <w:highlight w:val="none"/>
          <w14:textFill>
            <w14:solidFill>
              <w14:schemeClr w14:val="tx1"/>
            </w14:solidFill>
          </w14:textFill>
        </w:rPr>
        <w:t>项目完工后，发、承包双方和受其委托的工程造价咨询单位必须按照《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）和国家、省、市的有关规定办理竣工结算。</w:t>
      </w:r>
    </w:p>
    <w:p w14:paraId="18501ACB">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2.8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32105AE6">
      <w:pPr>
        <w:keepNext w:val="0"/>
        <w:keepLines w:val="0"/>
        <w:pageBreakBefore w:val="0"/>
        <w:wordWrap w:val="0"/>
        <w:overflowPunct/>
        <w:topLinePunct w:val="0"/>
        <w:bidi w:val="0"/>
        <w:spacing w:before="152" w:line="319" w:lineRule="auto"/>
        <w:ind w:left="8" w:right="38" w:firstLine="55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2.9 </w:t>
      </w:r>
      <w:r>
        <w:rPr>
          <w:rFonts w:hint="eastAsia" w:ascii="宋体" w:hAnsi="宋体" w:eastAsia="宋体" w:cs="宋体"/>
          <w:color w:val="000000" w:themeColor="text1"/>
          <w:spacing w:val="0"/>
          <w:sz w:val="24"/>
          <w:szCs w:val="24"/>
          <w:highlight w:val="none"/>
          <w14:textFill>
            <w14:solidFill>
              <w14:schemeClr w14:val="tx1"/>
            </w14:solidFill>
          </w14:textFill>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 的，则采用厂商报价或市场询价等方式取得有合法依据的市场价格，报发包人确认。</w:t>
      </w:r>
    </w:p>
    <w:p w14:paraId="1C684DEC">
      <w:pPr>
        <w:pStyle w:val="35"/>
        <w:keepNext w:val="0"/>
        <w:keepLines w:val="0"/>
        <w:pageBreakBefore w:val="0"/>
        <w:wordWrap w:val="0"/>
        <w:overflowPunct/>
        <w:topLinePunct w:val="0"/>
        <w:bidi w:val="0"/>
        <w:snapToGrid w:val="0"/>
        <w:spacing w:line="440" w:lineRule="exact"/>
        <w:ind w:firstLine="480"/>
        <w:jc w:val="both"/>
        <w:outlineLvl w:val="2"/>
        <w:rPr>
          <w:rStyle w:val="26"/>
          <w:rFonts w:hint="eastAsia" w:ascii="宋体" w:hAnsi="宋体" w:eastAsia="宋体" w:cs="宋体"/>
          <w:b/>
          <w:bCs/>
          <w:color w:val="000000" w:themeColor="text1"/>
          <w:spacing w:val="0"/>
          <w:sz w:val="24"/>
          <w:szCs w:val="24"/>
          <w:highlight w:val="none"/>
          <w14:textFill>
            <w14:solidFill>
              <w14:schemeClr w14:val="tx1"/>
            </w14:solidFill>
          </w14:textFill>
        </w:rPr>
      </w:pPr>
      <w:bookmarkStart w:id="178" w:name="_Toc1816"/>
      <w:bookmarkStart w:id="179" w:name="_Toc22696"/>
      <w:r>
        <w:rPr>
          <w:rStyle w:val="26"/>
          <w:rFonts w:hint="eastAsia" w:ascii="宋体" w:hAnsi="宋体" w:eastAsia="宋体" w:cs="宋体"/>
          <w:b/>
          <w:bCs/>
          <w:color w:val="000000" w:themeColor="text1"/>
          <w:spacing w:val="0"/>
          <w:sz w:val="24"/>
          <w:szCs w:val="24"/>
          <w:highlight w:val="none"/>
          <w14:textFill>
            <w14:solidFill>
              <w14:schemeClr w14:val="tx1"/>
            </w14:solidFill>
          </w14:textFill>
        </w:rPr>
        <w:t>3. 工程付款办法</w:t>
      </w:r>
      <w:bookmarkEnd w:id="178"/>
      <w:bookmarkEnd w:id="179"/>
    </w:p>
    <w:p w14:paraId="1DE34436">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本工程</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支付 </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施工预付款。</w:t>
      </w:r>
    </w:p>
    <w:p w14:paraId="241C9822">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施工预付款必须专用于合同工程，并按以下原则支付和抵扣：</w:t>
      </w:r>
    </w:p>
    <w:p w14:paraId="446B4EBF">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施工预付款支付比例为：按施工合同价</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暂列金额、计日工价款及专业工程暂估价</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除外）</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30% </w:t>
      </w:r>
      <w:r>
        <w:rPr>
          <w:rFonts w:hint="eastAsia" w:ascii="宋体" w:hAnsi="宋体" w:eastAsia="宋体" w:cs="宋体"/>
          <w:snapToGrid w:val="0"/>
          <w:color w:val="000000" w:themeColor="text1"/>
          <w:kern w:val="0"/>
          <w:sz w:val="24"/>
          <w:szCs w:val="24"/>
          <w:highlight w:val="none"/>
          <w14:textFill>
            <w14:solidFill>
              <w14:schemeClr w14:val="tx1"/>
            </w14:solidFill>
          </w14:textFill>
        </w:rPr>
        <w:t>支付。</w:t>
      </w:r>
    </w:p>
    <w:p w14:paraId="571C8EB5">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本招标项目</w:t>
      </w:r>
      <w:r>
        <w:rPr>
          <w:rFonts w:hint="eastAsia" w:ascii="宋体" w:hAnsi="宋体" w:eastAsia="宋体" w:cs="宋体"/>
          <w:b/>
          <w:bCs/>
          <w:snapToGrid w:val="0"/>
          <w:color w:val="000000" w:themeColor="text1"/>
          <w:kern w:val="0"/>
          <w:sz w:val="24"/>
          <w:szCs w:val="24"/>
          <w:highlight w:val="none"/>
          <w:u w:val="single"/>
          <w:lang w:val="en-US" w:eastAsia="zh-CN"/>
          <w14:textFill>
            <w14:solidFill>
              <w14:schemeClr w14:val="tx1"/>
            </w14:solidFill>
          </w14:textFill>
        </w:rPr>
        <w:t>不</w:t>
      </w:r>
      <w:r>
        <w:rPr>
          <w:rFonts w:hint="eastAsia" w:ascii="宋体" w:hAnsi="宋体" w:eastAsia="宋体" w:cs="宋体"/>
          <w:b/>
          <w:bCs/>
          <w:snapToGrid w:val="0"/>
          <w:color w:val="000000" w:themeColor="text1"/>
          <w:kern w:val="0"/>
          <w:sz w:val="24"/>
          <w:szCs w:val="24"/>
          <w:highlight w:val="none"/>
          <w:u w:val="single"/>
          <w14:textFill>
            <w14:solidFill>
              <w14:schemeClr w14:val="tx1"/>
            </w14:solidFill>
          </w14:textFill>
        </w:rPr>
        <w:t>要求</w:t>
      </w:r>
      <w:r>
        <w:rPr>
          <w:rFonts w:hint="eastAsia" w:ascii="宋体" w:hAnsi="宋体" w:eastAsia="宋体" w:cs="宋体"/>
          <w:snapToGrid w:val="0"/>
          <w:color w:val="000000" w:themeColor="text1"/>
          <w:kern w:val="0"/>
          <w:sz w:val="24"/>
          <w:szCs w:val="24"/>
          <w:highlight w:val="none"/>
          <w14:textFill>
            <w14:solidFill>
              <w14:schemeClr w14:val="tx1"/>
            </w14:solidFill>
          </w14:textFill>
        </w:rPr>
        <w:t>承包人提供与预付款等额的预付款保函。</w:t>
      </w:r>
    </w:p>
    <w:p w14:paraId="4A4F23D6">
      <w:pPr>
        <w:wordWrap w:val="0"/>
        <w:adjustRightInd w:val="0"/>
        <w:snapToGrid w:val="0"/>
        <w:spacing w:line="360" w:lineRule="auto"/>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3.2.3</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承包人应在签订合同后，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4C8F6CA9">
      <w:pPr>
        <w:wordWrap w:val="0"/>
        <w:adjustRightInd w:val="0"/>
        <w:snapToGrid w:val="0"/>
        <w:spacing w:line="360" w:lineRule="auto"/>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3.2.4预付款应从每支付期应支付给承包人的工程进度款中扣回，直到扣回的金额达到合同约定的预付款金额为止。</w:t>
      </w:r>
    </w:p>
    <w:p w14:paraId="6BF55ED4">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 xml:space="preserve">3.3 </w:t>
      </w:r>
      <w:r>
        <w:rPr>
          <w:rFonts w:hint="eastAsia" w:ascii="宋体" w:hAnsi="宋体" w:eastAsia="宋体" w:cs="宋体"/>
          <w:snapToGrid w:val="0"/>
          <w:color w:val="000000" w:themeColor="text1"/>
          <w:kern w:val="0"/>
          <w:sz w:val="24"/>
          <w:szCs w:val="24"/>
          <w:highlight w:val="none"/>
          <w14:textFill>
            <w14:solidFill>
              <w14:schemeClr w14:val="tx1"/>
            </w14:solidFill>
          </w14:textFill>
        </w:rPr>
        <w:t>施工过程中按月申报工程进度款：承包人每月按工程实际完成工程量（含变更及增加工程）申报，承包人必须将《已完成工程量报表》和《工程付款申请书》于当月26日前报监理单位核</w:t>
      </w:r>
      <w:bookmarkStart w:id="180" w:name="_Hlt127094354"/>
      <w:bookmarkEnd w:id="180"/>
      <w:r>
        <w:rPr>
          <w:rFonts w:hint="eastAsia" w:ascii="宋体" w:hAnsi="宋体" w:eastAsia="宋体" w:cs="宋体"/>
          <w:snapToGrid w:val="0"/>
          <w:color w:val="000000" w:themeColor="text1"/>
          <w:kern w:val="0"/>
          <w:sz w:val="24"/>
          <w:szCs w:val="24"/>
          <w:highlight w:val="none"/>
          <w14:textFill>
            <w14:solidFill>
              <w14:schemeClr w14:val="tx1"/>
            </w14:solidFill>
          </w14:textFill>
        </w:rPr>
        <w:t>实。经监理单位审核、发包人审定后的工程进度款（指已经按照合同约定，扣除该支付期内因承包人违约而应扣除的管理费），申报后按财政资金拨付到位实际情况进行支付。</w:t>
      </w:r>
    </w:p>
    <w:p w14:paraId="1161B1D0">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3.4</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每月的工程进度款按工程实际完成工程量的</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8</w:t>
      </w:r>
      <w:r>
        <w:rPr>
          <w:rFonts w:hint="eastAsia" w:ascii="宋体" w:hAnsi="宋体" w:eastAsia="宋体" w:cs="宋体"/>
          <w:snapToGrid w:val="0"/>
          <w:color w:val="000000" w:themeColor="text1"/>
          <w:kern w:val="0"/>
          <w:sz w:val="24"/>
          <w:szCs w:val="24"/>
          <w:highlight w:val="none"/>
          <w:u w:val="single"/>
          <w:lang w:val="en-US" w:eastAsia="zh-CN"/>
          <w14:textFill>
            <w14:solidFill>
              <w14:schemeClr w14:val="tx1"/>
            </w14:solidFill>
          </w14:textFill>
        </w:rPr>
        <w:t>0</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申请支付，工程进度款中的作业工人工资款项由发包人单独足额拨付到承包人的工资专户。</w:t>
      </w:r>
    </w:p>
    <w:p w14:paraId="5A4324B0">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3.5</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措施项目费中的“</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”拨付按照《广东省建设工程计价依据（2018）》执行，按照项目所在地的建设行政主管部门有关规定支付。发生一般事故及以上等级重大安全事故的，发包人可扣除承包人金额相当于所有“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安全生产措施费</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”的工程管理费。</w:t>
      </w:r>
    </w:p>
    <w:p w14:paraId="58038E18">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3.6</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变更工程造价必须经监理单位核实，并经发包人核定后方可支付。</w:t>
      </w:r>
    </w:p>
    <w:p w14:paraId="63B44E6E">
      <w:pPr>
        <w:wordWrap w:val="0"/>
        <w:adjustRightInd w:val="0"/>
        <w:snapToGrid w:val="0"/>
        <w:spacing w:line="360" w:lineRule="auto"/>
        <w:ind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3.7</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结算审核完成后，于次月支付至合同价格的97%，剩余3%转为质量保证金；承包人提交了等额质量保证</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金金额至仁化县财政局周田财政所</w:t>
      </w:r>
      <w:r>
        <w:rPr>
          <w:rFonts w:hint="eastAsia" w:ascii="宋体" w:hAnsi="宋体" w:eastAsia="宋体" w:cs="宋体"/>
          <w:snapToGrid w:val="0"/>
          <w:color w:val="000000" w:themeColor="text1"/>
          <w:kern w:val="0"/>
          <w:sz w:val="24"/>
          <w:szCs w:val="24"/>
          <w:highlight w:val="none"/>
          <w14:textFill>
            <w14:solidFill>
              <w14:schemeClr w14:val="tx1"/>
            </w14:solidFill>
          </w14:textFill>
        </w:rPr>
        <w:t>，于次月一次性结清合同价格。</w:t>
      </w:r>
    </w:p>
    <w:p w14:paraId="058D0CE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both"/>
        <w:textAlignment w:val="auto"/>
        <w:rPr>
          <w:rFonts w:hint="eastAsia" w:ascii="宋体" w:hAnsi="宋体" w:eastAsia="宋体" w:cs="宋体"/>
          <w:snapToGrid w:val="0"/>
          <w:color w:val="000000" w:themeColor="text1"/>
          <w:spacing w:val="0"/>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3.8</w:t>
      </w:r>
      <w:r>
        <w:rPr>
          <w:rFonts w:hint="eastAsia" w:ascii="宋体" w:hAnsi="宋体" w:eastAsia="宋体" w:cs="宋体"/>
          <w:color w:val="000000" w:themeColor="text1"/>
          <w:sz w:val="24"/>
          <w:szCs w:val="24"/>
          <w:highlight w:val="none"/>
          <w14:textFill>
            <w14:solidFill>
              <w14:schemeClr w14:val="tx1"/>
            </w14:solidFill>
          </w14:textFill>
        </w:rPr>
        <w:t>本招标项目缺陷责任期为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年（自通过竣工验收之日起计）。缺陷责任期到期后，承包人向发包人申请退还质量保证。发包人收到退还申请后，于14天内会同承包人进行核实。经双方核实且均无异议后，发包人在核实之日起 14 天内将应返保证金（或银行保函）退还承包人。</w:t>
      </w:r>
    </w:p>
    <w:p w14:paraId="5F97EA0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3.9</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w:t>
      </w: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发包人每次支付工程款前，承包人均应提供有效的增值税专用发票。如果承包人无法提供符合要求的发票，由此造成的相应损失由承包人承担。</w:t>
      </w:r>
    </w:p>
    <w:p w14:paraId="5FDBA552">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w:t>
      </w:r>
      <w:r>
        <w:rPr>
          <w:rFonts w:hint="eastAsia" w:ascii="宋体" w:hAnsi="宋体" w:eastAsia="宋体" w:cs="宋体"/>
          <w:b/>
          <w:bCs/>
          <w:snapToGrid w:val="0"/>
          <w:color w:val="000000" w:themeColor="text1"/>
          <w:spacing w:val="0"/>
          <w:kern w:val="0"/>
          <w:sz w:val="24"/>
          <w:szCs w:val="20"/>
          <w:highlight w:val="none"/>
          <w:lang w:val="en-US" w:eastAsia="zh-CN"/>
          <w14:textFill>
            <w14:solidFill>
              <w14:schemeClr w14:val="tx1"/>
            </w14:solidFill>
          </w14:textFill>
        </w:rPr>
        <w:t>10</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暂列金额支付方式：</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承包人需根据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确认后支付至该部分实际完成工程量的（80％），其余部分待结算完成审核后支付至 97%，剩余 3%为工程质量保修金。</w:t>
      </w:r>
    </w:p>
    <w:p w14:paraId="4273771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both"/>
        <w:textAlignment w:val="auto"/>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pPr>
      <w:r>
        <w:rPr>
          <w:rFonts w:hint="eastAsia" w:ascii="宋体" w:hAnsi="宋体" w:eastAsia="宋体" w:cs="宋体"/>
          <w:b/>
          <w:bCs/>
          <w:snapToGrid w:val="0"/>
          <w:color w:val="000000" w:themeColor="text1"/>
          <w:spacing w:val="0"/>
          <w:kern w:val="0"/>
          <w:sz w:val="24"/>
          <w:szCs w:val="20"/>
          <w:highlight w:val="none"/>
          <w:lang w:eastAsia="zh-CN"/>
          <w14:textFill>
            <w14:solidFill>
              <w14:schemeClr w14:val="tx1"/>
            </w14:solidFill>
          </w14:textFill>
        </w:rPr>
        <w:t>3.11</w:t>
      </w:r>
      <w:r>
        <w:rPr>
          <w:rFonts w:hint="eastAsia" w:ascii="宋体" w:hAnsi="宋体" w:eastAsia="宋体" w:cs="宋体"/>
          <w:snapToGrid w:val="0"/>
          <w:color w:val="000000" w:themeColor="text1"/>
          <w:spacing w:val="0"/>
          <w:kern w:val="0"/>
          <w:sz w:val="24"/>
          <w:szCs w:val="20"/>
          <w:highlight w:val="none"/>
          <w:lang w:eastAsia="zh-CN"/>
          <w14:textFill>
            <w14:solidFill>
              <w14:schemeClr w14:val="tx1"/>
            </w14:solidFill>
          </w14:textFill>
        </w:rPr>
        <w:t xml:space="preserve"> 材料暂估价、专业工程暂估价支付方式：</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材料暂估价、专业工程暂估价与每个月的工程进度款一并报送，但需要列明详细项目内容，该部分材料暂估价、专业工程暂估价按该部分实际完成工程量的50%支付，工程竣工验收合格后</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14天内</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支付至8</w:t>
      </w:r>
      <w:r>
        <w:rPr>
          <w:rFonts w:hint="eastAsia" w:ascii="宋体" w:hAnsi="宋体" w:eastAsia="宋体" w:cs="宋体"/>
          <w:snapToGrid w:val="0"/>
          <w:color w:val="000000" w:themeColor="text1"/>
          <w:spacing w:val="0"/>
          <w:kern w:val="0"/>
          <w:sz w:val="24"/>
          <w:szCs w:val="20"/>
          <w:highlight w:val="none"/>
          <w:u w:val="single"/>
          <w:lang w:val="en-US" w:eastAsia="zh-CN"/>
          <w14:textFill>
            <w14:solidFill>
              <w14:schemeClr w14:val="tx1"/>
            </w14:solidFill>
          </w14:textFill>
        </w:rPr>
        <w:t>0</w:t>
      </w:r>
      <w:r>
        <w:rPr>
          <w:rFonts w:hint="eastAsia" w:ascii="宋体" w:hAnsi="宋体" w:eastAsia="宋体" w:cs="宋体"/>
          <w:snapToGrid w:val="0"/>
          <w:color w:val="000000" w:themeColor="text1"/>
          <w:spacing w:val="0"/>
          <w:kern w:val="0"/>
          <w:sz w:val="24"/>
          <w:szCs w:val="20"/>
          <w:highlight w:val="none"/>
          <w:u w:val="single"/>
          <w:lang w:eastAsia="zh-CN"/>
          <w14:textFill>
            <w14:solidFill>
              <w14:schemeClr w14:val="tx1"/>
            </w14:solidFill>
          </w14:textFill>
        </w:rPr>
        <w:t>%，剩余部分结算完成后支付至审定造价的97%，剩余3%为工程质量保修金。</w:t>
      </w:r>
    </w:p>
    <w:p w14:paraId="1B4A6494">
      <w:pPr>
        <w:keepNext w:val="0"/>
        <w:keepLines w:val="0"/>
        <w:pageBreakBefore w:val="0"/>
        <w:wordWrap w:val="0"/>
        <w:overflowPunct/>
        <w:topLinePunct w:val="0"/>
        <w:bidi w:val="0"/>
        <w:spacing w:before="154" w:line="212" w:lineRule="auto"/>
        <w:ind w:left="486"/>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181" w:name="_Toc9813"/>
      <w:r>
        <w:rPr>
          <w:rFonts w:hint="eastAsia" w:ascii="宋体" w:hAnsi="宋体" w:eastAsia="宋体" w:cs="宋体"/>
          <w:b/>
          <w:bCs/>
          <w:color w:val="000000" w:themeColor="text1"/>
          <w:spacing w:val="0"/>
          <w:sz w:val="24"/>
          <w:szCs w:val="24"/>
          <w:highlight w:val="none"/>
          <w14:textFill>
            <w14:solidFill>
              <w14:schemeClr w14:val="tx1"/>
            </w14:solidFill>
          </w14:textFill>
        </w:rPr>
        <w:t>4 ．其他专用合同条款</w:t>
      </w:r>
      <w:bookmarkEnd w:id="181"/>
    </w:p>
    <w:p w14:paraId="51069F9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专业工程分包 </w:t>
      </w:r>
    </w:p>
    <w:p w14:paraId="71E5A23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0D298AF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工人工资支付专用账户 </w:t>
      </w:r>
    </w:p>
    <w:p w14:paraId="2454931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发、承包双方订立合同时，应就承包人设立工人工资支付专用账户（以下简称“工资专户”）、工程进度款中工人工资款的比例为30%、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3733DDD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64D1C6EB">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6F4D018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4564E29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承包人应在工资专户开立后 2 个工作日内，将开户银行及其账号、开户协议等资料提交给发包人。 </w:t>
      </w:r>
    </w:p>
    <w:p w14:paraId="0F3EA377">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（1）用人单位应当在建设项目动工前，在建设项目所在地商业银行设立工人工资支付专用账户。 </w:t>
      </w:r>
    </w:p>
    <w:p w14:paraId="776A9988">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（2）用人单位应当在用工之日起 15 日内为每一位工人办理个人银行账户。</w:t>
      </w:r>
    </w:p>
    <w:p w14:paraId="327E5743">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（3）用人单位应当指定专人负责建设项目施工现场台账管理，真实、准确记录工人名册、劳务合同、劳动合同、工程进度、工时台账、劳务承包款和工人工资支付等信息，并保存两年以上备查。</w:t>
      </w:r>
    </w:p>
    <w:p w14:paraId="493CA8A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（4）用人单位应当按照“及时支付，按实结算”的原则，在规定日期前通过银行工人工资支付专用账户将工人工资直接支付到工人的个人银行账户，并按月将工人工资支付 明细表报施工总承包单位和建设单位备案。</w:t>
      </w:r>
    </w:p>
    <w:p w14:paraId="2E48CB0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用人单位未建立、保存用工管理台账，或者伪造相关台账的，按照《广东省劳动保障监察条例》第四十九条的规定，由人力资源社会保障部门责令改正，并可处以二千元以上二万元以下的人民币罚款。</w:t>
      </w:r>
    </w:p>
    <w:p w14:paraId="35366B3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34B5D4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诚信登记 </w:t>
      </w:r>
    </w:p>
    <w:p w14:paraId="6076B96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根据资质管理规定，许可机关应当建立、健全建筑业企业信用档案管理制度，包括企业基本信息、资质、业绩、工程质量和安全、合同履约、社会投诉和违法行为等情况。 </w:t>
      </w:r>
    </w:p>
    <w:p w14:paraId="1254AFF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工期进度 </w:t>
      </w:r>
    </w:p>
    <w:p w14:paraId="50B1F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本招标项目施工标准工期为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180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个日历天，招标工期为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180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个日历天，承包人必须在招标工期内完成招标范围内的全部内容。 </w:t>
      </w:r>
    </w:p>
    <w:p w14:paraId="3937827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施工工期从承包人收到监理单位签发的开工令之日起计，至竣工验收合格之日止。</w:t>
      </w:r>
    </w:p>
    <w:p w14:paraId="48D28B1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4.4.3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工期奖罚 </w:t>
      </w:r>
    </w:p>
    <w:p w14:paraId="046DC92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□竣工验收合格交付使用每提前</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天竣工；奖</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元，奖励金额不超过合同价款的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65E4E59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元。 </w:t>
      </w:r>
    </w:p>
    <w:p w14:paraId="74F80B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□按施工合同期约定,因承包人原因延误工期</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天内不处罚， 自第壹天起每延误</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天竣工,罚元。处罚金额不超过合同价款的</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%（一般为 2%～5%）且不超过万元，累计延误工期达到</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天，报请建设行政主管部门作不良行为记录，非承包方原因或不可抗力造成延误的除外。 </w:t>
      </w:r>
    </w:p>
    <w:p w14:paraId="7091C39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☑其它说明：（1）因承包人原因，工程没有按期竣工时，承包人须在逾期第壹天起每天按合同价的 1‰ 向发包人返纳逾期竣工违约金。逾期竣工违约金的最高限额为合同价款的3%。</w:t>
      </w:r>
    </w:p>
    <w:p w14:paraId="3965E8A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2B12986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（3）承包人在进场后7天内提交施工进度计划，并注明主要施工节点时间，送监理单位及发包人审核后，作为工期考核的阶段性指标。</w:t>
      </w:r>
    </w:p>
    <w:p w14:paraId="28565A0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项目管理机构 </w:t>
      </w:r>
    </w:p>
    <w:p w14:paraId="27CA87A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承包人派驻的项目管理班子成员必须为其投标文件确定的人员，否则发包人有权终止合同。 </w:t>
      </w:r>
    </w:p>
    <w:p w14:paraId="155CBDD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4.5.2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0AE1D1C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现场管理 </w:t>
      </w:r>
    </w:p>
    <w:p w14:paraId="75752D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63E3D6B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承包人应按安全施工有关规定，采取严格、科学的安全防护措施，确保施工和人员（包括第三者）的安全，承担由于自身安全防护措施不力所造成的安全事故责任和发生的费用。</w:t>
      </w:r>
    </w:p>
    <w:p w14:paraId="36093A8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4.6.3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为保证施工现场的环境卫生，承包人在本招标项目施工过程中，所有的车辆必须按发包人规定的行车路线行驶。 </w:t>
      </w:r>
    </w:p>
    <w:p w14:paraId="18513EF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监督实施 </w:t>
      </w:r>
    </w:p>
    <w:p w14:paraId="11B9958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1E497966">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主材的采购和使用 </w:t>
      </w:r>
    </w:p>
    <w:p w14:paraId="45CFC6F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637CD19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4.9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竣工资料移交 </w:t>
      </w:r>
    </w:p>
    <w:p w14:paraId="5E7CD97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项目竣工验收时，承包人应向监理单位和发包人提供符合国家档案部门备案要求的，编制成册的竣工图及有关的技术档案资料（含声像档案）一式四份。 </w:t>
      </w:r>
    </w:p>
    <w:p w14:paraId="4941230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质量保证</w:t>
      </w:r>
    </w:p>
    <w:p w14:paraId="7C977E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本招标项目缺陷责任期为</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年（自通过竣工验收之日起计），在此期间预留金额为结算价</w:t>
      </w:r>
      <w:r>
        <w:rPr>
          <w:rFonts w:hint="eastAsia" w:ascii="宋体" w:hAnsi="宋体" w:eastAsia="宋体" w:cs="宋体"/>
          <w:bCs/>
          <w:snapToGrid w:val="0"/>
          <w:color w:val="000000" w:themeColor="text1"/>
          <w:spacing w:val="0"/>
          <w:kern w:val="0"/>
          <w:sz w:val="24"/>
          <w:szCs w:val="24"/>
          <w:highlight w:val="none"/>
          <w:u w:val="single"/>
          <w:lang w:val="en-US" w:eastAsia="zh-CN"/>
          <w14:textFill>
            <w14:solidFill>
              <w14:schemeClr w14:val="tx1"/>
            </w14:solidFill>
          </w14:textFill>
        </w:rPr>
        <w:t>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的质量保证。</w:t>
      </w:r>
    </w:p>
    <w:p w14:paraId="0CE411C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承包人提交了等额质量保证金金额至仁化县财政局周田财政所，于次月一次性结清合同价格。 </w:t>
      </w:r>
    </w:p>
    <w:p w14:paraId="00FA11C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215343E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由他人原因造成的缺陷，发包人负责组织维修，承包人不承担费用，且发包人不得从质量保证中扣除费用。 </w:t>
      </w:r>
    </w:p>
    <w:p w14:paraId="7C6CD6D1">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4.10.4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2102D96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不良行为处理 </w:t>
      </w:r>
    </w:p>
    <w:p w14:paraId="043D6EC9">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承包人及其有关人员有下列行为之一的，发包人应及时向建设行政主管部门报告。除按照有关法律、法规进行处罚外，不良行为将计入企业及有关个人诚信档案，并在韶关市住房和城乡建设管理局网站公示。 </w:t>
      </w:r>
    </w:p>
    <w:p w14:paraId="67A4E90D">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（1）转包、违法分包或违反投标承诺分包工程的； </w:t>
      </w:r>
    </w:p>
    <w:p w14:paraId="01E2E653">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（2）非原参加投标中标的项目经理负责组织施工或在实施过程中擅自更换项目经理的、项目的其他主要管理人员与中标文件确定的人员不相符的；</w:t>
      </w:r>
    </w:p>
    <w:p w14:paraId="4FF9DCC5">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（3）投标文件确定的大型机械设备没有进入施工现场的； </w:t>
      </w:r>
    </w:p>
    <w:p w14:paraId="2C56F212">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（4）与建设单位、监理单位串通，签认虚假工程量或工程造价的； </w:t>
      </w:r>
    </w:p>
    <w:p w14:paraId="32D0DD6E">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（5）项目经理施工现场管理不到位的； </w:t>
      </w:r>
    </w:p>
    <w:p w14:paraId="01C481BC">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（6）项目经理在非本人资格证书注册单位从事工程项目施工管理的； </w:t>
      </w:r>
    </w:p>
    <w:p w14:paraId="6E3D80EF">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（7）项目经理同时承担超过一项工程项目的； </w:t>
      </w:r>
    </w:p>
    <w:p w14:paraId="7A86FACA">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（8）违反有关法律、法规、规章规定的其它行为。 </w:t>
      </w:r>
    </w:p>
    <w:p w14:paraId="2E40166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4.12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信用评价条款内容 </w:t>
      </w:r>
    </w:p>
    <w:p w14:paraId="00CEB1A4">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7742348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29E4D296">
      <w:pPr>
        <w:keepNext w:val="0"/>
        <w:keepLines w:val="0"/>
        <w:pageBreakBefore w:val="0"/>
        <w:wordWrap w:val="0"/>
        <w:overflowPunct/>
        <w:topLinePunct w:val="0"/>
        <w:bidi w:val="0"/>
        <w:adjustRightInd w:val="0"/>
        <w:snapToGrid w:val="0"/>
        <w:spacing w:line="440" w:lineRule="exact"/>
        <w:ind w:firstLine="480"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54C50EB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承包人在工程实施过程中，按照国家、省、市的相关规定制定相关的专项安全施工方案（如高支模、基坑支护、沉井等），编制专项施工方案报监理人、发包人审批后方可开展专项工程的施工。 </w:t>
      </w:r>
    </w:p>
    <w:p w14:paraId="155F34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4.15</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000000" w:themeColor="text1"/>
          <w:spacing w:val="0"/>
          <w:kern w:val="2"/>
          <w:sz w:val="24"/>
          <w:szCs w:val="24"/>
          <w:highlight w:val="none"/>
          <w:u w:val="single"/>
          <w:shd w:val="clear" w:color="auto" w:fill="FFFFFF"/>
          <w:lang w:val="en-US" w:eastAsia="zh-CN" w:bidi="ar-SA"/>
          <w14:textFill>
            <w14:solidFill>
              <w14:schemeClr w14:val="tx1"/>
            </w14:solidFill>
          </w14:textFill>
        </w:rPr>
        <w:t xml:space="preserve"> 壹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30E88A4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 xml:space="preserve">4.16 </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234A348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4.17</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3EA232A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4.18</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承包人中标后必须按规定及时缴交工人工资保证金、环保噪声排污费等。 </w:t>
      </w:r>
    </w:p>
    <w:p w14:paraId="232F19CC">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4.19</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工程质量保修期按《中华人民共和国建筑法》、《建设工程质量管理条例》等相关规定实施。 </w:t>
      </w:r>
    </w:p>
    <w:p w14:paraId="794DBDF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4.20</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如项目实施过程中发生了工程变更及工程签证，承包人需根据发布的《工程变更管理办法》和《工程签证管理办法》完善工程变更签证相关程序。 </w:t>
      </w:r>
    </w:p>
    <w:p w14:paraId="0657C355">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承包人需按相关规定要求，设置本工程符合相关要求的永久性标牌及规划公示牌，投标人在投标报价时综合考虑在报价内，发包人不另行支付该部分费用。 </w:t>
      </w:r>
    </w:p>
    <w:p w14:paraId="1605F613">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4.22</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承包人应在项目所在地住建管理部门办理诚信登记，发包人将严格按住建管理部门诚信登记管理办法对承包人履约情况进行考核。 </w:t>
      </w:r>
    </w:p>
    <w:p w14:paraId="7F42F4AA">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4.23</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承包人应按韶关市住房和城乡建设管理局、韶关市人力资源和社会保障局等职能部门对用工实名制的相关规定,落实工人及相关软硬件设施要求。</w:t>
      </w:r>
    </w:p>
    <w:p w14:paraId="6E4D0758">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质量违约</w:t>
      </w:r>
    </w:p>
    <w:p w14:paraId="3501D7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材料违约处理：若发现材料不符合国家标准或发包人在技术规范中规定的标准， </w:t>
      </w:r>
    </w:p>
    <w:p w14:paraId="3A33DEBF">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视为承包人违约，按现行《建设工程质量管理条例》处理。 </w:t>
      </w:r>
    </w:p>
    <w:p w14:paraId="172C2EA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4.24.1.1</w:t>
      </w: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 成品采购项目在采购前，承包人必须先行书面征求监理人、发包人的同意并 </w:t>
      </w:r>
    </w:p>
    <w:p w14:paraId="0FE498C6">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 xml:space="preserve">一起看样定版后方能实施。未经监理人、发包人同意擅自先行采购和实施的，否则因不符 </w:t>
      </w:r>
    </w:p>
    <w:p w14:paraId="78BCD3A2">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sz w:val="24"/>
          <w:szCs w:val="24"/>
          <w:highlight w:val="none"/>
          <w:lang w:val="en-US" w:eastAsia="zh-CN"/>
          <w14:textFill>
            <w14:solidFill>
              <w14:schemeClr w14:val="tx1"/>
            </w14:solidFill>
          </w14:textFill>
        </w:rPr>
        <w:t>合设计要求返工造成的费用由承包人承担。</w:t>
      </w:r>
    </w:p>
    <w:p w14:paraId="77B7961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工程质量违约： </w:t>
      </w:r>
    </w:p>
    <w:p w14:paraId="433283B4">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在施工过程中经监理单位日常巡查或抽检发现未达到合格标准，责令承包人进 </w:t>
      </w:r>
    </w:p>
    <w:p w14:paraId="12C6716D">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行整改，如未按规定时间进行整改或整改不到位的，每次按 5000 元缴纳违约金给发包人，在进度款或结算款中一并扣除。 </w:t>
      </w:r>
    </w:p>
    <w:p w14:paraId="5755758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4.24.2.2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工程质量标准须达到国家验收合格标准。如未达到合格标准，除无偿返工至合 </w:t>
      </w:r>
    </w:p>
    <w:p w14:paraId="2A82A30B">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格外，还要按合同价款的 1%向招标人支付质量违约金，工期不予顺延。 </w:t>
      </w:r>
    </w:p>
    <w:p w14:paraId="44A72C4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重大责任事故违约 </w:t>
      </w:r>
    </w:p>
    <w:p w14:paraId="7EC71D9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4.25.1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承包人因违反国家安全质量法规及合同有关条款约定,出现火灾、坍塌、人员重 </w:t>
      </w:r>
    </w:p>
    <w:p w14:paraId="3E6F36F7">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伤、死亡等重大责任事故,则承包人应承担全部损失,并按相关法规接受行政处罚；如造成发 </w:t>
      </w:r>
    </w:p>
    <w:p w14:paraId="105736B3">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包人及对第三人利益的损害,该等损害赔偿责任均由承包人承担。 </w:t>
      </w:r>
    </w:p>
    <w:p w14:paraId="5C6E18CD">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用工违约 </w:t>
      </w:r>
    </w:p>
    <w:p w14:paraId="244A204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4.26.1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在合同履行期间，如经查实承包人拖欠或克扣农民工或劳务工工资，导致劳资纠纷或发生危及公共安全或正常社会秩序的事件的，按承包人违约处理，承包人应按拖欠或克 </w:t>
      </w:r>
    </w:p>
    <w:p w14:paraId="6B19D6EE">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扣农民工工资总金额 2 倍的标准向发包人缴纳惩罚性违约金。 </w:t>
      </w:r>
    </w:p>
    <w:p w14:paraId="7980D17E">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安全文明施工违约 </w:t>
      </w:r>
    </w:p>
    <w:p w14:paraId="58B06849">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如承包人违反国家、广东省、发包人及合同关于安全文明施工的规定，但尚未造 </w:t>
      </w:r>
    </w:p>
    <w:p w14:paraId="0E250BDA">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成安全责任事故，承包人应及时改正行为并赔偿相关方的损失，如未及时整改,针对每一违约 </w:t>
      </w:r>
    </w:p>
    <w:p w14:paraId="4F637481">
      <w:pPr>
        <w:keepNext w:val="0"/>
        <w:keepLines w:val="0"/>
        <w:pageBreakBefore w:val="0"/>
        <w:wordWrap w:val="0"/>
        <w:overflowPunct/>
        <w:topLinePunct w:val="0"/>
        <w:bidi w:val="0"/>
        <w:adjustRightInd w:val="0"/>
        <w:snapToGrid w:val="0"/>
        <w:spacing w:line="440" w:lineRule="exact"/>
        <w:ind w:left="0" w:leftChars="0" w:firstLine="0" w:firstLineChars="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行为每持续一天应缴纳违约金 1000.00 元。</w:t>
      </w:r>
    </w:p>
    <w:p w14:paraId="48A3EC33">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4.27.2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承包人必须接受发包人及监理单位组织的安全、文明施工的检查，检查中的不合格项目、安全隐患必须在规定的时间内整改完成，否则每拖延一天处以 2000.00 元人民币违约金，直至整改合格。 </w:t>
      </w:r>
    </w:p>
    <w:p w14:paraId="1D39E82F">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其他违约 </w:t>
      </w:r>
    </w:p>
    <w:p w14:paraId="3987CEFB">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4.28.1</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w:t>
      </w:r>
    </w:p>
    <w:p w14:paraId="7093E00C">
      <w:pPr>
        <w:keepNext w:val="0"/>
        <w:keepLines w:val="0"/>
        <w:pageBreakBefore w:val="0"/>
        <w:wordWrap w:val="0"/>
        <w:overflowPunct/>
        <w:topLinePunct w:val="0"/>
        <w:bidi w:val="0"/>
        <w:adjustRightInd w:val="0"/>
        <w:snapToGrid w:val="0"/>
        <w:spacing w:line="440" w:lineRule="exact"/>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程师审核并报发包人批准后，承包人可安排同等资历的人员替换。 </w:t>
      </w:r>
    </w:p>
    <w:p w14:paraId="06E8294D">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4.28.2</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中标人施工资料必须与形象进度同步。</w:t>
      </w:r>
    </w:p>
    <w:p w14:paraId="7B1DB3D2">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Cs/>
          <w:snapToGrid w:val="0"/>
          <w:color w:val="000000" w:themeColor="text1"/>
          <w:spacing w:val="0"/>
          <w:kern w:val="0"/>
          <w:sz w:val="24"/>
          <w:szCs w:val="24"/>
          <w:highlight w:val="none"/>
          <w:lang w:val="en-US" w:eastAsia="zh-CN" w:bidi="ar-SA"/>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4.28.3</w:t>
      </w:r>
      <w:r>
        <w:rPr>
          <w:rFonts w:hint="eastAsia" w:ascii="宋体" w:hAnsi="宋体" w:eastAsia="宋体" w:cs="宋体"/>
          <w:b w:val="0"/>
          <w:bCs/>
          <w:snapToGrid w:val="0"/>
          <w:color w:val="000000" w:themeColor="text1"/>
          <w:spacing w:val="0"/>
          <w:kern w:val="0"/>
          <w:sz w:val="24"/>
          <w:szCs w:val="24"/>
          <w:highlight w:val="none"/>
          <w:lang w:val="en-US" w:eastAsia="zh-CN"/>
          <w14:textFill>
            <w14:solidFill>
              <w14:schemeClr w14:val="tx1"/>
            </w14:solidFill>
          </w14:textFill>
        </w:rPr>
        <w:t xml:space="preserve"> 承包人没有正当合理的理由中途退场，可扣除承包人已递交的所有履约风险保证金。承包人因上述违约行为而须缴纳的违约金在工程进度款中或结算时一并扣除。</w:t>
      </w:r>
    </w:p>
    <w:p w14:paraId="22A28A70">
      <w:pPr>
        <w:keepNext w:val="0"/>
        <w:keepLines w:val="0"/>
        <w:pageBreakBefore w:val="0"/>
        <w:wordWrap w:val="0"/>
        <w:overflowPunct/>
        <w:topLinePunct w:val="0"/>
        <w:bidi w:val="0"/>
        <w:adjustRightInd w:val="0"/>
        <w:snapToGrid w:val="0"/>
        <w:spacing w:line="440" w:lineRule="exact"/>
        <w:ind w:firstLine="482" w:firstLineChars="200"/>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sz w:val="24"/>
          <w:szCs w:val="24"/>
          <w:highlight w:val="none"/>
          <w:lang w:val="en-US" w:eastAsia="zh-CN"/>
          <w14:textFill>
            <w14:solidFill>
              <w14:schemeClr w14:val="tx1"/>
            </w14:solidFill>
          </w14:textFill>
        </w:rPr>
        <w:t>5.其他合同条款由招标人与中标人自行协商约定</w:t>
      </w:r>
    </w:p>
    <w:p w14:paraId="76E3D22A">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592C9070">
      <w:pPr>
        <w:keepNext w:val="0"/>
        <w:keepLines w:val="0"/>
        <w:pageBreakBefore w:val="0"/>
        <w:wordWrap w:val="0"/>
        <w:overflowPunct/>
        <w:topLinePunct w:val="0"/>
        <w:bidi w:val="0"/>
        <w:spacing w:before="78" w:line="219" w:lineRule="auto"/>
        <w:ind w:left="3273"/>
        <w:outlineLvl w:val="0"/>
        <w:rPr>
          <w:rFonts w:hint="eastAsia" w:ascii="宋体" w:hAnsi="宋体" w:eastAsia="宋体" w:cs="宋体"/>
          <w:color w:val="000000" w:themeColor="text1"/>
          <w:spacing w:val="0"/>
          <w:highlight w:val="none"/>
          <w14:textFill>
            <w14:solidFill>
              <w14:schemeClr w14:val="tx1"/>
            </w14:solidFill>
          </w14:textFill>
        </w:rPr>
      </w:pPr>
      <w:bookmarkStart w:id="182" w:name="_Toc30336"/>
      <w:r>
        <w:rPr>
          <w:rFonts w:hint="eastAsia" w:ascii="宋体" w:hAnsi="宋体" w:eastAsia="宋体" w:cs="宋体"/>
          <w:b/>
          <w:bCs/>
          <w:color w:val="000000" w:themeColor="text1"/>
          <w:spacing w:val="0"/>
          <w:sz w:val="24"/>
          <w:szCs w:val="24"/>
          <w:highlight w:val="none"/>
          <w14:textFill>
            <w14:solidFill>
              <w14:schemeClr w14:val="tx1"/>
            </w14:solidFill>
          </w14:textFill>
        </w:rPr>
        <w:t>第四章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技术要求</w:t>
      </w:r>
      <w:bookmarkEnd w:id="182"/>
    </w:p>
    <w:p w14:paraId="3E6A87FB">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9F1228B">
      <w:pPr>
        <w:keepNext w:val="0"/>
        <w:keepLines w:val="0"/>
        <w:pageBreakBefore w:val="0"/>
        <w:wordWrap w:val="0"/>
        <w:overflowPunct/>
        <w:topLinePunct w:val="0"/>
        <w:bidi w:val="0"/>
        <w:spacing w:before="78" w:line="221" w:lineRule="auto"/>
        <w:ind w:left="12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83" w:name="_Toc10155"/>
      <w:bookmarkStart w:id="184" w:name="_Toc20347"/>
      <w:r>
        <w:rPr>
          <w:rFonts w:hint="eastAsia" w:ascii="宋体" w:hAnsi="宋体" w:eastAsia="宋体" w:cs="宋体"/>
          <w:b/>
          <w:bCs/>
          <w:color w:val="000000" w:themeColor="text1"/>
          <w:spacing w:val="0"/>
          <w:sz w:val="24"/>
          <w:szCs w:val="24"/>
          <w:highlight w:val="none"/>
          <w14:textFill>
            <w14:solidFill>
              <w14:schemeClr w14:val="tx1"/>
            </w14:solidFill>
          </w14:textFill>
        </w:rPr>
        <w:t>1 ．房屋建筑工程建设项目</w:t>
      </w:r>
      <w:bookmarkEnd w:id="183"/>
      <w:bookmarkEnd w:id="184"/>
    </w:p>
    <w:p w14:paraId="0CE4FE26">
      <w:pPr>
        <w:keepNext w:val="0"/>
        <w:keepLines w:val="0"/>
        <w:pageBreakBefore w:val="0"/>
        <w:wordWrap w:val="0"/>
        <w:overflowPunct/>
        <w:topLinePunct w:val="0"/>
        <w:bidi w:val="0"/>
        <w:spacing w:before="152"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房屋建筑工程建设项目必须执行的现行技术规范，包括且不限于：</w:t>
      </w:r>
    </w:p>
    <w:p w14:paraId="2E913A2A">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（1）《建筑工程施工质量验收统一标准》；</w:t>
      </w:r>
    </w:p>
    <w:p w14:paraId="21289F3F">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（2）《建筑地基基础工程施工质量验收规范》；</w:t>
      </w:r>
    </w:p>
    <w:p w14:paraId="21379855">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（3）《砌体工程施工质量验收规范》；</w:t>
      </w:r>
    </w:p>
    <w:p w14:paraId="191C91D8">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（4）《混凝土结构工程施工质量验收规范》；</w:t>
      </w:r>
    </w:p>
    <w:p w14:paraId="3087379D">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（5）《屋面工程质量验收规范》；</w:t>
      </w:r>
    </w:p>
    <w:p w14:paraId="3B431104">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（6）《地下防水工程质量验收规范》；</w:t>
      </w:r>
    </w:p>
    <w:p w14:paraId="47AE272D">
      <w:pPr>
        <w:keepNext w:val="0"/>
        <w:keepLines w:val="0"/>
        <w:pageBreakBefore w:val="0"/>
        <w:wordWrap w:val="0"/>
        <w:overflowPunct/>
        <w:topLinePunct w:val="0"/>
        <w:bidi w:val="0"/>
        <w:spacing w:before="156"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（7）《建筑地面工程施工质量验收规范》；</w:t>
      </w:r>
    </w:p>
    <w:p w14:paraId="76A79CB0">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（8）《建筑装饰装修工程施工质量验收规范》；</w:t>
      </w:r>
    </w:p>
    <w:p w14:paraId="7E836C74">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（9）《建筑给排水及采暖工程施工质量验收规范》；</w:t>
      </w:r>
    </w:p>
    <w:p w14:paraId="2710142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（10）《建筑电气工程施工质量验收规范》；</w:t>
      </w:r>
    </w:p>
    <w:p w14:paraId="64136A9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（11）《住建部绿色建筑评价标准》；</w:t>
      </w:r>
    </w:p>
    <w:p w14:paraId="394AE18E">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（12）《建筑节能与可再生能源利用通用规范》（GB55015-2021）；</w:t>
      </w:r>
    </w:p>
    <w:p w14:paraId="5F96829D">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（13）《建筑环境通用规范》；</w:t>
      </w:r>
    </w:p>
    <w:p w14:paraId="0198E858">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bookmarkStart w:id="185" w:name="_Toc16294"/>
      <w:bookmarkStart w:id="186" w:name="_Toc12084"/>
      <w:r>
        <w:rPr>
          <w:rFonts w:hint="eastAsia" w:ascii="宋体" w:hAnsi="宋体" w:eastAsia="宋体" w:cs="宋体"/>
          <w:color w:val="000000" w:themeColor="text1"/>
          <w:spacing w:val="0"/>
          <w:sz w:val="24"/>
          <w:szCs w:val="24"/>
          <w:highlight w:val="none"/>
          <w14:textFill>
            <w14:solidFill>
              <w14:schemeClr w14:val="tx1"/>
            </w14:solidFill>
          </w14:textFill>
        </w:rPr>
        <w:t>（14）《建筑与市政工程无障碍通用规范》 GB 55019-2021；</w:t>
      </w:r>
      <w:bookmarkEnd w:id="185"/>
      <w:bookmarkEnd w:id="186"/>
    </w:p>
    <w:p w14:paraId="208415E7">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87" w:name="_Toc15158"/>
      <w:bookmarkStart w:id="188" w:name="_Toc1177"/>
      <w:r>
        <w:rPr>
          <w:rFonts w:hint="eastAsia" w:ascii="宋体" w:hAnsi="宋体" w:eastAsia="宋体" w:cs="宋体"/>
          <w:color w:val="000000" w:themeColor="text1"/>
          <w:spacing w:val="0"/>
          <w:sz w:val="24"/>
          <w:szCs w:val="24"/>
          <w:highlight w:val="none"/>
          <w14:textFill>
            <w14:solidFill>
              <w14:schemeClr w14:val="tx1"/>
            </w14:solidFill>
          </w14:textFill>
        </w:rPr>
        <w:t>（15）《建筑防火通用规范》GB 55037-2022</w:t>
      </w:r>
      <w:bookmarkEnd w:id="187"/>
      <w:bookmarkEnd w:id="188"/>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3CAEBDB1">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89" w:name="_Toc2461"/>
      <w:bookmarkStart w:id="190" w:name="_Toc24233"/>
      <w:r>
        <w:rPr>
          <w:rFonts w:hint="eastAsia" w:ascii="宋体" w:hAnsi="宋体" w:eastAsia="宋体" w:cs="宋体"/>
          <w:color w:val="000000" w:themeColor="text1"/>
          <w:spacing w:val="0"/>
          <w:sz w:val="24"/>
          <w:szCs w:val="24"/>
          <w:highlight w:val="none"/>
          <w14:textFill>
            <w14:solidFill>
              <w14:schemeClr w14:val="tx1"/>
            </w14:solidFill>
          </w14:textFill>
        </w:rPr>
        <w:t>（16）《建筑与市政工程抗震通用规范》GB55002-2001</w:t>
      </w:r>
      <w:bookmarkEnd w:id="189"/>
      <w:bookmarkEnd w:id="190"/>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685DD796">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1" w:name="_Toc8109"/>
      <w:bookmarkStart w:id="192" w:name="_Toc5777"/>
      <w:r>
        <w:rPr>
          <w:rFonts w:hint="eastAsia" w:ascii="宋体" w:hAnsi="宋体" w:eastAsia="宋体" w:cs="宋体"/>
          <w:color w:val="000000" w:themeColor="text1"/>
          <w:spacing w:val="0"/>
          <w:sz w:val="24"/>
          <w:szCs w:val="24"/>
          <w:highlight w:val="none"/>
          <w14:textFill>
            <w14:solidFill>
              <w14:schemeClr w14:val="tx1"/>
            </w14:solidFill>
          </w14:textFill>
        </w:rPr>
        <w:t>（17）《建筑与市政地基基础通用规范》GB55003-20</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1</w:t>
      </w:r>
      <w:bookmarkEnd w:id="191"/>
      <w:bookmarkEnd w:id="19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0DBFC09">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（18）《广东省住房和城乡建设厅绿色施工导则》；</w:t>
      </w:r>
    </w:p>
    <w:p w14:paraId="5D7737AC">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（19）《广东省建筑工程绿色施工评价标准》；</w:t>
      </w:r>
    </w:p>
    <w:p w14:paraId="5CD8C62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（20）《广东省建筑节能与绿色建筑工程施工质量验收规范》</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067E85AF">
      <w:pPr>
        <w:keepNext w:val="0"/>
        <w:keepLines w:val="0"/>
        <w:pageBreakBefore w:val="0"/>
        <w:wordWrap w:val="0"/>
        <w:overflowPunct/>
        <w:topLinePunct w:val="0"/>
        <w:bidi w:val="0"/>
        <w:spacing w:before="153" w:line="219"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（21）其他现行国家、广东省关于房建工程的施工及验收规范、定额、规程、标准。</w:t>
      </w:r>
    </w:p>
    <w:p w14:paraId="36B34C1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75E00F81">
      <w:pPr>
        <w:keepNext w:val="0"/>
        <w:keepLines w:val="0"/>
        <w:pageBreakBefore w:val="0"/>
        <w:wordWrap w:val="0"/>
        <w:overflowPunct/>
        <w:topLinePunct w:val="0"/>
        <w:bidi w:val="0"/>
        <w:spacing w:before="78" w:line="220" w:lineRule="auto"/>
        <w:ind w:left="1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193" w:name="_Toc31268"/>
      <w:bookmarkStart w:id="194" w:name="_Toc15652"/>
      <w:r>
        <w:rPr>
          <w:rFonts w:hint="eastAsia" w:ascii="宋体" w:hAnsi="宋体" w:eastAsia="宋体" w:cs="宋体"/>
          <w:b/>
          <w:bCs/>
          <w:color w:val="000000" w:themeColor="text1"/>
          <w:spacing w:val="0"/>
          <w:sz w:val="24"/>
          <w:szCs w:val="24"/>
          <w:highlight w:val="none"/>
          <w14:textFill>
            <w14:solidFill>
              <w14:schemeClr w14:val="tx1"/>
            </w14:solidFill>
          </w14:textFill>
        </w:rPr>
        <w:t>2 ．市政基础设施工程建设项目</w:t>
      </w:r>
      <w:bookmarkEnd w:id="193"/>
      <w:bookmarkEnd w:id="194"/>
    </w:p>
    <w:p w14:paraId="1DE67B68">
      <w:pPr>
        <w:keepNext w:val="0"/>
        <w:keepLines w:val="0"/>
        <w:pageBreakBefore w:val="0"/>
        <w:wordWrap w:val="0"/>
        <w:overflowPunct/>
        <w:topLinePunct w:val="0"/>
        <w:bidi w:val="0"/>
        <w:spacing w:before="154" w:line="220" w:lineRule="auto"/>
        <w:ind w:left="1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市政基础设施工程建设项目必须执行的现行技术规范，包括且不限于：</w:t>
      </w:r>
    </w:p>
    <w:p w14:paraId="7EF67537">
      <w:pPr>
        <w:keepNext w:val="0"/>
        <w:keepLines w:val="0"/>
        <w:pageBreakBefore w:val="0"/>
        <w:wordWrap w:val="0"/>
        <w:overflowPunct/>
        <w:topLinePunct w:val="0"/>
        <w:bidi w:val="0"/>
        <w:spacing w:before="155"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（1）《公路路基施工技术规范》；</w:t>
      </w:r>
    </w:p>
    <w:p w14:paraId="0FD09BDA">
      <w:pPr>
        <w:keepNext w:val="0"/>
        <w:keepLines w:val="0"/>
        <w:pageBreakBefore w:val="0"/>
        <w:wordWrap w:val="0"/>
        <w:overflowPunct/>
        <w:topLinePunct w:val="0"/>
        <w:bidi w:val="0"/>
        <w:spacing w:before="153"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（2）《市政道路工程质量检验评定标准》；</w:t>
      </w:r>
    </w:p>
    <w:p w14:paraId="5E4C6C0A">
      <w:pPr>
        <w:keepNext w:val="0"/>
        <w:keepLines w:val="0"/>
        <w:pageBreakBefore w:val="0"/>
        <w:wordWrap w:val="0"/>
        <w:overflowPunct/>
        <w:topLinePunct w:val="0"/>
        <w:bidi w:val="0"/>
        <w:spacing w:before="154" w:line="220" w:lineRule="auto"/>
        <w:ind w:left="13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（3）《市政排水管渠工程质量检验评定标准》；</w:t>
      </w:r>
    </w:p>
    <w:p w14:paraId="5FFAA5AA">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（4）《给水排水管道工程施工及验收规范》；</w:t>
      </w:r>
    </w:p>
    <w:p w14:paraId="5C80DC30">
      <w:pPr>
        <w:keepNext w:val="0"/>
        <w:keepLines w:val="0"/>
        <w:pageBreakBefore w:val="0"/>
        <w:widowControl w:val="0"/>
        <w:kinsoku w:val="0"/>
        <w:wordWrap w:val="0"/>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（5）《城市道路路基工程施工及验收规范》；</w:t>
      </w:r>
    </w:p>
    <w:p w14:paraId="3DE05869">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（6）《水泥砼路面施工及验收规范》；</w:t>
      </w:r>
    </w:p>
    <w:p w14:paraId="2D0FA851">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（7）《公路水泥砼路面施工技术规范》；</w:t>
      </w:r>
    </w:p>
    <w:p w14:paraId="3DDEED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（8）《埋地硬聚氯乙烯排水管道工程技术规程》；</w:t>
      </w:r>
    </w:p>
    <w:p w14:paraId="0C40551B">
      <w:pPr>
        <w:keepNext w:val="0"/>
        <w:keepLines w:val="0"/>
        <w:pageBreakBefore w:val="0"/>
        <w:widowControl w:val="0"/>
        <w:kinsoku w:val="0"/>
        <w:wordWrap w:val="0"/>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（9）《沥青路面施工及验收规范》；</w:t>
      </w:r>
    </w:p>
    <w:p w14:paraId="051F222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（10）《广东省市政工程施工质量技术资料统一用表》。</w:t>
      </w:r>
    </w:p>
    <w:p w14:paraId="71A0E2D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195" w:name="_Toc30781"/>
      <w:bookmarkStart w:id="196" w:name="_Toc8494"/>
      <w:r>
        <w:rPr>
          <w:rFonts w:hint="eastAsia" w:ascii="宋体" w:hAnsi="宋体" w:eastAsia="宋体" w:cs="宋体"/>
          <w:color w:val="000000" w:themeColor="text1"/>
          <w:spacing w:val="0"/>
          <w:sz w:val="24"/>
          <w:szCs w:val="24"/>
          <w:highlight w:val="none"/>
          <w14:textFill>
            <w14:solidFill>
              <w14:schemeClr w14:val="tx1"/>
            </w14:solidFill>
          </w14:textFill>
        </w:rPr>
        <w:t>（11）《建筑与市政工程无障碍通用规范》 GB 55019-2021；</w:t>
      </w:r>
      <w:bookmarkEnd w:id="195"/>
      <w:bookmarkEnd w:id="196"/>
    </w:p>
    <w:p w14:paraId="0BB3048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7" w:name="_Toc17383"/>
      <w:bookmarkStart w:id="198" w:name="_Toc31143"/>
      <w:r>
        <w:rPr>
          <w:rFonts w:hint="eastAsia" w:ascii="宋体" w:hAnsi="宋体" w:eastAsia="宋体" w:cs="宋体"/>
          <w:color w:val="000000" w:themeColor="text1"/>
          <w:spacing w:val="0"/>
          <w:sz w:val="24"/>
          <w:szCs w:val="24"/>
          <w:highlight w:val="none"/>
          <w14:textFill>
            <w14:solidFill>
              <w14:schemeClr w14:val="tx1"/>
            </w14:solidFill>
          </w14:textFill>
        </w:rPr>
        <w:t>（12）《建筑防火通用规范》GB 55037-2022</w:t>
      </w:r>
      <w:bookmarkEnd w:id="197"/>
      <w:bookmarkEnd w:id="198"/>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3167F8C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199" w:name="_Toc954"/>
      <w:bookmarkStart w:id="200" w:name="_Toc32476"/>
      <w:r>
        <w:rPr>
          <w:rFonts w:hint="eastAsia" w:ascii="宋体" w:hAnsi="宋体" w:eastAsia="宋体" w:cs="宋体"/>
          <w:color w:val="000000" w:themeColor="text1"/>
          <w:spacing w:val="0"/>
          <w:sz w:val="24"/>
          <w:szCs w:val="24"/>
          <w:highlight w:val="none"/>
          <w14:textFill>
            <w14:solidFill>
              <w14:schemeClr w14:val="tx1"/>
            </w14:solidFill>
          </w14:textFill>
        </w:rPr>
        <w:t>（13）《建筑与市政工程抗震通用规范》GB55002-2001</w:t>
      </w:r>
      <w:bookmarkEnd w:id="199"/>
      <w:bookmarkEnd w:id="200"/>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7E7E1132">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lang w:eastAsia="zh-CN"/>
          <w14:textFill>
            <w14:solidFill>
              <w14:schemeClr w14:val="tx1"/>
            </w14:solidFill>
          </w14:textFill>
        </w:rPr>
      </w:pPr>
      <w:bookmarkStart w:id="201" w:name="_Toc7185"/>
      <w:bookmarkStart w:id="202" w:name="_Toc27898"/>
      <w:r>
        <w:rPr>
          <w:rFonts w:hint="eastAsia" w:ascii="宋体" w:hAnsi="宋体" w:eastAsia="宋体" w:cs="宋体"/>
          <w:color w:val="000000" w:themeColor="text1"/>
          <w:spacing w:val="0"/>
          <w:sz w:val="24"/>
          <w:szCs w:val="24"/>
          <w:highlight w:val="none"/>
          <w14:textFill>
            <w14:solidFill>
              <w14:schemeClr w14:val="tx1"/>
            </w14:solidFill>
          </w14:textFill>
        </w:rPr>
        <w:t>（14）《建筑与市政地基基础通用规范》GB55003-20</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1</w:t>
      </w:r>
      <w:bookmarkEnd w:id="201"/>
      <w:bookmarkEnd w:id="202"/>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p>
    <w:p w14:paraId="598E0BAE">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3" w:name="_Toc17281"/>
      <w:bookmarkStart w:id="204" w:name="_Toc29669"/>
      <w:r>
        <w:rPr>
          <w:rFonts w:hint="eastAsia" w:ascii="宋体" w:hAnsi="宋体" w:eastAsia="宋体" w:cs="宋体"/>
          <w:color w:val="000000" w:themeColor="text1"/>
          <w:spacing w:val="0"/>
          <w:sz w:val="24"/>
          <w:szCs w:val="24"/>
          <w:highlight w:val="none"/>
          <w14:textFill>
            <w14:solidFill>
              <w14:schemeClr w14:val="tx1"/>
            </w14:solidFill>
          </w14:textFill>
        </w:rPr>
        <w:t>（15）《城市道路照明设计标准》（CJJ45-2015）；</w:t>
      </w:r>
      <w:bookmarkEnd w:id="203"/>
      <w:bookmarkEnd w:id="204"/>
    </w:p>
    <w:p w14:paraId="17AD9E7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5" w:name="_Toc9161"/>
      <w:bookmarkStart w:id="206" w:name="_Toc31812"/>
      <w:r>
        <w:rPr>
          <w:rFonts w:hint="eastAsia" w:ascii="宋体" w:hAnsi="宋体" w:eastAsia="宋体" w:cs="宋体"/>
          <w:color w:val="000000" w:themeColor="text1"/>
          <w:spacing w:val="0"/>
          <w:sz w:val="24"/>
          <w:szCs w:val="24"/>
          <w:highlight w:val="none"/>
          <w14:textFill>
            <w14:solidFill>
              <w14:schemeClr w14:val="tx1"/>
            </w14:solidFill>
          </w14:textFill>
        </w:rPr>
        <w:t>（16）《低压配电设计规范》（GB50054-2011）；</w:t>
      </w:r>
      <w:bookmarkEnd w:id="205"/>
      <w:bookmarkEnd w:id="206"/>
    </w:p>
    <w:p w14:paraId="39AD9BA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07" w:name="_Toc18255"/>
      <w:bookmarkStart w:id="208" w:name="_Toc6405"/>
      <w:r>
        <w:rPr>
          <w:rFonts w:hint="eastAsia" w:ascii="宋体" w:hAnsi="宋体" w:eastAsia="宋体" w:cs="宋体"/>
          <w:color w:val="000000" w:themeColor="text1"/>
          <w:spacing w:val="0"/>
          <w:sz w:val="24"/>
          <w:szCs w:val="24"/>
          <w:highlight w:val="none"/>
          <w14:textFill>
            <w14:solidFill>
              <w14:schemeClr w14:val="tx1"/>
            </w14:solidFill>
          </w14:textFill>
        </w:rPr>
        <w:t>（17）《城市道路照明工程施工及验收规程》（CJJ89-2012）；</w:t>
      </w:r>
      <w:bookmarkEnd w:id="207"/>
      <w:bookmarkEnd w:id="208"/>
    </w:p>
    <w:p w14:paraId="5C08A85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（18）《LED 道路照明工程技术规范》（DB44/T 1898-2016）；</w:t>
      </w:r>
    </w:p>
    <w:p w14:paraId="2E0247A6">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（19）《灯具第 1 部分：一般要求与试验》（GB7000.1-2015）；</w:t>
      </w:r>
    </w:p>
    <w:p w14:paraId="304A14BA">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（20）《电缆工程电缆设计标准》（GB50217-2018）；</w:t>
      </w:r>
    </w:p>
    <w:p w14:paraId="2781CAEA">
      <w:pPr>
        <w:keepNext w:val="0"/>
        <w:keepLines w:val="0"/>
        <w:pageBreakBefore w:val="0"/>
        <w:widowControl w:val="0"/>
        <w:kinsoku w:val="0"/>
        <w:wordWrap w:val="0"/>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（21）其他现行国家、广东省关于市政工程的技术及验收规范、定额、规程、标准。</w:t>
      </w:r>
    </w:p>
    <w:p w14:paraId="4A2CCAE5">
      <w:pPr>
        <w:pStyle w:val="5"/>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4C853389">
      <w:pPr>
        <w:pStyle w:val="5"/>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5A42B65">
      <w:pPr>
        <w:keepNext w:val="0"/>
        <w:keepLines w:val="0"/>
        <w:pageBreakBefore w:val="0"/>
        <w:widowControl w:val="0"/>
        <w:kinsoku w:val="0"/>
        <w:wordWrap w:val="0"/>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09" w:name="_Toc14731"/>
      <w:bookmarkStart w:id="210" w:name="_Toc9200"/>
      <w:r>
        <w:rPr>
          <w:rFonts w:hint="eastAsia" w:ascii="宋体" w:hAnsi="宋体" w:eastAsia="宋体" w:cs="宋体"/>
          <w:b/>
          <w:bCs/>
          <w:color w:val="000000" w:themeColor="text1"/>
          <w:spacing w:val="0"/>
          <w:sz w:val="24"/>
          <w:szCs w:val="24"/>
          <w:highlight w:val="none"/>
          <w14:textFill>
            <w14:solidFill>
              <w14:schemeClr w14:val="tx1"/>
            </w14:solidFill>
          </w14:textFill>
        </w:rPr>
        <w:t>3 ．备查要求</w:t>
      </w:r>
      <w:bookmarkEnd w:id="209"/>
      <w:bookmarkEnd w:id="210"/>
    </w:p>
    <w:p w14:paraId="0334C0EA">
      <w:pPr>
        <w:keepNext w:val="0"/>
        <w:keepLines w:val="0"/>
        <w:pageBreakBefore w:val="0"/>
        <w:widowControl w:val="0"/>
        <w:kinsoku w:val="0"/>
        <w:wordWrap w:val="0"/>
        <w:overflowPunct/>
        <w:topLinePunct w:val="0"/>
        <w:autoSpaceDE w:val="0"/>
        <w:autoSpaceDN w:val="0"/>
        <w:bidi w:val="0"/>
        <w:adjustRightInd w:val="0"/>
        <w:snapToGrid w:val="0"/>
        <w:spacing w:before="155" w:line="324" w:lineRule="auto"/>
        <w:ind w:right="81" w:firstLine="561"/>
        <w:jc w:val="both"/>
        <w:textAlignment w:val="baseline"/>
        <w:rPr>
          <w:rFonts w:hint="eastAsia" w:ascii="宋体" w:hAnsi="宋体" w:eastAsia="宋体" w:cs="宋体"/>
          <w:color w:val="000000" w:themeColor="text1"/>
          <w:spacing w:val="0"/>
          <w:highlight w:val="none"/>
          <w14:textFill>
            <w14:solidFill>
              <w14:schemeClr w14:val="tx1"/>
            </w14:solidFill>
          </w14:textFill>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000000" w:themeColor="text1"/>
          <w:spacing w:val="0"/>
          <w:sz w:val="24"/>
          <w:szCs w:val="24"/>
          <w:highlight w:val="none"/>
          <w14:textFill>
            <w14:solidFill>
              <w14:schemeClr w14:val="tx1"/>
            </w14:solidFill>
          </w14:textFill>
        </w:rPr>
        <w:t>承包人必须在施工现场准备至少一套上述规范，发包人和监理单位可随时检查承 包人的上述规范，并监督承包人按规范要求执行。</w:t>
      </w:r>
    </w:p>
    <w:p w14:paraId="4E917614">
      <w:pPr>
        <w:keepNext w:val="0"/>
        <w:keepLines w:val="0"/>
        <w:pageBreakBefore w:val="0"/>
        <w:wordWrap w:val="0"/>
        <w:overflowPunct/>
        <w:topLinePunct w:val="0"/>
        <w:bidi w:val="0"/>
        <w:spacing w:before="78" w:line="219" w:lineRule="auto"/>
        <w:jc w:val="center"/>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11" w:name="bookmark146"/>
      <w:bookmarkEnd w:id="211"/>
      <w:bookmarkStart w:id="212" w:name="bookmark100"/>
      <w:bookmarkEnd w:id="212"/>
      <w:bookmarkStart w:id="213" w:name="_Toc23715"/>
      <w:r>
        <w:rPr>
          <w:rFonts w:hint="eastAsia" w:ascii="宋体" w:hAnsi="宋体" w:eastAsia="宋体" w:cs="宋体"/>
          <w:b/>
          <w:bCs/>
          <w:color w:val="000000" w:themeColor="text1"/>
          <w:spacing w:val="0"/>
          <w:sz w:val="24"/>
          <w:szCs w:val="24"/>
          <w:highlight w:val="none"/>
          <w14:textFill>
            <w14:solidFill>
              <w14:schemeClr w14:val="tx1"/>
            </w14:solidFill>
          </w14:textFill>
        </w:rPr>
        <w:t>第五章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图纸和招标工程量清单</w:t>
      </w:r>
      <w:bookmarkEnd w:id="213"/>
    </w:p>
    <w:p w14:paraId="5FC74284">
      <w:pPr>
        <w:pStyle w:val="5"/>
        <w:keepNext w:val="0"/>
        <w:keepLines w:val="0"/>
        <w:pageBreakBefore w:val="0"/>
        <w:wordWrap w:val="0"/>
        <w:overflowPunct/>
        <w:topLinePunct w:val="0"/>
        <w:bidi w:val="0"/>
        <w:spacing w:line="283" w:lineRule="auto"/>
        <w:rPr>
          <w:rFonts w:hint="eastAsia" w:ascii="宋体" w:hAnsi="宋体" w:eastAsia="宋体" w:cs="宋体"/>
          <w:color w:val="000000" w:themeColor="text1"/>
          <w:spacing w:val="0"/>
          <w:highlight w:val="none"/>
          <w14:textFill>
            <w14:solidFill>
              <w14:schemeClr w14:val="tx1"/>
            </w14:solidFill>
          </w14:textFill>
        </w:rPr>
      </w:pPr>
    </w:p>
    <w:p w14:paraId="4531523B">
      <w:pPr>
        <w:pStyle w:val="5"/>
        <w:keepNext w:val="0"/>
        <w:keepLines w:val="0"/>
        <w:pageBreakBefore w:val="0"/>
        <w:wordWrap w:val="0"/>
        <w:overflowPunct/>
        <w:topLinePunct w:val="0"/>
        <w:bidi w:val="0"/>
        <w:spacing w:line="284" w:lineRule="auto"/>
        <w:rPr>
          <w:rFonts w:hint="eastAsia" w:ascii="宋体" w:hAnsi="宋体" w:eastAsia="宋体" w:cs="宋体"/>
          <w:color w:val="000000" w:themeColor="text1"/>
          <w:spacing w:val="0"/>
          <w:highlight w:val="none"/>
          <w14:textFill>
            <w14:solidFill>
              <w14:schemeClr w14:val="tx1"/>
            </w14:solidFill>
          </w14:textFill>
        </w:rPr>
      </w:pPr>
    </w:p>
    <w:p w14:paraId="57E54AE6">
      <w:pPr>
        <w:keepNext w:val="0"/>
        <w:keepLines w:val="0"/>
        <w:pageBreakBefore w:val="0"/>
        <w:wordWrap w:val="0"/>
        <w:overflowPunct/>
        <w:topLinePunct w:val="0"/>
        <w:bidi w:val="0"/>
        <w:spacing w:before="78" w:line="219" w:lineRule="auto"/>
        <w:ind w:left="10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□有，另附复印件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有，自行网上下载(浏览)           □无</w:t>
      </w:r>
    </w:p>
    <w:p w14:paraId="78499731">
      <w:pPr>
        <w:pStyle w:val="5"/>
        <w:keepNext w:val="0"/>
        <w:keepLines w:val="0"/>
        <w:pageBreakBefore w:val="0"/>
        <w:wordWrap w:val="0"/>
        <w:overflowPunct/>
        <w:topLinePunct w:val="0"/>
        <w:bidi w:val="0"/>
        <w:spacing w:line="265" w:lineRule="auto"/>
        <w:rPr>
          <w:rFonts w:hint="eastAsia" w:ascii="宋体" w:hAnsi="宋体" w:eastAsia="宋体" w:cs="宋体"/>
          <w:color w:val="000000" w:themeColor="text1"/>
          <w:spacing w:val="0"/>
          <w:highlight w:val="none"/>
          <w14:textFill>
            <w14:solidFill>
              <w14:schemeClr w14:val="tx1"/>
            </w14:solidFill>
          </w14:textFill>
        </w:rPr>
      </w:pPr>
    </w:p>
    <w:p w14:paraId="660835A9">
      <w:pPr>
        <w:keepNext w:val="0"/>
        <w:keepLines w:val="0"/>
        <w:pageBreakBefore w:val="0"/>
        <w:wordWrap w:val="0"/>
        <w:overflowPunct/>
        <w:topLinePunct w:val="0"/>
        <w:bidi w:val="0"/>
        <w:spacing w:before="151" w:line="222" w:lineRule="auto"/>
        <w:ind w:left="71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4" w:name="_Toc12580"/>
      <w:bookmarkStart w:id="215" w:name="_Toc24446"/>
      <w:r>
        <w:rPr>
          <w:rFonts w:hint="eastAsia" w:ascii="宋体" w:hAnsi="宋体" w:eastAsia="宋体" w:cs="宋体"/>
          <w:b/>
          <w:bCs/>
          <w:color w:val="000000" w:themeColor="text1"/>
          <w:spacing w:val="0"/>
          <w:sz w:val="24"/>
          <w:szCs w:val="24"/>
          <w:highlight w:val="none"/>
          <w14:textFill>
            <w14:solidFill>
              <w14:schemeClr w14:val="tx1"/>
            </w14:solidFill>
          </w14:textFill>
        </w:rPr>
        <w:t>1 ．图纸</w:t>
      </w:r>
      <w:bookmarkEnd w:id="214"/>
      <w:bookmarkEnd w:id="215"/>
    </w:p>
    <w:p w14:paraId="00652F97">
      <w:pPr>
        <w:keepNext w:val="0"/>
        <w:keepLines w:val="0"/>
        <w:pageBreakBefore w:val="0"/>
        <w:wordWrap w:val="0"/>
        <w:overflowPunct/>
        <w:topLinePunct w:val="0"/>
        <w:bidi w:val="0"/>
        <w:spacing w:before="150" w:line="330" w:lineRule="auto"/>
        <w:ind w:left="230" w:firstLine="48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本招标文件随文另附施工图（电子文件）一套。</w:t>
      </w:r>
    </w:p>
    <w:p w14:paraId="48EB0DBD">
      <w:pPr>
        <w:pStyle w:val="5"/>
        <w:keepNext w:val="0"/>
        <w:keepLines w:val="0"/>
        <w:pageBreakBefore w:val="0"/>
        <w:wordWrap w:val="0"/>
        <w:overflowPunct/>
        <w:topLinePunct w:val="0"/>
        <w:bidi w:val="0"/>
        <w:spacing w:line="253" w:lineRule="auto"/>
        <w:rPr>
          <w:rFonts w:hint="eastAsia" w:ascii="宋体" w:hAnsi="宋体" w:eastAsia="宋体" w:cs="宋体"/>
          <w:color w:val="000000" w:themeColor="text1"/>
          <w:spacing w:val="0"/>
          <w:highlight w:val="none"/>
          <w14:textFill>
            <w14:solidFill>
              <w14:schemeClr w14:val="tx1"/>
            </w14:solidFill>
          </w14:textFill>
        </w:rPr>
      </w:pPr>
    </w:p>
    <w:p w14:paraId="7191C978">
      <w:pPr>
        <w:keepNext w:val="0"/>
        <w:keepLines w:val="0"/>
        <w:pageBreakBefore w:val="0"/>
        <w:wordWrap w:val="0"/>
        <w:overflowPunct/>
        <w:topLinePunct w:val="0"/>
        <w:bidi w:val="0"/>
        <w:spacing w:before="79" w:line="221" w:lineRule="auto"/>
        <w:ind w:left="705"/>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16" w:name="_Toc5429"/>
      <w:bookmarkStart w:id="217" w:name="_Toc9064"/>
      <w:r>
        <w:rPr>
          <w:rFonts w:hint="eastAsia" w:ascii="宋体" w:hAnsi="宋体" w:eastAsia="宋体" w:cs="宋体"/>
          <w:b/>
          <w:bCs/>
          <w:color w:val="000000" w:themeColor="text1"/>
          <w:spacing w:val="0"/>
          <w:sz w:val="24"/>
          <w:szCs w:val="24"/>
          <w:highlight w:val="none"/>
          <w14:textFill>
            <w14:solidFill>
              <w14:schemeClr w14:val="tx1"/>
            </w14:solidFill>
          </w14:textFill>
        </w:rPr>
        <w:t>2 ．招标工程量清单</w:t>
      </w:r>
      <w:bookmarkEnd w:id="216"/>
      <w:bookmarkEnd w:id="217"/>
    </w:p>
    <w:p w14:paraId="6A47FAFD">
      <w:pPr>
        <w:keepNext w:val="0"/>
        <w:keepLines w:val="0"/>
        <w:pageBreakBefore w:val="0"/>
        <w:wordWrap w:val="0"/>
        <w:overflowPunct/>
        <w:topLinePunct w:val="0"/>
        <w:bidi w:val="0"/>
        <w:spacing w:before="117" w:line="312" w:lineRule="auto"/>
        <w:ind w:left="231" w:firstLine="47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2.1  </w:t>
      </w:r>
      <w:r>
        <w:rPr>
          <w:rFonts w:hint="eastAsia" w:ascii="宋体" w:hAnsi="宋体" w:eastAsia="宋体" w:cs="宋体"/>
          <w:color w:val="000000" w:themeColor="text1"/>
          <w:spacing w:val="0"/>
          <w:sz w:val="24"/>
          <w:szCs w:val="24"/>
          <w:highlight w:val="none"/>
          <w14:textFill>
            <w14:solidFill>
              <w14:schemeClr w14:val="tx1"/>
            </w14:solidFill>
          </w14:textFill>
        </w:rPr>
        <w:t>本招标文件随文另附</w:t>
      </w:r>
      <w:bookmarkStart w:id="218" w:name="OLE_LINK33"/>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  EXCEL 版</w:t>
      </w:r>
      <w:bookmarkEnd w:id="218"/>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电子文件一套。</w:t>
      </w:r>
    </w:p>
    <w:p w14:paraId="076FE901">
      <w:pPr>
        <w:keepNext w:val="0"/>
        <w:keepLines w:val="0"/>
        <w:pageBreakBefore w:val="0"/>
        <w:wordWrap w:val="0"/>
        <w:overflowPunct/>
        <w:topLinePunct w:val="0"/>
        <w:bidi w:val="0"/>
        <w:spacing w:before="78" w:line="219" w:lineRule="auto"/>
        <w:ind w:left="478"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bookmarkStart w:id="219" w:name="bookmark147"/>
      <w:bookmarkEnd w:id="219"/>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2.2  </w:t>
      </w:r>
      <w:r>
        <w:rPr>
          <w:rFonts w:hint="eastAsia" w:ascii="宋体" w:hAnsi="宋体" w:eastAsia="宋体" w:cs="宋体"/>
          <w:color w:val="000000" w:themeColor="text1"/>
          <w:spacing w:val="0"/>
          <w:sz w:val="24"/>
          <w:szCs w:val="24"/>
          <w:highlight w:val="none"/>
          <w14:textFill>
            <w14:solidFill>
              <w14:schemeClr w14:val="tx1"/>
            </w14:solidFill>
          </w14:textFill>
        </w:rPr>
        <w:t>本工程按照以下依据编制</w:t>
      </w:r>
      <w:r>
        <w:rPr>
          <w:rFonts w:hint="eastAsia" w:ascii="宋体" w:hAnsi="宋体" w:eastAsia="宋体" w:cs="宋体"/>
          <w:color w:val="000000" w:themeColor="text1"/>
          <w:spacing w:val="0"/>
          <w:sz w:val="24"/>
          <w:szCs w:val="24"/>
          <w:highlight w:val="none"/>
          <w:u w:val="single"/>
          <w14:textFill>
            <w14:solidFill>
              <w14:schemeClr w14:val="tx1"/>
            </w14:solidFill>
          </w14:textFill>
        </w:rPr>
        <w:t>招标工程量清单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678730BC">
      <w:pPr>
        <w:keepNext w:val="0"/>
        <w:keepLines w:val="0"/>
        <w:pageBreakBefore w:val="0"/>
        <w:wordWrap w:val="0"/>
        <w:overflowPunct/>
        <w:topLinePunct w:val="0"/>
        <w:bidi w:val="0"/>
        <w:spacing w:before="12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3E00F35">
      <w:pPr>
        <w:keepNext w:val="0"/>
        <w:keepLines w:val="0"/>
        <w:pageBreakBefore w:val="0"/>
        <w:wordWrap w:val="0"/>
        <w:overflowPunct/>
        <w:topLinePunct w:val="0"/>
        <w:bidi w:val="0"/>
        <w:spacing w:before="115" w:line="299" w:lineRule="auto"/>
        <w:ind w:firstLine="49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000000" w:themeColor="text1"/>
          <w:spacing w:val="0"/>
          <w:sz w:val="24"/>
          <w:szCs w:val="24"/>
          <w:highlight w:val="none"/>
          <w:u w:val="single"/>
          <w14:textFill>
            <w14:solidFill>
              <w14:schemeClr w14:val="tx1"/>
            </w14:solidFill>
          </w14:textFill>
        </w:rPr>
        <w:t>工程量清单</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最高投标限价</w:t>
      </w:r>
      <w:r>
        <w:rPr>
          <w:rFonts w:hint="eastAsia" w:ascii="宋体" w:hAnsi="宋体" w:eastAsia="宋体" w:cs="宋体"/>
          <w:color w:val="000000" w:themeColor="text1"/>
          <w:spacing w:val="0"/>
          <w:sz w:val="24"/>
          <w:szCs w:val="24"/>
          <w:highlight w:val="none"/>
          <w14:textFill>
            <w14:solidFill>
              <w14:schemeClr w14:val="tx1"/>
            </w14:solidFill>
          </w14:textFill>
        </w:rPr>
        <w:t>的补充和(或)修改文件。</w:t>
      </w:r>
    </w:p>
    <w:p w14:paraId="3E496F3B">
      <w:pPr>
        <w:keepNext w:val="0"/>
        <w:keepLines w:val="0"/>
        <w:pageBreakBefore w:val="0"/>
        <w:wordWrap w:val="0"/>
        <w:overflowPunct/>
        <w:topLinePunct w:val="0"/>
        <w:bidi w:val="0"/>
        <w:spacing w:before="79" w:line="263" w:lineRule="auto"/>
        <w:ind w:left="2" w:right="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（3）本招标工程量清单措施项目中的</w:t>
      </w:r>
      <w:r>
        <w:rPr>
          <w:rFonts w:hint="eastAsia" w:ascii="宋体" w:hAnsi="宋体" w:eastAsia="宋体" w:cs="宋体"/>
          <w:b/>
          <w:bCs/>
          <w:color w:val="000000" w:themeColor="text1"/>
          <w:spacing w:val="0"/>
          <w:sz w:val="24"/>
          <w:szCs w:val="24"/>
          <w:highlight w:val="none"/>
          <w14:textFill>
            <w14:solidFill>
              <w14:schemeClr w14:val="tx1"/>
            </w14:solidFill>
          </w14:textFill>
        </w:rPr>
        <w:t>暂列金额、暂估价</w:t>
      </w:r>
      <w:r>
        <w:rPr>
          <w:rFonts w:hint="eastAsia" w:ascii="宋体" w:hAnsi="宋体" w:eastAsia="宋体" w:cs="宋体"/>
          <w:color w:val="000000" w:themeColor="text1"/>
          <w:spacing w:val="0"/>
          <w:sz w:val="24"/>
          <w:szCs w:val="24"/>
          <w:highlight w:val="none"/>
          <w14:textFill>
            <w14:solidFill>
              <w14:schemeClr w14:val="tx1"/>
            </w14:solidFill>
          </w14:textFill>
        </w:rPr>
        <w:t>不得作为竞争性费用，投标报价必须按本招标工程量清单规定的金额填报。</w:t>
      </w:r>
    </w:p>
    <w:p w14:paraId="24C45CC5">
      <w:pPr>
        <w:keepNext w:val="0"/>
        <w:keepLines w:val="0"/>
        <w:pageBreakBefore w:val="0"/>
        <w:wordWrap w:val="0"/>
        <w:overflowPunct/>
        <w:topLinePunct w:val="0"/>
        <w:bidi w:val="0"/>
        <w:spacing w:before="118" w:line="265" w:lineRule="auto"/>
        <w:ind w:left="7" w:right="4" w:firstLine="48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（4）投标报价使用的表格格式须按照《</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建设工程工程量清单计价标准</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GB/T50500-2024</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5D89ED6B">
      <w:pPr>
        <w:keepNext w:val="0"/>
        <w:keepLines w:val="0"/>
        <w:pageBreakBefore w:val="0"/>
        <w:wordWrap w:val="0"/>
        <w:overflowPunct/>
        <w:topLinePunct w:val="0"/>
        <w:bidi w:val="0"/>
        <w:spacing w:before="107" w:line="286" w:lineRule="auto"/>
        <w:ind w:right="4"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B3D583F">
      <w:pPr>
        <w:keepNext w:val="0"/>
        <w:keepLines w:val="0"/>
        <w:pageBreakBefore w:val="0"/>
        <w:wordWrap w:val="0"/>
        <w:overflowPunct/>
        <w:topLinePunct w:val="0"/>
        <w:bidi w:val="0"/>
        <w:spacing w:before="146" w:line="221"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（6）施工图及相关资料；</w:t>
      </w:r>
    </w:p>
    <w:p w14:paraId="2C855D25">
      <w:pPr>
        <w:keepNext w:val="0"/>
        <w:keepLines w:val="0"/>
        <w:pageBreakBefore w:val="0"/>
        <w:wordWrap w:val="0"/>
        <w:overflowPunct/>
        <w:topLinePunct w:val="0"/>
        <w:bidi w:val="0"/>
        <w:spacing w:before="153"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（7）招标文件；</w:t>
      </w:r>
    </w:p>
    <w:p w14:paraId="7D4A78D6">
      <w:pPr>
        <w:keepNext w:val="0"/>
        <w:keepLines w:val="0"/>
        <w:pageBreakBefore w:val="0"/>
        <w:wordWrap w:val="0"/>
        <w:overflowPunct/>
        <w:topLinePunct w:val="0"/>
        <w:bidi w:val="0"/>
        <w:spacing w:before="155" w:line="220"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（8）施工现场情况、地勘水文资料、工程特点及常规施工方案；</w:t>
      </w:r>
    </w:p>
    <w:p w14:paraId="617E9DDC">
      <w:pPr>
        <w:keepNext w:val="0"/>
        <w:keepLines w:val="0"/>
        <w:pageBreakBefore w:val="0"/>
        <w:wordWrap w:val="0"/>
        <w:overflowPunct/>
        <w:topLinePunct w:val="0"/>
        <w:bidi w:val="0"/>
        <w:spacing w:before="153" w:line="219" w:lineRule="auto"/>
        <w:ind w:left="49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（9）与建设工程有关的标准、规范、技术资料、材料设备信息价或市场价格等。</w:t>
      </w:r>
    </w:p>
    <w:p w14:paraId="12618F59">
      <w:pPr>
        <w:pStyle w:val="24"/>
        <w:rPr>
          <w:rFonts w:hint="eastAsia" w:ascii="宋体" w:hAnsi="宋体" w:eastAsia="宋体" w:cs="宋体"/>
          <w:color w:val="000000" w:themeColor="text1"/>
          <w:highlight w:val="none"/>
          <w14:textFill>
            <w14:solidFill>
              <w14:schemeClr w14:val="tx1"/>
            </w14:solidFill>
          </w14:textFill>
        </w:rPr>
      </w:pPr>
    </w:p>
    <w:p w14:paraId="499D0013">
      <w:pPr>
        <w:keepNext w:val="0"/>
        <w:keepLines w:val="0"/>
        <w:pageBreakBefore w:val="0"/>
        <w:wordWrap w:val="0"/>
        <w:overflowPunct/>
        <w:topLinePunct w:val="0"/>
        <w:bidi w:val="0"/>
        <w:spacing w:line="219"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C94DD83">
      <w:pPr>
        <w:pStyle w:val="5"/>
        <w:keepNext w:val="0"/>
        <w:keepLines w:val="0"/>
        <w:pageBreakBefore w:val="0"/>
        <w:wordWrap w:val="0"/>
        <w:overflowPunct/>
        <w:topLinePunct w:val="0"/>
        <w:bidi w:val="0"/>
        <w:spacing w:line="304" w:lineRule="auto"/>
        <w:rPr>
          <w:rFonts w:hint="eastAsia" w:ascii="宋体" w:hAnsi="宋体" w:eastAsia="宋体" w:cs="宋体"/>
          <w:color w:val="000000" w:themeColor="text1"/>
          <w:spacing w:val="0"/>
          <w:highlight w:val="none"/>
          <w14:textFill>
            <w14:solidFill>
              <w14:schemeClr w14:val="tx1"/>
            </w14:solidFill>
          </w14:textFill>
        </w:rPr>
      </w:pPr>
    </w:p>
    <w:p w14:paraId="0C8B4CB9">
      <w:pPr>
        <w:keepNext w:val="0"/>
        <w:keepLines w:val="0"/>
        <w:pageBreakBefore w:val="0"/>
        <w:wordWrap w:val="0"/>
        <w:overflowPunct/>
        <w:topLinePunct w:val="0"/>
        <w:bidi w:val="0"/>
        <w:spacing w:before="78" w:line="219" w:lineRule="auto"/>
        <w:ind w:left="3357"/>
        <w:outlineLvl w:val="0"/>
        <w:rPr>
          <w:rFonts w:hint="eastAsia" w:ascii="宋体" w:hAnsi="宋体" w:eastAsia="宋体" w:cs="宋体"/>
          <w:color w:val="000000" w:themeColor="text1"/>
          <w:spacing w:val="0"/>
          <w:sz w:val="24"/>
          <w:szCs w:val="24"/>
          <w:highlight w:val="none"/>
          <w14:textFill>
            <w14:solidFill>
              <w14:schemeClr w14:val="tx1"/>
            </w14:solidFill>
          </w14:textFill>
        </w:rPr>
      </w:pPr>
      <w:bookmarkStart w:id="220" w:name="_Toc13179"/>
      <w:r>
        <w:rPr>
          <w:rFonts w:hint="eastAsia" w:ascii="宋体" w:hAnsi="宋体" w:eastAsia="宋体" w:cs="宋体"/>
          <w:b/>
          <w:bCs/>
          <w:color w:val="000000" w:themeColor="text1"/>
          <w:spacing w:val="0"/>
          <w:sz w:val="24"/>
          <w:szCs w:val="24"/>
          <w:highlight w:val="none"/>
          <w14:textFill>
            <w14:solidFill>
              <w14:schemeClr w14:val="tx1"/>
            </w14:solidFill>
          </w14:textFill>
        </w:rPr>
        <w:t>第六章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投标文件格式</w:t>
      </w:r>
      <w:bookmarkEnd w:id="220"/>
    </w:p>
    <w:p w14:paraId="5B1AE375">
      <w:pPr>
        <w:pStyle w:val="5"/>
        <w:keepNext w:val="0"/>
        <w:keepLines w:val="0"/>
        <w:pageBreakBefore w:val="0"/>
        <w:wordWrap w:val="0"/>
        <w:overflowPunct/>
        <w:topLinePunct w:val="0"/>
        <w:bidi w:val="0"/>
        <w:spacing w:line="302" w:lineRule="auto"/>
        <w:jc w:val="right"/>
        <w:rPr>
          <w:rFonts w:hint="eastAsia" w:ascii="宋体" w:hAnsi="宋体" w:eastAsia="宋体" w:cs="宋体"/>
          <w:color w:val="000000" w:themeColor="text1"/>
          <w:spacing w:val="0"/>
          <w:highlight w:val="none"/>
          <w14:textFill>
            <w14:solidFill>
              <w14:schemeClr w14:val="tx1"/>
            </w14:solidFill>
          </w14:textFill>
        </w:rPr>
      </w:pPr>
    </w:p>
    <w:p w14:paraId="732FF561">
      <w:pPr>
        <w:keepNext w:val="0"/>
        <w:keepLines w:val="0"/>
        <w:pageBreakBefore w:val="0"/>
        <w:wordWrap w:val="0"/>
        <w:overflowPunct/>
        <w:topLinePunct w:val="0"/>
        <w:bidi w:val="0"/>
        <w:spacing w:before="78" w:line="220" w:lineRule="auto"/>
        <w:outlineLvl w:val="2"/>
        <w:rPr>
          <w:rFonts w:hint="eastAsia" w:ascii="宋体" w:hAnsi="宋体" w:eastAsia="宋体" w:cs="宋体"/>
          <w:color w:val="000000" w:themeColor="text1"/>
          <w:spacing w:val="0"/>
          <w:sz w:val="24"/>
          <w:szCs w:val="24"/>
          <w:highlight w:val="none"/>
          <w14:textFill>
            <w14:solidFill>
              <w14:schemeClr w14:val="tx1"/>
            </w14:solidFill>
          </w14:textFill>
        </w:rPr>
      </w:pPr>
      <w:bookmarkStart w:id="221" w:name="_Toc27563"/>
      <w:r>
        <w:rPr>
          <w:rFonts w:hint="eastAsia" w:ascii="宋体" w:hAnsi="宋体" w:eastAsia="宋体" w:cs="宋体"/>
          <w:b/>
          <w:bCs/>
          <w:color w:val="000000" w:themeColor="text1"/>
          <w:spacing w:val="0"/>
          <w:sz w:val="24"/>
          <w:szCs w:val="24"/>
          <w:highlight w:val="none"/>
          <w14:textFill>
            <w14:solidFill>
              <w14:schemeClr w14:val="tx1"/>
            </w14:solidFill>
          </w14:textFill>
        </w:rPr>
        <w:t>格式一</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封面</w:t>
      </w:r>
      <w:bookmarkEnd w:id="221"/>
    </w:p>
    <w:p w14:paraId="3D936F71">
      <w:pPr>
        <w:pStyle w:val="5"/>
        <w:keepNext w:val="0"/>
        <w:keepLines w:val="0"/>
        <w:pageBreakBefore w:val="0"/>
        <w:wordWrap w:val="0"/>
        <w:overflowPunct/>
        <w:topLinePunct w:val="0"/>
        <w:bidi w:val="0"/>
        <w:spacing w:line="258" w:lineRule="auto"/>
        <w:rPr>
          <w:rFonts w:hint="eastAsia" w:ascii="宋体" w:hAnsi="宋体" w:eastAsia="宋体" w:cs="宋体"/>
          <w:color w:val="000000" w:themeColor="text1"/>
          <w:spacing w:val="0"/>
          <w:highlight w:val="none"/>
          <w14:textFill>
            <w14:solidFill>
              <w14:schemeClr w14:val="tx1"/>
            </w14:solidFill>
          </w14:textFill>
        </w:rPr>
      </w:pPr>
    </w:p>
    <w:p w14:paraId="068AB70E">
      <w:pPr>
        <w:pStyle w:val="5"/>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0DE0F809">
      <w:pPr>
        <w:pStyle w:val="5"/>
        <w:keepNext w:val="0"/>
        <w:keepLines w:val="0"/>
        <w:pageBreakBefore w:val="0"/>
        <w:wordWrap w:val="0"/>
        <w:overflowPunct/>
        <w:topLinePunct w:val="0"/>
        <w:bidi w:val="0"/>
        <w:spacing w:line="259" w:lineRule="auto"/>
        <w:rPr>
          <w:rFonts w:hint="eastAsia" w:ascii="宋体" w:hAnsi="宋体" w:eastAsia="宋体" w:cs="宋体"/>
          <w:color w:val="000000" w:themeColor="text1"/>
          <w:spacing w:val="0"/>
          <w:highlight w:val="none"/>
          <w14:textFill>
            <w14:solidFill>
              <w14:schemeClr w14:val="tx1"/>
            </w14:solidFill>
          </w14:textFill>
        </w:rPr>
      </w:pPr>
    </w:p>
    <w:p w14:paraId="5ED9FBF6">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000000" w:themeColor="text1"/>
          <w:spacing w:val="0"/>
          <w:sz w:val="47"/>
          <w:szCs w:val="47"/>
          <w:highlight w:val="none"/>
          <w14:textFill>
            <w14:solidFill>
              <w14:schemeClr w14:val="tx1"/>
            </w14:solidFill>
          </w14:textFill>
        </w:rPr>
      </w:pPr>
      <w:r>
        <w:rPr>
          <w:rFonts w:hint="eastAsia" w:ascii="宋体" w:hAnsi="宋体" w:eastAsia="宋体" w:cs="宋体"/>
          <w:b/>
          <w:bCs/>
          <w:color w:val="000000" w:themeColor="text1"/>
          <w:spacing w:val="0"/>
          <w:sz w:val="47"/>
          <w:szCs w:val="47"/>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47"/>
          <w:szCs w:val="47"/>
          <w:highlight w:val="none"/>
          <w:u w:val="single"/>
          <w14:textFill>
            <w14:solidFill>
              <w14:schemeClr w14:val="tx1"/>
            </w14:solidFill>
          </w14:textFill>
        </w:rPr>
        <w:t>（项目名称）</w:t>
      </w:r>
      <w:r>
        <w:rPr>
          <w:rFonts w:hint="eastAsia" w:ascii="宋体" w:hAnsi="宋体" w:eastAsia="宋体" w:cs="宋体"/>
          <w:b/>
          <w:bCs/>
          <w:color w:val="000000" w:themeColor="text1"/>
          <w:spacing w:val="0"/>
          <w:sz w:val="47"/>
          <w:szCs w:val="47"/>
          <w:highlight w:val="none"/>
          <w14:textFill>
            <w14:solidFill>
              <w14:schemeClr w14:val="tx1"/>
            </w14:solidFill>
          </w14:textFill>
        </w:rPr>
        <w:t>招标</w:t>
      </w:r>
    </w:p>
    <w:p w14:paraId="6DEABEF4">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5EF5EDE9">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4AB878A">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15E641E6">
      <w:pPr>
        <w:pStyle w:val="5"/>
        <w:keepNext w:val="0"/>
        <w:keepLines w:val="0"/>
        <w:pageBreakBefore w:val="0"/>
        <w:wordWrap w:val="0"/>
        <w:overflowPunct/>
        <w:topLinePunct w:val="0"/>
        <w:bidi w:val="0"/>
        <w:spacing w:line="247" w:lineRule="auto"/>
        <w:rPr>
          <w:rFonts w:hint="eastAsia" w:ascii="宋体" w:hAnsi="宋体" w:eastAsia="宋体" w:cs="宋体"/>
          <w:color w:val="000000" w:themeColor="text1"/>
          <w:spacing w:val="0"/>
          <w:highlight w:val="none"/>
          <w14:textFill>
            <w14:solidFill>
              <w14:schemeClr w14:val="tx1"/>
            </w14:solidFill>
          </w14:textFill>
        </w:rPr>
      </w:pPr>
    </w:p>
    <w:p w14:paraId="3098056B">
      <w:pPr>
        <w:pStyle w:val="5"/>
        <w:keepNext w:val="0"/>
        <w:keepLines w:val="0"/>
        <w:pageBreakBefore w:val="0"/>
        <w:wordWrap w:val="0"/>
        <w:overflowPunct/>
        <w:topLinePunct w:val="0"/>
        <w:bidi w:val="0"/>
        <w:spacing w:line="248" w:lineRule="auto"/>
        <w:rPr>
          <w:rFonts w:hint="eastAsia" w:ascii="宋体" w:hAnsi="宋体" w:eastAsia="宋体" w:cs="宋体"/>
          <w:color w:val="000000" w:themeColor="text1"/>
          <w:spacing w:val="0"/>
          <w:highlight w:val="none"/>
          <w14:textFill>
            <w14:solidFill>
              <w14:schemeClr w14:val="tx1"/>
            </w14:solidFill>
          </w14:textFill>
        </w:rPr>
      </w:pPr>
    </w:p>
    <w:p w14:paraId="4ECB4A2E">
      <w:pPr>
        <w:keepNext w:val="0"/>
        <w:keepLines w:val="0"/>
        <w:pageBreakBefore w:val="0"/>
        <w:wordWrap w:val="0"/>
        <w:overflowPunct/>
        <w:topLinePunct w:val="0"/>
        <w:bidi w:val="0"/>
        <w:spacing w:before="231" w:line="223" w:lineRule="auto"/>
        <w:jc w:val="center"/>
        <w:rPr>
          <w:rFonts w:hint="eastAsia" w:ascii="宋体" w:hAnsi="宋体" w:eastAsia="宋体" w:cs="宋体"/>
          <w:color w:val="000000" w:themeColor="text1"/>
          <w:spacing w:val="0"/>
          <w:sz w:val="71"/>
          <w:szCs w:val="71"/>
          <w:highlight w:val="none"/>
          <w14:textFill>
            <w14:solidFill>
              <w14:schemeClr w14:val="tx1"/>
            </w14:solidFill>
          </w14:textFill>
        </w:rPr>
      </w:pPr>
      <w:r>
        <w:rPr>
          <w:rFonts w:hint="eastAsia" w:ascii="宋体" w:hAnsi="宋体" w:eastAsia="宋体" w:cs="宋体"/>
          <w:b/>
          <w:bCs/>
          <w:color w:val="000000" w:themeColor="text1"/>
          <w:spacing w:val="0"/>
          <w:sz w:val="71"/>
          <w:szCs w:val="71"/>
          <w:highlight w:val="none"/>
          <w14:textFill>
            <w14:solidFill>
              <w14:schemeClr w14:val="tx1"/>
            </w14:solidFill>
          </w14:textFill>
        </w:rPr>
        <w:t>投</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文</w:t>
      </w:r>
      <w:r>
        <w:rPr>
          <w:rFonts w:hint="eastAsia" w:ascii="宋体" w:hAnsi="宋体" w:eastAsia="宋体" w:cs="宋体"/>
          <w:color w:val="000000" w:themeColor="text1"/>
          <w:spacing w:val="0"/>
          <w:sz w:val="71"/>
          <w:szCs w:val="71"/>
          <w:highlight w:val="none"/>
          <w14:textFill>
            <w14:solidFill>
              <w14:schemeClr w14:val="tx1"/>
            </w14:solidFill>
          </w14:textFill>
        </w:rPr>
        <w:t xml:space="preserve">  </w:t>
      </w:r>
      <w:r>
        <w:rPr>
          <w:rFonts w:hint="eastAsia" w:ascii="宋体" w:hAnsi="宋体" w:eastAsia="宋体" w:cs="宋体"/>
          <w:b/>
          <w:bCs/>
          <w:color w:val="000000" w:themeColor="text1"/>
          <w:spacing w:val="0"/>
          <w:sz w:val="71"/>
          <w:szCs w:val="71"/>
          <w:highlight w:val="none"/>
          <w14:textFill>
            <w14:solidFill>
              <w14:schemeClr w14:val="tx1"/>
            </w14:solidFill>
          </w14:textFill>
        </w:rPr>
        <w:t>件</w:t>
      </w:r>
    </w:p>
    <w:p w14:paraId="23F78714">
      <w:pPr>
        <w:pStyle w:val="5"/>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0CD43441">
      <w:pPr>
        <w:pStyle w:val="5"/>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highlight w:val="none"/>
          <w14:textFill>
            <w14:solidFill>
              <w14:schemeClr w14:val="tx1"/>
            </w14:solidFill>
          </w14:textFill>
        </w:rPr>
      </w:pPr>
    </w:p>
    <w:p w14:paraId="48210BB7">
      <w:pPr>
        <w:keepNext w:val="0"/>
        <w:keepLines w:val="0"/>
        <w:pageBreakBefore w:val="0"/>
        <w:wordWrap w:val="0"/>
        <w:overflowPunct/>
        <w:topLinePunct w:val="0"/>
        <w:bidi w:val="0"/>
        <w:spacing w:before="152" w:line="223" w:lineRule="auto"/>
        <w:jc w:val="center"/>
        <w:rPr>
          <w:rFonts w:hint="eastAsia" w:ascii="宋体" w:hAnsi="宋体" w:eastAsia="宋体" w:cs="宋体"/>
          <w:b/>
          <w:bCs/>
          <w:color w:val="000000" w:themeColor="text1"/>
          <w:spacing w:val="0"/>
          <w:sz w:val="47"/>
          <w:szCs w:val="47"/>
          <w:highlight w:val="none"/>
          <w14:textFill>
            <w14:solidFill>
              <w14:schemeClr w14:val="tx1"/>
            </w14:solidFill>
          </w14:textFill>
        </w:rPr>
      </w:pPr>
      <w:bookmarkStart w:id="222" w:name="bookmark105"/>
      <w:bookmarkEnd w:id="222"/>
      <w:r>
        <w:rPr>
          <w:rFonts w:hint="eastAsia" w:ascii="宋体" w:hAnsi="宋体" w:eastAsia="宋体" w:cs="宋体"/>
          <w:b/>
          <w:bCs/>
          <w:color w:val="000000" w:themeColor="text1"/>
          <w:spacing w:val="0"/>
          <w:sz w:val="47"/>
          <w:szCs w:val="47"/>
          <w:highlight w:val="none"/>
          <w14:textFill>
            <w14:solidFill>
              <w14:schemeClr w14:val="tx1"/>
            </w14:solidFill>
          </w14:textFill>
        </w:rPr>
        <w:t>（商务标书／经济标书／施工组织设计</w:t>
      </w:r>
      <w:r>
        <w:rPr>
          <w:rFonts w:hint="eastAsia" w:ascii="宋体" w:hAnsi="宋体" w:eastAsia="宋体" w:cs="宋体"/>
          <w:b/>
          <w:bCs/>
          <w:color w:val="000000" w:themeColor="text1"/>
          <w:spacing w:val="0"/>
          <w:sz w:val="47"/>
          <w:szCs w:val="47"/>
          <w:highlight w:val="none"/>
          <w:lang w:eastAsia="zh-CN"/>
          <w14:textFill>
            <w14:solidFill>
              <w14:schemeClr w14:val="tx1"/>
            </w14:solidFill>
          </w14:textFill>
        </w:rPr>
        <w:t>／定标文件</w:t>
      </w:r>
      <w:r>
        <w:rPr>
          <w:rFonts w:hint="eastAsia" w:ascii="宋体" w:hAnsi="宋体" w:eastAsia="宋体" w:cs="宋体"/>
          <w:b/>
          <w:bCs/>
          <w:color w:val="000000" w:themeColor="text1"/>
          <w:spacing w:val="0"/>
          <w:sz w:val="47"/>
          <w:szCs w:val="47"/>
          <w:highlight w:val="none"/>
          <w14:textFill>
            <w14:solidFill>
              <w14:schemeClr w14:val="tx1"/>
            </w14:solidFill>
          </w14:textFill>
        </w:rPr>
        <w:t>）</w:t>
      </w:r>
    </w:p>
    <w:p w14:paraId="33EFFA4B">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1694CDA">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C6BCB43">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0E86CD1">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7AB4BF47">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06BB099">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17C1C6BE">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13F4F70">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2D1F340C">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投标人：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（盖单位章）</w:t>
      </w:r>
    </w:p>
    <w:p w14:paraId="711C8DA7">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3752A510">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7191B422">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14:textFill>
            <w14:solidFill>
              <w14:schemeClr w14:val="tx1"/>
            </w14:solidFill>
          </w14:textFill>
        </w:rPr>
        <w:t>法定代表人或其委托代理人：</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（签字或盖章）</w:t>
      </w:r>
    </w:p>
    <w:p w14:paraId="76469CE6">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14:textFill>
            <w14:solidFill>
              <w14:schemeClr w14:val="tx1"/>
            </w14:solidFill>
          </w14:textFill>
        </w:rPr>
      </w:pPr>
    </w:p>
    <w:p w14:paraId="06FBE36F">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000000" w:themeColor="text1"/>
          <w:spacing w:val="0"/>
          <w:sz w:val="32"/>
          <w:highlight w:val="none"/>
          <w:u w:val="single"/>
          <w14:textFill>
            <w14:solidFill>
              <w14:schemeClr w14:val="tx1"/>
            </w14:solidFill>
          </w14:textFill>
        </w:rPr>
      </w:pPr>
    </w:p>
    <w:p w14:paraId="6C1EC974">
      <w:pPr>
        <w:pStyle w:val="45"/>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000000" w:themeColor="text1"/>
          <w:spacing w:val="0"/>
          <w:highlight w:val="none"/>
          <w14:textFill>
            <w14:solidFill>
              <w14:schemeClr w14:val="tx1"/>
            </w14:solidFill>
          </w14:textFill>
        </w:rPr>
      </w:pP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年</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月</w:t>
      </w:r>
      <w:r>
        <w:rPr>
          <w:rFonts w:hint="eastAsia" w:ascii="宋体" w:hAnsi="宋体" w:eastAsia="宋体" w:cs="宋体"/>
          <w:bCs/>
          <w:snapToGrid w:val="0"/>
          <w:color w:val="000000" w:themeColor="text1"/>
          <w:spacing w:val="0"/>
          <w:sz w:val="32"/>
          <w:highlight w:val="none"/>
          <w:u w:val="single"/>
          <w14:textFill>
            <w14:solidFill>
              <w14:schemeClr w14:val="tx1"/>
            </w14:solidFill>
          </w14:textFill>
        </w:rPr>
        <w:t xml:space="preserve">      </w:t>
      </w:r>
      <w:r>
        <w:rPr>
          <w:rFonts w:hint="eastAsia" w:ascii="宋体" w:hAnsi="宋体" w:eastAsia="宋体" w:cs="宋体"/>
          <w:bCs/>
          <w:snapToGrid w:val="0"/>
          <w:color w:val="000000" w:themeColor="text1"/>
          <w:spacing w:val="0"/>
          <w:sz w:val="32"/>
          <w:highlight w:val="none"/>
          <w14:textFill>
            <w14:solidFill>
              <w14:schemeClr w14:val="tx1"/>
            </w14:solidFill>
          </w14:textFill>
        </w:rPr>
        <w:t>日</w:t>
      </w:r>
    </w:p>
    <w:p w14:paraId="22D60B74">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9C38B3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23" w:name="_Toc29380"/>
      <w:r>
        <w:rPr>
          <w:rFonts w:hint="eastAsia" w:ascii="宋体" w:hAnsi="宋体" w:eastAsia="宋体" w:cs="宋体"/>
          <w:b/>
          <w:bCs/>
          <w:color w:val="000000" w:themeColor="text1"/>
          <w:spacing w:val="0"/>
          <w:sz w:val="24"/>
          <w:szCs w:val="24"/>
          <w:highlight w:val="none"/>
          <w14:textFill>
            <w14:solidFill>
              <w14:schemeClr w14:val="tx1"/>
            </w14:solidFill>
          </w14:textFill>
        </w:rPr>
        <w:t>格式二 投标函</w:t>
      </w:r>
      <w:bookmarkEnd w:id="223"/>
    </w:p>
    <w:p w14:paraId="392E4C63">
      <w:pPr>
        <w:pStyle w:val="5"/>
        <w:keepNext w:val="0"/>
        <w:keepLines w:val="0"/>
        <w:pageBreakBefore w:val="0"/>
        <w:wordWrap w:val="0"/>
        <w:overflowPunct/>
        <w:topLinePunct w:val="0"/>
        <w:bidi w:val="0"/>
        <w:spacing w:line="261" w:lineRule="auto"/>
        <w:rPr>
          <w:rFonts w:hint="eastAsia" w:ascii="宋体" w:hAnsi="宋体" w:eastAsia="宋体" w:cs="宋体"/>
          <w:color w:val="000000" w:themeColor="text1"/>
          <w:spacing w:val="0"/>
          <w:highlight w:val="none"/>
          <w14:textFill>
            <w14:solidFill>
              <w14:schemeClr w14:val="tx1"/>
            </w14:solidFill>
          </w14:textFill>
        </w:rPr>
      </w:pPr>
    </w:p>
    <w:p w14:paraId="2E98BF1A">
      <w:pPr>
        <w:keepNext w:val="0"/>
        <w:keepLines w:val="0"/>
        <w:pageBreakBefore w:val="0"/>
        <w:wordWrap w:val="0"/>
        <w:overflowPunct/>
        <w:topLinePunct w:val="0"/>
        <w:bidi w:val="0"/>
        <w:spacing w:before="97" w:line="221" w:lineRule="auto"/>
        <w:ind w:left="3799"/>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24" w:name="bookmark148"/>
      <w:bookmarkEnd w:id="224"/>
      <w:bookmarkStart w:id="225" w:name="_Toc27397"/>
      <w:bookmarkStart w:id="226" w:name="_Toc317"/>
      <w:bookmarkStart w:id="227" w:name="_Toc297"/>
      <w:r>
        <w:rPr>
          <w:rFonts w:hint="eastAsia" w:ascii="宋体" w:hAnsi="宋体" w:eastAsia="宋体" w:cs="宋体"/>
          <w:b/>
          <w:bCs/>
          <w:color w:val="000000" w:themeColor="text1"/>
          <w:spacing w:val="0"/>
          <w:sz w:val="30"/>
          <w:szCs w:val="30"/>
          <w:highlight w:val="none"/>
          <w14:textFill>
            <w14:solidFill>
              <w14:schemeClr w14:val="tx1"/>
            </w14:solidFill>
          </w14:textFill>
        </w:rPr>
        <w:t>投</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标</w:t>
      </w:r>
      <w:r>
        <w:rPr>
          <w:rFonts w:hint="eastAsia" w:ascii="宋体" w:hAnsi="宋体" w:eastAsia="宋体" w:cs="宋体"/>
          <w:color w:val="000000" w:themeColor="text1"/>
          <w:spacing w:val="0"/>
          <w:sz w:val="30"/>
          <w:szCs w:val="30"/>
          <w:highlight w:val="none"/>
          <w14:textFill>
            <w14:solidFill>
              <w14:schemeClr w14:val="tx1"/>
            </w14:solidFill>
          </w14:textFill>
        </w:rPr>
        <w:t xml:space="preserve">  </w:t>
      </w:r>
      <w:r>
        <w:rPr>
          <w:rFonts w:hint="eastAsia" w:ascii="宋体" w:hAnsi="宋体" w:eastAsia="宋体" w:cs="宋体"/>
          <w:b/>
          <w:bCs/>
          <w:color w:val="000000" w:themeColor="text1"/>
          <w:spacing w:val="0"/>
          <w:sz w:val="30"/>
          <w:szCs w:val="30"/>
          <w:highlight w:val="none"/>
          <w14:textFill>
            <w14:solidFill>
              <w14:schemeClr w14:val="tx1"/>
            </w14:solidFill>
          </w14:textFill>
        </w:rPr>
        <w:t>函</w:t>
      </w:r>
      <w:bookmarkEnd w:id="225"/>
      <w:bookmarkEnd w:id="226"/>
      <w:bookmarkEnd w:id="227"/>
    </w:p>
    <w:p w14:paraId="58F05F57">
      <w:pPr>
        <w:pStyle w:val="5"/>
        <w:keepNext w:val="0"/>
        <w:keepLines w:val="0"/>
        <w:pageBreakBefore w:val="0"/>
        <w:wordWrap w:val="0"/>
        <w:overflowPunct/>
        <w:topLinePunct w:val="0"/>
        <w:bidi w:val="0"/>
        <w:spacing w:line="249" w:lineRule="auto"/>
        <w:rPr>
          <w:rFonts w:hint="eastAsia" w:ascii="宋体" w:hAnsi="宋体" w:eastAsia="宋体" w:cs="宋体"/>
          <w:color w:val="000000" w:themeColor="text1"/>
          <w:spacing w:val="0"/>
          <w:highlight w:val="none"/>
          <w14:textFill>
            <w14:solidFill>
              <w14:schemeClr w14:val="tx1"/>
            </w14:solidFill>
          </w14:textFill>
        </w:rPr>
      </w:pPr>
    </w:p>
    <w:p w14:paraId="08B6DA1F">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1E3DA538">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48E62A4">
      <w:pPr>
        <w:keepNext w:val="0"/>
        <w:keepLines w:val="0"/>
        <w:pageBreakBefore w:val="0"/>
        <w:wordWrap w:val="0"/>
        <w:overflowPunct/>
        <w:topLinePunct w:val="0"/>
        <w:bidi w:val="0"/>
        <w:spacing w:before="78" w:line="221" w:lineRule="auto"/>
        <w:ind w:left="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342E60C5">
      <w:pPr>
        <w:pStyle w:val="5"/>
        <w:keepNext w:val="0"/>
        <w:keepLines w:val="0"/>
        <w:pageBreakBefore w:val="0"/>
        <w:wordWrap w:val="0"/>
        <w:overflowPunct/>
        <w:topLinePunct w:val="0"/>
        <w:bidi w:val="0"/>
        <w:spacing w:before="156" w:line="328" w:lineRule="auto"/>
        <w:ind w:left="9" w:right="142" w:firstLine="589"/>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我方考察现场并充分研究</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（项目名称）（以下简称“本项目 ”）招标文件所有内容后，结合自身资质、能力和特点，愿意接受招标文件的全部内容和条件，兹以人民币（大写）：</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 的投标总价竞投本项目施工。</w:t>
      </w:r>
    </w:p>
    <w:p w14:paraId="19F6B28C">
      <w:pPr>
        <w:keepNext w:val="0"/>
        <w:keepLines w:val="0"/>
        <w:pageBreakBefore w:val="0"/>
        <w:wordWrap w:val="0"/>
        <w:overflowPunct/>
        <w:topLinePunct w:val="0"/>
        <w:bidi w:val="0"/>
        <w:spacing w:before="39" w:line="323" w:lineRule="auto"/>
        <w:ind w:right="142" w:firstLine="57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在我方的上述投标总价中，包括：</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安全生产措施费</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；暂列金额</w:t>
      </w:r>
      <w:r>
        <w:rPr>
          <w:rFonts w:hint="eastAsia" w:ascii="宋体" w:hAnsi="宋体" w:eastAsia="宋体" w:cs="宋体"/>
          <w:color w:val="000000" w:themeColor="text1"/>
          <w:spacing w:val="0"/>
          <w:sz w:val="24"/>
          <w:szCs w:val="24"/>
          <w:highlight w:val="none"/>
          <w:u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；暂估价</w:t>
      </w:r>
      <w:r>
        <w:rPr>
          <w:rFonts w:hint="eastAsia" w:ascii="宋体" w:hAnsi="宋体" w:eastAsia="宋体" w:cs="宋体"/>
          <w:color w:val="000000" w:themeColor="text1"/>
          <w:spacing w:val="0"/>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25455D2">
      <w:pPr>
        <w:keepNext w:val="0"/>
        <w:keepLines w:val="0"/>
        <w:pageBreakBefore w:val="0"/>
        <w:wordWrap w:val="0"/>
        <w:overflowPunct/>
        <w:topLinePunct w:val="0"/>
        <w:bidi w:val="0"/>
        <w:spacing w:before="38" w:line="280" w:lineRule="auto"/>
        <w:ind w:left="13" w:right="142" w:firstLine="56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如果我方中标，我方保证按照合同约定的开工日期开始本项目的施工，</w:t>
      </w:r>
      <w:bookmarkStart w:id="228" w:name="OLE_LINK34"/>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bookmarkEnd w:id="228"/>
      <w:r>
        <w:rPr>
          <w:rFonts w:hint="eastAsia" w:ascii="宋体" w:hAnsi="宋体" w:eastAsia="宋体" w:cs="宋体"/>
          <w:color w:val="000000" w:themeColor="text1"/>
          <w:spacing w:val="0"/>
          <w:sz w:val="24"/>
          <w:szCs w:val="24"/>
          <w:highlight w:val="none"/>
          <w14:textFill>
            <w14:solidFill>
              <w14:schemeClr w14:val="tx1"/>
            </w14:solidFill>
          </w14:textFill>
        </w:rPr>
        <w:t>个日历天内竣工，并确保工程质量达到</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标准和维修其中的任何缺陷。</w:t>
      </w:r>
    </w:p>
    <w:p w14:paraId="10E8DA76">
      <w:pPr>
        <w:keepNext w:val="0"/>
        <w:keepLines w:val="0"/>
        <w:pageBreakBefore w:val="0"/>
        <w:wordWrap w:val="0"/>
        <w:overflowPunct/>
        <w:topLinePunct w:val="0"/>
        <w:bidi w:val="0"/>
        <w:spacing w:before="152" w:line="279" w:lineRule="auto"/>
        <w:ind w:left="11" w:right="142" w:firstLine="5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14:paraId="36F81C92">
      <w:pPr>
        <w:keepNext w:val="0"/>
        <w:keepLines w:val="0"/>
        <w:pageBreakBefore w:val="0"/>
        <w:wordWrap w:val="0"/>
        <w:overflowPunct/>
        <w:topLinePunct w:val="0"/>
        <w:bidi w:val="0"/>
        <w:spacing w:before="156" w:line="279" w:lineRule="auto"/>
        <w:ind w:left="11" w:right="61" w:firstLine="56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4 ．我方在此声明，我方不存在本项目招标文件第一章第三节第 </w:t>
      </w:r>
      <w:r>
        <w:rPr>
          <w:rFonts w:hint="eastAsia" w:ascii="宋体" w:hAnsi="宋体" w:eastAsia="宋体" w:cs="宋体"/>
          <w:b/>
          <w:bCs/>
          <w:color w:val="000000" w:themeColor="text1"/>
          <w:spacing w:val="0"/>
          <w:sz w:val="24"/>
          <w:szCs w:val="24"/>
          <w:highlight w:val="none"/>
          <w14:textFill>
            <w14:solidFill>
              <w14:schemeClr w14:val="tx1"/>
            </w14:solidFill>
          </w14:textFill>
        </w:rPr>
        <w:t>2.4</w:t>
      </w:r>
      <w:r>
        <w:rPr>
          <w:rFonts w:hint="eastAsia" w:ascii="宋体" w:hAnsi="宋体" w:eastAsia="宋体" w:cs="宋体"/>
          <w:b/>
          <w:bCs/>
          <w:color w:val="000000" w:themeColor="text1"/>
          <w:spacing w:val="0"/>
          <w:w w:val="101"/>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条“禁止投标条款 ”所列出的任何一种情形，并愿意承担因我方就此弄虚作假所引起的一切法律后果。</w:t>
      </w:r>
    </w:p>
    <w:p w14:paraId="0E71490A">
      <w:pPr>
        <w:keepNext w:val="0"/>
        <w:keepLines w:val="0"/>
        <w:pageBreakBefore w:val="0"/>
        <w:wordWrap w:val="0"/>
        <w:overflowPunct/>
        <w:topLinePunct w:val="0"/>
        <w:bidi w:val="0"/>
        <w:spacing w:before="153" w:line="280" w:lineRule="auto"/>
        <w:ind w:left="9" w:right="142" w:firstLine="573"/>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．我方在此承诺，所递交投标文件的全部内容均为真实、有效、准确的，并愿意承担因我方就此弄虚作假所引起的一切法律后果，同时理解和同意有可能被要求提供更多的资料。</w:t>
      </w:r>
    </w:p>
    <w:p w14:paraId="0954415E">
      <w:pPr>
        <w:keepNext w:val="0"/>
        <w:keepLines w:val="0"/>
        <w:pageBreakBefore w:val="0"/>
        <w:wordWrap w:val="0"/>
        <w:overflowPunct/>
        <w:topLinePunct w:val="0"/>
        <w:bidi w:val="0"/>
        <w:spacing w:before="153" w:line="326" w:lineRule="auto"/>
        <w:ind w:left="13" w:firstLine="5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我方理解你方不一定要接纳收到的最低投标总价或任何投标总价的投标人中标， 也不要求你方解释我方是否中标的原因。</w:t>
      </w:r>
    </w:p>
    <w:p w14:paraId="665C13C8">
      <w:pPr>
        <w:pStyle w:val="5"/>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6A293A0C">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1338C97A">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6D644921">
      <w:pPr>
        <w:keepNext w:val="0"/>
        <w:keepLines w:val="0"/>
        <w:pageBreakBefore w:val="0"/>
        <w:wordWrap w:val="0"/>
        <w:overflowPunct/>
        <w:topLinePunct w:val="0"/>
        <w:bidi w:val="0"/>
        <w:spacing w:before="79" w:line="219" w:lineRule="auto"/>
        <w:ind w:firstLine="5760" w:firstLineChars="240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3B9F8FC">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1FE5B2A2">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70C6C00B">
      <w:pPr>
        <w:keepNext w:val="0"/>
        <w:keepLines w:val="0"/>
        <w:pageBreakBefore w:val="0"/>
        <w:wordWrap w:val="0"/>
        <w:overflowPunct/>
        <w:topLinePunct w:val="0"/>
        <w:bidi w:val="0"/>
        <w:spacing w:before="78" w:line="219" w:lineRule="auto"/>
        <w:ind w:left="3922"/>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37331156">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063FEB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7512AB8">
      <w:pPr>
        <w:keepNext w:val="0"/>
        <w:keepLines w:val="0"/>
        <w:pageBreakBefore w:val="0"/>
        <w:wordWrap w:val="0"/>
        <w:overflowPunct/>
        <w:topLinePunct w:val="0"/>
        <w:bidi w:val="0"/>
        <w:spacing w:before="79" w:line="220" w:lineRule="auto"/>
        <w:ind w:left="697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2A06E5B">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05EF88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29" w:name="_Toc21615"/>
      <w:r>
        <w:rPr>
          <w:rFonts w:hint="eastAsia" w:ascii="宋体" w:hAnsi="宋体" w:eastAsia="宋体" w:cs="宋体"/>
          <w:b/>
          <w:bCs/>
          <w:color w:val="000000" w:themeColor="text1"/>
          <w:spacing w:val="0"/>
          <w:sz w:val="24"/>
          <w:szCs w:val="24"/>
          <w:highlight w:val="none"/>
          <w14:textFill>
            <w14:solidFill>
              <w14:schemeClr w14:val="tx1"/>
            </w14:solidFill>
          </w14:textFill>
        </w:rPr>
        <w:t>格式三 各项承诺一览表</w:t>
      </w:r>
      <w:bookmarkEnd w:id="229"/>
    </w:p>
    <w:p w14:paraId="51E0204F">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4B1A1A4">
      <w:pPr>
        <w:keepNext w:val="0"/>
        <w:keepLines w:val="0"/>
        <w:pageBreakBefore w:val="0"/>
        <w:wordWrap w:val="0"/>
        <w:overflowPunct/>
        <w:topLinePunct w:val="0"/>
        <w:bidi w:val="0"/>
        <w:spacing w:before="98" w:line="220" w:lineRule="auto"/>
        <w:ind w:left="3581"/>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30" w:name="bookmark149"/>
      <w:bookmarkEnd w:id="230"/>
      <w:bookmarkStart w:id="231" w:name="_Toc2936"/>
      <w:bookmarkStart w:id="232" w:name="_Toc10326"/>
      <w:bookmarkStart w:id="233" w:name="_Toc4767"/>
      <w:r>
        <w:rPr>
          <w:rFonts w:hint="eastAsia" w:ascii="宋体" w:hAnsi="宋体" w:eastAsia="宋体" w:cs="宋体"/>
          <w:b/>
          <w:bCs/>
          <w:color w:val="000000" w:themeColor="text1"/>
          <w:spacing w:val="0"/>
          <w:sz w:val="30"/>
          <w:szCs w:val="30"/>
          <w:highlight w:val="none"/>
          <w14:textFill>
            <w14:solidFill>
              <w14:schemeClr w14:val="tx1"/>
            </w14:solidFill>
          </w14:textFill>
        </w:rPr>
        <w:t>各项承诺一览表</w:t>
      </w:r>
      <w:bookmarkEnd w:id="231"/>
      <w:bookmarkEnd w:id="232"/>
      <w:bookmarkEnd w:id="233"/>
    </w:p>
    <w:p w14:paraId="5C63A27F">
      <w:pPr>
        <w:keepNext w:val="0"/>
        <w:keepLines w:val="0"/>
        <w:pageBreakBefore w:val="0"/>
        <w:wordWrap w:val="0"/>
        <w:overflowPunct/>
        <w:topLinePunct w:val="0"/>
        <w:bidi w:val="0"/>
        <w:spacing w:before="6"/>
        <w:rPr>
          <w:rFonts w:hint="eastAsia" w:ascii="宋体" w:hAnsi="宋体" w:eastAsia="宋体" w:cs="宋体"/>
          <w:color w:val="000000" w:themeColor="text1"/>
          <w:spacing w:val="0"/>
          <w:highlight w:val="none"/>
          <w14:textFill>
            <w14:solidFill>
              <w14:schemeClr w14:val="tx1"/>
            </w14:solidFill>
          </w14:textFill>
        </w:rPr>
      </w:pPr>
    </w:p>
    <w:tbl>
      <w:tblPr>
        <w:tblStyle w:val="14"/>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5204A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54B582C">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序号</w:t>
            </w:r>
          </w:p>
        </w:tc>
        <w:tc>
          <w:tcPr>
            <w:tcW w:w="1675" w:type="dxa"/>
            <w:vAlign w:val="top"/>
          </w:tcPr>
          <w:p w14:paraId="1CCE799E">
            <w:pPr>
              <w:keepNext w:val="0"/>
              <w:keepLines w:val="0"/>
              <w:pageBreakBefore w:val="0"/>
              <w:widowControl/>
              <w:kinsoku w:val="0"/>
              <w:wordWrap w:val="0"/>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承诺事项</w:t>
            </w:r>
          </w:p>
        </w:tc>
        <w:tc>
          <w:tcPr>
            <w:tcW w:w="3107" w:type="dxa"/>
            <w:vAlign w:val="top"/>
          </w:tcPr>
          <w:p w14:paraId="4EBB8A6D">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承诺内容</w:t>
            </w:r>
          </w:p>
        </w:tc>
        <w:tc>
          <w:tcPr>
            <w:tcW w:w="4272" w:type="dxa"/>
            <w:vAlign w:val="top"/>
          </w:tcPr>
          <w:p w14:paraId="31A27193">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违约承诺</w:t>
            </w:r>
          </w:p>
        </w:tc>
      </w:tr>
      <w:tr w14:paraId="2A006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8261D6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1</w:t>
            </w:r>
          </w:p>
        </w:tc>
        <w:tc>
          <w:tcPr>
            <w:tcW w:w="1675" w:type="dxa"/>
            <w:vAlign w:val="center"/>
          </w:tcPr>
          <w:p w14:paraId="01CAE98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自愿接受招标文件条款的承诺</w:t>
            </w:r>
          </w:p>
        </w:tc>
        <w:tc>
          <w:tcPr>
            <w:tcW w:w="3107" w:type="dxa"/>
            <w:vAlign w:val="top"/>
          </w:tcPr>
          <w:p w14:paraId="2CDC7B5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41955F4E">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我方自愿接受招标文件的所有条款，所递交的投标文件已经充分响应招标文件的实质性要求。</w:t>
            </w:r>
          </w:p>
        </w:tc>
        <w:tc>
          <w:tcPr>
            <w:tcW w:w="4272" w:type="dxa"/>
            <w:vAlign w:val="top"/>
          </w:tcPr>
          <w:p w14:paraId="31B3DB23">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如果我方的投标文件未响应、违反、偏 离招标文件的实质性要求，我方接受招标人或其授权的招标代理机构或其组建的评标委员会依据招标文件作出的相应处理，包括否决投标。</w:t>
            </w:r>
          </w:p>
        </w:tc>
      </w:tr>
      <w:tr w14:paraId="10B0D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F577063">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w:t>
            </w:r>
          </w:p>
        </w:tc>
        <w:tc>
          <w:tcPr>
            <w:tcW w:w="1675" w:type="dxa"/>
            <w:vAlign w:val="center"/>
          </w:tcPr>
          <w:p w14:paraId="796EA61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无禁止投标情形的承诺</w:t>
            </w:r>
          </w:p>
        </w:tc>
        <w:tc>
          <w:tcPr>
            <w:tcW w:w="3107" w:type="dxa"/>
            <w:vAlign w:val="top"/>
          </w:tcPr>
          <w:p w14:paraId="6DBD4A3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68E3A76">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7C38C6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我方不存在招标文件第一 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 款 ”规定的任何一种情形。</w:t>
            </w:r>
          </w:p>
        </w:tc>
        <w:tc>
          <w:tcPr>
            <w:tcW w:w="4272" w:type="dxa"/>
            <w:vAlign w:val="top"/>
          </w:tcPr>
          <w:p w14:paraId="5C557624">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 xml:space="preserve">如果我方有招标文件第一章第三节第 </w:t>
            </w:r>
            <w:r>
              <w:rPr>
                <w:rFonts w:hint="eastAsia" w:ascii="宋体" w:hAnsi="宋体" w:eastAsia="宋体" w:cs="宋体"/>
                <w:b/>
                <w:bCs/>
                <w:color w:val="000000" w:themeColor="text1"/>
                <w:spacing w:val="0"/>
                <w:sz w:val="21"/>
                <w:szCs w:val="21"/>
                <w:highlight w:val="none"/>
                <w14:textFill>
                  <w14:solidFill>
                    <w14:schemeClr w14:val="tx1"/>
                  </w14:solidFill>
                </w14:textFill>
              </w:rPr>
              <w:t xml:space="preserve">2.  4 </w:t>
            </w:r>
            <w:r>
              <w:rPr>
                <w:rFonts w:hint="eastAsia" w:ascii="宋体" w:hAnsi="宋体" w:eastAsia="宋体" w:cs="宋体"/>
                <w:color w:val="000000" w:themeColor="text1"/>
                <w:spacing w:val="0"/>
                <w:sz w:val="21"/>
                <w:szCs w:val="21"/>
                <w:highlight w:val="none"/>
                <w14:textFill>
                  <w14:solidFill>
                    <w14:schemeClr w14:val="tx1"/>
                  </w14:solidFill>
                </w14:textFill>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6BAE3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6D41129A">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w:t>
            </w:r>
          </w:p>
        </w:tc>
        <w:tc>
          <w:tcPr>
            <w:tcW w:w="1675" w:type="dxa"/>
            <w:vAlign w:val="center"/>
          </w:tcPr>
          <w:p w14:paraId="7EDF57F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自觉抵制围标</w:t>
            </w:r>
          </w:p>
          <w:p w14:paraId="7350A53C">
            <w:pPr>
              <w:keepNext w:val="0"/>
              <w:keepLines w:val="0"/>
              <w:pageBreakBefore w:val="0"/>
              <w:widowControl/>
              <w:kinsoku w:val="0"/>
              <w:wordWrap w:val="0"/>
              <w:overflowPunct/>
              <w:topLinePunct w:val="0"/>
              <w:autoSpaceDE w:val="0"/>
              <w:autoSpaceDN w:val="0"/>
              <w:bidi w:val="0"/>
              <w:adjustRightInd w:val="0"/>
              <w:snapToGrid w:val="0"/>
              <w:spacing w:before="131"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串标和弄虚</w:t>
            </w:r>
          </w:p>
          <w:p w14:paraId="18E84040">
            <w:pPr>
              <w:keepNext w:val="0"/>
              <w:keepLines w:val="0"/>
              <w:pageBreakBefore w:val="0"/>
              <w:widowControl/>
              <w:kinsoku w:val="0"/>
              <w:wordWrap w:val="0"/>
              <w:overflowPunct/>
              <w:topLinePunct w:val="0"/>
              <w:autoSpaceDE w:val="0"/>
              <w:autoSpaceDN w:val="0"/>
              <w:bidi w:val="0"/>
              <w:adjustRightInd w:val="0"/>
              <w:snapToGrid w:val="0"/>
              <w:spacing w:before="133"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作假行为的承诺</w:t>
            </w:r>
          </w:p>
        </w:tc>
        <w:tc>
          <w:tcPr>
            <w:tcW w:w="3107" w:type="dxa"/>
            <w:vAlign w:val="top"/>
          </w:tcPr>
          <w:p w14:paraId="62CF036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3960F528">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272" w:type="dxa"/>
            <w:vAlign w:val="top"/>
          </w:tcPr>
          <w:p w14:paraId="0A090EF8">
            <w:pPr>
              <w:keepNext w:val="0"/>
              <w:keepLines w:val="0"/>
              <w:pageBreakBefore w:val="0"/>
              <w:widowControl/>
              <w:kinsoku w:val="0"/>
              <w:wordWrap w:val="0"/>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6CBF9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9F3D35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4</w:t>
            </w:r>
          </w:p>
        </w:tc>
        <w:tc>
          <w:tcPr>
            <w:tcW w:w="1675" w:type="dxa"/>
            <w:vAlign w:val="center"/>
          </w:tcPr>
          <w:p w14:paraId="5F8AABE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项目经理任职承诺</w:t>
            </w:r>
          </w:p>
        </w:tc>
        <w:tc>
          <w:tcPr>
            <w:tcW w:w="3107" w:type="dxa"/>
            <w:vAlign w:val="top"/>
          </w:tcPr>
          <w:p w14:paraId="3D586645">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D7FCEF">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EFE29D7">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我方拟派项目经理现阶段没有担任任何在施（包括已中标未开工、已开工未竣工）建设工程项目的项目经理。</w:t>
            </w:r>
          </w:p>
        </w:tc>
        <w:tc>
          <w:tcPr>
            <w:tcW w:w="4272" w:type="dxa"/>
            <w:vAlign w:val="top"/>
          </w:tcPr>
          <w:p w14:paraId="4A8515D9">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如果我方拟派项目经理在本项目招标投 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F5F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B9DDA4A">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5</w:t>
            </w:r>
          </w:p>
        </w:tc>
        <w:tc>
          <w:tcPr>
            <w:tcW w:w="1675" w:type="dxa"/>
            <w:vAlign w:val="center"/>
          </w:tcPr>
          <w:p w14:paraId="7009D3C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7FA4425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真实性承诺</w:t>
            </w:r>
          </w:p>
        </w:tc>
        <w:tc>
          <w:tcPr>
            <w:tcW w:w="3107" w:type="dxa"/>
            <w:vAlign w:val="top"/>
          </w:tcPr>
          <w:p w14:paraId="24313CA0">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80F2869">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我方所递交投标文件的全部内容均为真实、有效、准确的。</w:t>
            </w:r>
          </w:p>
        </w:tc>
        <w:tc>
          <w:tcPr>
            <w:tcW w:w="4272" w:type="dxa"/>
            <w:vAlign w:val="top"/>
          </w:tcPr>
          <w:p w14:paraId="117F7D2E">
            <w:pPr>
              <w:keepNext w:val="0"/>
              <w:keepLines w:val="0"/>
              <w:pageBreakBefore w:val="0"/>
              <w:widowControl/>
              <w:kinsoku w:val="0"/>
              <w:wordWrap w:val="0"/>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如果我方递交的投标文件任何内容不真实或无效或不准确，我方接受招标人或其授权的招标代理机构或其组建的评标委员会依据招标文件作出的相应处理，包括否决投标。</w:t>
            </w:r>
          </w:p>
        </w:tc>
      </w:tr>
      <w:tr w14:paraId="02577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6B3A988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6</w:t>
            </w:r>
            <w:r>
              <w:rPr>
                <w:rFonts w:hint="eastAsia" w:ascii="宋体" w:hAnsi="宋体" w:eastAsia="宋体" w:cs="宋体"/>
                <w:color w:val="000000" w:themeColor="text1"/>
                <w:spacing w:val="0"/>
                <w:sz w:val="21"/>
                <w:szCs w:val="21"/>
                <w:highlight w:val="none"/>
                <w14:textFill>
                  <w14:solidFill>
                    <w14:schemeClr w14:val="tx1"/>
                  </w14:solidFill>
                </w14:textFill>
              </w:rPr>
              <w:drawing>
                <wp:anchor distT="0" distB="0" distL="114300" distR="114300" simplePos="0" relativeHeight="251664384"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3"/>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4D2FADD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投标文件</w:t>
            </w:r>
          </w:p>
          <w:p w14:paraId="0E95F9BE">
            <w:pPr>
              <w:keepNext w:val="0"/>
              <w:keepLines w:val="0"/>
              <w:pageBreakBefore w:val="0"/>
              <w:widowControl/>
              <w:kinsoku w:val="0"/>
              <w:wordWrap w:val="0"/>
              <w:overflowPunct/>
              <w:topLinePunct w:val="0"/>
              <w:autoSpaceDE w:val="0"/>
              <w:autoSpaceDN w:val="0"/>
              <w:bidi w:val="0"/>
              <w:adjustRightInd w:val="0"/>
              <w:snapToGrid w:val="0"/>
              <w:spacing w:before="132"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信息公开承诺</w:t>
            </w:r>
          </w:p>
        </w:tc>
        <w:tc>
          <w:tcPr>
            <w:tcW w:w="3107" w:type="dxa"/>
            <w:vAlign w:val="center"/>
          </w:tcPr>
          <w:p w14:paraId="0DF7EDDD">
            <w:pPr>
              <w:keepNext w:val="0"/>
              <w:keepLines w:val="0"/>
              <w:pageBreakBefore w:val="0"/>
              <w:widowControl/>
              <w:kinsoku w:val="0"/>
              <w:wordWrap w:val="0"/>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我方提供完整的文件。如果我方成为本项目</w:t>
            </w:r>
            <w:r>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t>定</w:t>
            </w:r>
            <w:r>
              <w:rPr>
                <w:rFonts w:hint="eastAsia" w:ascii="宋体" w:hAnsi="宋体" w:eastAsia="宋体" w:cs="宋体"/>
                <w:color w:val="000000" w:themeColor="text1"/>
                <w:spacing w:val="0"/>
                <w:sz w:val="21"/>
                <w:szCs w:val="21"/>
                <w:highlight w:val="none"/>
                <w14:textFill>
                  <w14:solidFill>
                    <w14:schemeClr w14:val="tx1"/>
                  </w14:solidFill>
                </w14:textFill>
              </w:rPr>
              <w:t>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1164999A">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D48F5C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5D5933">
            <w:pPr>
              <w:keepNext w:val="0"/>
              <w:keepLines w:val="0"/>
              <w:pageBreakBefore w:val="0"/>
              <w:widowControl/>
              <w:kinsoku w:val="0"/>
              <w:wordWrap w:val="0"/>
              <w:overflowPunct/>
              <w:topLinePunct w:val="0"/>
              <w:autoSpaceDE w:val="0"/>
              <w:autoSpaceDN w:val="0"/>
              <w:bidi w:val="0"/>
              <w:adjustRightInd w:val="0"/>
              <w:snapToGrid w:val="0"/>
              <w:spacing w:before="58"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52A2214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31DB0D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320F0521">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7</w:t>
            </w:r>
          </w:p>
        </w:tc>
        <w:tc>
          <w:tcPr>
            <w:tcW w:w="1675" w:type="dxa"/>
            <w:vAlign w:val="center"/>
          </w:tcPr>
          <w:p w14:paraId="5782E3F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对不正常报价的确认承诺</w:t>
            </w:r>
          </w:p>
        </w:tc>
        <w:tc>
          <w:tcPr>
            <w:tcW w:w="3107" w:type="dxa"/>
            <w:vAlign w:val="top"/>
          </w:tcPr>
          <w:p w14:paraId="6D8BDFB8">
            <w:pPr>
              <w:keepNext w:val="0"/>
              <w:keepLines w:val="0"/>
              <w:pageBreakBefore w:val="0"/>
              <w:widowControl/>
              <w:kinsoku w:val="0"/>
              <w:wordWrap w:val="0"/>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55874C84">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7ACFEB24">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C2BA43">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1303911B">
            <w:pPr>
              <w:keepNext w:val="0"/>
              <w:keepLines w:val="0"/>
              <w:pageBreakBefore w:val="0"/>
              <w:widowControl/>
              <w:kinsoku w:val="0"/>
              <w:wordWrap w:val="0"/>
              <w:overflowPunct/>
              <w:topLinePunct w:val="0"/>
              <w:autoSpaceDE w:val="0"/>
              <w:autoSpaceDN w:val="0"/>
              <w:bidi w:val="0"/>
              <w:adjustRightInd w:val="0"/>
              <w:snapToGrid w:val="0"/>
              <w:spacing w:before="57" w:line="240" w:lineRule="auto"/>
              <w:ind w:left="1979"/>
              <w:textAlignment w:val="baseline"/>
              <mc:AlternateContent>
                <mc:Choice Requires="wpsCustomData">
                  <wpsCustomData:diagonalParaType/>
                </mc:Choice>
              </mc:AlternateContent>
              <w:rPr>
                <w:rFonts w:hint="eastAsia" w:ascii="宋体" w:hAnsi="宋体" w:eastAsia="宋体" w:cs="宋体"/>
                <w:color w:val="000000" w:themeColor="text1"/>
                <w:spacing w:val="0"/>
                <w:sz w:val="21"/>
                <w:szCs w:val="21"/>
                <w:highlight w:val="none"/>
                <w14:textFill>
                  <w14:solidFill>
                    <w14:schemeClr w14:val="tx1"/>
                  </w14:solidFill>
                </w14:textFill>
              </w:rPr>
            </w:pPr>
          </w:p>
          <w:p w14:paraId="1AB87749">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tc>
      </w:tr>
      <w:tr w14:paraId="2D63E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C876BD4">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8</w:t>
            </w:r>
          </w:p>
        </w:tc>
        <w:tc>
          <w:tcPr>
            <w:tcW w:w="1675" w:type="dxa"/>
            <w:vAlign w:val="center"/>
          </w:tcPr>
          <w:p w14:paraId="01E67844">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按时提交履约保证的承诺</w:t>
            </w:r>
          </w:p>
        </w:tc>
        <w:tc>
          <w:tcPr>
            <w:tcW w:w="3107" w:type="dxa"/>
            <w:vAlign w:val="top"/>
          </w:tcPr>
          <w:p w14:paraId="29A0D195">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00CA932B">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如果我方中标，我方保证在招标文件规定的时限内全额提交履约保证。</w:t>
            </w:r>
          </w:p>
        </w:tc>
        <w:tc>
          <w:tcPr>
            <w:tcW w:w="4272" w:type="dxa"/>
            <w:vAlign w:val="top"/>
          </w:tcPr>
          <w:p w14:paraId="157135E5">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如果我方未在招标文件规定的时限内全 额提交履约保证，我方接受招标人依据招标文件作出的相应处理以及有关监督部门作出的行政处罚，并承担由此引起的一切法律后果。</w:t>
            </w:r>
          </w:p>
        </w:tc>
      </w:tr>
      <w:tr w14:paraId="12204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C8442E1">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9</w:t>
            </w:r>
          </w:p>
        </w:tc>
        <w:tc>
          <w:tcPr>
            <w:tcW w:w="1675" w:type="dxa"/>
            <w:vAlign w:val="center"/>
          </w:tcPr>
          <w:p w14:paraId="7AF6CE02">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按时签订合同的承诺</w:t>
            </w:r>
          </w:p>
        </w:tc>
        <w:tc>
          <w:tcPr>
            <w:tcW w:w="3107" w:type="dxa"/>
            <w:vAlign w:val="top"/>
          </w:tcPr>
          <w:p w14:paraId="59576A39">
            <w:pPr>
              <w:pStyle w:val="27"/>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25FCE2A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如果我方中标，我方保证在 招标文件规定的时限内与招标人签订合同，不提出违背或超出招标文件、中标文件的要求。</w:t>
            </w:r>
          </w:p>
        </w:tc>
        <w:tc>
          <w:tcPr>
            <w:tcW w:w="4272" w:type="dxa"/>
            <w:vAlign w:val="top"/>
          </w:tcPr>
          <w:p w14:paraId="3246D3A0">
            <w:pPr>
              <w:keepNext w:val="0"/>
              <w:keepLines w:val="0"/>
              <w:pageBreakBefore w:val="0"/>
              <w:widowControl/>
              <w:kinsoku w:val="0"/>
              <w:wordWrap w:val="0"/>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5841BEAA">
      <w:pPr>
        <w:keepNext w:val="0"/>
        <w:keepLines w:val="0"/>
        <w:pageBreakBefore w:val="0"/>
        <w:wordWrap w:val="0"/>
        <w:overflowPunct/>
        <w:topLinePunct w:val="0"/>
        <w:bidi w:val="0"/>
        <w:spacing w:before="78" w:line="219" w:lineRule="auto"/>
        <w:ind w:firstLine="6720" w:firstLineChars="2800"/>
        <w:jc w:val="both"/>
        <w:rPr>
          <w:rFonts w:hint="eastAsia" w:ascii="宋体" w:hAnsi="宋体" w:eastAsia="宋体" w:cs="宋体"/>
          <w:color w:val="000000" w:themeColor="text1"/>
          <w:spacing w:val="0"/>
          <w:sz w:val="24"/>
          <w:szCs w:val="24"/>
          <w:highlight w:val="none"/>
          <w14:textFill>
            <w14:solidFill>
              <w14:schemeClr w14:val="tx1"/>
            </w14:solidFill>
          </w14:textFill>
        </w:rPr>
      </w:pPr>
    </w:p>
    <w:p w14:paraId="5A5A4090">
      <w:pPr>
        <w:keepNext w:val="0"/>
        <w:keepLines w:val="0"/>
        <w:pageBreakBefore w:val="0"/>
        <w:wordWrap w:val="0"/>
        <w:overflowPunct/>
        <w:topLinePunct w:val="0"/>
        <w:bidi w:val="0"/>
        <w:spacing w:before="78" w:line="219" w:lineRule="auto"/>
        <w:ind w:firstLine="6720" w:firstLineChars="280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1F3159F">
      <w:pPr>
        <w:pStyle w:val="5"/>
        <w:keepNext w:val="0"/>
        <w:keepLines w:val="0"/>
        <w:pageBreakBefore w:val="0"/>
        <w:wordWrap w:val="0"/>
        <w:overflowPunct/>
        <w:topLinePunct w:val="0"/>
        <w:bidi w:val="0"/>
        <w:spacing w:line="297" w:lineRule="auto"/>
        <w:jc w:val="right"/>
        <w:rPr>
          <w:rFonts w:hint="eastAsia" w:ascii="宋体" w:hAnsi="宋体" w:eastAsia="宋体" w:cs="宋体"/>
          <w:color w:val="000000" w:themeColor="text1"/>
          <w:spacing w:val="0"/>
          <w:highlight w:val="none"/>
          <w14:textFill>
            <w14:solidFill>
              <w14:schemeClr w14:val="tx1"/>
            </w14:solidFill>
          </w14:textFill>
        </w:rPr>
      </w:pPr>
    </w:p>
    <w:p w14:paraId="09C1B693">
      <w:pPr>
        <w:keepNext w:val="0"/>
        <w:keepLines w:val="0"/>
        <w:pageBreakBefore w:val="0"/>
        <w:wordWrap w:val="0"/>
        <w:overflowPunct/>
        <w:topLinePunct w:val="0"/>
        <w:bidi w:val="0"/>
        <w:spacing w:before="78" w:line="219" w:lineRule="auto"/>
        <w:ind w:left="4366"/>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5307D740">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p>
    <w:p w14:paraId="7613316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420BB4E">
      <w:pPr>
        <w:keepNext w:val="0"/>
        <w:keepLines w:val="0"/>
        <w:pageBreakBefore w:val="0"/>
        <w:wordWrap w:val="0"/>
        <w:overflowPunct/>
        <w:topLinePunct w:val="0"/>
        <w:bidi w:val="0"/>
        <w:spacing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B19334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4" w:name="_Toc30907"/>
      <w:r>
        <w:rPr>
          <w:rFonts w:hint="eastAsia" w:ascii="宋体" w:hAnsi="宋体" w:eastAsia="宋体" w:cs="宋体"/>
          <w:b/>
          <w:bCs/>
          <w:color w:val="000000" w:themeColor="text1"/>
          <w:spacing w:val="0"/>
          <w:sz w:val="24"/>
          <w:szCs w:val="24"/>
          <w:highlight w:val="none"/>
          <w14:textFill>
            <w14:solidFill>
              <w14:schemeClr w14:val="tx1"/>
            </w14:solidFill>
          </w14:textFill>
        </w:rPr>
        <w:t>格式四 授权委托书</w:t>
      </w:r>
      <w:bookmarkEnd w:id="234"/>
    </w:p>
    <w:p w14:paraId="03776E3A">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7681910">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6710AE74">
      <w:pPr>
        <w:keepNext w:val="0"/>
        <w:keepLines w:val="0"/>
        <w:pageBreakBefore w:val="0"/>
        <w:wordWrap w:val="0"/>
        <w:overflowPunct/>
        <w:topLinePunct w:val="0"/>
        <w:bidi w:val="0"/>
        <w:spacing w:before="97" w:line="219" w:lineRule="auto"/>
        <w:ind w:left="3786"/>
        <w:rPr>
          <w:rFonts w:hint="eastAsia" w:ascii="宋体" w:hAnsi="宋体" w:eastAsia="宋体" w:cs="宋体"/>
          <w:color w:val="000000" w:themeColor="text1"/>
          <w:spacing w:val="0"/>
          <w:sz w:val="30"/>
          <w:szCs w:val="30"/>
          <w:highlight w:val="none"/>
          <w14:textFill>
            <w14:solidFill>
              <w14:schemeClr w14:val="tx1"/>
            </w14:solidFill>
          </w14:textFill>
        </w:rPr>
      </w:pPr>
      <w:bookmarkStart w:id="235" w:name="bookmark151"/>
      <w:bookmarkEnd w:id="235"/>
      <w:r>
        <w:rPr>
          <w:rFonts w:hint="eastAsia" w:ascii="宋体" w:hAnsi="宋体" w:eastAsia="宋体" w:cs="宋体"/>
          <w:b/>
          <w:bCs/>
          <w:color w:val="000000" w:themeColor="text1"/>
          <w:spacing w:val="0"/>
          <w:sz w:val="30"/>
          <w:szCs w:val="30"/>
          <w:highlight w:val="none"/>
          <w14:textFill>
            <w14:solidFill>
              <w14:schemeClr w14:val="tx1"/>
            </w14:solidFill>
          </w14:textFill>
        </w:rPr>
        <w:t>授权委托书</w:t>
      </w:r>
    </w:p>
    <w:p w14:paraId="6B19C13D">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761B3015">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86EF8E7">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29794F47">
      <w:pPr>
        <w:keepNext w:val="0"/>
        <w:keepLines w:val="0"/>
        <w:pageBreakBefore w:val="0"/>
        <w:widowControl/>
        <w:kinsoku w:val="0"/>
        <w:wordWrap w:val="0"/>
        <w:overflowPunct/>
        <w:topLinePunct w:val="0"/>
        <w:autoSpaceDE w:val="0"/>
        <w:autoSpaceDN w:val="0"/>
        <w:bidi w:val="0"/>
        <w:adjustRightInd w:val="0"/>
        <w:snapToGrid w:val="0"/>
        <w:spacing w:before="78" w:line="330" w:lineRule="auto"/>
        <w:ind w:firstLine="481"/>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本人</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（姓名）系</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（投标人名称）的法定代表人，现委托</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（姓名）为我方代理人。代理人根据授权，以我方名义签署、澄清、说明、补正、递交、撤回、修改</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8"/>
          <w:highlight w:val="none"/>
          <w:u w:val="single"/>
          <w:lang w:eastAsia="zh-CN"/>
          <w14:textFill>
            <w14:solidFill>
              <w14:schemeClr w14:val="tx1"/>
            </w14:solidFill>
          </w14:textFill>
        </w:rPr>
        <w:t>（项目名称）</w:t>
      </w:r>
      <w:r>
        <w:rPr>
          <w:rFonts w:hint="eastAsia" w:ascii="宋体" w:hAnsi="宋体" w:eastAsia="宋体" w:cs="宋体"/>
          <w:snapToGrid w:val="0"/>
          <w:color w:val="000000" w:themeColor="text1"/>
          <w:spacing w:val="0"/>
          <w:kern w:val="0"/>
          <w:sz w:val="24"/>
          <w:szCs w:val="28"/>
          <w:highlight w:val="none"/>
          <w:lang w:eastAsia="zh-CN"/>
          <w14:textFill>
            <w14:solidFill>
              <w14:schemeClr w14:val="tx1"/>
            </w14:solidFill>
          </w14:textFill>
        </w:rPr>
        <w:t xml:space="preserve"> 投标文件、签订合同和处理有关事宜，其法律后果由我方承担。</w:t>
      </w:r>
    </w:p>
    <w:p w14:paraId="61311643">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委托期限：至</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年   月    日</w:t>
      </w:r>
      <w:r>
        <w:rPr>
          <w:rFonts w:hint="eastAsia" w:ascii="宋体" w:hAnsi="宋体" w:eastAsia="宋体" w:cs="宋体"/>
          <w:i/>
          <w:iCs/>
          <w:color w:val="000000" w:themeColor="text1"/>
          <w:spacing w:val="0"/>
          <w:sz w:val="25"/>
          <w:szCs w:val="25"/>
          <w:highlight w:val="none"/>
          <w:u w:val="single"/>
          <w14:textFill>
            <w14:solidFill>
              <w14:schemeClr w14:val="tx1"/>
            </w14:solidFill>
          </w14:textFill>
        </w:rPr>
        <w:t>（不得短于招标文件规定的投标有效期）</w:t>
      </w:r>
      <w:r>
        <w:rPr>
          <w:rFonts w:hint="eastAsia" w:ascii="宋体" w:hAnsi="宋体" w:eastAsia="宋体" w:cs="宋体"/>
          <w:color w:val="000000" w:themeColor="text1"/>
          <w:spacing w:val="0"/>
          <w:sz w:val="25"/>
          <w:szCs w:val="25"/>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p>
    <w:p w14:paraId="065F5DA6">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代理人无转委托权。</w:t>
      </w:r>
    </w:p>
    <w:p w14:paraId="03D08A77">
      <w:pPr>
        <w:pStyle w:val="5"/>
        <w:keepNext w:val="0"/>
        <w:keepLines w:val="0"/>
        <w:pageBreakBefore w:val="0"/>
        <w:wordWrap w:val="0"/>
        <w:overflowPunct/>
        <w:topLinePunct w:val="0"/>
        <w:bidi w:val="0"/>
        <w:spacing w:line="276" w:lineRule="auto"/>
        <w:rPr>
          <w:rFonts w:hint="eastAsia" w:ascii="宋体" w:hAnsi="宋体" w:eastAsia="宋体" w:cs="宋体"/>
          <w:color w:val="000000" w:themeColor="text1"/>
          <w:spacing w:val="0"/>
          <w:highlight w:val="none"/>
          <w14:textFill>
            <w14:solidFill>
              <w14:schemeClr w14:val="tx1"/>
            </w14:solidFill>
          </w14:textFill>
        </w:rPr>
      </w:pPr>
    </w:p>
    <w:p w14:paraId="43532AC3">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2B7914FB">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7C771EC">
      <w:pPr>
        <w:keepNext w:val="0"/>
        <w:keepLines w:val="0"/>
        <w:pageBreakBefore w:val="0"/>
        <w:wordWrap w:val="0"/>
        <w:overflowPunct/>
        <w:topLinePunct w:val="0"/>
        <w:bidi w:val="0"/>
        <w:spacing w:before="78" w:line="219" w:lineRule="auto"/>
        <w:ind w:left="3123"/>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  标  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67E86849">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4D39F848">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67D7E79">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7B8E691">
      <w:pPr>
        <w:keepNext w:val="0"/>
        <w:keepLines w:val="0"/>
        <w:pageBreakBefore w:val="0"/>
        <w:wordWrap w:val="0"/>
        <w:overflowPunct/>
        <w:topLinePunct w:val="0"/>
        <w:bidi w:val="0"/>
        <w:spacing w:before="79" w:line="219" w:lineRule="auto"/>
        <w:ind w:left="3121"/>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058F6FE5">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084C2FB0">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7963A6">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732A1D8F">
      <w:pPr>
        <w:keepNext w:val="0"/>
        <w:keepLines w:val="0"/>
        <w:pageBreakBefore w:val="0"/>
        <w:wordWrap w:val="0"/>
        <w:overflowPunct/>
        <w:topLinePunct w:val="0"/>
        <w:bidi w:val="0"/>
        <w:spacing w:before="78" w:line="219" w:lineRule="auto"/>
        <w:ind w:left="288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B567FA1">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C2BC505">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highlight w:val="none"/>
          <w14:textFill>
            <w14:solidFill>
              <w14:schemeClr w14:val="tx1"/>
            </w14:solidFill>
          </w14:textFill>
        </w:rPr>
      </w:pPr>
    </w:p>
    <w:p w14:paraId="32DFD235">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09CD99D4">
      <w:pPr>
        <w:keepNext w:val="0"/>
        <w:keepLines w:val="0"/>
        <w:pageBreakBefore w:val="0"/>
        <w:wordWrap w:val="0"/>
        <w:overflowPunct/>
        <w:topLinePunct w:val="0"/>
        <w:bidi w:val="0"/>
        <w:spacing w:before="78" w:line="220" w:lineRule="auto"/>
        <w:ind w:left="4201"/>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23A21F5">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p w14:paraId="1E0667E6">
      <w:pPr>
        <w:keepNext w:val="0"/>
        <w:keepLines w:val="0"/>
        <w:pageBreakBefore w:val="0"/>
        <w:wordWrap w:val="0"/>
        <w:overflowPunct/>
        <w:topLinePunct w:val="0"/>
        <w:bidi w:val="0"/>
        <w:spacing w:before="69"/>
        <w:rPr>
          <w:rFonts w:hint="eastAsia" w:ascii="宋体" w:hAnsi="宋体" w:eastAsia="宋体" w:cs="宋体"/>
          <w:color w:val="000000" w:themeColor="text1"/>
          <w:spacing w:val="0"/>
          <w:highlight w:val="none"/>
          <w14:textFill>
            <w14:solidFill>
              <w14:schemeClr w14:val="tx1"/>
            </w14:solidFill>
          </w14:textFill>
        </w:rPr>
      </w:pPr>
    </w:p>
    <w:tbl>
      <w:tblPr>
        <w:tblStyle w:val="14"/>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2127AB6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06290FA3">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73D5EEA8">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4189E6F9">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1D9240F">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0F2804B">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376A489E">
            <w:pPr>
              <w:pStyle w:val="27"/>
              <w:keepNext w:val="0"/>
              <w:keepLines w:val="0"/>
              <w:pageBreakBefore w:val="0"/>
              <w:wordWrap w:val="0"/>
              <w:overflowPunct/>
              <w:topLinePunct w:val="0"/>
              <w:bidi w:val="0"/>
              <w:spacing w:line="245" w:lineRule="auto"/>
              <w:rPr>
                <w:rFonts w:hint="eastAsia" w:ascii="宋体" w:hAnsi="宋体" w:eastAsia="宋体" w:cs="宋体"/>
                <w:color w:val="000000" w:themeColor="text1"/>
                <w:spacing w:val="0"/>
                <w:highlight w:val="none"/>
                <w14:textFill>
                  <w14:solidFill>
                    <w14:schemeClr w14:val="tx1"/>
                  </w14:solidFill>
                </w14:textFill>
              </w:rPr>
            </w:pPr>
          </w:p>
          <w:p w14:paraId="5A6EA383">
            <w:pPr>
              <w:pStyle w:val="27"/>
              <w:keepNext w:val="0"/>
              <w:keepLines w:val="0"/>
              <w:pageBreakBefore w:val="0"/>
              <w:wordWrap w:val="0"/>
              <w:overflowPunct/>
              <w:topLinePunct w:val="0"/>
              <w:bidi w:val="0"/>
              <w:spacing w:line="246" w:lineRule="auto"/>
              <w:rPr>
                <w:rFonts w:hint="eastAsia" w:ascii="宋体" w:hAnsi="宋体" w:eastAsia="宋体" w:cs="宋体"/>
                <w:color w:val="000000" w:themeColor="text1"/>
                <w:spacing w:val="0"/>
                <w:highlight w:val="none"/>
                <w14:textFill>
                  <w14:solidFill>
                    <w14:schemeClr w14:val="tx1"/>
                  </w14:solidFill>
                </w14:textFill>
              </w:rPr>
            </w:pPr>
          </w:p>
          <w:p w14:paraId="46299238">
            <w:pPr>
              <w:keepNext w:val="0"/>
              <w:keepLines w:val="0"/>
              <w:pageBreakBefore w:val="0"/>
              <w:wordWrap w:val="0"/>
              <w:overflowPunct/>
              <w:topLinePunct w:val="0"/>
              <w:bidi w:val="0"/>
              <w:spacing w:before="78" w:line="220" w:lineRule="auto"/>
              <w:ind w:left="7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委托代理人身份证</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扫描件</w:t>
            </w:r>
            <w:r>
              <w:rPr>
                <w:rFonts w:hint="eastAsia" w:ascii="宋体" w:hAnsi="宋体" w:eastAsia="宋体" w:cs="宋体"/>
                <w:color w:val="000000" w:themeColor="text1"/>
                <w:spacing w:val="0"/>
                <w:sz w:val="24"/>
                <w:szCs w:val="24"/>
                <w:highlight w:val="none"/>
                <w14:textFill>
                  <w14:solidFill>
                    <w14:schemeClr w14:val="tx1"/>
                  </w14:solidFill>
                </w14:textFill>
              </w:rPr>
              <w:t>正、反面</w:t>
            </w:r>
          </w:p>
        </w:tc>
      </w:tr>
    </w:tbl>
    <w:p w14:paraId="1CD2E23D">
      <w:pPr>
        <w:pStyle w:val="5"/>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414108A7">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3DBB8B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6" w:name="_Toc25947"/>
      <w:r>
        <w:rPr>
          <w:rFonts w:hint="eastAsia" w:ascii="宋体" w:hAnsi="宋体" w:eastAsia="宋体" w:cs="宋体"/>
          <w:b/>
          <w:bCs/>
          <w:color w:val="000000" w:themeColor="text1"/>
          <w:spacing w:val="0"/>
          <w:sz w:val="24"/>
          <w:szCs w:val="24"/>
          <w:highlight w:val="none"/>
          <w14:textFill>
            <w14:solidFill>
              <w14:schemeClr w14:val="tx1"/>
            </w14:solidFill>
          </w14:textFill>
        </w:rPr>
        <w:t>格式五 法定代表人身份证明</w:t>
      </w:r>
      <w:bookmarkEnd w:id="236"/>
    </w:p>
    <w:p w14:paraId="64F0910B">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2888A3EE">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0601B29">
      <w:pPr>
        <w:keepNext w:val="0"/>
        <w:keepLines w:val="0"/>
        <w:pageBreakBefore w:val="0"/>
        <w:wordWrap w:val="0"/>
        <w:overflowPunct/>
        <w:topLinePunct w:val="0"/>
        <w:bidi w:val="0"/>
        <w:spacing w:before="98" w:line="220" w:lineRule="auto"/>
        <w:ind w:left="3183"/>
        <w:rPr>
          <w:rFonts w:hint="eastAsia" w:ascii="宋体" w:hAnsi="宋体" w:eastAsia="宋体" w:cs="宋体"/>
          <w:color w:val="000000" w:themeColor="text1"/>
          <w:spacing w:val="0"/>
          <w:sz w:val="30"/>
          <w:szCs w:val="30"/>
          <w:highlight w:val="none"/>
          <w14:textFill>
            <w14:solidFill>
              <w14:schemeClr w14:val="tx1"/>
            </w14:solidFill>
          </w14:textFill>
        </w:rPr>
      </w:pPr>
      <w:bookmarkStart w:id="237" w:name="bookmark152"/>
      <w:bookmarkEnd w:id="237"/>
      <w:r>
        <w:rPr>
          <w:rFonts w:hint="eastAsia" w:ascii="宋体" w:hAnsi="宋体" w:eastAsia="宋体" w:cs="宋体"/>
          <w:b/>
          <w:bCs/>
          <w:color w:val="000000" w:themeColor="text1"/>
          <w:spacing w:val="0"/>
          <w:sz w:val="30"/>
          <w:szCs w:val="30"/>
          <w:highlight w:val="none"/>
          <w14:textFill>
            <w14:solidFill>
              <w14:schemeClr w14:val="tx1"/>
            </w14:solidFill>
          </w14:textFill>
        </w:rPr>
        <w:t>法定代表人身份证明</w:t>
      </w:r>
    </w:p>
    <w:p w14:paraId="176A168B">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B8D004F">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47A552CC">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6441890C">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78081EA7">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姓名：</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性别：</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年龄：</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职务：</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p>
    <w:p w14:paraId="572BE33E">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系</w:t>
      </w:r>
      <w:r>
        <w:rPr>
          <w:rFonts w:hint="eastAsia" w:ascii="宋体" w:hAnsi="宋体" w:eastAsia="宋体" w:cs="宋体"/>
          <w:snapToGrid w:val="0"/>
          <w:color w:val="000000" w:themeColor="text1"/>
          <w:spacing w:val="0"/>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（投标人名称）的法定代表人。</w:t>
      </w:r>
    </w:p>
    <w:p w14:paraId="7898B9FA">
      <w:pPr>
        <w:keepNext w:val="0"/>
        <w:keepLines w:val="0"/>
        <w:pageBreakBefore w:val="0"/>
        <w:wordWrap w:val="0"/>
        <w:overflowPunct/>
        <w:topLinePunct w:val="0"/>
        <w:bidi w:val="0"/>
        <w:adjustRightInd w:val="0"/>
        <w:snapToGrid w:val="0"/>
        <w:rPr>
          <w:rFonts w:hint="eastAsia" w:ascii="宋体" w:hAnsi="宋体" w:eastAsia="宋体" w:cs="宋体"/>
          <w:snapToGrid w:val="0"/>
          <w:color w:val="000000" w:themeColor="text1"/>
          <w:spacing w:val="0"/>
          <w:ker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sz w:val="24"/>
          <w:szCs w:val="24"/>
          <w:highlight w:val="none"/>
          <w14:textFill>
            <w14:solidFill>
              <w14:schemeClr w14:val="tx1"/>
            </w14:solidFill>
          </w14:textFill>
        </w:rPr>
        <w:t xml:space="preserve">    特此证明。</w:t>
      </w:r>
    </w:p>
    <w:p w14:paraId="1DA8C0EE">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46E051EF">
      <w:pPr>
        <w:pStyle w:val="5"/>
        <w:keepNext w:val="0"/>
        <w:keepLines w:val="0"/>
        <w:pageBreakBefore w:val="0"/>
        <w:wordWrap w:val="0"/>
        <w:overflowPunct/>
        <w:topLinePunct w:val="0"/>
        <w:bidi w:val="0"/>
        <w:spacing w:line="277" w:lineRule="auto"/>
        <w:rPr>
          <w:rFonts w:hint="eastAsia" w:ascii="宋体" w:hAnsi="宋体" w:eastAsia="宋体" w:cs="宋体"/>
          <w:color w:val="000000" w:themeColor="text1"/>
          <w:spacing w:val="0"/>
          <w:highlight w:val="none"/>
          <w14:textFill>
            <w14:solidFill>
              <w14:schemeClr w14:val="tx1"/>
            </w14:solidFill>
          </w14:textFill>
        </w:rPr>
      </w:pPr>
    </w:p>
    <w:p w14:paraId="31074CD7">
      <w:pPr>
        <w:pStyle w:val="5"/>
        <w:keepNext w:val="0"/>
        <w:keepLines w:val="0"/>
        <w:pageBreakBefore w:val="0"/>
        <w:wordWrap w:val="0"/>
        <w:overflowPunct/>
        <w:topLinePunct w:val="0"/>
        <w:bidi w:val="0"/>
        <w:spacing w:line="278" w:lineRule="auto"/>
        <w:rPr>
          <w:rFonts w:hint="eastAsia" w:ascii="宋体" w:hAnsi="宋体" w:eastAsia="宋体" w:cs="宋体"/>
          <w:color w:val="000000" w:themeColor="text1"/>
          <w:spacing w:val="0"/>
          <w:highlight w:val="none"/>
          <w14:textFill>
            <w14:solidFill>
              <w14:schemeClr w14:val="tx1"/>
            </w14:solidFill>
          </w14:textFill>
        </w:rPr>
      </w:pPr>
    </w:p>
    <w:p w14:paraId="7DE923C3">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195DD81">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355329DE">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6910EDC1">
      <w:pPr>
        <w:pStyle w:val="5"/>
        <w:keepNext w:val="0"/>
        <w:keepLines w:val="0"/>
        <w:pageBreakBefore w:val="0"/>
        <w:wordWrap w:val="0"/>
        <w:overflowPunct/>
        <w:topLinePunct w:val="0"/>
        <w:bidi w:val="0"/>
        <w:spacing w:line="317" w:lineRule="auto"/>
        <w:jc w:val="right"/>
        <w:rPr>
          <w:rFonts w:hint="eastAsia" w:ascii="宋体" w:hAnsi="宋体" w:eastAsia="宋体" w:cs="宋体"/>
          <w:color w:val="000000" w:themeColor="text1"/>
          <w:spacing w:val="0"/>
          <w:highlight w:val="none"/>
          <w14:textFill>
            <w14:solidFill>
              <w14:schemeClr w14:val="tx1"/>
            </w14:solidFill>
          </w14:textFill>
        </w:rPr>
      </w:pPr>
    </w:p>
    <w:p w14:paraId="14A7032E">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109F911F">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24B1B1E8">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highlight w:val="none"/>
          <w14:textFill>
            <w14:solidFill>
              <w14:schemeClr w14:val="tx1"/>
            </w14:solidFill>
          </w14:textFill>
        </w:rPr>
      </w:pPr>
    </w:p>
    <w:p w14:paraId="033908D8">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4CB3CC8E">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1A118B4E">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29B7FFB7">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3FB212A0">
      <w:pPr>
        <w:pStyle w:val="5"/>
        <w:keepNext w:val="0"/>
        <w:keepLines w:val="0"/>
        <w:pageBreakBefore w:val="0"/>
        <w:wordWrap w:val="0"/>
        <w:overflowPunct/>
        <w:topLinePunct w:val="0"/>
        <w:bidi w:val="0"/>
        <w:spacing w:line="254" w:lineRule="auto"/>
        <w:rPr>
          <w:rFonts w:hint="eastAsia" w:ascii="宋体" w:hAnsi="宋体" w:eastAsia="宋体" w:cs="宋体"/>
          <w:color w:val="000000" w:themeColor="text1"/>
          <w:spacing w:val="0"/>
          <w:highlight w:val="none"/>
          <w14:textFill>
            <w14:solidFill>
              <w14:schemeClr w14:val="tx1"/>
            </w14:solidFill>
          </w14:textFill>
        </w:rPr>
      </w:pPr>
    </w:p>
    <w:p w14:paraId="661DD784">
      <w:pPr>
        <w:pStyle w:val="5"/>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4F8DA62D">
      <w:pPr>
        <w:pStyle w:val="5"/>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highlight w:val="none"/>
          <w14:textFill>
            <w14:solidFill>
              <w14:schemeClr w14:val="tx1"/>
            </w14:solidFill>
          </w14:textFill>
        </w:rPr>
      </w:pPr>
    </w:p>
    <w:p w14:paraId="67391F7A">
      <w:pPr>
        <w:pStyle w:val="5"/>
        <w:keepNext w:val="0"/>
        <w:keepLines w:val="0"/>
        <w:pageBreakBefore w:val="0"/>
        <w:wordWrap w:val="0"/>
        <w:overflowPunct/>
        <w:topLinePunct w:val="0"/>
        <w:bidi w:val="0"/>
        <w:spacing w:before="1" w:line="2510" w:lineRule="exact"/>
        <w:ind w:firstLine="253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50"/>
          <w:highlight w:val="none"/>
          <w14:textFill>
            <w14:solidFill>
              <w14:schemeClr w14:val="tx1"/>
            </w14:solidFill>
          </w14:textFill>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4"/>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4"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0B2BA37">
                        <w:pPr>
                          <w:spacing w:line="249" w:lineRule="auto"/>
                          <w:rPr>
                            <w:highlight w:val="none"/>
                          </w:rPr>
                        </w:pPr>
                      </w:p>
                      <w:p w14:paraId="0A32F196">
                        <w:pPr>
                          <w:spacing w:line="249" w:lineRule="auto"/>
                          <w:rPr>
                            <w:highlight w:val="none"/>
                          </w:rPr>
                        </w:pPr>
                      </w:p>
                      <w:p w14:paraId="6C01FF1E">
                        <w:pPr>
                          <w:spacing w:line="249" w:lineRule="auto"/>
                          <w:rPr>
                            <w:highlight w:val="none"/>
                          </w:rPr>
                        </w:pPr>
                      </w:p>
                      <w:p w14:paraId="5F468A72">
                        <w:pPr>
                          <w:spacing w:line="249" w:lineRule="auto"/>
                          <w:rPr>
                            <w:highlight w:val="none"/>
                          </w:rPr>
                        </w:pPr>
                      </w:p>
                      <w:p w14:paraId="3437CEDB">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2BB2EBC8">
      <w:pPr>
        <w:keepNext w:val="0"/>
        <w:keepLines w:val="0"/>
        <w:pageBreakBefore w:val="0"/>
        <w:wordWrap w:val="0"/>
        <w:overflowPunct/>
        <w:topLinePunct w:val="0"/>
        <w:bidi w:val="0"/>
        <w:spacing w:line="2510" w:lineRule="exact"/>
        <w:rPr>
          <w:rFonts w:hint="eastAsia" w:ascii="宋体" w:hAnsi="宋体" w:eastAsia="宋体" w:cs="宋体"/>
          <w:color w:val="000000" w:themeColor="text1"/>
          <w:spacing w:val="0"/>
          <w:highlight w:val="none"/>
          <w14:textFill>
            <w14:solidFill>
              <w14:schemeClr w14:val="tx1"/>
            </w14:solidFill>
          </w14:textFill>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AF3FC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38" w:name="_Toc12961"/>
      <w:r>
        <w:rPr>
          <w:rFonts w:hint="eastAsia" w:ascii="宋体" w:hAnsi="宋体" w:eastAsia="宋体" w:cs="宋体"/>
          <w:b/>
          <w:bCs/>
          <w:color w:val="000000" w:themeColor="text1"/>
          <w:spacing w:val="0"/>
          <w:sz w:val="24"/>
          <w:szCs w:val="24"/>
          <w:highlight w:val="none"/>
          <w14:textFill>
            <w14:solidFill>
              <w14:schemeClr w14:val="tx1"/>
            </w14:solidFill>
          </w14:textFill>
        </w:rPr>
        <w:t>格式六 联合体协议书</w:t>
      </w:r>
      <w:bookmarkEnd w:id="238"/>
    </w:p>
    <w:p w14:paraId="7EE6374E">
      <w:pPr>
        <w:keepNext w:val="0"/>
        <w:keepLines w:val="0"/>
        <w:pageBreakBefore w:val="0"/>
        <w:wordWrap w:val="0"/>
        <w:overflowPunct/>
        <w:topLinePunct w:val="0"/>
        <w:bidi w:val="0"/>
        <w:spacing w:before="98" w:line="219" w:lineRule="auto"/>
        <w:ind w:left="3638"/>
        <w:rPr>
          <w:rFonts w:hint="eastAsia" w:ascii="宋体" w:hAnsi="宋体" w:eastAsia="宋体" w:cs="宋体"/>
          <w:color w:val="000000" w:themeColor="text1"/>
          <w:spacing w:val="0"/>
          <w:sz w:val="30"/>
          <w:szCs w:val="30"/>
          <w:highlight w:val="none"/>
          <w14:textFill>
            <w14:solidFill>
              <w14:schemeClr w14:val="tx1"/>
            </w14:solidFill>
          </w14:textFill>
        </w:rPr>
      </w:pPr>
      <w:bookmarkStart w:id="239" w:name="bookmark153"/>
      <w:bookmarkEnd w:id="239"/>
      <w:r>
        <w:rPr>
          <w:rFonts w:hint="eastAsia" w:ascii="宋体" w:hAnsi="宋体" w:eastAsia="宋体" w:cs="宋体"/>
          <w:b/>
          <w:bCs/>
          <w:color w:val="000000" w:themeColor="text1"/>
          <w:spacing w:val="0"/>
          <w:sz w:val="30"/>
          <w:szCs w:val="30"/>
          <w:highlight w:val="none"/>
          <w14:textFill>
            <w14:solidFill>
              <w14:schemeClr w14:val="tx1"/>
            </w14:solidFill>
          </w14:textFill>
        </w:rPr>
        <w:t>联合体协议书</w:t>
      </w:r>
    </w:p>
    <w:p w14:paraId="66B66C30">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2B0D39DC">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牵头人名称： </w:t>
      </w:r>
    </w:p>
    <w:p w14:paraId="0F9C623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6133798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0B7EEC45">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p>
    <w:p w14:paraId="207AD2AE">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成员二名称： </w:t>
      </w:r>
    </w:p>
    <w:p w14:paraId="35C3774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法定代表人： </w:t>
      </w:r>
    </w:p>
    <w:p w14:paraId="4A1D6D6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法定住所：</w:t>
      </w:r>
    </w:p>
    <w:p w14:paraId="7C0F8432">
      <w:pPr>
        <w:keepNext w:val="0"/>
        <w:keepLines w:val="0"/>
        <w:pageBreakBefore w:val="0"/>
        <w:widowControl/>
        <w:kinsoku w:val="0"/>
        <w:wordWrap w:val="0"/>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p w14:paraId="09D55383">
      <w:pPr>
        <w:keepNext w:val="0"/>
        <w:keepLines w:val="0"/>
        <w:pageBreakBefore w:val="0"/>
        <w:widowControl/>
        <w:kinsoku w:val="0"/>
        <w:wordWrap w:val="0"/>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上述各成员单位经过友好协商，自愿组成联合体，共同参加（项目名称）（以下简 称“本项目 ”）的施工投标并争取赢得本项目施工承包合同（以下简称合同）。现就联合体投标事宜订立如下协议：</w:t>
      </w:r>
    </w:p>
    <w:p w14:paraId="470AEF9A">
      <w:pPr>
        <w:keepNext w:val="0"/>
        <w:keepLines w:val="0"/>
        <w:pageBreakBefore w:val="0"/>
        <w:widowControl/>
        <w:kinsoku w:val="0"/>
        <w:wordWrap w:val="0"/>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．（某成员单位名称）为联合体牵头人。</w:t>
      </w:r>
    </w:p>
    <w:p w14:paraId="01E61A89">
      <w:pPr>
        <w:keepNext w:val="0"/>
        <w:keepLines w:val="0"/>
        <w:pageBreakBefore w:val="0"/>
        <w:widowControl/>
        <w:kinsoku w:val="0"/>
        <w:wordWrap w:val="0"/>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F9A22CE">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ADCDF28">
      <w:pPr>
        <w:keepNext w:val="0"/>
        <w:keepLines w:val="0"/>
        <w:pageBreakBefore w:val="0"/>
        <w:widowControl/>
        <w:kinsoku w:val="0"/>
        <w:wordWrap w:val="0"/>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0" w:name="_Toc32149"/>
      <w:bookmarkStart w:id="241" w:name="_Toc5365"/>
      <w:r>
        <w:rPr>
          <w:rFonts w:hint="eastAsia" w:ascii="宋体" w:hAnsi="宋体" w:eastAsia="宋体" w:cs="宋体"/>
          <w:color w:val="000000" w:themeColor="text1"/>
          <w:spacing w:val="0"/>
          <w:sz w:val="24"/>
          <w:szCs w:val="24"/>
          <w:highlight w:val="none"/>
          <w14:textFill>
            <w14:solidFill>
              <w14:schemeClr w14:val="tx1"/>
            </w14:solidFill>
          </w14:textFill>
        </w:rPr>
        <w:t>4 ．联合体各成员单位内部的职责分工如下：。</w:t>
      </w:r>
      <w:bookmarkEnd w:id="240"/>
      <w:bookmarkEnd w:id="241"/>
    </w:p>
    <w:p w14:paraId="66972B38">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．投标工作和联合体在中标后工程实施过程中的有关费用按各自承担的工作量分摊。</w:t>
      </w:r>
    </w:p>
    <w:p w14:paraId="16602AE1">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 ．联合体中标后，本联合体协议是合同的附件，对联合体各成员单位有合同约束力。</w:t>
      </w:r>
    </w:p>
    <w:p w14:paraId="4A791BDA">
      <w:pPr>
        <w:keepNext w:val="0"/>
        <w:keepLines w:val="0"/>
        <w:pageBreakBefore w:val="0"/>
        <w:widowControl/>
        <w:kinsoku w:val="0"/>
        <w:wordWrap w:val="0"/>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 ．本协议书自签署之日起生效，联合体未中标或者中标时合同履行完毕后自动失效。</w:t>
      </w:r>
    </w:p>
    <w:p w14:paraId="45E52A06">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42" w:name="_Toc26708"/>
      <w:bookmarkStart w:id="243" w:name="_Toc22612"/>
      <w:r>
        <w:rPr>
          <w:rFonts w:hint="eastAsia" w:ascii="宋体" w:hAnsi="宋体" w:eastAsia="宋体" w:cs="宋体"/>
          <w:color w:val="000000" w:themeColor="text1"/>
          <w:spacing w:val="0"/>
          <w:sz w:val="24"/>
          <w:szCs w:val="24"/>
          <w:highlight w:val="none"/>
          <w14:textFill>
            <w14:solidFill>
              <w14:schemeClr w14:val="tx1"/>
            </w14:solidFill>
          </w14:textFill>
        </w:rPr>
        <w:t>8 ．本协议书一式份，联合体成员和招标人各执一份。</w:t>
      </w:r>
      <w:bookmarkEnd w:id="242"/>
      <w:bookmarkEnd w:id="243"/>
    </w:p>
    <w:p w14:paraId="7383C992">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bookmarkStart w:id="244" w:name="bookmark154"/>
      <w:bookmarkEnd w:id="244"/>
      <w:r>
        <w:rPr>
          <w:rFonts w:hint="eastAsia" w:ascii="宋体" w:hAnsi="宋体" w:eastAsia="宋体" w:cs="宋体"/>
          <w:color w:val="000000" w:themeColor="text1"/>
          <w:spacing w:val="0"/>
          <w:sz w:val="24"/>
          <w:szCs w:val="24"/>
          <w:highlight w:val="none"/>
          <w14:textFill>
            <w14:solidFill>
              <w14:schemeClr w14:val="tx1"/>
            </w14:solidFill>
          </w14:textFill>
        </w:rPr>
        <w:t>牵头人名称：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473F3796">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5326D8EF">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4A50685C">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成员二名称：</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5B247C4F">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1EC39C4E">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snapToGrid w:val="0"/>
          <w:color w:val="000000" w:themeColor="text1"/>
          <w:spacing w:val="0"/>
          <w:kern w:val="0"/>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2C910984">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53670306">
      <w:pPr>
        <w:pStyle w:val="5"/>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highlight w:val="none"/>
          <w14:textFill>
            <w14:solidFill>
              <w14:schemeClr w14:val="tx1"/>
            </w14:solidFill>
          </w14:textFill>
        </w:rPr>
      </w:pPr>
    </w:p>
    <w:p w14:paraId="7C2788A4">
      <w:pPr>
        <w:keepNext w:val="0"/>
        <w:keepLines w:val="0"/>
        <w:pageBreakBefore w:val="0"/>
        <w:widowControl/>
        <w:kinsoku w:val="0"/>
        <w:wordWrap w:val="0"/>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pPr>
      <w:r>
        <w:rPr>
          <w:rFonts w:hint="eastAsia" w:ascii="宋体" w:hAnsi="宋体" w:eastAsia="宋体" w:cs="宋体"/>
          <w:color w:val="000000" w:themeColor="text1"/>
          <w:spacing w:val="0"/>
          <w:sz w:val="20"/>
          <w:szCs w:val="20"/>
          <w:highlight w:val="none"/>
          <w14:textFill>
            <w14:solidFill>
              <w14:schemeClr w14:val="tx1"/>
            </w14:solidFill>
          </w14:textFill>
        </w:rPr>
        <w:t>说明：《联合体协议书》 由委托代理人签字或盖章的，应附法定代表人签字或盖章的授权委托书。</w:t>
      </w:r>
    </w:p>
    <w:p w14:paraId="1A78BC6F">
      <w:pPr>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29AF8C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5" w:name="_Toc29268"/>
      <w:r>
        <w:rPr>
          <w:rFonts w:hint="eastAsia" w:ascii="宋体" w:hAnsi="宋体" w:eastAsia="宋体" w:cs="宋体"/>
          <w:b/>
          <w:bCs/>
          <w:color w:val="000000" w:themeColor="text1"/>
          <w:spacing w:val="0"/>
          <w:sz w:val="24"/>
          <w:szCs w:val="24"/>
          <w:highlight w:val="none"/>
          <w14:textFill>
            <w14:solidFill>
              <w14:schemeClr w14:val="tx1"/>
            </w14:solidFill>
          </w14:textFill>
        </w:rPr>
        <w:t>格式七 投标人基本情况表</w:t>
      </w:r>
      <w:bookmarkEnd w:id="245"/>
    </w:p>
    <w:p w14:paraId="3C060929">
      <w:pPr>
        <w:keepNext w:val="0"/>
        <w:keepLines w:val="0"/>
        <w:pageBreakBefore w:val="0"/>
        <w:wordWrap w:val="0"/>
        <w:overflowPunct/>
        <w:topLinePunct w:val="0"/>
        <w:bidi w:val="0"/>
        <w:spacing w:before="333" w:line="219" w:lineRule="auto"/>
        <w:ind w:left="3350"/>
        <w:rPr>
          <w:rFonts w:hint="eastAsia" w:ascii="宋体" w:hAnsi="宋体" w:eastAsia="宋体" w:cs="宋体"/>
          <w:color w:val="000000" w:themeColor="text1"/>
          <w:spacing w:val="0"/>
          <w:sz w:val="30"/>
          <w:szCs w:val="30"/>
          <w:highlight w:val="none"/>
          <w14:textFill>
            <w14:solidFill>
              <w14:schemeClr w14:val="tx1"/>
            </w14:solidFill>
          </w14:textFill>
        </w:rPr>
      </w:pPr>
      <w:r>
        <w:rPr>
          <w:rFonts w:hint="eastAsia" w:ascii="宋体" w:hAnsi="宋体" w:eastAsia="宋体" w:cs="宋体"/>
          <w:b/>
          <w:bCs/>
          <w:color w:val="000000" w:themeColor="text1"/>
          <w:spacing w:val="0"/>
          <w:sz w:val="30"/>
          <w:szCs w:val="30"/>
          <w:highlight w:val="none"/>
          <w14:textFill>
            <w14:solidFill>
              <w14:schemeClr w14:val="tx1"/>
            </w14:solidFill>
          </w14:textFill>
        </w:rPr>
        <w:t>投标人基本情况表</w:t>
      </w:r>
    </w:p>
    <w:p w14:paraId="06DA9422">
      <w:pPr>
        <w:keepNext w:val="0"/>
        <w:keepLines w:val="0"/>
        <w:pageBreakBefore w:val="0"/>
        <w:wordWrap w:val="0"/>
        <w:overflowPunct/>
        <w:topLinePunct w:val="0"/>
        <w:bidi w:val="0"/>
        <w:spacing w:line="239"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033E4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4A7C5BF">
            <w:pPr>
              <w:keepNext w:val="0"/>
              <w:keepLines w:val="0"/>
              <w:pageBreakBefore w:val="0"/>
              <w:widowControl/>
              <w:kinsoku w:val="0"/>
              <w:wordWrap w:val="0"/>
              <w:overflowPunct/>
              <w:topLinePunct w:val="0"/>
              <w:autoSpaceDE w:val="0"/>
              <w:autoSpaceDN w:val="0"/>
              <w:bidi w:val="0"/>
              <w:adjustRightInd w:val="0"/>
              <w:snapToGrid w:val="0"/>
              <w:spacing w:before="149"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投标人名称</w:t>
            </w:r>
          </w:p>
        </w:tc>
        <w:tc>
          <w:tcPr>
            <w:tcW w:w="7639" w:type="dxa"/>
            <w:gridSpan w:val="8"/>
            <w:vAlign w:val="center"/>
          </w:tcPr>
          <w:p w14:paraId="0DB2A2CE">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2F10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65451CF9">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注册地址</w:t>
            </w:r>
          </w:p>
        </w:tc>
        <w:tc>
          <w:tcPr>
            <w:tcW w:w="3684" w:type="dxa"/>
            <w:gridSpan w:val="3"/>
            <w:vAlign w:val="center"/>
          </w:tcPr>
          <w:p w14:paraId="7BF1DE6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6E7F119C">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邮政编码</w:t>
            </w:r>
          </w:p>
        </w:tc>
        <w:tc>
          <w:tcPr>
            <w:tcW w:w="2601" w:type="dxa"/>
            <w:gridSpan w:val="3"/>
            <w:vAlign w:val="center"/>
          </w:tcPr>
          <w:p w14:paraId="047A44F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5D4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0F6ED57E">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联系方式</w:t>
            </w:r>
          </w:p>
        </w:tc>
        <w:tc>
          <w:tcPr>
            <w:tcW w:w="975" w:type="dxa"/>
            <w:vAlign w:val="center"/>
          </w:tcPr>
          <w:p w14:paraId="33FA9D06">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联系人</w:t>
            </w:r>
          </w:p>
        </w:tc>
        <w:tc>
          <w:tcPr>
            <w:tcW w:w="2709" w:type="dxa"/>
            <w:gridSpan w:val="2"/>
            <w:vAlign w:val="center"/>
          </w:tcPr>
          <w:p w14:paraId="3A1A86D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68D00D84">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  话</w:t>
            </w:r>
          </w:p>
        </w:tc>
        <w:tc>
          <w:tcPr>
            <w:tcW w:w="2601" w:type="dxa"/>
            <w:gridSpan w:val="3"/>
            <w:vAlign w:val="center"/>
          </w:tcPr>
          <w:p w14:paraId="478BD97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EE24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7E9A5F01">
            <w:pPr>
              <w:pStyle w:val="27"/>
              <w:keepNext w:val="0"/>
              <w:keepLines w:val="0"/>
              <w:pageBreakBefore w:val="0"/>
              <w:widowControl/>
              <w:kinsoku w:val="0"/>
              <w:wordWrap w:val="0"/>
              <w:overflowPunct/>
              <w:topLinePunct w:val="0"/>
              <w:autoSpaceDE w:val="0"/>
              <w:autoSpaceDN w:val="0"/>
              <w:bidi w:val="0"/>
              <w:adjustRightInd w:val="0"/>
              <w:snapToGrid w:val="0"/>
              <w:spacing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975" w:type="dxa"/>
            <w:vAlign w:val="center"/>
          </w:tcPr>
          <w:p w14:paraId="04A5A850">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传  真</w:t>
            </w:r>
          </w:p>
        </w:tc>
        <w:tc>
          <w:tcPr>
            <w:tcW w:w="2709" w:type="dxa"/>
            <w:gridSpan w:val="2"/>
            <w:vAlign w:val="center"/>
          </w:tcPr>
          <w:p w14:paraId="408C0231">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4" w:type="dxa"/>
            <w:gridSpan w:val="2"/>
            <w:vAlign w:val="center"/>
          </w:tcPr>
          <w:p w14:paraId="7C350B75">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电子邮箱</w:t>
            </w:r>
          </w:p>
        </w:tc>
        <w:tc>
          <w:tcPr>
            <w:tcW w:w="2601" w:type="dxa"/>
            <w:gridSpan w:val="3"/>
            <w:vAlign w:val="center"/>
          </w:tcPr>
          <w:p w14:paraId="717515D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0C3F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33F0792">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单位性质</w:t>
            </w:r>
          </w:p>
        </w:tc>
        <w:tc>
          <w:tcPr>
            <w:tcW w:w="7639" w:type="dxa"/>
            <w:gridSpan w:val="8"/>
            <w:vAlign w:val="center"/>
          </w:tcPr>
          <w:p w14:paraId="434E07A5">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C1E8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78583C86">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w:t>
            </w:r>
          </w:p>
        </w:tc>
        <w:tc>
          <w:tcPr>
            <w:tcW w:w="975" w:type="dxa"/>
            <w:vAlign w:val="center"/>
          </w:tcPr>
          <w:p w14:paraId="2CF8127D">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姓名</w:t>
            </w:r>
          </w:p>
        </w:tc>
        <w:tc>
          <w:tcPr>
            <w:tcW w:w="1837" w:type="dxa"/>
            <w:vAlign w:val="center"/>
          </w:tcPr>
          <w:p w14:paraId="55F10CB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Align w:val="center"/>
          </w:tcPr>
          <w:p w14:paraId="1248557B">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技术职称</w:t>
            </w:r>
          </w:p>
        </w:tc>
        <w:tc>
          <w:tcPr>
            <w:tcW w:w="1326" w:type="dxa"/>
            <w:gridSpan w:val="2"/>
            <w:vAlign w:val="center"/>
          </w:tcPr>
          <w:p w14:paraId="345CCE79">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770" w:type="dxa"/>
            <w:vAlign w:val="center"/>
          </w:tcPr>
          <w:p w14:paraId="63CA2C03">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电话</w:t>
            </w:r>
          </w:p>
        </w:tc>
        <w:tc>
          <w:tcPr>
            <w:tcW w:w="1548" w:type="dxa"/>
            <w:vAlign w:val="center"/>
          </w:tcPr>
          <w:p w14:paraId="21775F2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9B2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B30980">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成立时间</w:t>
            </w:r>
          </w:p>
        </w:tc>
        <w:tc>
          <w:tcPr>
            <w:tcW w:w="2812" w:type="dxa"/>
            <w:gridSpan w:val="2"/>
            <w:vAlign w:val="center"/>
          </w:tcPr>
          <w:p w14:paraId="1528A619">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4827" w:type="dxa"/>
            <w:gridSpan w:val="6"/>
            <w:vAlign w:val="center"/>
          </w:tcPr>
          <w:p w14:paraId="29648EC6">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员工总人数（个）：</w:t>
            </w:r>
          </w:p>
        </w:tc>
      </w:tr>
      <w:tr w14:paraId="1639B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54FA43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企业资质  </w:t>
            </w:r>
          </w:p>
          <w:p w14:paraId="4BDC0C8F">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类型和等级</w:t>
            </w:r>
          </w:p>
        </w:tc>
        <w:tc>
          <w:tcPr>
            <w:tcW w:w="2812" w:type="dxa"/>
            <w:gridSpan w:val="2"/>
            <w:vAlign w:val="center"/>
          </w:tcPr>
          <w:p w14:paraId="177F1066">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restart"/>
            <w:tcBorders>
              <w:bottom w:val="nil"/>
            </w:tcBorders>
            <w:vAlign w:val="center"/>
          </w:tcPr>
          <w:p w14:paraId="102DBC66">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其中</w:t>
            </w:r>
          </w:p>
        </w:tc>
        <w:tc>
          <w:tcPr>
            <w:tcW w:w="2096" w:type="dxa"/>
            <w:gridSpan w:val="3"/>
            <w:vAlign w:val="center"/>
          </w:tcPr>
          <w:p w14:paraId="2278305A">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p>
        </w:tc>
        <w:tc>
          <w:tcPr>
            <w:tcW w:w="1548" w:type="dxa"/>
            <w:vAlign w:val="center"/>
          </w:tcPr>
          <w:p w14:paraId="3262520C">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8EE5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E310579">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营业执照号</w:t>
            </w:r>
          </w:p>
        </w:tc>
        <w:tc>
          <w:tcPr>
            <w:tcW w:w="2812" w:type="dxa"/>
            <w:gridSpan w:val="2"/>
            <w:vAlign w:val="center"/>
          </w:tcPr>
          <w:p w14:paraId="771E0050">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5949ACF2">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6C5F1489">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高级职称人员</w:t>
            </w:r>
          </w:p>
        </w:tc>
        <w:tc>
          <w:tcPr>
            <w:tcW w:w="1548" w:type="dxa"/>
            <w:vAlign w:val="center"/>
          </w:tcPr>
          <w:p w14:paraId="484C31E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7906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99E82AD">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注册资金</w:t>
            </w:r>
          </w:p>
        </w:tc>
        <w:tc>
          <w:tcPr>
            <w:tcW w:w="2812" w:type="dxa"/>
            <w:gridSpan w:val="2"/>
            <w:vAlign w:val="center"/>
          </w:tcPr>
          <w:p w14:paraId="28BB056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2B790690">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27F06363">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中级职称人员</w:t>
            </w:r>
          </w:p>
        </w:tc>
        <w:tc>
          <w:tcPr>
            <w:tcW w:w="1548" w:type="dxa"/>
            <w:vAlign w:val="center"/>
          </w:tcPr>
          <w:p w14:paraId="18CD3973">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53B7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32F27D9">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基本账户 </w:t>
            </w:r>
          </w:p>
          <w:p w14:paraId="41955478">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开户银行</w:t>
            </w:r>
          </w:p>
        </w:tc>
        <w:tc>
          <w:tcPr>
            <w:tcW w:w="2812" w:type="dxa"/>
            <w:gridSpan w:val="2"/>
            <w:vAlign w:val="center"/>
          </w:tcPr>
          <w:p w14:paraId="65DFBEF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bottom w:val="nil"/>
            </w:tcBorders>
            <w:vAlign w:val="center"/>
          </w:tcPr>
          <w:p w14:paraId="31F677A8">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0336B438">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初级职称人员</w:t>
            </w:r>
          </w:p>
        </w:tc>
        <w:tc>
          <w:tcPr>
            <w:tcW w:w="1548" w:type="dxa"/>
            <w:vAlign w:val="center"/>
          </w:tcPr>
          <w:p w14:paraId="00F898E7">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E7A6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E52826A">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基本账户 </w:t>
            </w:r>
          </w:p>
          <w:p w14:paraId="33D5D73F">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银行账号</w:t>
            </w:r>
          </w:p>
        </w:tc>
        <w:tc>
          <w:tcPr>
            <w:tcW w:w="2812" w:type="dxa"/>
            <w:gridSpan w:val="2"/>
            <w:vAlign w:val="center"/>
          </w:tcPr>
          <w:p w14:paraId="60A346F4">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183" w:type="dxa"/>
            <w:gridSpan w:val="2"/>
            <w:vMerge w:val="continue"/>
            <w:tcBorders>
              <w:top w:val="nil"/>
            </w:tcBorders>
            <w:vAlign w:val="center"/>
          </w:tcPr>
          <w:p w14:paraId="1322C4EB">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96" w:type="dxa"/>
            <w:gridSpan w:val="3"/>
            <w:vAlign w:val="center"/>
          </w:tcPr>
          <w:p w14:paraId="4D44C804">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技术员</w:t>
            </w:r>
          </w:p>
        </w:tc>
        <w:tc>
          <w:tcPr>
            <w:tcW w:w="1548" w:type="dxa"/>
            <w:vAlign w:val="center"/>
          </w:tcPr>
          <w:p w14:paraId="46D2B23A">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A626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BF7B50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经营范围</w:t>
            </w:r>
          </w:p>
        </w:tc>
        <w:tc>
          <w:tcPr>
            <w:tcW w:w="7639" w:type="dxa"/>
            <w:gridSpan w:val="8"/>
            <w:vAlign w:val="center"/>
          </w:tcPr>
          <w:p w14:paraId="07997BAE">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9A8D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5DF8A32">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关联企业情况</w:t>
            </w:r>
          </w:p>
        </w:tc>
        <w:tc>
          <w:tcPr>
            <w:tcW w:w="7639" w:type="dxa"/>
            <w:gridSpan w:val="8"/>
            <w:vAlign w:val="center"/>
          </w:tcPr>
          <w:p w14:paraId="1E7ADE4D">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包括但不限于与投标人存在以下关系的不同单位：</w:t>
            </w:r>
          </w:p>
          <w:p w14:paraId="0A579FFA">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．法定代表人为同一人的。</w:t>
            </w:r>
          </w:p>
          <w:p w14:paraId="20E6965C">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．存在控股、管理关系的。</w:t>
            </w:r>
          </w:p>
          <w:p w14:paraId="585BD72F">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．主要人员相互任职的。</w:t>
            </w:r>
          </w:p>
        </w:tc>
      </w:tr>
      <w:tr w14:paraId="28D64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A94CEF9">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c>
          <w:tcPr>
            <w:tcW w:w="7639" w:type="dxa"/>
            <w:gridSpan w:val="8"/>
            <w:vAlign w:val="center"/>
          </w:tcPr>
          <w:p w14:paraId="33A69765">
            <w:pPr>
              <w:pStyle w:val="27"/>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34C67D25">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p>
    <w:p w14:paraId="69B31669">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说明：</w:t>
      </w:r>
    </w:p>
    <w:p w14:paraId="5F7DADAA">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outlineLvl w:val="9"/>
        <w:rPr>
          <w:rFonts w:hint="eastAsia" w:ascii="宋体" w:hAnsi="宋体" w:eastAsia="宋体" w:cs="宋体"/>
          <w:color w:val="000000" w:themeColor="text1"/>
          <w:spacing w:val="0"/>
          <w:sz w:val="21"/>
          <w:szCs w:val="21"/>
          <w:highlight w:val="none"/>
          <w14:textFill>
            <w14:solidFill>
              <w14:schemeClr w14:val="tx1"/>
            </w14:solidFill>
          </w14:textFill>
        </w:rPr>
      </w:pPr>
      <w:bookmarkStart w:id="246" w:name="_Toc5131"/>
      <w:bookmarkStart w:id="247" w:name="_Toc14048"/>
      <w:r>
        <w:rPr>
          <w:rFonts w:hint="eastAsia" w:ascii="宋体" w:hAnsi="宋体" w:eastAsia="宋体" w:cs="宋体"/>
          <w:color w:val="000000" w:themeColor="text1"/>
          <w:spacing w:val="0"/>
          <w:sz w:val="21"/>
          <w:szCs w:val="21"/>
          <w:highlight w:val="none"/>
          <w14:textFill>
            <w14:solidFill>
              <w14:schemeClr w14:val="tx1"/>
            </w14:solidFill>
          </w14:textFill>
        </w:rPr>
        <w:t>1 ．《投标人基本情况表》后应附以下资料：</w:t>
      </w:r>
      <w:bookmarkEnd w:id="246"/>
      <w:bookmarkEnd w:id="247"/>
    </w:p>
    <w:p w14:paraId="230E1626">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259B1130">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（2）</w:t>
      </w:r>
      <w:r>
        <w:rPr>
          <w:rFonts w:hint="eastAsia" w:ascii="宋体" w:hAnsi="宋体" w:eastAsia="宋体" w:cs="宋体"/>
          <w:color w:val="000000" w:themeColor="text1"/>
          <w:spacing w:val="0"/>
          <w:sz w:val="21"/>
          <w:szCs w:val="21"/>
          <w:highlight w:val="none"/>
          <w14:textFill>
            <w14:solidFill>
              <w14:schemeClr w14:val="tx1"/>
            </w14:solidFill>
          </w14:textFill>
        </w:rPr>
        <w:t>“进粤企业和人员诚信信息登记平台 ”企业信息情况打印页。（适用于省外建筑企业）</w:t>
      </w:r>
    </w:p>
    <w:p w14:paraId="49CB0524">
      <w:pPr>
        <w:keepNext w:val="0"/>
        <w:keepLines w:val="0"/>
        <w:pageBreakBefore w:val="0"/>
        <w:widowControl/>
        <w:kinsoku w:val="0"/>
        <w:wordWrap w:val="0"/>
        <w:overflowPunct/>
        <w:topLinePunct w:val="0"/>
        <w:autoSpaceDE w:val="0"/>
        <w:autoSpaceDN w:val="0"/>
        <w:bidi w:val="0"/>
        <w:adjustRightInd w:val="0"/>
        <w:snapToGrid w:val="0"/>
        <w:spacing w:line="30" w:lineRule="atLeast"/>
        <w:jc w:val="both"/>
        <w:textAlignment w:val="baseline"/>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0"/>
          <w:sz w:val="21"/>
          <w:szCs w:val="21"/>
          <w:highlight w:val="none"/>
          <w14:textFill>
            <w14:solidFill>
              <w14:schemeClr w14:val="tx1"/>
            </w14:solidFill>
          </w14:textFill>
        </w:rPr>
        <w:t>《法人和非法人组织公共信用信息报告》（在“信用中国 ”网站企业查询界面中下载）。</w:t>
      </w:r>
    </w:p>
    <w:p w14:paraId="012C8021">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 ．联合体投标的，联合体成员单位均应填写《投标人基本情况表》并提供以上所需资料。</w:t>
      </w: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2AB7BED9">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48" w:name="_Toc23002"/>
      <w:r>
        <w:rPr>
          <w:rFonts w:hint="eastAsia" w:ascii="宋体" w:hAnsi="宋体" w:eastAsia="宋体" w:cs="宋体"/>
          <w:b/>
          <w:bCs/>
          <w:color w:val="000000" w:themeColor="text1"/>
          <w:spacing w:val="0"/>
          <w:sz w:val="24"/>
          <w:szCs w:val="24"/>
          <w:highlight w:val="none"/>
          <w14:textFill>
            <w14:solidFill>
              <w14:schemeClr w14:val="tx1"/>
            </w14:solidFill>
          </w14:textFill>
        </w:rPr>
        <w:t>格式八 项目经理简历表</w:t>
      </w:r>
      <w:bookmarkEnd w:id="248"/>
    </w:p>
    <w:p w14:paraId="07245DD0">
      <w:pPr>
        <w:pStyle w:val="5"/>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0C78A5C7">
      <w:pPr>
        <w:keepNext w:val="0"/>
        <w:keepLines w:val="0"/>
        <w:pageBreakBefore w:val="0"/>
        <w:wordWrap w:val="0"/>
        <w:overflowPunct/>
        <w:topLinePunct w:val="0"/>
        <w:bidi w:val="0"/>
        <w:spacing w:before="97" w:line="219" w:lineRule="auto"/>
        <w:ind w:left="3538"/>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49" w:name="bookmark156"/>
      <w:bookmarkEnd w:id="249"/>
      <w:bookmarkStart w:id="250" w:name="bookmark89"/>
      <w:bookmarkEnd w:id="250"/>
      <w:bookmarkStart w:id="251" w:name="_Toc31533"/>
      <w:bookmarkStart w:id="252" w:name="_Toc24489"/>
      <w:r>
        <w:rPr>
          <w:rFonts w:hint="eastAsia" w:ascii="宋体" w:hAnsi="宋体" w:eastAsia="宋体" w:cs="宋体"/>
          <w:b/>
          <w:bCs/>
          <w:color w:val="000000" w:themeColor="text1"/>
          <w:spacing w:val="0"/>
          <w:sz w:val="30"/>
          <w:szCs w:val="30"/>
          <w:highlight w:val="none"/>
          <w14:textFill>
            <w14:solidFill>
              <w14:schemeClr w14:val="tx1"/>
            </w14:solidFill>
          </w14:textFill>
        </w:rPr>
        <w:t>项目经理简历表</w:t>
      </w:r>
      <w:bookmarkEnd w:id="251"/>
      <w:bookmarkEnd w:id="252"/>
    </w:p>
    <w:p w14:paraId="733B316D">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52897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4005FF2B">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94" w:type="dxa"/>
            <w:gridSpan w:val="2"/>
            <w:vAlign w:val="center"/>
          </w:tcPr>
          <w:p w14:paraId="459C112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1B35C805">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62" w:type="dxa"/>
            <w:vAlign w:val="center"/>
          </w:tcPr>
          <w:p w14:paraId="606F045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44F8EEA">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98" w:type="dxa"/>
            <w:vAlign w:val="center"/>
          </w:tcPr>
          <w:p w14:paraId="248A87D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B6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6C5EBB96">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94" w:type="dxa"/>
            <w:gridSpan w:val="2"/>
            <w:vAlign w:val="center"/>
          </w:tcPr>
          <w:p w14:paraId="4970326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57" w:type="dxa"/>
            <w:vAlign w:val="center"/>
          </w:tcPr>
          <w:p w14:paraId="275BEF66">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62" w:type="dxa"/>
            <w:vAlign w:val="center"/>
          </w:tcPr>
          <w:p w14:paraId="16D1E87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B726250">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98" w:type="dxa"/>
            <w:vAlign w:val="center"/>
          </w:tcPr>
          <w:p w14:paraId="18686FE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8DD02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6CA0A6E3">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51" w:type="dxa"/>
            <w:gridSpan w:val="3"/>
            <w:vAlign w:val="center"/>
          </w:tcPr>
          <w:p w14:paraId="1D8F273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60" w:type="dxa"/>
            <w:gridSpan w:val="2"/>
            <w:vAlign w:val="center"/>
          </w:tcPr>
          <w:p w14:paraId="1DCA256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98" w:type="dxa"/>
            <w:vAlign w:val="center"/>
          </w:tcPr>
          <w:p w14:paraId="55F6DD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5205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1985FCD7">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以项目经理身份参与过的主要业绩（已完工项目）</w:t>
            </w:r>
          </w:p>
        </w:tc>
      </w:tr>
      <w:tr w14:paraId="6A55E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226DD453">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24" w:type="dxa"/>
            <w:gridSpan w:val="2"/>
            <w:vAlign w:val="center"/>
          </w:tcPr>
          <w:p w14:paraId="67B2AAAA">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37" w:type="dxa"/>
            <w:gridSpan w:val="2"/>
            <w:vAlign w:val="center"/>
          </w:tcPr>
          <w:p w14:paraId="4801985C">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62" w:type="dxa"/>
            <w:vAlign w:val="center"/>
          </w:tcPr>
          <w:p w14:paraId="027FA0A0">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98" w:type="dxa"/>
            <w:vAlign w:val="center"/>
          </w:tcPr>
          <w:p w14:paraId="13665F3A">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98" w:type="dxa"/>
            <w:vAlign w:val="center"/>
          </w:tcPr>
          <w:p w14:paraId="1363170B">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69665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67F61AF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24" w:type="dxa"/>
            <w:gridSpan w:val="2"/>
            <w:vAlign w:val="center"/>
          </w:tcPr>
          <w:p w14:paraId="6B906EE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9014A6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5E44A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191B5C4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560162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ADBD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2D37EB61">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24" w:type="dxa"/>
            <w:gridSpan w:val="2"/>
            <w:vAlign w:val="center"/>
          </w:tcPr>
          <w:p w14:paraId="3F9424A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5C8C87A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4B5D2BB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347BC37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0D3458B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12B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3C8FBE28">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1624" w:type="dxa"/>
            <w:gridSpan w:val="2"/>
            <w:vAlign w:val="center"/>
          </w:tcPr>
          <w:p w14:paraId="05CB1FA8">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67C95E4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F3F3FC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EEF915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1073B93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5BEC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68FD65E9">
            <w:pPr>
              <w:keepNext w:val="0"/>
              <w:keepLines w:val="0"/>
              <w:pageBreakBefore w:val="0"/>
              <w:widowControl/>
              <w:kinsoku w:val="0"/>
              <w:wordWrap w:val="0"/>
              <w:overflowPunct/>
              <w:topLinePunct w:val="0"/>
              <w:autoSpaceDE w:val="0"/>
              <w:autoSpaceDN w:val="0"/>
              <w:bidi w:val="0"/>
              <w:adjustRightInd w:val="0"/>
              <w:snapToGrid w:val="0"/>
              <w:spacing w:before="177"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24" w:type="dxa"/>
            <w:gridSpan w:val="2"/>
            <w:vAlign w:val="center"/>
          </w:tcPr>
          <w:p w14:paraId="11BEC3E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37" w:type="dxa"/>
            <w:gridSpan w:val="2"/>
            <w:vAlign w:val="center"/>
          </w:tcPr>
          <w:p w14:paraId="3178352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62" w:type="dxa"/>
            <w:vAlign w:val="center"/>
          </w:tcPr>
          <w:p w14:paraId="01C4C87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98" w:type="dxa"/>
            <w:vAlign w:val="center"/>
          </w:tcPr>
          <w:p w14:paraId="7DE5047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98" w:type="dxa"/>
            <w:vAlign w:val="center"/>
          </w:tcPr>
          <w:p w14:paraId="26308B2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2A57AD35">
      <w:pPr>
        <w:pStyle w:val="5"/>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highlight w:val="none"/>
          <w14:textFill>
            <w14:solidFill>
              <w14:schemeClr w14:val="tx1"/>
            </w14:solidFill>
          </w14:textFill>
        </w:rPr>
      </w:pPr>
    </w:p>
    <w:p w14:paraId="006CE30E">
      <w:pPr>
        <w:keepNext w:val="0"/>
        <w:keepLines w:val="0"/>
        <w:pageBreakBefore w:val="0"/>
        <w:wordWrap w:val="0"/>
        <w:overflowPunct/>
        <w:topLinePunct w:val="0"/>
        <w:bidi w:val="0"/>
        <w:spacing w:before="78" w:line="220" w:lineRule="auto"/>
        <w:ind w:left="6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16855C17">
      <w:pPr>
        <w:pStyle w:val="5"/>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highlight w:val="none"/>
          <w14:textFill>
            <w14:solidFill>
              <w14:schemeClr w14:val="tx1"/>
            </w14:solidFill>
          </w14:textFill>
        </w:rPr>
      </w:pPr>
    </w:p>
    <w:p w14:paraId="13503D5A">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046C6DB">
      <w:pPr>
        <w:keepNext w:val="0"/>
        <w:keepLines w:val="0"/>
        <w:pageBreakBefore w:val="0"/>
        <w:wordWrap w:val="0"/>
        <w:overflowPunct/>
        <w:topLinePunct w:val="0"/>
        <w:bidi w:val="0"/>
        <w:spacing w:before="78" w:line="220" w:lineRule="auto"/>
        <w:ind w:left="4226"/>
        <w:jc w:val="center"/>
        <w:rPr>
          <w:rFonts w:hint="eastAsia" w:ascii="宋体" w:hAnsi="宋体" w:eastAsia="宋体" w:cs="宋体"/>
          <w:color w:val="000000" w:themeColor="text1"/>
          <w:spacing w:val="0"/>
          <w:highlight w:val="none"/>
          <w14:textFill>
            <w14:solidFill>
              <w14:schemeClr w14:val="tx1"/>
            </w14:solidFill>
          </w14:textFill>
        </w:rPr>
      </w:pPr>
    </w:p>
    <w:p w14:paraId="338141CB">
      <w:pPr>
        <w:pStyle w:val="5"/>
        <w:keepNext w:val="0"/>
        <w:keepLines w:val="0"/>
        <w:pageBreakBefore w:val="0"/>
        <w:wordWrap w:val="0"/>
        <w:overflowPunct/>
        <w:topLinePunct w:val="0"/>
        <w:bidi w:val="0"/>
        <w:spacing w:line="241" w:lineRule="auto"/>
        <w:rPr>
          <w:rFonts w:hint="eastAsia" w:ascii="宋体" w:hAnsi="宋体" w:eastAsia="宋体" w:cs="宋体"/>
          <w:color w:val="000000" w:themeColor="text1"/>
          <w:spacing w:val="0"/>
          <w:highlight w:val="none"/>
          <w14:textFill>
            <w14:solidFill>
              <w14:schemeClr w14:val="tx1"/>
            </w14:solidFill>
          </w14:textFill>
        </w:rPr>
      </w:pPr>
    </w:p>
    <w:p w14:paraId="0D47170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说明：《项目经理简历表》后应附拟派项目经理以下资料：</w:t>
      </w:r>
    </w:p>
    <w:p w14:paraId="2281CD1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outlineLvl w:val="9"/>
        <w:rPr>
          <w:rFonts w:hint="eastAsia" w:ascii="宋体" w:hAnsi="宋体" w:eastAsia="宋体" w:cs="宋体"/>
          <w:color w:val="000000" w:themeColor="text1"/>
          <w:spacing w:val="0"/>
          <w:sz w:val="24"/>
          <w:szCs w:val="24"/>
          <w:highlight w:val="none"/>
          <w14:textFill>
            <w14:solidFill>
              <w14:schemeClr w14:val="tx1"/>
            </w14:solidFill>
          </w14:textFill>
        </w:rPr>
      </w:pPr>
      <w:bookmarkStart w:id="253" w:name="_Toc1942"/>
      <w:bookmarkStart w:id="254" w:name="_Toc25271"/>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bookmarkEnd w:id="253"/>
      <w:bookmarkEnd w:id="254"/>
    </w:p>
    <w:p w14:paraId="256029D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．建造师电子注册证书（在使用有效期内的有效电子证书）彩色扫描件；</w:t>
      </w:r>
    </w:p>
    <w:p w14:paraId="66281E20">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3．B 类安全生产考核合格证书彩色扫描件或广东省建筑施工企业管理人员安全生产考核系统考核合格信息彩色扫描件；</w:t>
      </w:r>
    </w:p>
    <w:p w14:paraId="76F37EF6">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．在本单位缴纳社保</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的证明（至少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个月，其</w:t>
      </w:r>
      <w:bookmarkStart w:id="255" w:name="OLE_LINK38"/>
      <w:r>
        <w:rPr>
          <w:rFonts w:hint="eastAsia" w:ascii="宋体" w:hAnsi="宋体" w:eastAsia="宋体" w:cs="宋体"/>
          <w:color w:val="000000" w:themeColor="text1"/>
          <w:spacing w:val="0"/>
          <w:sz w:val="24"/>
          <w:szCs w:val="24"/>
          <w:highlight w:val="none"/>
          <w:lang w:eastAsia="zh-CN"/>
          <w14:textFill>
            <w14:solidFill>
              <w14:schemeClr w14:val="tx1"/>
            </w14:solidFill>
          </w14:textFill>
        </w:rPr>
        <w:t>中必须有202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月</w:t>
      </w:r>
      <w:bookmarkEnd w:id="255"/>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扫描</w:t>
      </w:r>
      <w:r>
        <w:rPr>
          <w:rFonts w:hint="eastAsia" w:ascii="宋体" w:hAnsi="宋体" w:eastAsia="宋体" w:cs="宋体"/>
          <w:color w:val="000000" w:themeColor="text1"/>
          <w:spacing w:val="0"/>
          <w:sz w:val="24"/>
          <w:szCs w:val="24"/>
          <w:highlight w:val="none"/>
          <w14:textFill>
            <w14:solidFill>
              <w14:schemeClr w14:val="tx1"/>
            </w14:solidFill>
          </w14:textFill>
        </w:rPr>
        <w:t>件或打印件。拟派项目经理为退休返聘人员无法提供社保证明的，提供退休证和劳动合同彩色扫描件。</w:t>
      </w:r>
    </w:p>
    <w:p w14:paraId="2A87991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 ．“进粤企业和人员诚信信息登记平台 ”个人信息情况截图。（适用于省外建筑企业）</w:t>
      </w:r>
    </w:p>
    <w:p w14:paraId="4BCF539F">
      <w:pPr>
        <w:pStyle w:val="24"/>
        <w:rPr>
          <w:rFonts w:hint="eastAsia" w:ascii="宋体" w:hAnsi="宋体" w:eastAsia="宋体" w:cs="宋体"/>
          <w:color w:val="000000" w:themeColor="text1"/>
          <w:highlight w:val="none"/>
          <w14:textFill>
            <w14:solidFill>
              <w14:schemeClr w14:val="tx1"/>
            </w14:solidFill>
          </w14:textFill>
        </w:rPr>
      </w:pPr>
    </w:p>
    <w:p w14:paraId="00386200">
      <w:pPr>
        <w:keepNext w:val="0"/>
        <w:keepLines w:val="0"/>
        <w:pageBreakBefore w:val="0"/>
        <w:wordWrap w:val="0"/>
        <w:overflowPunct/>
        <w:topLinePunct w:val="0"/>
        <w:bidi w:val="0"/>
        <w:spacing w:line="300"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A1871F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56" w:name="_Toc6105"/>
      <w:r>
        <w:rPr>
          <w:rFonts w:hint="eastAsia" w:ascii="宋体" w:hAnsi="宋体" w:eastAsia="宋体" w:cs="宋体"/>
          <w:b/>
          <w:bCs/>
          <w:color w:val="000000" w:themeColor="text1"/>
          <w:spacing w:val="0"/>
          <w:sz w:val="24"/>
          <w:szCs w:val="24"/>
          <w:highlight w:val="none"/>
          <w14:textFill>
            <w14:solidFill>
              <w14:schemeClr w14:val="tx1"/>
            </w14:solidFill>
          </w14:textFill>
        </w:rPr>
        <w:t>格式九 项目经理任职声明</w:t>
      </w:r>
      <w:bookmarkEnd w:id="256"/>
    </w:p>
    <w:p w14:paraId="0578F8FA">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18B06342">
      <w:pPr>
        <w:pStyle w:val="5"/>
        <w:keepNext w:val="0"/>
        <w:keepLines w:val="0"/>
        <w:pageBreakBefore w:val="0"/>
        <w:wordWrap w:val="0"/>
        <w:overflowPunct/>
        <w:topLinePunct w:val="0"/>
        <w:bidi w:val="0"/>
        <w:spacing w:line="350" w:lineRule="auto"/>
        <w:rPr>
          <w:rFonts w:hint="eastAsia" w:ascii="宋体" w:hAnsi="宋体" w:eastAsia="宋体" w:cs="宋体"/>
          <w:color w:val="000000" w:themeColor="text1"/>
          <w:spacing w:val="0"/>
          <w:highlight w:val="none"/>
          <w14:textFill>
            <w14:solidFill>
              <w14:schemeClr w14:val="tx1"/>
            </w14:solidFill>
          </w14:textFill>
        </w:rPr>
      </w:pPr>
    </w:p>
    <w:p w14:paraId="40F834AF">
      <w:pPr>
        <w:keepNext w:val="0"/>
        <w:keepLines w:val="0"/>
        <w:pageBreakBefore w:val="0"/>
        <w:wordWrap w:val="0"/>
        <w:overflowPunct/>
        <w:topLinePunct w:val="0"/>
        <w:bidi w:val="0"/>
        <w:spacing w:before="98" w:line="220" w:lineRule="auto"/>
        <w:ind w:left="3338"/>
        <w:rPr>
          <w:rFonts w:hint="eastAsia" w:ascii="宋体" w:hAnsi="宋体" w:eastAsia="宋体" w:cs="宋体"/>
          <w:color w:val="000000" w:themeColor="text1"/>
          <w:spacing w:val="0"/>
          <w:sz w:val="30"/>
          <w:szCs w:val="30"/>
          <w:highlight w:val="none"/>
          <w14:textFill>
            <w14:solidFill>
              <w14:schemeClr w14:val="tx1"/>
            </w14:solidFill>
          </w14:textFill>
        </w:rPr>
      </w:pPr>
      <w:bookmarkStart w:id="257" w:name="bookmark157"/>
      <w:bookmarkEnd w:id="257"/>
      <w:r>
        <w:rPr>
          <w:rFonts w:hint="eastAsia" w:ascii="宋体" w:hAnsi="宋体" w:eastAsia="宋体" w:cs="宋体"/>
          <w:b/>
          <w:bCs/>
          <w:color w:val="000000" w:themeColor="text1"/>
          <w:spacing w:val="0"/>
          <w:sz w:val="30"/>
          <w:szCs w:val="30"/>
          <w:highlight w:val="none"/>
          <w14:textFill>
            <w14:solidFill>
              <w14:schemeClr w14:val="tx1"/>
            </w14:solidFill>
          </w14:textFill>
        </w:rPr>
        <w:t>项目经理任职声明</w:t>
      </w:r>
    </w:p>
    <w:p w14:paraId="532E6150">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5161A470">
      <w:pPr>
        <w:pStyle w:val="5"/>
        <w:keepNext w:val="0"/>
        <w:keepLines w:val="0"/>
        <w:pageBreakBefore w:val="0"/>
        <w:wordWrap w:val="0"/>
        <w:overflowPunct/>
        <w:topLinePunct w:val="0"/>
        <w:bidi w:val="0"/>
        <w:spacing w:line="250" w:lineRule="auto"/>
        <w:rPr>
          <w:rFonts w:hint="eastAsia" w:ascii="宋体" w:hAnsi="宋体" w:eastAsia="宋体" w:cs="宋体"/>
          <w:color w:val="000000" w:themeColor="text1"/>
          <w:spacing w:val="0"/>
          <w:highlight w:val="none"/>
          <w14:textFill>
            <w14:solidFill>
              <w14:schemeClr w14:val="tx1"/>
            </w14:solidFill>
          </w14:textFill>
        </w:rPr>
      </w:pPr>
    </w:p>
    <w:p w14:paraId="641FA575">
      <w:pPr>
        <w:pStyle w:val="5"/>
        <w:keepNext w:val="0"/>
        <w:keepLines w:val="0"/>
        <w:pageBreakBefore w:val="0"/>
        <w:wordWrap w:val="0"/>
        <w:overflowPunct/>
        <w:topLinePunct w:val="0"/>
        <w:bidi w:val="0"/>
        <w:spacing w:line="251" w:lineRule="auto"/>
        <w:rPr>
          <w:rFonts w:hint="eastAsia" w:ascii="宋体" w:hAnsi="宋体" w:eastAsia="宋体" w:cs="宋体"/>
          <w:color w:val="000000" w:themeColor="text1"/>
          <w:spacing w:val="0"/>
          <w:highlight w:val="none"/>
          <w14:textFill>
            <w14:solidFill>
              <w14:schemeClr w14:val="tx1"/>
            </w14:solidFill>
          </w14:textFill>
        </w:rPr>
      </w:pPr>
    </w:p>
    <w:p w14:paraId="5A6A5383">
      <w:pPr>
        <w:keepNext w:val="0"/>
        <w:keepLines w:val="0"/>
        <w:pageBreakBefore w:val="0"/>
        <w:wordWrap w:val="0"/>
        <w:overflowPunct/>
        <w:topLinePunct w:val="0"/>
        <w:bidi w:val="0"/>
        <w:spacing w:before="78" w:line="221"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致：</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（招标人名称）</w:t>
      </w:r>
    </w:p>
    <w:p w14:paraId="6DF111E3">
      <w:pPr>
        <w:keepNext w:val="0"/>
        <w:keepLines w:val="0"/>
        <w:pageBreakBefore w:val="0"/>
        <w:wordWrap w:val="0"/>
        <w:overflowPunct/>
        <w:topLinePunct w:val="0"/>
        <w:bidi w:val="0"/>
        <w:spacing w:before="155"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我方在此声明，我方拟派往</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（项目名称）的项目经理</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（项目经理姓名）现阶段没有担任任何在施（包括已中标未开工、已开工未竣工）建设工程项目的项目经理。</w:t>
      </w:r>
    </w:p>
    <w:p w14:paraId="30B4DC4A">
      <w:pPr>
        <w:keepNext w:val="0"/>
        <w:keepLines w:val="0"/>
        <w:pageBreakBefore w:val="0"/>
        <w:wordWrap w:val="0"/>
        <w:overflowPunct/>
        <w:topLinePunct w:val="0"/>
        <w:bidi w:val="0"/>
        <w:spacing w:before="35" w:line="326" w:lineRule="auto"/>
        <w:ind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我方保证上述信息的真实和准确，并愿意承担因我方就此弄虚作假所引起的一切法律后果。</w:t>
      </w:r>
    </w:p>
    <w:p w14:paraId="3FFEA1FE">
      <w:pPr>
        <w:pStyle w:val="5"/>
        <w:keepNext w:val="0"/>
        <w:keepLines w:val="0"/>
        <w:pageBreakBefore w:val="0"/>
        <w:wordWrap w:val="0"/>
        <w:overflowPunct/>
        <w:topLinePunct w:val="0"/>
        <w:bidi w:val="0"/>
        <w:spacing w:line="391" w:lineRule="auto"/>
        <w:rPr>
          <w:rFonts w:hint="eastAsia" w:ascii="宋体" w:hAnsi="宋体" w:eastAsia="宋体" w:cs="宋体"/>
          <w:color w:val="000000" w:themeColor="text1"/>
          <w:spacing w:val="0"/>
          <w:highlight w:val="none"/>
          <w14:textFill>
            <w14:solidFill>
              <w14:schemeClr w14:val="tx1"/>
            </w14:solidFill>
          </w14:textFill>
        </w:rPr>
      </w:pPr>
    </w:p>
    <w:p w14:paraId="2CFADE2D">
      <w:pPr>
        <w:keepNext w:val="0"/>
        <w:keepLines w:val="0"/>
        <w:pageBreakBefore w:val="0"/>
        <w:wordWrap w:val="0"/>
        <w:overflowPunct/>
        <w:topLinePunct w:val="0"/>
        <w:bidi w:val="0"/>
        <w:spacing w:before="78" w:line="220" w:lineRule="auto"/>
        <w:ind w:left="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特此承诺</w:t>
      </w:r>
    </w:p>
    <w:p w14:paraId="187690F7">
      <w:pPr>
        <w:pStyle w:val="5"/>
        <w:keepNext w:val="0"/>
        <w:keepLines w:val="0"/>
        <w:pageBreakBefore w:val="0"/>
        <w:wordWrap w:val="0"/>
        <w:overflowPunct/>
        <w:topLinePunct w:val="0"/>
        <w:bidi w:val="0"/>
        <w:spacing w:line="316" w:lineRule="auto"/>
        <w:rPr>
          <w:rFonts w:hint="eastAsia" w:ascii="宋体" w:hAnsi="宋体" w:eastAsia="宋体" w:cs="宋体"/>
          <w:color w:val="000000" w:themeColor="text1"/>
          <w:spacing w:val="0"/>
          <w:highlight w:val="none"/>
          <w14:textFill>
            <w14:solidFill>
              <w14:schemeClr w14:val="tx1"/>
            </w14:solidFill>
          </w14:textFill>
        </w:rPr>
      </w:pPr>
    </w:p>
    <w:p w14:paraId="5CA4FAA1">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6166C76">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07DB27C5">
      <w:pPr>
        <w:keepNext w:val="0"/>
        <w:keepLines w:val="0"/>
        <w:pageBreakBefore w:val="0"/>
        <w:wordWrap w:val="0"/>
        <w:overflowPunct/>
        <w:topLinePunct w:val="0"/>
        <w:bidi w:val="0"/>
        <w:spacing w:before="79"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（盖单位章）</w:t>
      </w:r>
    </w:p>
    <w:p w14:paraId="1AF704E9">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4421D560">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7188D609">
      <w:pPr>
        <w:pStyle w:val="5"/>
        <w:keepNext w:val="0"/>
        <w:keepLines w:val="0"/>
        <w:pageBreakBefore w:val="0"/>
        <w:wordWrap w:val="0"/>
        <w:overflowPunct/>
        <w:topLinePunct w:val="0"/>
        <w:bidi w:val="0"/>
        <w:spacing w:line="317" w:lineRule="auto"/>
        <w:rPr>
          <w:rFonts w:hint="eastAsia" w:ascii="宋体" w:hAnsi="宋体" w:eastAsia="宋体" w:cs="宋体"/>
          <w:color w:val="000000" w:themeColor="text1"/>
          <w:spacing w:val="0"/>
          <w:highlight w:val="none"/>
          <w14:textFill>
            <w14:solidFill>
              <w14:schemeClr w14:val="tx1"/>
            </w14:solidFill>
          </w14:textFill>
        </w:rPr>
      </w:pPr>
    </w:p>
    <w:p w14:paraId="6A29B34B">
      <w:pPr>
        <w:keepNext w:val="0"/>
        <w:keepLines w:val="0"/>
        <w:pageBreakBefore w:val="0"/>
        <w:wordWrap w:val="0"/>
        <w:overflowPunct/>
        <w:topLinePunct w:val="0"/>
        <w:bidi w:val="0"/>
        <w:spacing w:before="78" w:line="219"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法定代表人或其委托代理人：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（签字或盖章）</w:t>
      </w:r>
    </w:p>
    <w:p w14:paraId="6AD94480">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234EACCA">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348EEA26">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2C2A738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E9C11A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58" w:name="_Toc1750"/>
      <w:r>
        <w:rPr>
          <w:rFonts w:hint="eastAsia" w:ascii="宋体" w:hAnsi="宋体" w:eastAsia="宋体" w:cs="宋体"/>
          <w:b/>
          <w:bCs/>
          <w:color w:val="000000" w:themeColor="text1"/>
          <w:spacing w:val="0"/>
          <w:sz w:val="24"/>
          <w:szCs w:val="24"/>
          <w:highlight w:val="none"/>
          <w14:textFill>
            <w14:solidFill>
              <w14:schemeClr w14:val="tx1"/>
            </w14:solidFill>
          </w14:textFill>
        </w:rPr>
        <w:t>格式十 项目技术负责人简历表</w:t>
      </w:r>
      <w:bookmarkEnd w:id="258"/>
    </w:p>
    <w:p w14:paraId="4A542C8B">
      <w:pPr>
        <w:pStyle w:val="5"/>
        <w:keepNext w:val="0"/>
        <w:keepLines w:val="0"/>
        <w:pageBreakBefore w:val="0"/>
        <w:wordWrap w:val="0"/>
        <w:overflowPunct/>
        <w:topLinePunct w:val="0"/>
        <w:bidi w:val="0"/>
        <w:spacing w:line="444" w:lineRule="auto"/>
        <w:rPr>
          <w:rFonts w:hint="eastAsia" w:ascii="宋体" w:hAnsi="宋体" w:eastAsia="宋体" w:cs="宋体"/>
          <w:color w:val="000000" w:themeColor="text1"/>
          <w:spacing w:val="0"/>
          <w:highlight w:val="none"/>
          <w14:textFill>
            <w14:solidFill>
              <w14:schemeClr w14:val="tx1"/>
            </w14:solidFill>
          </w14:textFill>
        </w:rPr>
      </w:pPr>
    </w:p>
    <w:p w14:paraId="19FD339A">
      <w:pPr>
        <w:keepNext w:val="0"/>
        <w:keepLines w:val="0"/>
        <w:pageBreakBefore w:val="0"/>
        <w:wordWrap w:val="0"/>
        <w:overflowPunct/>
        <w:topLinePunct w:val="0"/>
        <w:bidi w:val="0"/>
        <w:spacing w:before="97" w:line="219" w:lineRule="auto"/>
        <w:ind w:left="3087"/>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59" w:name="_Toc25712"/>
      <w:bookmarkStart w:id="260" w:name="_Toc1553"/>
      <w:r>
        <w:rPr>
          <w:rFonts w:hint="eastAsia" w:ascii="宋体" w:hAnsi="宋体" w:eastAsia="宋体" w:cs="宋体"/>
          <w:b/>
          <w:bCs/>
          <w:color w:val="000000" w:themeColor="text1"/>
          <w:spacing w:val="0"/>
          <w:sz w:val="30"/>
          <w:szCs w:val="30"/>
          <w:highlight w:val="none"/>
          <w14:textFill>
            <w14:solidFill>
              <w14:schemeClr w14:val="tx1"/>
            </w14:solidFill>
          </w14:textFill>
        </w:rPr>
        <w:t>项目技术负责人简历表</w:t>
      </w:r>
      <w:bookmarkEnd w:id="259"/>
      <w:bookmarkEnd w:id="260"/>
    </w:p>
    <w:p w14:paraId="76293364">
      <w:pPr>
        <w:keepNext w:val="0"/>
        <w:keepLines w:val="0"/>
        <w:pageBreakBefore w:val="0"/>
        <w:wordWrap w:val="0"/>
        <w:overflowPunct/>
        <w:topLinePunct w:val="0"/>
        <w:bidi w:val="0"/>
        <w:spacing w:line="240" w:lineRule="exact"/>
        <w:rPr>
          <w:rFonts w:hint="eastAsia" w:ascii="宋体" w:hAnsi="宋体" w:eastAsia="宋体" w:cs="宋体"/>
          <w:color w:val="000000" w:themeColor="text1"/>
          <w:spacing w:val="0"/>
          <w:highlight w:val="none"/>
          <w14:textFill>
            <w14:solidFill>
              <w14:schemeClr w14:val="tx1"/>
            </w14:solidFill>
          </w14:textFill>
        </w:rPr>
      </w:pPr>
    </w:p>
    <w:tbl>
      <w:tblPr>
        <w:tblStyle w:val="14"/>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2EEC3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202B1A61">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姓   名</w:t>
            </w:r>
          </w:p>
        </w:tc>
        <w:tc>
          <w:tcPr>
            <w:tcW w:w="1282" w:type="dxa"/>
            <w:gridSpan w:val="2"/>
            <w:vAlign w:val="center"/>
          </w:tcPr>
          <w:p w14:paraId="35180F1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p>
        </w:tc>
        <w:tc>
          <w:tcPr>
            <w:tcW w:w="1346" w:type="dxa"/>
            <w:vAlign w:val="center"/>
          </w:tcPr>
          <w:p w14:paraId="411B9C93">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性  别</w:t>
            </w:r>
          </w:p>
        </w:tc>
        <w:tc>
          <w:tcPr>
            <w:tcW w:w="2047" w:type="dxa"/>
            <w:vAlign w:val="center"/>
          </w:tcPr>
          <w:p w14:paraId="2F452FF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A711865">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龄</w:t>
            </w:r>
          </w:p>
        </w:tc>
        <w:tc>
          <w:tcPr>
            <w:tcW w:w="1386" w:type="dxa"/>
            <w:vAlign w:val="center"/>
          </w:tcPr>
          <w:p w14:paraId="5240B45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C2B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29B76BC5">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务</w:t>
            </w:r>
          </w:p>
        </w:tc>
        <w:tc>
          <w:tcPr>
            <w:tcW w:w="1282" w:type="dxa"/>
            <w:gridSpan w:val="2"/>
            <w:vAlign w:val="center"/>
          </w:tcPr>
          <w:p w14:paraId="307065D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46" w:type="dxa"/>
            <w:vAlign w:val="center"/>
          </w:tcPr>
          <w:p w14:paraId="2E6461F1">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职  称</w:t>
            </w:r>
          </w:p>
        </w:tc>
        <w:tc>
          <w:tcPr>
            <w:tcW w:w="2047" w:type="dxa"/>
            <w:vAlign w:val="center"/>
          </w:tcPr>
          <w:p w14:paraId="59539D9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F83FFA8">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学   历</w:t>
            </w:r>
          </w:p>
        </w:tc>
        <w:tc>
          <w:tcPr>
            <w:tcW w:w="1386" w:type="dxa"/>
            <w:vAlign w:val="center"/>
          </w:tcPr>
          <w:p w14:paraId="46640CD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17D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2A561424">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参加工作时间</w:t>
            </w:r>
          </w:p>
        </w:tc>
        <w:tc>
          <w:tcPr>
            <w:tcW w:w="2628" w:type="dxa"/>
            <w:gridSpan w:val="3"/>
            <w:vAlign w:val="center"/>
          </w:tcPr>
          <w:p w14:paraId="14B0033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3830" w:type="dxa"/>
            <w:gridSpan w:val="2"/>
            <w:vAlign w:val="center"/>
          </w:tcPr>
          <w:p w14:paraId="0B86484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从事工程建设项目管理工作年限</w:t>
            </w:r>
          </w:p>
        </w:tc>
        <w:tc>
          <w:tcPr>
            <w:tcW w:w="1386" w:type="dxa"/>
            <w:vAlign w:val="center"/>
          </w:tcPr>
          <w:p w14:paraId="18B2FE9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727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0F93C385">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以项目技术负责人身份参与过的主要业绩（已完工项目）</w:t>
            </w:r>
          </w:p>
        </w:tc>
      </w:tr>
      <w:tr w14:paraId="259C5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23B1418B">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1610" w:type="dxa"/>
            <w:gridSpan w:val="2"/>
            <w:vAlign w:val="center"/>
          </w:tcPr>
          <w:p w14:paraId="7FF7FF79">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项目名称</w:t>
            </w:r>
          </w:p>
        </w:tc>
        <w:tc>
          <w:tcPr>
            <w:tcW w:w="2021" w:type="dxa"/>
            <w:gridSpan w:val="2"/>
            <w:vAlign w:val="center"/>
          </w:tcPr>
          <w:p w14:paraId="7075F8FD">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2047" w:type="dxa"/>
            <w:vAlign w:val="center"/>
          </w:tcPr>
          <w:p w14:paraId="00179D2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建设内容和规模</w:t>
            </w:r>
          </w:p>
        </w:tc>
        <w:tc>
          <w:tcPr>
            <w:tcW w:w="1783" w:type="dxa"/>
            <w:vAlign w:val="center"/>
          </w:tcPr>
          <w:p w14:paraId="236A707E">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开、竣工日期</w:t>
            </w:r>
          </w:p>
        </w:tc>
        <w:tc>
          <w:tcPr>
            <w:tcW w:w="1386" w:type="dxa"/>
            <w:vAlign w:val="center"/>
          </w:tcPr>
          <w:p w14:paraId="2BE768CF">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质量等级</w:t>
            </w:r>
          </w:p>
        </w:tc>
      </w:tr>
      <w:tr w14:paraId="04238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0F63873B">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610" w:type="dxa"/>
            <w:gridSpan w:val="2"/>
            <w:vAlign w:val="center"/>
          </w:tcPr>
          <w:p w14:paraId="578F80B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6F99EC2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4631B1E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2230ED0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169407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653F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7F39EB96">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610" w:type="dxa"/>
            <w:gridSpan w:val="2"/>
            <w:vAlign w:val="center"/>
          </w:tcPr>
          <w:p w14:paraId="2429E20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21F3968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87647C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2E10BA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CCF984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E2BD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C3BEFDC">
            <w:pPr>
              <w:keepNext w:val="0"/>
              <w:keepLines w:val="0"/>
              <w:pageBreakBefore w:val="0"/>
              <w:widowControl/>
              <w:kinsoku w:val="0"/>
              <w:wordWrap w:val="0"/>
              <w:overflowPunct/>
              <w:topLinePunct w:val="0"/>
              <w:autoSpaceDE w:val="0"/>
              <w:autoSpaceDN w:val="0"/>
              <w:bidi w:val="0"/>
              <w:adjustRightInd w:val="0"/>
              <w:snapToGrid w:val="0"/>
              <w:spacing w:before="178" w:line="324"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610" w:type="dxa"/>
            <w:gridSpan w:val="2"/>
            <w:vAlign w:val="center"/>
          </w:tcPr>
          <w:p w14:paraId="4CA19BC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3B5F7A6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2C82DE6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E92035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0264D79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F797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68DEEC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4D6AC80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477B400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1E64ACA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10A6E2C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262B31D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483F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46E9589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10" w:type="dxa"/>
            <w:gridSpan w:val="2"/>
            <w:vAlign w:val="center"/>
          </w:tcPr>
          <w:p w14:paraId="6C7700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21" w:type="dxa"/>
            <w:gridSpan w:val="2"/>
            <w:vAlign w:val="center"/>
          </w:tcPr>
          <w:p w14:paraId="7FB1A63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047" w:type="dxa"/>
            <w:vAlign w:val="center"/>
          </w:tcPr>
          <w:p w14:paraId="748C336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83" w:type="dxa"/>
            <w:vAlign w:val="center"/>
          </w:tcPr>
          <w:p w14:paraId="47051D9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386" w:type="dxa"/>
            <w:vAlign w:val="center"/>
          </w:tcPr>
          <w:p w14:paraId="5DDD380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5A12D51">
      <w:pPr>
        <w:pStyle w:val="5"/>
        <w:keepNext w:val="0"/>
        <w:keepLines w:val="0"/>
        <w:pageBreakBefore w:val="0"/>
        <w:wordWrap w:val="0"/>
        <w:overflowPunct/>
        <w:topLinePunct w:val="0"/>
        <w:bidi w:val="0"/>
        <w:spacing w:line="31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CDD6A3">
      <w:pPr>
        <w:pStyle w:val="5"/>
        <w:keepNext w:val="0"/>
        <w:keepLines w:val="0"/>
        <w:pageBreakBefore w:val="0"/>
        <w:wordWrap w:val="0"/>
        <w:overflowPunct/>
        <w:topLinePunct w:val="0"/>
        <w:bidi w:val="0"/>
        <w:spacing w:line="31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DA4F53">
      <w:pPr>
        <w:keepNext w:val="0"/>
        <w:keepLines w:val="0"/>
        <w:pageBreakBefore w:val="0"/>
        <w:wordWrap w:val="0"/>
        <w:overflowPunct/>
        <w:topLinePunct w:val="0"/>
        <w:bidi w:val="0"/>
        <w:spacing w:before="78" w:line="220" w:lineRule="auto"/>
        <w:ind w:left="5165"/>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（签字）</w:t>
      </w:r>
    </w:p>
    <w:p w14:paraId="765047AA">
      <w:pPr>
        <w:pStyle w:val="5"/>
        <w:keepNext w:val="0"/>
        <w:keepLines w:val="0"/>
        <w:pageBreakBefore w:val="0"/>
        <w:wordWrap w:val="0"/>
        <w:overflowPunct/>
        <w:topLinePunct w:val="0"/>
        <w:bidi w:val="0"/>
        <w:spacing w:line="256"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48E9D4AF">
      <w:pPr>
        <w:pStyle w:val="5"/>
        <w:keepNext w:val="0"/>
        <w:keepLines w:val="0"/>
        <w:pageBreakBefore w:val="0"/>
        <w:wordWrap w:val="0"/>
        <w:overflowPunct/>
        <w:topLinePunct w:val="0"/>
        <w:bidi w:val="0"/>
        <w:spacing w:line="257"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p>
    <w:p w14:paraId="7AFA30EA">
      <w:pPr>
        <w:pStyle w:val="5"/>
        <w:keepNext w:val="0"/>
        <w:keepLines w:val="0"/>
        <w:pageBreakBefore w:val="0"/>
        <w:wordWrap w:val="0"/>
        <w:overflowPunct/>
        <w:topLinePunct w:val="0"/>
        <w:bidi w:val="0"/>
        <w:spacing w:line="254" w:lineRule="auto"/>
        <w:jc w:val="righ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年</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月</w:t>
      </w:r>
      <w:r>
        <w:rPr>
          <w:rFonts w:hint="eastAsia" w:ascii="宋体" w:hAnsi="宋体" w:eastAsia="宋体" w:cs="宋体"/>
          <w:snapToGrid w:val="0"/>
          <w:color w:val="000000" w:themeColor="text1"/>
          <w:spacing w:val="0"/>
          <w:kern w:val="0"/>
          <w:szCs w:val="21"/>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szCs w:val="21"/>
          <w:highlight w:val="none"/>
          <w14:textFill>
            <w14:solidFill>
              <w14:schemeClr w14:val="tx1"/>
            </w14:solidFill>
          </w14:textFill>
        </w:rPr>
        <w:t>日</w:t>
      </w:r>
    </w:p>
    <w:p w14:paraId="6EF6B21B">
      <w:pPr>
        <w:keepNext w:val="0"/>
        <w:keepLines w:val="0"/>
        <w:pageBreakBefore w:val="0"/>
        <w:widowControl/>
        <w:kinsoku w:val="0"/>
        <w:wordWrap w:val="0"/>
        <w:overflowPunct/>
        <w:topLinePunct w:val="0"/>
        <w:autoSpaceDE w:val="0"/>
        <w:autoSpaceDN w:val="0"/>
        <w:bidi w:val="0"/>
        <w:adjustRightInd/>
        <w:snapToGrid/>
        <w:spacing w:before="6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说明：《项目技术负责人简历表》后应附拟派项目技术负责人以下资料：</w:t>
      </w:r>
    </w:p>
    <w:p w14:paraId="5ED95DA0">
      <w:pPr>
        <w:keepNext w:val="0"/>
        <w:keepLines w:val="0"/>
        <w:pageBreakBefore w:val="0"/>
        <w:widowControl/>
        <w:kinsoku w:val="0"/>
        <w:wordWrap w:val="0"/>
        <w:overflowPunct/>
        <w:topLinePunct w:val="0"/>
        <w:autoSpaceDE w:val="0"/>
        <w:autoSpaceDN w:val="0"/>
        <w:bidi w:val="0"/>
        <w:adjustRightInd/>
        <w:snapToGrid/>
        <w:spacing w:before="155"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．身份证彩色扫描件；</w:t>
      </w:r>
    </w:p>
    <w:p w14:paraId="1DB79E91">
      <w:pPr>
        <w:keepNext w:val="0"/>
        <w:keepLines w:val="0"/>
        <w:pageBreakBefore w:val="0"/>
        <w:widowControl/>
        <w:kinsoku w:val="0"/>
        <w:wordWrap w:val="0"/>
        <w:overflowPunct/>
        <w:topLinePunct w:val="0"/>
        <w:autoSpaceDE w:val="0"/>
        <w:autoSpaceDN w:val="0"/>
        <w:bidi w:val="0"/>
        <w:adjustRightInd/>
        <w:snapToGrid/>
        <w:spacing w:before="151"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 ．职称证彩色扫描件</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21264357">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 ．在本单位缴纳社保的证明（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，其中必须有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 拟派项目技术负责人为退休返聘人员无法提供社保证明的，提供退休证和劳动合同彩色扫描件。</w:t>
      </w:r>
    </w:p>
    <w:p w14:paraId="6422CCA0">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 ．“进粤企业和人员诚信信息登记平台 ”个人信息情况截图。（适用于省外建筑企业）</w:t>
      </w:r>
    </w:p>
    <w:p w14:paraId="2833B1E2">
      <w:pPr>
        <w:keepNext w:val="0"/>
        <w:keepLines w:val="0"/>
        <w:pageBreakBefore w:val="0"/>
        <w:wordWrap w:val="0"/>
        <w:overflowPunct/>
        <w:topLinePunct w:val="0"/>
        <w:bidi w:val="0"/>
        <w:spacing w:line="228" w:lineRule="auto"/>
        <w:rPr>
          <w:rFonts w:hint="eastAsia" w:ascii="宋体" w:hAnsi="宋体" w:eastAsia="宋体" w:cs="宋体"/>
          <w:color w:val="000000" w:themeColor="text1"/>
          <w:spacing w:val="0"/>
          <w:sz w:val="20"/>
          <w:szCs w:val="20"/>
          <w:highlight w:val="none"/>
          <w14:textFill>
            <w14:solidFill>
              <w14:schemeClr w14:val="tx1"/>
            </w14:solidFill>
          </w14:textFill>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0C4B51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1" w:name="_Toc27361"/>
      <w:r>
        <w:rPr>
          <w:rFonts w:hint="eastAsia" w:ascii="宋体" w:hAnsi="宋体" w:eastAsia="宋体" w:cs="宋体"/>
          <w:b/>
          <w:bCs/>
          <w:color w:val="000000" w:themeColor="text1"/>
          <w:spacing w:val="0"/>
          <w:sz w:val="24"/>
          <w:szCs w:val="24"/>
          <w:highlight w:val="none"/>
          <w14:textFill>
            <w14:solidFill>
              <w14:schemeClr w14:val="tx1"/>
            </w14:solidFill>
          </w14:textFill>
        </w:rPr>
        <w:t>格式十一 项目管理机构组成表</w:t>
      </w:r>
      <w:bookmarkEnd w:id="261"/>
    </w:p>
    <w:p w14:paraId="3B084A82">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25B0F7B1">
      <w:pPr>
        <w:pStyle w:val="5"/>
        <w:keepNext w:val="0"/>
        <w:keepLines w:val="0"/>
        <w:pageBreakBefore w:val="0"/>
        <w:wordWrap w:val="0"/>
        <w:overflowPunct/>
        <w:topLinePunct w:val="0"/>
        <w:bidi w:val="0"/>
        <w:spacing w:line="351" w:lineRule="auto"/>
        <w:rPr>
          <w:rFonts w:hint="eastAsia" w:ascii="宋体" w:hAnsi="宋体" w:eastAsia="宋体" w:cs="宋体"/>
          <w:color w:val="000000" w:themeColor="text1"/>
          <w:spacing w:val="0"/>
          <w:highlight w:val="none"/>
          <w14:textFill>
            <w14:solidFill>
              <w14:schemeClr w14:val="tx1"/>
            </w14:solidFill>
          </w14:textFill>
        </w:rPr>
      </w:pPr>
    </w:p>
    <w:p w14:paraId="4DF3D9BA">
      <w:pPr>
        <w:keepNext w:val="0"/>
        <w:keepLines w:val="0"/>
        <w:pageBreakBefore w:val="0"/>
        <w:wordWrap w:val="0"/>
        <w:overflowPunct/>
        <w:topLinePunct w:val="0"/>
        <w:bidi w:val="0"/>
        <w:spacing w:before="97" w:line="219" w:lineRule="auto"/>
        <w:ind w:left="3200"/>
        <w:outlineLvl w:val="9"/>
        <w:rPr>
          <w:rFonts w:hint="eastAsia" w:ascii="宋体" w:hAnsi="宋体" w:eastAsia="宋体" w:cs="宋体"/>
          <w:color w:val="000000" w:themeColor="text1"/>
          <w:spacing w:val="0"/>
          <w:sz w:val="30"/>
          <w:szCs w:val="30"/>
          <w:highlight w:val="none"/>
          <w14:textFill>
            <w14:solidFill>
              <w14:schemeClr w14:val="tx1"/>
            </w14:solidFill>
          </w14:textFill>
        </w:rPr>
      </w:pPr>
      <w:bookmarkStart w:id="262" w:name="bookmark158"/>
      <w:bookmarkEnd w:id="262"/>
      <w:bookmarkStart w:id="263" w:name="_Toc28765"/>
      <w:bookmarkStart w:id="264" w:name="_Toc19973"/>
      <w:r>
        <w:rPr>
          <w:rFonts w:hint="eastAsia" w:ascii="宋体" w:hAnsi="宋体" w:eastAsia="宋体" w:cs="宋体"/>
          <w:b/>
          <w:bCs/>
          <w:color w:val="000000" w:themeColor="text1"/>
          <w:spacing w:val="0"/>
          <w:sz w:val="30"/>
          <w:szCs w:val="30"/>
          <w:highlight w:val="none"/>
          <w14:textFill>
            <w14:solidFill>
              <w14:schemeClr w14:val="tx1"/>
            </w14:solidFill>
          </w14:textFill>
        </w:rPr>
        <w:t>项目管理机构组成表</w:t>
      </w:r>
      <w:bookmarkEnd w:id="263"/>
      <w:bookmarkEnd w:id="264"/>
    </w:p>
    <w:p w14:paraId="14B78991">
      <w:pPr>
        <w:keepNext w:val="0"/>
        <w:keepLines w:val="0"/>
        <w:pageBreakBefore w:val="0"/>
        <w:wordWrap w:val="0"/>
        <w:overflowPunct/>
        <w:topLinePunct w:val="0"/>
        <w:bidi w:val="0"/>
        <w:spacing w:before="7"/>
        <w:rPr>
          <w:rFonts w:hint="eastAsia" w:ascii="宋体" w:hAnsi="宋体" w:eastAsia="宋体" w:cs="宋体"/>
          <w:color w:val="000000" w:themeColor="text1"/>
          <w:spacing w:val="0"/>
          <w:highlight w:val="none"/>
          <w14:textFill>
            <w14:solidFill>
              <w14:schemeClr w14:val="tx1"/>
            </w14:solidFill>
          </w14:textFill>
        </w:rPr>
      </w:pPr>
    </w:p>
    <w:tbl>
      <w:tblPr>
        <w:tblStyle w:val="14"/>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50326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60869D9E">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序号</w:t>
            </w:r>
          </w:p>
        </w:tc>
        <w:tc>
          <w:tcPr>
            <w:tcW w:w="1939" w:type="dxa"/>
            <w:vAlign w:val="center"/>
          </w:tcPr>
          <w:p w14:paraId="7439BD66">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岗位</w:t>
            </w:r>
          </w:p>
        </w:tc>
        <w:tc>
          <w:tcPr>
            <w:tcW w:w="1567" w:type="dxa"/>
            <w:vAlign w:val="center"/>
          </w:tcPr>
          <w:p w14:paraId="7EBB74F3">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姓名</w:t>
            </w:r>
          </w:p>
        </w:tc>
        <w:tc>
          <w:tcPr>
            <w:tcW w:w="1017" w:type="dxa"/>
            <w:vAlign w:val="center"/>
          </w:tcPr>
          <w:p w14:paraId="3DE10A8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性别</w:t>
            </w:r>
          </w:p>
        </w:tc>
        <w:tc>
          <w:tcPr>
            <w:tcW w:w="1002" w:type="dxa"/>
            <w:vAlign w:val="center"/>
          </w:tcPr>
          <w:p w14:paraId="3050ABB3">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年龄</w:t>
            </w:r>
          </w:p>
        </w:tc>
        <w:tc>
          <w:tcPr>
            <w:tcW w:w="1551" w:type="dxa"/>
            <w:vAlign w:val="center"/>
          </w:tcPr>
          <w:p w14:paraId="59C156EA">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职称</w:t>
            </w:r>
          </w:p>
        </w:tc>
        <w:tc>
          <w:tcPr>
            <w:tcW w:w="1926" w:type="dxa"/>
            <w:vAlign w:val="center"/>
          </w:tcPr>
          <w:p w14:paraId="7FE3C97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备注</w:t>
            </w:r>
          </w:p>
        </w:tc>
      </w:tr>
      <w:tr w14:paraId="1711D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36AB410A">
            <w:pPr>
              <w:keepNext w:val="0"/>
              <w:keepLines w:val="0"/>
              <w:pageBreakBefore w:val="0"/>
              <w:widowControl/>
              <w:kinsoku w:val="0"/>
              <w:wordWrap w:val="0"/>
              <w:overflowPunct/>
              <w:topLinePunct w:val="0"/>
              <w:autoSpaceDE w:val="0"/>
              <w:autoSpaceDN w:val="0"/>
              <w:bidi w:val="0"/>
              <w:adjustRightInd w:val="0"/>
              <w:snapToGrid w:val="0"/>
              <w:spacing w:before="185"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1939" w:type="dxa"/>
            <w:vAlign w:val="center"/>
          </w:tcPr>
          <w:p w14:paraId="1997300C">
            <w:pPr>
              <w:keepNext w:val="0"/>
              <w:keepLines w:val="0"/>
              <w:pageBreakBefore w:val="0"/>
              <w:widowControl/>
              <w:kinsoku w:val="0"/>
              <w:wordWrap w:val="0"/>
              <w:overflowPunct/>
              <w:topLinePunct w:val="0"/>
              <w:autoSpaceDE w:val="0"/>
              <w:autoSpaceDN w:val="0"/>
              <w:bidi w:val="0"/>
              <w:adjustRightInd w:val="0"/>
              <w:snapToGrid w:val="0"/>
              <w:spacing w:before="150"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项目经理</w:t>
            </w:r>
          </w:p>
        </w:tc>
        <w:tc>
          <w:tcPr>
            <w:tcW w:w="1567" w:type="dxa"/>
            <w:vAlign w:val="center"/>
          </w:tcPr>
          <w:p w14:paraId="05C5473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57F30F4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0F1D6EB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1672C6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DE9F02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165C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31D50A1B">
            <w:pPr>
              <w:keepNext w:val="0"/>
              <w:keepLines w:val="0"/>
              <w:pageBreakBefore w:val="0"/>
              <w:widowControl/>
              <w:kinsoku w:val="0"/>
              <w:wordWrap w:val="0"/>
              <w:overflowPunct/>
              <w:topLinePunct w:val="0"/>
              <w:autoSpaceDE w:val="0"/>
              <w:autoSpaceDN w:val="0"/>
              <w:bidi w:val="0"/>
              <w:adjustRightInd w:val="0"/>
              <w:snapToGrid w:val="0"/>
              <w:spacing w:before="187"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1939" w:type="dxa"/>
            <w:vAlign w:val="center"/>
          </w:tcPr>
          <w:p w14:paraId="3A12DDFD">
            <w:pPr>
              <w:keepNext w:val="0"/>
              <w:keepLines w:val="0"/>
              <w:pageBreakBefore w:val="0"/>
              <w:widowControl/>
              <w:kinsoku w:val="0"/>
              <w:wordWrap w:val="0"/>
              <w:overflowPunct/>
              <w:topLinePunct w:val="0"/>
              <w:autoSpaceDE w:val="0"/>
              <w:autoSpaceDN w:val="0"/>
              <w:bidi w:val="0"/>
              <w:adjustRightInd w:val="0"/>
              <w:snapToGrid w:val="0"/>
              <w:spacing w:before="152"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项目技术负责人</w:t>
            </w:r>
          </w:p>
        </w:tc>
        <w:tc>
          <w:tcPr>
            <w:tcW w:w="1567" w:type="dxa"/>
            <w:vAlign w:val="center"/>
          </w:tcPr>
          <w:p w14:paraId="6A048FE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62616D65">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290403F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513D574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4350E5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C2BE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7FC001D7">
            <w:pPr>
              <w:keepNext w:val="0"/>
              <w:keepLines w:val="0"/>
              <w:pageBreakBefore w:val="0"/>
              <w:widowControl/>
              <w:kinsoku w:val="0"/>
              <w:wordWrap w:val="0"/>
              <w:overflowPunct/>
              <w:topLinePunct w:val="0"/>
              <w:autoSpaceDE w:val="0"/>
              <w:autoSpaceDN w:val="0"/>
              <w:bidi w:val="0"/>
              <w:adjustRightInd w:val="0"/>
              <w:snapToGrid w:val="0"/>
              <w:spacing w:before="189" w:line="195" w:lineRule="auto"/>
              <w:ind w:left="0"/>
              <w:jc w:val="center"/>
              <w:textAlignment w:val="baseline"/>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p>
        </w:tc>
        <w:tc>
          <w:tcPr>
            <w:tcW w:w="1939" w:type="dxa"/>
            <w:vAlign w:val="center"/>
          </w:tcPr>
          <w:p w14:paraId="35920EAB">
            <w:pPr>
              <w:keepNext w:val="0"/>
              <w:keepLines w:val="0"/>
              <w:pageBreakBefore w:val="0"/>
              <w:widowControl/>
              <w:kinsoku w:val="0"/>
              <w:wordWrap w:val="0"/>
              <w:overflowPunct/>
              <w:topLinePunct w:val="0"/>
              <w:autoSpaceDE w:val="0"/>
              <w:autoSpaceDN w:val="0"/>
              <w:bidi w:val="0"/>
              <w:adjustRightInd w:val="0"/>
              <w:snapToGrid w:val="0"/>
              <w:spacing w:before="153"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专职安全员</w:t>
            </w:r>
          </w:p>
        </w:tc>
        <w:tc>
          <w:tcPr>
            <w:tcW w:w="1567" w:type="dxa"/>
            <w:vAlign w:val="center"/>
          </w:tcPr>
          <w:p w14:paraId="539D56F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6625F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934B0B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733019E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2A7AA2A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559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773F671">
            <w:pPr>
              <w:keepNext w:val="0"/>
              <w:keepLines w:val="0"/>
              <w:pageBreakBefore w:val="0"/>
              <w:widowControl/>
              <w:kinsoku w:val="0"/>
              <w:wordWrap w:val="0"/>
              <w:overflowPunct/>
              <w:topLinePunct w:val="0"/>
              <w:autoSpaceDE w:val="0"/>
              <w:autoSpaceDN w:val="0"/>
              <w:bidi w:val="0"/>
              <w:adjustRightInd w:val="0"/>
              <w:snapToGrid w:val="0"/>
              <w:spacing w:before="188"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w:t>
            </w:r>
          </w:p>
        </w:tc>
        <w:tc>
          <w:tcPr>
            <w:tcW w:w="1939" w:type="dxa"/>
            <w:vAlign w:val="center"/>
          </w:tcPr>
          <w:p w14:paraId="30C10F88">
            <w:pPr>
              <w:keepNext w:val="0"/>
              <w:keepLines w:val="0"/>
              <w:pageBreakBefore w:val="0"/>
              <w:widowControl/>
              <w:kinsoku w:val="0"/>
              <w:wordWrap w:val="0"/>
              <w:overflowPunct/>
              <w:topLinePunct w:val="0"/>
              <w:autoSpaceDE w:val="0"/>
              <w:autoSpaceDN w:val="0"/>
              <w:bidi w:val="0"/>
              <w:adjustRightInd w:val="0"/>
              <w:snapToGrid w:val="0"/>
              <w:spacing w:before="152" w:line="230"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施工员</w:t>
            </w:r>
          </w:p>
        </w:tc>
        <w:tc>
          <w:tcPr>
            <w:tcW w:w="1567" w:type="dxa"/>
            <w:vAlign w:val="center"/>
          </w:tcPr>
          <w:p w14:paraId="05CA2BD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10108C0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34A0A4E6">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97556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48296E49">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31EE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1C720381">
            <w:pPr>
              <w:keepNext w:val="0"/>
              <w:keepLines w:val="0"/>
              <w:pageBreakBefore w:val="0"/>
              <w:widowControl/>
              <w:kinsoku w:val="0"/>
              <w:wordWrap w:val="0"/>
              <w:overflowPunct/>
              <w:topLinePunct w:val="0"/>
              <w:autoSpaceDE w:val="0"/>
              <w:autoSpaceDN w:val="0"/>
              <w:bidi w:val="0"/>
              <w:adjustRightInd w:val="0"/>
              <w:snapToGrid w:val="0"/>
              <w:spacing w:before="193"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w:t>
            </w:r>
          </w:p>
        </w:tc>
        <w:tc>
          <w:tcPr>
            <w:tcW w:w="1939" w:type="dxa"/>
            <w:vAlign w:val="center"/>
          </w:tcPr>
          <w:p w14:paraId="3CAE22C0">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质量员</w:t>
            </w:r>
          </w:p>
        </w:tc>
        <w:tc>
          <w:tcPr>
            <w:tcW w:w="1567" w:type="dxa"/>
            <w:vAlign w:val="center"/>
          </w:tcPr>
          <w:p w14:paraId="16086B6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03D9B6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465E507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1AC236B1">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1B74D74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A35A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2DD916FB">
            <w:pPr>
              <w:keepNext w:val="0"/>
              <w:keepLines w:val="0"/>
              <w:pageBreakBefore w:val="0"/>
              <w:widowControl/>
              <w:kinsoku w:val="0"/>
              <w:wordWrap w:val="0"/>
              <w:overflowPunct/>
              <w:topLinePunct w:val="0"/>
              <w:autoSpaceDE w:val="0"/>
              <w:autoSpaceDN w:val="0"/>
              <w:bidi w:val="0"/>
              <w:adjustRightInd w:val="0"/>
              <w:snapToGrid w:val="0"/>
              <w:spacing w:before="191" w:line="195"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6</w:t>
            </w:r>
          </w:p>
        </w:tc>
        <w:tc>
          <w:tcPr>
            <w:tcW w:w="1939" w:type="dxa"/>
            <w:vAlign w:val="center"/>
          </w:tcPr>
          <w:p w14:paraId="00D908A3">
            <w:pPr>
              <w:keepNext w:val="0"/>
              <w:keepLines w:val="0"/>
              <w:pageBreakBefore w:val="0"/>
              <w:widowControl/>
              <w:kinsoku w:val="0"/>
              <w:wordWrap w:val="0"/>
              <w:overflowPunct/>
              <w:topLinePunct w:val="0"/>
              <w:autoSpaceDE w:val="0"/>
              <w:autoSpaceDN w:val="0"/>
              <w:bidi w:val="0"/>
              <w:adjustRightInd w:val="0"/>
              <w:snapToGrid w:val="0"/>
              <w:spacing w:before="155" w:line="228"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材料员</w:t>
            </w:r>
          </w:p>
        </w:tc>
        <w:tc>
          <w:tcPr>
            <w:tcW w:w="1567" w:type="dxa"/>
            <w:vAlign w:val="center"/>
          </w:tcPr>
          <w:p w14:paraId="7A4124E4">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1B90C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7429CA6B">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355EF2BE">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3D80AEAF">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96C3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4F1DC0C4">
            <w:pPr>
              <w:keepNext w:val="0"/>
              <w:keepLines w:val="0"/>
              <w:pageBreakBefore w:val="0"/>
              <w:widowControl/>
              <w:kinsoku w:val="0"/>
              <w:wordWrap w:val="0"/>
              <w:overflowPunct/>
              <w:topLinePunct w:val="0"/>
              <w:autoSpaceDE w:val="0"/>
              <w:autoSpaceDN w:val="0"/>
              <w:bidi w:val="0"/>
              <w:adjustRightInd w:val="0"/>
              <w:snapToGrid w:val="0"/>
              <w:spacing w:before="192" w:line="192"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7</w:t>
            </w:r>
          </w:p>
        </w:tc>
        <w:tc>
          <w:tcPr>
            <w:tcW w:w="1939" w:type="dxa"/>
            <w:vAlign w:val="center"/>
          </w:tcPr>
          <w:p w14:paraId="2B81E2B2">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资料员</w:t>
            </w:r>
          </w:p>
        </w:tc>
        <w:tc>
          <w:tcPr>
            <w:tcW w:w="1567" w:type="dxa"/>
            <w:vAlign w:val="center"/>
          </w:tcPr>
          <w:p w14:paraId="5830ACFC">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2BE2E7C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1AEE4D9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462B06F0">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75D8694A">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6E88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01C28551">
            <w:pPr>
              <w:keepNext w:val="0"/>
              <w:keepLines w:val="0"/>
              <w:pageBreakBefore w:val="0"/>
              <w:widowControl/>
              <w:kinsoku w:val="0"/>
              <w:wordWrap w:val="0"/>
              <w:overflowPunct/>
              <w:topLinePunct w:val="0"/>
              <w:autoSpaceDE w:val="0"/>
              <w:autoSpaceDN w:val="0"/>
              <w:bidi w:val="0"/>
              <w:adjustRightInd w:val="0"/>
              <w:snapToGrid w:val="0"/>
              <w:spacing w:before="154" w:line="325" w:lineRule="exact"/>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3"/>
                <w:sz w:val="24"/>
                <w:szCs w:val="24"/>
                <w:highlight w:val="none"/>
                <w14:textFill>
                  <w14:solidFill>
                    <w14:schemeClr w14:val="tx1"/>
                  </w14:solidFill>
                </w14:textFill>
              </w:rPr>
              <w:t>……</w:t>
            </w:r>
          </w:p>
        </w:tc>
        <w:tc>
          <w:tcPr>
            <w:tcW w:w="1939" w:type="dxa"/>
            <w:vAlign w:val="center"/>
          </w:tcPr>
          <w:p w14:paraId="40723A72">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67" w:type="dxa"/>
            <w:vAlign w:val="center"/>
          </w:tcPr>
          <w:p w14:paraId="7F1F6AE8">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17" w:type="dxa"/>
            <w:vAlign w:val="center"/>
          </w:tcPr>
          <w:p w14:paraId="77322F0D">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002" w:type="dxa"/>
            <w:vAlign w:val="center"/>
          </w:tcPr>
          <w:p w14:paraId="62FB4EA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551" w:type="dxa"/>
            <w:vAlign w:val="center"/>
          </w:tcPr>
          <w:p w14:paraId="2D6E46A7">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926" w:type="dxa"/>
            <w:vAlign w:val="center"/>
          </w:tcPr>
          <w:p w14:paraId="52450073">
            <w:pPr>
              <w:pStyle w:val="27"/>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1A2216AD">
      <w:pPr>
        <w:pStyle w:val="5"/>
        <w:keepNext w:val="0"/>
        <w:keepLines w:val="0"/>
        <w:pageBreakBefore w:val="0"/>
        <w:wordWrap w:val="0"/>
        <w:overflowPunct/>
        <w:topLinePunct w:val="0"/>
        <w:bidi w:val="0"/>
        <w:spacing w:line="3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469D01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说明：</w:t>
      </w:r>
    </w:p>
    <w:p w14:paraId="39CA077E">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 ．《项目管理机构组成表》后应附表中拟派人员（项目经理、项目技术负责人除外）以下资料：</w:t>
      </w:r>
    </w:p>
    <w:p w14:paraId="0CE589C1">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身份证彩色扫描件；</w:t>
      </w:r>
    </w:p>
    <w:p w14:paraId="02AA64CE">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专职安全员须提供C类安全生产考核合格证书扫描件或“建筑施工企业管理人员安全生产考核信息系统”考核合格信息扫描件；施工员、质量员、材料员、资料员附岗位证书或培训证书彩色扫描件或打印件；</w:t>
      </w:r>
    </w:p>
    <w:p w14:paraId="3CEAFCD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在本单位缴纳社保的证明（</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个月</w:t>
      </w:r>
      <w:r>
        <w:rPr>
          <w:rFonts w:hint="eastAsia" w:ascii="宋体" w:hAnsi="宋体" w:eastAsia="宋体" w:cs="宋体"/>
          <w:color w:val="000000" w:themeColor="text1"/>
          <w:spacing w:val="0"/>
          <w:sz w:val="24"/>
          <w:szCs w:val="24"/>
          <w:highlight w:val="none"/>
          <w14:textFill>
            <w14:solidFill>
              <w14:schemeClr w14:val="tx1"/>
            </w14:solidFill>
          </w14:textFill>
        </w:rPr>
        <w:t>，其中必须有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202</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pacing w:val="0"/>
          <w:sz w:val="24"/>
          <w:szCs w:val="24"/>
          <w:highlight w:val="none"/>
          <w14:textFill>
            <w14:solidFill>
              <w14:schemeClr w14:val="tx1"/>
            </w14:solidFill>
          </w14:textFill>
        </w:rPr>
        <w:t>年</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9</w:t>
      </w:r>
      <w:r>
        <w:rPr>
          <w:rFonts w:hint="eastAsia" w:ascii="宋体" w:hAnsi="宋体" w:eastAsia="宋体" w:cs="宋体"/>
          <w:color w:val="000000" w:themeColor="text1"/>
          <w:spacing w:val="0"/>
          <w:sz w:val="24"/>
          <w:szCs w:val="24"/>
          <w:highlight w:val="none"/>
          <w14:textFill>
            <w14:solidFill>
              <w14:schemeClr w14:val="tx1"/>
            </w14:solidFill>
          </w14:textFill>
        </w:rPr>
        <w:t>月）扫描件</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或打印件</w:t>
      </w:r>
      <w:r>
        <w:rPr>
          <w:rFonts w:hint="eastAsia" w:ascii="宋体" w:hAnsi="宋体" w:eastAsia="宋体" w:cs="宋体"/>
          <w:color w:val="000000" w:themeColor="text1"/>
          <w:spacing w:val="0"/>
          <w:sz w:val="24"/>
          <w:szCs w:val="24"/>
          <w:highlight w:val="none"/>
          <w14:textFill>
            <w14:solidFill>
              <w14:schemeClr w14:val="tx1"/>
            </w14:solidFill>
          </w14:textFill>
        </w:rPr>
        <w:t>。拟派</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人员</w:t>
      </w:r>
      <w:r>
        <w:rPr>
          <w:rFonts w:hint="eastAsia" w:ascii="宋体" w:hAnsi="宋体" w:eastAsia="宋体" w:cs="宋体"/>
          <w:color w:val="000000" w:themeColor="text1"/>
          <w:spacing w:val="0"/>
          <w:sz w:val="24"/>
          <w:szCs w:val="24"/>
          <w:highlight w:val="none"/>
          <w14:textFill>
            <w14:solidFill>
              <w14:schemeClr w14:val="tx1"/>
            </w14:solidFill>
          </w14:textFill>
        </w:rPr>
        <w:t>为退休返聘人员无法提供社保证明的，提供退休证和劳动合同彩色扫描件。</w:t>
      </w:r>
    </w:p>
    <w:p w14:paraId="61E286EA">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（4）“进粤企业和人员诚信信息登记平台”个人信息情况截图。（适用于省外建筑企业）</w:t>
      </w:r>
    </w:p>
    <w:p w14:paraId="73BD7082">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pacing w:val="0"/>
          <w:sz w:val="24"/>
          <w:szCs w:val="24"/>
          <w:highlight w:val="none"/>
          <w14:textFill>
            <w14:solidFill>
              <w14:schemeClr w14:val="tx1"/>
            </w14:solidFill>
          </w14:textFill>
        </w:rPr>
        <w:t>联合体投标的，《项目管理机构组成表》应包括联合体成员单位参与项目管理机构的人员，并提供以上所需资料。</w:t>
      </w:r>
    </w:p>
    <w:p w14:paraId="487C8DA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5" w:name="_Toc26605"/>
      <w:r>
        <w:rPr>
          <w:rFonts w:hint="eastAsia" w:ascii="宋体" w:hAnsi="宋体" w:eastAsia="宋体" w:cs="宋体"/>
          <w:b/>
          <w:bCs/>
          <w:color w:val="000000" w:themeColor="text1"/>
          <w:spacing w:val="0"/>
          <w:sz w:val="24"/>
          <w:szCs w:val="24"/>
          <w:highlight w:val="none"/>
          <w14:textFill>
            <w14:solidFill>
              <w14:schemeClr w14:val="tx1"/>
            </w14:solidFill>
          </w14:textFill>
        </w:rPr>
        <w:t>格式十二 建造师查询页（有效期+建造师签字）</w:t>
      </w:r>
      <w:bookmarkEnd w:id="265"/>
    </w:p>
    <w:p w14:paraId="734EE390">
      <w:pPr>
        <w:keepNext w:val="0"/>
        <w:keepLines w:val="0"/>
        <w:pageBreakBefore w:val="0"/>
        <w:wordWrap w:val="0"/>
        <w:overflowPunct/>
        <w:topLinePunct w:val="0"/>
        <w:bidi w:val="0"/>
        <w:outlineLvl w:val="9"/>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35"/>
          <w:highlight w:val="none"/>
          <w14:textFill>
            <w14:solidFill>
              <w14:schemeClr w14:val="tx1"/>
            </w14:solidFill>
          </w14:textFill>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5"/>
                    <a:stretch>
                      <a:fillRect/>
                    </a:stretch>
                  </pic:blipFill>
                  <pic:spPr>
                    <a:xfrm>
                      <a:off x="0" y="0"/>
                      <a:ext cx="6239510" cy="8013700"/>
                    </a:xfrm>
                    <a:prstGeom prst="rect">
                      <a:avLst/>
                    </a:prstGeom>
                    <a:noFill/>
                    <a:ln>
                      <a:noFill/>
                    </a:ln>
                  </pic:spPr>
                </pic:pic>
              </a:graphicData>
            </a:graphic>
          </wp:inline>
        </w:drawing>
      </w:r>
    </w:p>
    <w:p w14:paraId="64B4C367">
      <w:pPr>
        <w:keepNext w:val="0"/>
        <w:keepLines w:val="0"/>
        <w:pageBreakBefore w:val="0"/>
        <w:wordWrap w:val="0"/>
        <w:overflowPunct/>
        <w:topLinePunct w:val="0"/>
        <w:bidi w:val="0"/>
        <w:spacing w:line="220" w:lineRule="auto"/>
        <w:rPr>
          <w:rFonts w:hint="eastAsia" w:ascii="宋体" w:hAnsi="宋体" w:eastAsia="宋体" w:cs="宋体"/>
          <w:color w:val="000000" w:themeColor="text1"/>
          <w:spacing w:val="0"/>
          <w:sz w:val="24"/>
          <w:szCs w:val="24"/>
          <w:highlight w:val="none"/>
          <w14:textFill>
            <w14:solidFill>
              <w14:schemeClr w14:val="tx1"/>
            </w14:solidFill>
          </w14:textFill>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1D37CFE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position w:val="-214"/>
          <w:highlight w:val="none"/>
          <w14:textFill>
            <w14:solidFill>
              <w14:schemeClr w14:val="tx1"/>
            </w14:solidFill>
          </w14:textFill>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6"/>
                    <a:stretch>
                      <a:fillRect/>
                    </a:stretch>
                  </pic:blipFill>
                  <pic:spPr>
                    <a:xfrm>
                      <a:off x="0" y="0"/>
                      <a:ext cx="6285865" cy="6925310"/>
                    </a:xfrm>
                    <a:prstGeom prst="rect">
                      <a:avLst/>
                    </a:prstGeom>
                    <a:noFill/>
                    <a:ln>
                      <a:noFill/>
                    </a:ln>
                  </pic:spPr>
                </pic:pic>
              </a:graphicData>
            </a:graphic>
          </wp:inline>
        </w:drawing>
      </w:r>
    </w:p>
    <w:p w14:paraId="174F9627">
      <w:pPr>
        <w:keepNext w:val="0"/>
        <w:keepLines w:val="0"/>
        <w:pageBreakBefore w:val="0"/>
        <w:wordWrap w:val="0"/>
        <w:overflowPunct/>
        <w:topLinePunct w:val="0"/>
        <w:bidi w:val="0"/>
        <w:spacing w:line="10744" w:lineRule="exact"/>
        <w:rPr>
          <w:rFonts w:hint="eastAsia" w:ascii="宋体" w:hAnsi="宋体" w:eastAsia="宋体" w:cs="宋体"/>
          <w:color w:val="000000" w:themeColor="text1"/>
          <w:spacing w:val="0"/>
          <w:highlight w:val="none"/>
          <w14:textFill>
            <w14:solidFill>
              <w14:schemeClr w14:val="tx1"/>
            </w14:solidFill>
          </w14:textFill>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9F1B678">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66" w:name="_Toc181"/>
      <w:r>
        <w:rPr>
          <w:rFonts w:hint="eastAsia" w:ascii="宋体" w:hAnsi="宋体" w:eastAsia="宋体" w:cs="宋体"/>
          <w:b/>
          <w:bCs/>
          <w:color w:val="000000" w:themeColor="text1"/>
          <w:spacing w:val="0"/>
          <w:sz w:val="24"/>
          <w:szCs w:val="24"/>
          <w:highlight w:val="none"/>
          <w14:textFill>
            <w14:solidFill>
              <w14:schemeClr w14:val="tx1"/>
            </w14:solidFill>
          </w14:textFill>
        </w:rPr>
        <w:t>格式十三</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sz w:val="22"/>
          <w:szCs w:val="22"/>
          <w:highlight w:val="none"/>
          <w14:textFill>
            <w14:solidFill>
              <w14:schemeClr w14:val="tx1"/>
            </w14:solidFill>
          </w14:textFill>
        </w:rPr>
        <w:t>危险性较大的分部分项工程清单及超过一定规模的危险性较大的分部分项工程清单</w:t>
      </w:r>
      <w:bookmarkEnd w:id="266"/>
    </w:p>
    <w:p w14:paraId="4E20E0E7">
      <w:pPr>
        <w:pStyle w:val="5"/>
        <w:keepNext w:val="0"/>
        <w:keepLines w:val="0"/>
        <w:pageBreakBefore w:val="0"/>
        <w:wordWrap w:val="0"/>
        <w:overflowPunct/>
        <w:topLinePunct w:val="0"/>
        <w:bidi w:val="0"/>
        <w:spacing w:line="269" w:lineRule="auto"/>
        <w:rPr>
          <w:rFonts w:hint="eastAsia" w:ascii="宋体" w:hAnsi="宋体" w:eastAsia="宋体" w:cs="宋体"/>
          <w:color w:val="000000" w:themeColor="text1"/>
          <w:spacing w:val="0"/>
          <w:highlight w:val="none"/>
          <w14:textFill>
            <w14:solidFill>
              <w14:schemeClr w14:val="tx1"/>
            </w14:solidFill>
          </w14:textFill>
        </w:rPr>
      </w:pPr>
    </w:p>
    <w:p w14:paraId="0DB6A583">
      <w:pPr>
        <w:keepNext w:val="0"/>
        <w:keepLines w:val="0"/>
        <w:pageBreakBefore w:val="0"/>
        <w:tabs>
          <w:tab w:val="left" w:pos="2940"/>
        </w:tabs>
        <w:wordWrap w:val="0"/>
        <w:overflowPunct/>
        <w:topLinePunct w:val="0"/>
        <w:bidi w:val="0"/>
        <w:spacing w:before="101" w:line="377" w:lineRule="auto"/>
        <w:ind w:left="3179" w:leftChars="0" w:right="41" w:hanging="3133" w:firstLineChars="0"/>
        <w:rPr>
          <w:rFonts w:hint="eastAsia" w:ascii="宋体" w:hAnsi="宋体" w:eastAsia="宋体" w:cs="宋体"/>
          <w:color w:val="000000" w:themeColor="text1"/>
          <w:spacing w:val="0"/>
          <w:sz w:val="31"/>
          <w:szCs w:val="31"/>
          <w:highlight w:val="none"/>
          <w14:textFill>
            <w14:solidFill>
              <w14:schemeClr w14:val="tx1"/>
            </w14:solidFill>
          </w14:textFill>
        </w:rPr>
      </w:pPr>
      <w:bookmarkStart w:id="267" w:name="bookmark160"/>
      <w:bookmarkEnd w:id="267"/>
      <w:bookmarkStart w:id="268" w:name="OLE_LINK41"/>
      <w:r>
        <w:rPr>
          <w:rFonts w:hint="eastAsia" w:ascii="宋体" w:hAnsi="宋体" w:eastAsia="宋体" w:cs="宋体"/>
          <w:b/>
          <w:bCs/>
          <w:color w:val="000000" w:themeColor="text1"/>
          <w:spacing w:val="0"/>
          <w:sz w:val="31"/>
          <w:szCs w:val="31"/>
          <w:highlight w:val="none"/>
          <w14:textFill>
            <w14:solidFill>
              <w14:schemeClr w14:val="tx1"/>
            </w14:solidFill>
          </w14:textFill>
        </w:rPr>
        <w:t>危险性较大的分部分项工程清单及超过一定规模的危险性较大的分部分项工程清单</w:t>
      </w:r>
    </w:p>
    <w:bookmarkEnd w:id="268"/>
    <w:p w14:paraId="5004DA81">
      <w:pPr>
        <w:keepNext w:val="0"/>
        <w:keepLines w:val="0"/>
        <w:pageBreakBefore w:val="0"/>
        <w:wordWrap w:val="0"/>
        <w:overflowPunct/>
        <w:topLinePunct w:val="0"/>
        <w:bidi w:val="0"/>
        <w:spacing w:before="6" w:line="326" w:lineRule="auto"/>
        <w:ind w:left="5"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1、根据中华人民共和国住房和城乡建设部令第37号《危险性较大的分部分项工程安全管理规定》（以下简称“37号文 ”），投标人在投标时须补充完善危大工程清单并明确相应的安全管理措施。</w:t>
      </w:r>
    </w:p>
    <w:p w14:paraId="39C98E84">
      <w:pPr>
        <w:keepNext w:val="0"/>
        <w:keepLines w:val="0"/>
        <w:pageBreakBefore w:val="0"/>
        <w:wordWrap w:val="0"/>
        <w:overflowPunct/>
        <w:topLinePunct w:val="0"/>
        <w:bidi w:val="0"/>
        <w:spacing w:before="208" w:line="326" w:lineRule="auto"/>
        <w:ind w:left="1" w:firstLine="48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2、招标人根据设计文件的要求及37号文、粤建规范〔2019〕2号文的规定列出“危险性较大的分部分项工程清单及超过一定规模的危险性较大的分部分项工程清单 ”中与 本招标项目相关的清单项，具体详见第5点“打 √ ”标识。</w:t>
      </w:r>
    </w:p>
    <w:p w14:paraId="3676768B">
      <w:pPr>
        <w:keepNext w:val="0"/>
        <w:keepLines w:val="0"/>
        <w:pageBreakBefore w:val="0"/>
        <w:wordWrap w:val="0"/>
        <w:overflowPunct/>
        <w:topLinePunct w:val="0"/>
        <w:bidi w:val="0"/>
        <w:spacing w:before="209" w:line="299" w:lineRule="auto"/>
        <w:ind w:left="3" w:right="72" w:firstLine="48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（1）投标单位同意建设单位在清单中标识的该项请在对应项打“ √ ”标识，并与投标文件中提供相应的安全管理措施。</w:t>
      </w:r>
    </w:p>
    <w:p w14:paraId="1C2AFCFC">
      <w:pPr>
        <w:keepNext w:val="0"/>
        <w:keepLines w:val="0"/>
        <w:pageBreakBefore w:val="0"/>
        <w:wordWrap w:val="0"/>
        <w:overflowPunct/>
        <w:topLinePunct w:val="0"/>
        <w:bidi w:val="0"/>
        <w:spacing w:before="208" w:line="299" w:lineRule="auto"/>
        <w:ind w:left="2" w:right="72" w:firstLine="48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（2）投标单位对清单中认为需要补充的该项请在对应项打“ √ ”标识，并与投标文件中提供相应的安全管理措施。</w:t>
      </w:r>
    </w:p>
    <w:p w14:paraId="2C57E579">
      <w:pPr>
        <w:keepNext w:val="0"/>
        <w:keepLines w:val="0"/>
        <w:pageBreakBefore w:val="0"/>
        <w:wordWrap w:val="0"/>
        <w:overflowPunct/>
        <w:topLinePunct w:val="0"/>
        <w:bidi w:val="0"/>
        <w:spacing w:before="210" w:line="300" w:lineRule="auto"/>
        <w:ind w:right="72" w:firstLine="4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（3）投标单位不同意建设单位在清单中标识的该项请在对应项打“ × ”标识，并在备注栏填上相关说明。</w:t>
      </w:r>
    </w:p>
    <w:p w14:paraId="14B36F6D">
      <w:pPr>
        <w:keepNext w:val="0"/>
        <w:keepLines w:val="0"/>
        <w:pageBreakBefore w:val="0"/>
        <w:wordWrap w:val="0"/>
        <w:overflowPunct/>
        <w:topLinePunct w:val="0"/>
        <w:bidi w:val="0"/>
        <w:spacing w:before="207" w:line="371" w:lineRule="auto"/>
        <w:ind w:firstLine="484"/>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u w:val="single"/>
          <w14:textFill>
            <w14:solidFill>
              <w14:schemeClr w14:val="tx1"/>
            </w14:solidFill>
          </w14:textFill>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4C7E91A">
      <w:pPr>
        <w:keepNext w:val="0"/>
        <w:keepLines w:val="0"/>
        <w:pageBreakBefore w:val="0"/>
        <w:wordWrap w:val="0"/>
        <w:overflowPunct/>
        <w:topLinePunct w:val="0"/>
        <w:bidi w:val="0"/>
        <w:spacing w:before="33" w:line="326" w:lineRule="auto"/>
        <w:ind w:left="1" w:firstLine="47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98FF3E3">
      <w:pPr>
        <w:keepNext w:val="0"/>
        <w:keepLines w:val="0"/>
        <w:pageBreakBefore w:val="0"/>
        <w:wordWrap w:val="0"/>
        <w:overflowPunct/>
        <w:topLinePunct w:val="0"/>
        <w:bidi w:val="0"/>
        <w:spacing w:before="208" w:line="301" w:lineRule="auto"/>
        <w:ind w:firstLine="484"/>
        <w:rPr>
          <w:rFonts w:hint="eastAsia" w:ascii="宋体" w:hAnsi="宋体" w:eastAsia="宋体" w:cs="宋体"/>
          <w:color w:val="000000" w:themeColor="text1"/>
          <w:spacing w:val="0"/>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5、危险性较大的分部分项工程清单及超过一定规模的危险性较大的分部分项工程清单</w:t>
      </w:r>
    </w:p>
    <w:p w14:paraId="211A5215">
      <w:pPr>
        <w:keepNext w:val="0"/>
        <w:keepLines w:val="0"/>
        <w:pageBreakBefore w:val="0"/>
        <w:wordWrap w:val="0"/>
        <w:overflowPunct/>
        <w:topLinePunct w:val="0"/>
        <w:bidi w:val="0"/>
        <w:spacing w:before="40"/>
        <w:rPr>
          <w:rFonts w:hint="eastAsia" w:ascii="宋体" w:hAnsi="宋体" w:eastAsia="宋体" w:cs="宋体"/>
          <w:color w:val="000000" w:themeColor="text1"/>
          <w:spacing w:val="0"/>
          <w:highlight w:val="none"/>
          <w14:textFill>
            <w14:solidFill>
              <w14:schemeClr w14:val="tx1"/>
            </w14:solidFill>
          </w14:textFill>
        </w:rPr>
      </w:pPr>
    </w:p>
    <w:tbl>
      <w:tblPr>
        <w:tblStyle w:val="14"/>
        <w:tblW w:w="988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4862"/>
        <w:gridCol w:w="1294"/>
        <w:gridCol w:w="1294"/>
        <w:gridCol w:w="2428"/>
      </w:tblGrid>
      <w:tr w14:paraId="1D6B3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C0C1314">
            <w:pPr>
              <w:keepNext w:val="0"/>
              <w:keepLines w:val="0"/>
              <w:pageBreakBefore w:val="0"/>
              <w:wordWrap w:val="0"/>
              <w:overflowPunct/>
              <w:topLinePunct w:val="0"/>
              <w:bidi w:val="0"/>
              <w:spacing w:before="133" w:line="220" w:lineRule="auto"/>
              <w:ind w:firstLine="241" w:firstLineChars="1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一、危险性较大的分部分项工程清单</w:t>
            </w:r>
          </w:p>
        </w:tc>
        <w:tc>
          <w:tcPr>
            <w:tcW w:w="1294" w:type="dxa"/>
            <w:vAlign w:val="top"/>
          </w:tcPr>
          <w:p w14:paraId="786821EB">
            <w:pPr>
              <w:keepNext w:val="0"/>
              <w:keepLines w:val="0"/>
              <w:pageBreakBefore w:val="0"/>
              <w:wordWrap w:val="0"/>
              <w:overflowPunct/>
              <w:topLinePunct w:val="0"/>
              <w:bidi w:val="0"/>
              <w:spacing w:before="133" w:line="221" w:lineRule="auto"/>
              <w:ind w:left="20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088710BC">
            <w:pPr>
              <w:keepNext w:val="0"/>
              <w:keepLines w:val="0"/>
              <w:pageBreakBefore w:val="0"/>
              <w:wordWrap w:val="0"/>
              <w:overflowPunct/>
              <w:topLinePunct w:val="0"/>
              <w:bidi w:val="0"/>
              <w:spacing w:before="133" w:line="221" w:lineRule="auto"/>
              <w:ind w:left="205"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5305F236">
            <w:pPr>
              <w:keepNext w:val="0"/>
              <w:keepLines w:val="0"/>
              <w:pageBreakBefore w:val="0"/>
              <w:wordWrap w:val="0"/>
              <w:overflowPunct/>
              <w:topLinePunct w:val="0"/>
              <w:bidi w:val="0"/>
              <w:spacing w:before="133" w:line="222" w:lineRule="auto"/>
              <w:ind w:left="360" w:lef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7851F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12B4333">
            <w:pPr>
              <w:keepNext w:val="0"/>
              <w:keepLines w:val="0"/>
              <w:pageBreakBefore w:val="0"/>
              <w:wordWrap w:val="0"/>
              <w:overflowPunct/>
              <w:topLinePunct w:val="0"/>
              <w:bidi w:val="0"/>
              <w:spacing w:before="128" w:line="221" w:lineRule="auto"/>
              <w:ind w:left="120" w:left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一、基坑支护</w:t>
            </w:r>
          </w:p>
        </w:tc>
        <w:tc>
          <w:tcPr>
            <w:tcW w:w="1294" w:type="dxa"/>
            <w:vAlign w:val="top"/>
          </w:tcPr>
          <w:p w14:paraId="40D210A2">
            <w:pPr>
              <w:keepNext w:val="0"/>
              <w:keepLines w:val="0"/>
              <w:pageBreakBefore w:val="0"/>
              <w:wordWrap w:val="0"/>
              <w:overflowPunct/>
              <w:topLinePunct w:val="0"/>
              <w:bidi w:val="0"/>
              <w:spacing w:before="128" w:line="223" w:lineRule="auto"/>
              <w:jc w:val="center"/>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69" w:name="OLE_LINK39"/>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69"/>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90D24ED">
            <w:pPr>
              <w:keepNext w:val="0"/>
              <w:keepLines w:val="0"/>
              <w:pageBreakBefore w:val="0"/>
              <w:wordWrap w:val="0"/>
              <w:overflowPunct/>
              <w:topLinePunct w:val="0"/>
              <w:bidi w:val="0"/>
              <w:spacing w:before="12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E86A9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7532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59197831">
            <w:pPr>
              <w:keepNext w:val="0"/>
              <w:keepLines w:val="0"/>
              <w:pageBreakBefore w:val="0"/>
              <w:wordWrap w:val="0"/>
              <w:overflowPunct/>
              <w:topLinePunct w:val="0"/>
              <w:bidi w:val="0"/>
              <w:spacing w:before="129" w:line="328" w:lineRule="auto"/>
              <w:ind w:left="135" w:leftChars="0" w:right="68" w:rightChars="0" w:hanging="8" w:firstLineChars="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（一）开挖深度超过 3m（含 3m）的基坑（槽） 的土方开挖、支护、降水工程。</w:t>
            </w:r>
          </w:p>
        </w:tc>
        <w:tc>
          <w:tcPr>
            <w:tcW w:w="1294" w:type="dxa"/>
            <w:vAlign w:val="top"/>
          </w:tcPr>
          <w:p w14:paraId="5B778EA3">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0472A7">
            <w:pPr>
              <w:keepNext w:val="0"/>
              <w:keepLines w:val="0"/>
              <w:pageBreakBefore w:val="0"/>
              <w:wordWrap w:val="0"/>
              <w:overflowPunct/>
              <w:topLinePunct w:val="0"/>
              <w:bidi w:val="0"/>
              <w:spacing w:before="78" w:line="223" w:lineRule="auto"/>
              <w:ind w:left="396"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CF7417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2C041A">
            <w:pPr>
              <w:keepNext w:val="0"/>
              <w:keepLines w:val="0"/>
              <w:pageBreakBefore w:val="0"/>
              <w:wordWrap w:val="0"/>
              <w:overflowPunct/>
              <w:topLinePunct w:val="0"/>
              <w:bidi w:val="0"/>
              <w:spacing w:before="78" w:line="223" w:lineRule="auto"/>
              <w:ind w:left="367" w:leftChars="0"/>
              <w:rPr>
                <w:rFonts w:hint="eastAsia" w:ascii="宋体" w:hAnsi="宋体" w:eastAsia="宋体" w:cs="宋体"/>
                <w:color w:val="000000" w:themeColor="text1"/>
                <w:spacing w:val="0"/>
                <w:w w:val="94"/>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77920F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C180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5D2C12B">
            <w:pPr>
              <w:keepNext w:val="0"/>
              <w:keepLines w:val="0"/>
              <w:pageBreakBefore w:val="0"/>
              <w:wordWrap w:val="0"/>
              <w:overflowPunct/>
              <w:topLinePunct w:val="0"/>
              <w:bidi w:val="0"/>
              <w:spacing w:before="132" w:line="354" w:lineRule="auto"/>
              <w:ind w:left="116" w:right="108"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bookmarkStart w:id="270" w:name="bookmark161"/>
            <w:bookmarkEnd w:id="270"/>
            <w:r>
              <w:rPr>
                <w:rFonts w:hint="eastAsia" w:ascii="宋体" w:hAnsi="宋体" w:eastAsia="宋体" w:cs="宋体"/>
                <w:color w:val="000000" w:themeColor="text1"/>
                <w:spacing w:val="0"/>
                <w:sz w:val="24"/>
                <w:szCs w:val="24"/>
                <w:highlight w:val="none"/>
                <w14:textFill>
                  <w14:solidFill>
                    <w14:schemeClr w14:val="tx1"/>
                  </w14:solidFill>
                </w14:textFill>
              </w:rPr>
              <w:t>（二）开挖深度虽未超过 3m，但地质条件、周 围环境和地下管线复杂，或影响毗邻建、构筑 物安全的基坑（槽）的土方开挖、支护、降水 工程。</w:t>
            </w:r>
          </w:p>
        </w:tc>
        <w:tc>
          <w:tcPr>
            <w:tcW w:w="1294" w:type="dxa"/>
            <w:vAlign w:val="top"/>
          </w:tcPr>
          <w:p w14:paraId="678E3335">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3E3E37B">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7B348AA">
            <w:pPr>
              <w:pStyle w:val="27"/>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9F5F156">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bookmarkStart w:id="271" w:name="OLE_LINK40"/>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bookmarkEnd w:id="271"/>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9FC468F">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73D6FDA">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2551ED">
            <w:pPr>
              <w:pStyle w:val="27"/>
              <w:keepNext w:val="0"/>
              <w:keepLines w:val="0"/>
              <w:pageBreakBefore w:val="0"/>
              <w:wordWrap w:val="0"/>
              <w:overflowPunct/>
              <w:topLinePunct w:val="0"/>
              <w:bidi w:val="0"/>
              <w:spacing w:line="26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36E5E26">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5D403E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4CB8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FF3CCA3">
            <w:pPr>
              <w:keepNext w:val="0"/>
              <w:keepLines w:val="0"/>
              <w:pageBreakBefore w:val="0"/>
              <w:wordWrap w:val="0"/>
              <w:overflowPunct/>
              <w:topLinePunct w:val="0"/>
              <w:bidi w:val="0"/>
              <w:spacing w:before="128"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F83F1A7">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DEA9D7">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E6675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5F75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2B42EF94">
            <w:pPr>
              <w:keepNext w:val="0"/>
              <w:keepLines w:val="0"/>
              <w:pageBreakBefore w:val="0"/>
              <w:wordWrap w:val="0"/>
              <w:overflowPunct/>
              <w:topLinePunct w:val="0"/>
              <w:bidi w:val="0"/>
              <w:spacing w:before="128" w:line="328"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62BE616C">
            <w:pPr>
              <w:pStyle w:val="27"/>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0787877">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A3A5B2">
            <w:pPr>
              <w:pStyle w:val="27"/>
              <w:keepNext w:val="0"/>
              <w:keepLines w:val="0"/>
              <w:pageBreakBefore w:val="0"/>
              <w:wordWrap w:val="0"/>
              <w:overflowPunct/>
              <w:topLinePunct w:val="0"/>
              <w:bidi w:val="0"/>
              <w:spacing w:line="29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AF713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6A6A71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1E75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F44FF8A">
            <w:pPr>
              <w:keepNext w:val="0"/>
              <w:keepLines w:val="0"/>
              <w:pageBreakBefore w:val="0"/>
              <w:wordWrap w:val="0"/>
              <w:overflowPunct/>
              <w:topLinePunct w:val="0"/>
              <w:bidi w:val="0"/>
              <w:spacing w:before="131" w:line="362" w:lineRule="auto"/>
              <w:ind w:left="115" w:right="10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06D081D3">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A16BFFE">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A0F5923">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E04FF9F">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B37184">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A4F6FF6">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C45176">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D487157">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1CE66E">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A7FA7A1">
            <w:pPr>
              <w:pStyle w:val="27"/>
              <w:keepNext w:val="0"/>
              <w:keepLines w:val="0"/>
              <w:pageBreakBefore w:val="0"/>
              <w:wordWrap w:val="0"/>
              <w:overflowPunct/>
              <w:topLinePunct w:val="0"/>
              <w:bidi w:val="0"/>
              <w:spacing w:line="25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2434D3D">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980D9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456E96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EC0E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F43D72D">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 支撑体系。</w:t>
            </w:r>
          </w:p>
        </w:tc>
        <w:tc>
          <w:tcPr>
            <w:tcW w:w="1294" w:type="dxa"/>
            <w:vAlign w:val="top"/>
          </w:tcPr>
          <w:p w14:paraId="511D615D">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5F0F42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33D5358">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B3D0D9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DF9CE6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A456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E79A01C">
            <w:pPr>
              <w:keepNext w:val="0"/>
              <w:keepLines w:val="0"/>
              <w:pageBreakBefore w:val="0"/>
              <w:wordWrap w:val="0"/>
              <w:overflowPunct/>
              <w:topLinePunct w:val="0"/>
              <w:bidi w:val="0"/>
              <w:spacing w:before="130"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6D8EB27">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84F6761">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B0041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C2E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7CDD2F61">
            <w:pPr>
              <w:keepNext w:val="0"/>
              <w:keepLines w:val="0"/>
              <w:pageBreakBefore w:val="0"/>
              <w:wordWrap w:val="0"/>
              <w:overflowPunct/>
              <w:topLinePunct w:val="0"/>
              <w:bidi w:val="0"/>
              <w:spacing w:before="131" w:line="327"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10kN 及以上的起重吊装工程。</w:t>
            </w:r>
          </w:p>
        </w:tc>
        <w:tc>
          <w:tcPr>
            <w:tcW w:w="1294" w:type="dxa"/>
            <w:vAlign w:val="top"/>
          </w:tcPr>
          <w:p w14:paraId="29DAD9F8">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99CF0AA">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37BA4B">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107995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189630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CF0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0DA6BEA">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（二）采用起重机械进行安装的工程。</w:t>
            </w:r>
          </w:p>
        </w:tc>
        <w:tc>
          <w:tcPr>
            <w:tcW w:w="1294" w:type="dxa"/>
            <w:vAlign w:val="top"/>
          </w:tcPr>
          <w:p w14:paraId="05D8A463">
            <w:pPr>
              <w:keepNext w:val="0"/>
              <w:keepLines w:val="0"/>
              <w:pageBreakBefore w:val="0"/>
              <w:wordWrap w:val="0"/>
              <w:overflowPunct/>
              <w:topLinePunct w:val="0"/>
              <w:bidi w:val="0"/>
              <w:spacing w:before="131"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902B328">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63D352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DB15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2F4B30C">
            <w:pPr>
              <w:keepNext w:val="0"/>
              <w:keepLines w:val="0"/>
              <w:pageBreakBefore w:val="0"/>
              <w:wordWrap w:val="0"/>
              <w:overflowPunct/>
              <w:topLinePunct w:val="0"/>
              <w:bidi w:val="0"/>
              <w:spacing w:before="130"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（三）起重机械安装和拆卸工程。</w:t>
            </w:r>
          </w:p>
        </w:tc>
        <w:tc>
          <w:tcPr>
            <w:tcW w:w="1294" w:type="dxa"/>
            <w:vAlign w:val="top"/>
          </w:tcPr>
          <w:p w14:paraId="429C4D99">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E377759">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D68036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9A8E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13B4E193">
            <w:pPr>
              <w:keepNext w:val="0"/>
              <w:keepLines w:val="0"/>
              <w:pageBreakBefore w:val="0"/>
              <w:wordWrap w:val="0"/>
              <w:overflowPunct/>
              <w:topLinePunct w:val="0"/>
              <w:bidi w:val="0"/>
              <w:spacing w:before="131"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4B0E76C9">
            <w:pPr>
              <w:keepNext w:val="0"/>
              <w:keepLines w:val="0"/>
              <w:pageBreakBefore w:val="0"/>
              <w:wordWrap w:val="0"/>
              <w:overflowPunct/>
              <w:topLinePunct w:val="0"/>
              <w:bidi w:val="0"/>
              <w:spacing w:before="130"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E1DB8D">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596A5D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0A15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615C7215">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24m 及以上的落地式钢管脚手 架工程（包括采光井、电梯井脚手架）。</w:t>
            </w:r>
          </w:p>
        </w:tc>
        <w:tc>
          <w:tcPr>
            <w:tcW w:w="1294" w:type="dxa"/>
            <w:vAlign w:val="top"/>
          </w:tcPr>
          <w:p w14:paraId="321FD4AD">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79F5793">
            <w:pPr>
              <w:keepNext w:val="0"/>
              <w:keepLines w:val="0"/>
              <w:pageBreakBefore w:val="0"/>
              <w:wordWrap w:val="0"/>
              <w:overflowPunct/>
              <w:topLinePunct w:val="0"/>
              <w:bidi w:val="0"/>
              <w:spacing w:before="7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CD0218D">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4A98E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D92522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9B470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079A4E32">
            <w:pPr>
              <w:keepNext w:val="0"/>
              <w:keepLines w:val="0"/>
              <w:pageBreakBefore w:val="0"/>
              <w:wordWrap w:val="0"/>
              <w:overflowPunct/>
              <w:topLinePunct w:val="0"/>
              <w:bidi w:val="0"/>
              <w:spacing w:before="131"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（二）附着式升降脚手架工程。</w:t>
            </w:r>
          </w:p>
        </w:tc>
        <w:tc>
          <w:tcPr>
            <w:tcW w:w="1294" w:type="dxa"/>
            <w:vAlign w:val="top"/>
          </w:tcPr>
          <w:p w14:paraId="2834041E">
            <w:pPr>
              <w:keepNext w:val="0"/>
              <w:keepLines w:val="0"/>
              <w:pageBreakBefore w:val="0"/>
              <w:wordWrap w:val="0"/>
              <w:overflowPunct/>
              <w:topLinePunct w:val="0"/>
              <w:bidi w:val="0"/>
              <w:spacing w:before="130"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9E1B740">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CAC225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36F1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74FFC9B">
            <w:pPr>
              <w:keepNext w:val="0"/>
              <w:keepLines w:val="0"/>
              <w:pageBreakBefore w:val="0"/>
              <w:wordWrap w:val="0"/>
              <w:overflowPunct/>
              <w:topLinePunct w:val="0"/>
              <w:bidi w:val="0"/>
              <w:spacing w:before="132"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（三）悬挑式脚手架工程。</w:t>
            </w:r>
          </w:p>
        </w:tc>
        <w:tc>
          <w:tcPr>
            <w:tcW w:w="1294" w:type="dxa"/>
            <w:vAlign w:val="top"/>
          </w:tcPr>
          <w:p w14:paraId="5E7432E5">
            <w:pPr>
              <w:keepNext w:val="0"/>
              <w:keepLines w:val="0"/>
              <w:pageBreakBefore w:val="0"/>
              <w:wordWrap w:val="0"/>
              <w:overflowPunct/>
              <w:topLinePunct w:val="0"/>
              <w:bidi w:val="0"/>
              <w:spacing w:before="131"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7D49CBE">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6E687F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EB78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40A65585">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（四）高处作业吊篮。</w:t>
            </w:r>
          </w:p>
        </w:tc>
        <w:tc>
          <w:tcPr>
            <w:tcW w:w="1294" w:type="dxa"/>
            <w:vAlign w:val="top"/>
          </w:tcPr>
          <w:p w14:paraId="14F1C253">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55D4A21">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71AEFF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FCB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6D85820">
            <w:pPr>
              <w:keepNext w:val="0"/>
              <w:keepLines w:val="0"/>
              <w:pageBreakBefore w:val="0"/>
              <w:wordWrap w:val="0"/>
              <w:overflowPunct/>
              <w:topLinePunct w:val="0"/>
              <w:bidi w:val="0"/>
              <w:spacing w:before="132"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（五）卸料平台、操作平台工程。</w:t>
            </w:r>
          </w:p>
        </w:tc>
        <w:tc>
          <w:tcPr>
            <w:tcW w:w="1294" w:type="dxa"/>
            <w:vAlign w:val="top"/>
          </w:tcPr>
          <w:p w14:paraId="24DA6B96">
            <w:pPr>
              <w:keepNext w:val="0"/>
              <w:keepLines w:val="0"/>
              <w:pageBreakBefore w:val="0"/>
              <w:wordWrap w:val="0"/>
              <w:overflowPunct/>
              <w:topLinePunct w:val="0"/>
              <w:bidi w:val="0"/>
              <w:spacing w:before="132" w:line="223" w:lineRule="auto"/>
              <w:ind w:left="2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972CBB8">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D335B2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9049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0" w:hRule="atLeast"/>
        </w:trPr>
        <w:tc>
          <w:tcPr>
            <w:tcW w:w="4862" w:type="dxa"/>
            <w:vAlign w:val="top"/>
          </w:tcPr>
          <w:p w14:paraId="3C96EB0E">
            <w:pPr>
              <w:keepNext w:val="0"/>
              <w:keepLines w:val="0"/>
              <w:pageBreakBefore w:val="0"/>
              <w:wordWrap w:val="0"/>
              <w:overflowPunct/>
              <w:topLinePunct w:val="0"/>
              <w:bidi w:val="0"/>
              <w:spacing w:before="133"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（六）异型脚手架工程。</w:t>
            </w:r>
          </w:p>
        </w:tc>
        <w:tc>
          <w:tcPr>
            <w:tcW w:w="1294" w:type="dxa"/>
            <w:vAlign w:val="top"/>
          </w:tcPr>
          <w:p w14:paraId="2920519C">
            <w:pPr>
              <w:keepNext w:val="0"/>
              <w:keepLines w:val="0"/>
              <w:pageBreakBefore w:val="0"/>
              <w:wordWrap w:val="0"/>
              <w:overflowPunct/>
              <w:topLinePunct w:val="0"/>
              <w:bidi w:val="0"/>
              <w:spacing w:before="132"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6F0ED25">
            <w:pPr>
              <w:keepNext w:val="0"/>
              <w:keepLines w:val="0"/>
              <w:pageBreakBefore w:val="0"/>
              <w:wordWrap w:val="0"/>
              <w:overflowPunct/>
              <w:topLinePunct w:val="0"/>
              <w:bidi w:val="0"/>
              <w:spacing w:before="132"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16F998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684B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DB2BD6B">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bookmarkStart w:id="272" w:name="bookmark162"/>
            <w:bookmarkEnd w:id="272"/>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1F592663">
            <w:pPr>
              <w:keepNext w:val="0"/>
              <w:keepLines w:val="0"/>
              <w:pageBreakBefore w:val="0"/>
              <w:wordWrap w:val="0"/>
              <w:overflowPunct/>
              <w:topLinePunct w:val="0"/>
              <w:bidi w:val="0"/>
              <w:spacing w:before="131" w:line="223" w:lineRule="auto"/>
              <w:ind w:left="48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97AE92B">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B23CF5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E835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355B08F">
            <w:pPr>
              <w:keepNext w:val="0"/>
              <w:keepLines w:val="0"/>
              <w:pageBreakBefore w:val="0"/>
              <w:wordWrap w:val="0"/>
              <w:overflowPunct/>
              <w:topLinePunct w:val="0"/>
              <w:bidi w:val="0"/>
              <w:spacing w:before="126" w:line="329" w:lineRule="auto"/>
              <w:ind w:left="117" w:right="16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可能影响行人、交通、电力设施、通讯设施或 其它建、构筑物安全的拆除工程。</w:t>
            </w:r>
          </w:p>
        </w:tc>
        <w:tc>
          <w:tcPr>
            <w:tcW w:w="1294" w:type="dxa"/>
            <w:vAlign w:val="top"/>
          </w:tcPr>
          <w:p w14:paraId="0A9FAFF7">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4B3FB96">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D9904E6">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0D520C">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50FEA8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6C11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0BEE0B8">
            <w:pPr>
              <w:keepNext w:val="0"/>
              <w:keepLines w:val="0"/>
              <w:pageBreakBefore w:val="0"/>
              <w:wordWrap w:val="0"/>
              <w:overflowPunct/>
              <w:topLinePunct w:val="0"/>
              <w:bidi w:val="0"/>
              <w:spacing w:before="126" w:line="221" w:lineRule="auto"/>
              <w:ind w:left="35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096738AD">
            <w:pPr>
              <w:keepNext w:val="0"/>
              <w:keepLines w:val="0"/>
              <w:pageBreakBefore w:val="0"/>
              <w:wordWrap w:val="0"/>
              <w:overflowPunct/>
              <w:topLinePunct w:val="0"/>
              <w:bidi w:val="0"/>
              <w:spacing w:before="126"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2FCEA97">
            <w:pPr>
              <w:keepNext w:val="0"/>
              <w:keepLines w:val="0"/>
              <w:pageBreakBefore w:val="0"/>
              <w:wordWrap w:val="0"/>
              <w:overflowPunct/>
              <w:topLinePunct w:val="0"/>
              <w:bidi w:val="0"/>
              <w:spacing w:before="126"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EFB7B1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50D5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D12E32">
            <w:pPr>
              <w:keepNext w:val="0"/>
              <w:keepLines w:val="0"/>
              <w:pageBreakBefore w:val="0"/>
              <w:wordWrap w:val="0"/>
              <w:overflowPunct/>
              <w:topLinePunct w:val="0"/>
              <w:bidi w:val="0"/>
              <w:spacing w:before="128" w:line="328"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41A2393E">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183CE4F">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B4F68CC">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E79BD64">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A19A2E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294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E7E493">
            <w:pPr>
              <w:keepNext w:val="0"/>
              <w:keepLines w:val="0"/>
              <w:pageBreakBefore w:val="0"/>
              <w:wordWrap w:val="0"/>
              <w:overflowPunct/>
              <w:topLinePunct w:val="0"/>
              <w:bidi w:val="0"/>
              <w:spacing w:before="129"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277DB7A9">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5BBDAB4">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914007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8706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47EBC8">
            <w:pPr>
              <w:keepNext w:val="0"/>
              <w:keepLines w:val="0"/>
              <w:pageBreakBefore w:val="0"/>
              <w:wordWrap w:val="0"/>
              <w:overflowPunct/>
              <w:topLinePunct w:val="0"/>
              <w:bidi w:val="0"/>
              <w:spacing w:before="128" w:line="219"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（一）建筑幕墙安装工程。</w:t>
            </w:r>
          </w:p>
        </w:tc>
        <w:tc>
          <w:tcPr>
            <w:tcW w:w="1294" w:type="dxa"/>
            <w:vAlign w:val="top"/>
          </w:tcPr>
          <w:p w14:paraId="594F7240">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3358343">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A6B694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0834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6116876">
            <w:pPr>
              <w:keepNext w:val="0"/>
              <w:keepLines w:val="0"/>
              <w:pageBreakBefore w:val="0"/>
              <w:wordWrap w:val="0"/>
              <w:overflowPunct/>
              <w:topLinePunct w:val="0"/>
              <w:bidi w:val="0"/>
              <w:spacing w:before="128"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（二）钢结构、网架和索膜结构安装工程。</w:t>
            </w:r>
          </w:p>
        </w:tc>
        <w:tc>
          <w:tcPr>
            <w:tcW w:w="1294" w:type="dxa"/>
            <w:vAlign w:val="top"/>
          </w:tcPr>
          <w:p w14:paraId="571DD0F6">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1AA7C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6810C9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E9BE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0279A1D">
            <w:pPr>
              <w:keepNext w:val="0"/>
              <w:keepLines w:val="0"/>
              <w:pageBreakBefore w:val="0"/>
              <w:wordWrap w:val="0"/>
              <w:overflowPunct/>
              <w:topLinePunct w:val="0"/>
              <w:bidi w:val="0"/>
              <w:spacing w:before="128"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（三）人工挖孔桩工程。</w:t>
            </w:r>
          </w:p>
        </w:tc>
        <w:tc>
          <w:tcPr>
            <w:tcW w:w="1294" w:type="dxa"/>
            <w:vAlign w:val="top"/>
          </w:tcPr>
          <w:p w14:paraId="68A4C3FD">
            <w:pPr>
              <w:keepNext w:val="0"/>
              <w:keepLines w:val="0"/>
              <w:pageBreakBefore w:val="0"/>
              <w:wordWrap w:val="0"/>
              <w:overflowPunct/>
              <w:topLinePunct w:val="0"/>
              <w:bidi w:val="0"/>
              <w:spacing w:before="12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D9EDFFA">
            <w:pPr>
              <w:keepNext w:val="0"/>
              <w:keepLines w:val="0"/>
              <w:pageBreakBefore w:val="0"/>
              <w:wordWrap w:val="0"/>
              <w:overflowPunct/>
              <w:topLinePunct w:val="0"/>
              <w:bidi w:val="0"/>
              <w:spacing w:before="12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28B0F1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817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7968F35">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5BBFC845">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1E41E3">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287899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CE42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E2EB51E">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（五）装配式建筑混凝土预制构件安装工程。</w:t>
            </w:r>
          </w:p>
        </w:tc>
        <w:tc>
          <w:tcPr>
            <w:tcW w:w="1294" w:type="dxa"/>
            <w:vAlign w:val="top"/>
          </w:tcPr>
          <w:p w14:paraId="0335193E">
            <w:pPr>
              <w:keepNext w:val="0"/>
              <w:keepLines w:val="0"/>
              <w:pageBreakBefore w:val="0"/>
              <w:wordWrap w:val="0"/>
              <w:overflowPunct/>
              <w:topLinePunct w:val="0"/>
              <w:bidi w:val="0"/>
              <w:spacing w:before="129"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88C26D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AE26D2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0BAC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42918A5">
            <w:pPr>
              <w:keepNext w:val="0"/>
              <w:keepLines w:val="0"/>
              <w:pageBreakBefore w:val="0"/>
              <w:wordWrap w:val="0"/>
              <w:overflowPunct/>
              <w:topLinePunct w:val="0"/>
              <w:bidi w:val="0"/>
              <w:spacing w:before="129" w:line="345"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496F222B">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BE76F41">
            <w:pPr>
              <w:pStyle w:val="27"/>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9AC87B">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82C1EFD">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FBE4FE4">
            <w:pPr>
              <w:pStyle w:val="27"/>
              <w:keepNext w:val="0"/>
              <w:keepLines w:val="0"/>
              <w:pageBreakBefore w:val="0"/>
              <w:wordWrap w:val="0"/>
              <w:overflowPunct/>
              <w:topLinePunct w:val="0"/>
              <w:bidi w:val="0"/>
              <w:spacing w:line="271"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32EE85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9EE8A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13E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264981E">
            <w:pPr>
              <w:keepNext w:val="0"/>
              <w:keepLines w:val="0"/>
              <w:pageBreakBefore w:val="0"/>
              <w:wordWrap w:val="0"/>
              <w:overflowPunct/>
              <w:topLinePunct w:val="0"/>
              <w:bidi w:val="0"/>
              <w:spacing w:before="129" w:line="328" w:lineRule="auto"/>
              <w:ind w:left="115" w:right="108"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二、超过一定规模的危险性较大的分部分项工程清单</w:t>
            </w:r>
          </w:p>
        </w:tc>
        <w:tc>
          <w:tcPr>
            <w:tcW w:w="1294" w:type="dxa"/>
            <w:vAlign w:val="top"/>
          </w:tcPr>
          <w:p w14:paraId="52EDDCE6">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5015D35">
            <w:pPr>
              <w:keepNext w:val="0"/>
              <w:keepLines w:val="0"/>
              <w:pageBreakBefore w:val="0"/>
              <w:wordWrap w:val="0"/>
              <w:overflowPunct/>
              <w:topLinePunct w:val="0"/>
              <w:bidi w:val="0"/>
              <w:spacing w:before="78" w:line="221" w:lineRule="auto"/>
              <w:ind w:left="20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建设单位</w:t>
            </w:r>
          </w:p>
        </w:tc>
        <w:tc>
          <w:tcPr>
            <w:tcW w:w="1294" w:type="dxa"/>
            <w:vAlign w:val="top"/>
          </w:tcPr>
          <w:p w14:paraId="7D2CDEE2">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9D2C904">
            <w:pPr>
              <w:keepNext w:val="0"/>
              <w:keepLines w:val="0"/>
              <w:pageBreakBefore w:val="0"/>
              <w:wordWrap w:val="0"/>
              <w:overflowPunct/>
              <w:topLinePunct w:val="0"/>
              <w:bidi w:val="0"/>
              <w:spacing w:before="78" w:line="221" w:lineRule="auto"/>
              <w:ind w:left="11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投标单位</w:t>
            </w:r>
          </w:p>
        </w:tc>
        <w:tc>
          <w:tcPr>
            <w:tcW w:w="2428" w:type="dxa"/>
            <w:vAlign w:val="top"/>
          </w:tcPr>
          <w:p w14:paraId="0E9BBCA9">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62A97E9">
            <w:pPr>
              <w:keepNext w:val="0"/>
              <w:keepLines w:val="0"/>
              <w:pageBreakBefore w:val="0"/>
              <w:wordWrap w:val="0"/>
              <w:overflowPunct/>
              <w:topLinePunct w:val="0"/>
              <w:bidi w:val="0"/>
              <w:spacing w:before="78" w:line="222" w:lineRule="auto"/>
              <w:ind w:left="3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备注</w:t>
            </w:r>
          </w:p>
        </w:tc>
      </w:tr>
      <w:tr w14:paraId="09383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2FC6A74">
            <w:pPr>
              <w:keepNext w:val="0"/>
              <w:keepLines w:val="0"/>
              <w:pageBreakBefore w:val="0"/>
              <w:wordWrap w:val="0"/>
              <w:overflowPunct/>
              <w:topLinePunct w:val="0"/>
              <w:bidi w:val="0"/>
              <w:spacing w:before="129" w:line="221"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一、深基坑工程</w:t>
            </w:r>
          </w:p>
        </w:tc>
        <w:tc>
          <w:tcPr>
            <w:tcW w:w="1294" w:type="dxa"/>
            <w:vAlign w:val="top"/>
          </w:tcPr>
          <w:p w14:paraId="0FD5C757">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5D0C9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CBB58B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50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045EE0E">
            <w:pPr>
              <w:keepNext w:val="0"/>
              <w:keepLines w:val="0"/>
              <w:pageBreakBefore w:val="0"/>
              <w:wordWrap w:val="0"/>
              <w:overflowPunct/>
              <w:topLinePunct w:val="0"/>
              <w:bidi w:val="0"/>
              <w:spacing w:before="131" w:line="327" w:lineRule="auto"/>
              <w:ind w:left="117" w:right="1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开挖深度超过 5m（含 5m）的基坑（槽）的土方 开挖、支护、降水工程。</w:t>
            </w:r>
          </w:p>
        </w:tc>
        <w:tc>
          <w:tcPr>
            <w:tcW w:w="1294" w:type="dxa"/>
            <w:vAlign w:val="top"/>
          </w:tcPr>
          <w:p w14:paraId="507AE1DC">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F469623">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1BD327">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1AD168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5FCDD85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328A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627481A">
            <w:pPr>
              <w:keepNext w:val="0"/>
              <w:keepLines w:val="0"/>
              <w:pageBreakBefore w:val="0"/>
              <w:wordWrap w:val="0"/>
              <w:overflowPunct/>
              <w:topLinePunct w:val="0"/>
              <w:bidi w:val="0"/>
              <w:spacing w:before="130" w:line="219"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二、模板工程及支撑体系</w:t>
            </w:r>
          </w:p>
        </w:tc>
        <w:tc>
          <w:tcPr>
            <w:tcW w:w="1294" w:type="dxa"/>
            <w:vAlign w:val="top"/>
          </w:tcPr>
          <w:p w14:paraId="4297BDAC">
            <w:pPr>
              <w:keepNext w:val="0"/>
              <w:keepLines w:val="0"/>
              <w:pageBreakBefore w:val="0"/>
              <w:wordWrap w:val="0"/>
              <w:overflowPunct/>
              <w:topLinePunct w:val="0"/>
              <w:bidi w:val="0"/>
              <w:spacing w:before="129"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5FCAEB">
            <w:pPr>
              <w:keepNext w:val="0"/>
              <w:keepLines w:val="0"/>
              <w:pageBreakBefore w:val="0"/>
              <w:wordWrap w:val="0"/>
              <w:overflowPunct/>
              <w:topLinePunct w:val="0"/>
              <w:bidi w:val="0"/>
              <w:spacing w:before="129"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3E9C00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1D0B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300C9C">
            <w:pPr>
              <w:keepNext w:val="0"/>
              <w:keepLines w:val="0"/>
              <w:pageBreakBefore w:val="0"/>
              <w:wordWrap w:val="0"/>
              <w:overflowPunct/>
              <w:topLinePunct w:val="0"/>
              <w:bidi w:val="0"/>
              <w:spacing w:before="130" w:line="327" w:lineRule="auto"/>
              <w:ind w:left="123" w:right="25" w:firstLine="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（一）各类工具式模板工程：包括滑模、爬模、 飞模、隧道模等工程。</w:t>
            </w:r>
          </w:p>
        </w:tc>
        <w:tc>
          <w:tcPr>
            <w:tcW w:w="1294" w:type="dxa"/>
            <w:vAlign w:val="top"/>
          </w:tcPr>
          <w:p w14:paraId="01D661E1">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DDA3CCD">
            <w:pPr>
              <w:keepNext w:val="0"/>
              <w:keepLines w:val="0"/>
              <w:pageBreakBefore w:val="0"/>
              <w:wordWrap w:val="0"/>
              <w:overflowPunct/>
              <w:topLinePunct w:val="0"/>
              <w:bidi w:val="0"/>
              <w:spacing w:before="78" w:line="223" w:lineRule="auto"/>
              <w:ind w:left="30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4A02DEB">
            <w:pPr>
              <w:pStyle w:val="27"/>
              <w:keepNext w:val="0"/>
              <w:keepLines w:val="0"/>
              <w:pageBreakBefore w:val="0"/>
              <w:wordWrap w:val="0"/>
              <w:overflowPunct/>
              <w:topLinePunct w:val="0"/>
              <w:bidi w:val="0"/>
              <w:spacing w:line="29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14A516E">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E381ED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FC89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2E50BC">
            <w:pPr>
              <w:keepNext w:val="0"/>
              <w:keepLines w:val="0"/>
              <w:pageBreakBefore w:val="0"/>
              <w:wordWrap w:val="0"/>
              <w:overflowPunct/>
              <w:topLinePunct w:val="0"/>
              <w:bidi w:val="0"/>
              <w:spacing w:before="132" w:line="353" w:lineRule="auto"/>
              <w:ind w:left="116" w:right="6" w:firstLine="11"/>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（二）混凝土模板支撑工程：搭设高度8m 及以 上，或搭设跨度 18m 及以上，或施工总荷载（设计值）15kN/m2 及以上，或集中线荷载（设计值） 20kN/m 及以上。</w:t>
            </w:r>
          </w:p>
        </w:tc>
        <w:tc>
          <w:tcPr>
            <w:tcW w:w="1294" w:type="dxa"/>
            <w:vAlign w:val="top"/>
          </w:tcPr>
          <w:p w14:paraId="6C626011">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B16BE2">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DC2A742">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401A34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D4918F3">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2A75233">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35FC2C">
            <w:pPr>
              <w:pStyle w:val="27"/>
              <w:keepNext w:val="0"/>
              <w:keepLines w:val="0"/>
              <w:pageBreakBefore w:val="0"/>
              <w:wordWrap w:val="0"/>
              <w:overflowPunct/>
              <w:topLinePunct w:val="0"/>
              <w:bidi w:val="0"/>
              <w:spacing w:line="263"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5FF7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B509C14">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18BD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jc w:val="center"/>
        </w:trPr>
        <w:tc>
          <w:tcPr>
            <w:tcW w:w="4864" w:type="dxa"/>
            <w:gridSpan w:val="2"/>
            <w:vAlign w:val="top"/>
          </w:tcPr>
          <w:p w14:paraId="49E32F9C">
            <w:pPr>
              <w:keepNext w:val="0"/>
              <w:keepLines w:val="0"/>
              <w:pageBreakBefore w:val="0"/>
              <w:wordWrap w:val="0"/>
              <w:overflowPunct/>
              <w:topLinePunct w:val="0"/>
              <w:bidi w:val="0"/>
              <w:spacing w:before="131"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（三）承重支撑体系：用于钢结构安装等满堂</w:t>
            </w:r>
          </w:p>
          <w:p w14:paraId="78F9700A">
            <w:pPr>
              <w:keepNext w:val="0"/>
              <w:keepLines w:val="0"/>
              <w:pageBreakBefore w:val="0"/>
              <w:wordWrap w:val="0"/>
              <w:overflowPunct/>
              <w:topLinePunct w:val="0"/>
              <w:bidi w:val="0"/>
              <w:spacing w:before="131" w:line="220" w:lineRule="auto"/>
              <w:ind w:left="1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支撑体系，承受单点集中荷载 7kN 及以上。</w:t>
            </w:r>
          </w:p>
        </w:tc>
        <w:tc>
          <w:tcPr>
            <w:tcW w:w="1294" w:type="dxa"/>
            <w:vAlign w:val="top"/>
          </w:tcPr>
          <w:p w14:paraId="553E2DF0">
            <w:pPr>
              <w:keepNext w:val="0"/>
              <w:keepLines w:val="0"/>
              <w:pageBreakBefore w:val="0"/>
              <w:wordWrap w:val="0"/>
              <w:overflowPunct/>
              <w:topLinePunct w:val="0"/>
              <w:bidi w:val="0"/>
              <w:spacing w:before="131"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C72B68A">
            <w:pPr>
              <w:keepNext w:val="0"/>
              <w:keepLines w:val="0"/>
              <w:pageBreakBefore w:val="0"/>
              <w:wordWrap w:val="0"/>
              <w:overflowPunct/>
              <w:topLinePunct w:val="0"/>
              <w:bidi w:val="0"/>
              <w:spacing w:before="131"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CEDFE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2615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43B4A7F">
            <w:pPr>
              <w:keepNext w:val="0"/>
              <w:keepLines w:val="0"/>
              <w:pageBreakBefore w:val="0"/>
              <w:wordWrap w:val="0"/>
              <w:overflowPunct/>
              <w:topLinePunct w:val="0"/>
              <w:bidi w:val="0"/>
              <w:spacing w:before="128" w:line="219" w:lineRule="auto"/>
              <w:ind w:left="3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三、起重吊装及起重机械安装拆卸工程</w:t>
            </w:r>
          </w:p>
        </w:tc>
        <w:tc>
          <w:tcPr>
            <w:tcW w:w="1294" w:type="dxa"/>
            <w:vAlign w:val="top"/>
          </w:tcPr>
          <w:p w14:paraId="7C46839F">
            <w:pPr>
              <w:keepNext w:val="0"/>
              <w:keepLines w:val="0"/>
              <w:pageBreakBefore w:val="0"/>
              <w:wordWrap w:val="0"/>
              <w:overflowPunct/>
              <w:topLinePunct w:val="0"/>
              <w:bidi w:val="0"/>
              <w:spacing w:before="127"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1E954BA4">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BEF426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8715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8715B81">
            <w:pPr>
              <w:keepNext w:val="0"/>
              <w:keepLines w:val="0"/>
              <w:pageBreakBefore w:val="0"/>
              <w:wordWrap w:val="0"/>
              <w:overflowPunct/>
              <w:topLinePunct w:val="0"/>
              <w:bidi w:val="0"/>
              <w:spacing w:before="129" w:line="328" w:lineRule="auto"/>
              <w:ind w:left="144" w:right="168" w:hanging="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（一）采用非常规起重设备、方法，且单件起 吊重量在 100kN 及以上的起重吊装工程。</w:t>
            </w:r>
          </w:p>
        </w:tc>
        <w:tc>
          <w:tcPr>
            <w:tcW w:w="1294" w:type="dxa"/>
            <w:vAlign w:val="top"/>
          </w:tcPr>
          <w:p w14:paraId="62176862">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8EFCFE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23FF28E">
            <w:pPr>
              <w:pStyle w:val="27"/>
              <w:keepNext w:val="0"/>
              <w:keepLines w:val="0"/>
              <w:pageBreakBefore w:val="0"/>
              <w:wordWrap w:val="0"/>
              <w:overflowPunct/>
              <w:topLinePunct w:val="0"/>
              <w:bidi w:val="0"/>
              <w:spacing w:line="29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385602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778E792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819C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32EB0C9">
            <w:pPr>
              <w:keepNext w:val="0"/>
              <w:keepLines w:val="0"/>
              <w:pageBreakBefore w:val="0"/>
              <w:wordWrap w:val="0"/>
              <w:overflowPunct/>
              <w:topLinePunct w:val="0"/>
              <w:bidi w:val="0"/>
              <w:spacing w:before="129" w:line="345" w:lineRule="auto"/>
              <w:ind w:left="115" w:right="105" w:firstLine="12"/>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（二）起重量 300kN 及以上，或搭设总高度 200m 及以上，或搭设基础标高在 200m 及以上的起重 机械安装和拆卸工程。</w:t>
            </w:r>
          </w:p>
        </w:tc>
        <w:tc>
          <w:tcPr>
            <w:tcW w:w="1294" w:type="dxa"/>
            <w:vAlign w:val="top"/>
          </w:tcPr>
          <w:p w14:paraId="5762D0E9">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40C634B">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5B83E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9E055E">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92B70A0">
            <w:pPr>
              <w:pStyle w:val="27"/>
              <w:keepNext w:val="0"/>
              <w:keepLines w:val="0"/>
              <w:pageBreakBefore w:val="0"/>
              <w:wordWrap w:val="0"/>
              <w:overflowPunct/>
              <w:topLinePunct w:val="0"/>
              <w:bidi w:val="0"/>
              <w:spacing w:line="27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C60C1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7ACFA6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1C3B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F30D083">
            <w:pPr>
              <w:keepNext w:val="0"/>
              <w:keepLines w:val="0"/>
              <w:pageBreakBefore w:val="0"/>
              <w:wordWrap w:val="0"/>
              <w:overflowPunct/>
              <w:topLinePunct w:val="0"/>
              <w:bidi w:val="0"/>
              <w:spacing w:before="128" w:line="219" w:lineRule="auto"/>
              <w:ind w:left="1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四、脚手架工程</w:t>
            </w:r>
          </w:p>
        </w:tc>
        <w:tc>
          <w:tcPr>
            <w:tcW w:w="1294" w:type="dxa"/>
            <w:vAlign w:val="top"/>
          </w:tcPr>
          <w:p w14:paraId="2881CCAF">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B9B1B91">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0DC304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B14B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8AA96E6">
            <w:pPr>
              <w:keepNext w:val="0"/>
              <w:keepLines w:val="0"/>
              <w:pageBreakBefore w:val="0"/>
              <w:wordWrap w:val="0"/>
              <w:overflowPunct/>
              <w:topLinePunct w:val="0"/>
              <w:bidi w:val="0"/>
              <w:spacing w:before="128" w:line="328"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（一）搭设高度 50m 及以上的落地式钢管脚手 架工程。</w:t>
            </w:r>
          </w:p>
        </w:tc>
        <w:tc>
          <w:tcPr>
            <w:tcW w:w="1294" w:type="dxa"/>
            <w:vAlign w:val="top"/>
          </w:tcPr>
          <w:p w14:paraId="38CA0E74">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F42D08">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486B799">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9F43BD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DCFD44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FA03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DA8149A">
            <w:pPr>
              <w:keepNext w:val="0"/>
              <w:keepLines w:val="0"/>
              <w:pageBreakBefore w:val="0"/>
              <w:wordWrap w:val="0"/>
              <w:overflowPunct/>
              <w:topLinePunct w:val="0"/>
              <w:bidi w:val="0"/>
              <w:spacing w:before="131" w:line="327" w:lineRule="auto"/>
              <w:ind w:left="116" w:right="105" w:firstLine="1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（二）提升高度在 </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450</w:t>
            </w:r>
            <w:r>
              <w:rPr>
                <w:rFonts w:hint="eastAsia" w:ascii="宋体" w:hAnsi="宋体" w:eastAsia="宋体" w:cs="宋体"/>
                <w:color w:val="000000" w:themeColor="text1"/>
                <w:spacing w:val="0"/>
                <w:sz w:val="24"/>
                <w:szCs w:val="24"/>
                <w:highlight w:val="none"/>
                <w14:textFill>
                  <w14:solidFill>
                    <w14:schemeClr w14:val="tx1"/>
                  </w14:solidFill>
                </w14:textFill>
              </w:rPr>
              <w:t>m 及以上的附着式升降脚 手架工程或附着式升降操作平台工程。</w:t>
            </w:r>
          </w:p>
        </w:tc>
        <w:tc>
          <w:tcPr>
            <w:tcW w:w="1294" w:type="dxa"/>
            <w:vAlign w:val="top"/>
          </w:tcPr>
          <w:p w14:paraId="6C44A919">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5C3F30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14626CA">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7E009A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D10965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5BD5D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5B1E5B3D">
            <w:pPr>
              <w:keepNext w:val="0"/>
              <w:keepLines w:val="0"/>
              <w:pageBreakBefore w:val="0"/>
              <w:wordWrap w:val="0"/>
              <w:overflowPunct/>
              <w:topLinePunct w:val="0"/>
              <w:bidi w:val="0"/>
              <w:spacing w:before="129" w:line="328"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（三）分段架体搭设高度 20m 及以上的悬挑式 脚手架工程。</w:t>
            </w:r>
          </w:p>
        </w:tc>
        <w:tc>
          <w:tcPr>
            <w:tcW w:w="1294" w:type="dxa"/>
            <w:vAlign w:val="top"/>
          </w:tcPr>
          <w:p w14:paraId="4AB79A1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700503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ACFD169">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F5EF920">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662CF69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4E8E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0C785A81">
            <w:pPr>
              <w:keepNext w:val="0"/>
              <w:keepLines w:val="0"/>
              <w:pageBreakBefore w:val="0"/>
              <w:wordWrap w:val="0"/>
              <w:overflowPunct/>
              <w:topLinePunct w:val="0"/>
              <w:bidi w:val="0"/>
              <w:spacing w:before="131" w:line="220" w:lineRule="auto"/>
              <w:ind w:left="12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五、拆除工程</w:t>
            </w:r>
          </w:p>
        </w:tc>
        <w:tc>
          <w:tcPr>
            <w:tcW w:w="1294" w:type="dxa"/>
            <w:vAlign w:val="top"/>
          </w:tcPr>
          <w:p w14:paraId="2B410AE1">
            <w:pPr>
              <w:keepNext w:val="0"/>
              <w:keepLines w:val="0"/>
              <w:pageBreakBefore w:val="0"/>
              <w:wordWrap w:val="0"/>
              <w:overflowPunct/>
              <w:topLinePunct w:val="0"/>
              <w:bidi w:val="0"/>
              <w:spacing w:before="158" w:line="223" w:lineRule="auto"/>
              <w:ind w:left="42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7B38F25">
            <w:pPr>
              <w:keepNext w:val="0"/>
              <w:keepLines w:val="0"/>
              <w:pageBreakBefore w:val="0"/>
              <w:wordWrap w:val="0"/>
              <w:overflowPunct/>
              <w:topLinePunct w:val="0"/>
              <w:bidi w:val="0"/>
              <w:spacing w:before="15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8E3645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3198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2D620B92">
            <w:pPr>
              <w:keepNext w:val="0"/>
              <w:keepLines w:val="0"/>
              <w:pageBreakBefore w:val="0"/>
              <w:wordWrap w:val="0"/>
              <w:overflowPunct/>
              <w:topLinePunct w:val="0"/>
              <w:bidi w:val="0"/>
              <w:spacing w:before="132" w:line="353"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（一）码头、桥梁、高架、烟囱、水塔或拆除 中容易引起有毒有害气（液）体或粉尘扩散、 易燃易爆事故发生的特殊建、构筑物的拆除工 程。</w:t>
            </w:r>
          </w:p>
        </w:tc>
        <w:tc>
          <w:tcPr>
            <w:tcW w:w="1294" w:type="dxa"/>
            <w:vAlign w:val="top"/>
          </w:tcPr>
          <w:p w14:paraId="62837129">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E2C6B65">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237685B">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E1C9159">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42F70B0D">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459CE9C">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D26B224">
            <w:pPr>
              <w:pStyle w:val="27"/>
              <w:keepNext w:val="0"/>
              <w:keepLines w:val="0"/>
              <w:pageBreakBefore w:val="0"/>
              <w:wordWrap w:val="0"/>
              <w:overflowPunct/>
              <w:topLinePunct w:val="0"/>
              <w:bidi w:val="0"/>
              <w:spacing w:line="26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ABE716F">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E13D582">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7EF3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250F9E3">
            <w:pPr>
              <w:keepNext w:val="0"/>
              <w:keepLines w:val="0"/>
              <w:pageBreakBefore w:val="0"/>
              <w:wordWrap w:val="0"/>
              <w:overflowPunct/>
              <w:topLinePunct w:val="0"/>
              <w:bidi w:val="0"/>
              <w:spacing w:before="131" w:line="327" w:lineRule="auto"/>
              <w:ind w:left="117" w:right="168" w:firstLine="1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（二）文物保护建筑、优秀历史建筑或历史文 化风貌区影响范围内的拆除工程。</w:t>
            </w:r>
          </w:p>
        </w:tc>
        <w:tc>
          <w:tcPr>
            <w:tcW w:w="1294" w:type="dxa"/>
            <w:vAlign w:val="top"/>
          </w:tcPr>
          <w:p w14:paraId="1D4EC9B1">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3A03CF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2888C22">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B856F29">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322649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AB3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3FB23701">
            <w:pPr>
              <w:keepNext w:val="0"/>
              <w:keepLines w:val="0"/>
              <w:pageBreakBefore w:val="0"/>
              <w:wordWrap w:val="0"/>
              <w:overflowPunct/>
              <w:topLinePunct w:val="0"/>
              <w:bidi w:val="0"/>
              <w:spacing w:before="131" w:line="221" w:lineRule="auto"/>
              <w:ind w:left="11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六、暗挖工程</w:t>
            </w:r>
          </w:p>
        </w:tc>
        <w:tc>
          <w:tcPr>
            <w:tcW w:w="1294" w:type="dxa"/>
            <w:vAlign w:val="top"/>
          </w:tcPr>
          <w:p w14:paraId="3B13018B">
            <w:pPr>
              <w:keepNext w:val="0"/>
              <w:keepLines w:val="0"/>
              <w:pageBreakBefore w:val="0"/>
              <w:wordWrap w:val="0"/>
              <w:overflowPunct/>
              <w:topLinePunct w:val="0"/>
              <w:bidi w:val="0"/>
              <w:spacing w:before="14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1E32A96">
            <w:pPr>
              <w:keepNext w:val="0"/>
              <w:keepLines w:val="0"/>
              <w:pageBreakBefore w:val="0"/>
              <w:wordWrap w:val="0"/>
              <w:overflowPunct/>
              <w:topLinePunct w:val="0"/>
              <w:bidi w:val="0"/>
              <w:spacing w:before="14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BEFE76D">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5277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C421DB8">
            <w:pPr>
              <w:keepNext w:val="0"/>
              <w:keepLines w:val="0"/>
              <w:pageBreakBefore w:val="0"/>
              <w:wordWrap w:val="0"/>
              <w:overflowPunct/>
              <w:topLinePunct w:val="0"/>
              <w:bidi w:val="0"/>
              <w:spacing w:before="131" w:line="327" w:lineRule="auto"/>
              <w:ind w:left="119" w:right="168" w:hanging="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采用矿山法、盾构法、顶管法施工的隧道、洞 室工程。</w:t>
            </w:r>
          </w:p>
        </w:tc>
        <w:tc>
          <w:tcPr>
            <w:tcW w:w="1294" w:type="dxa"/>
            <w:vAlign w:val="top"/>
          </w:tcPr>
          <w:p w14:paraId="2955C1FF">
            <w:pPr>
              <w:pStyle w:val="27"/>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C4C9825">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37FC5FC">
            <w:pPr>
              <w:pStyle w:val="27"/>
              <w:keepNext w:val="0"/>
              <w:keepLines w:val="0"/>
              <w:pageBreakBefore w:val="0"/>
              <w:wordWrap w:val="0"/>
              <w:overflowPunct/>
              <w:topLinePunct w:val="0"/>
              <w:bidi w:val="0"/>
              <w:spacing w:line="29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873351B">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739747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3CBE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F3B8926">
            <w:pPr>
              <w:keepNext w:val="0"/>
              <w:keepLines w:val="0"/>
              <w:pageBreakBefore w:val="0"/>
              <w:wordWrap w:val="0"/>
              <w:overflowPunct/>
              <w:topLinePunct w:val="0"/>
              <w:bidi w:val="0"/>
              <w:spacing w:before="130" w:line="222" w:lineRule="auto"/>
              <w:ind w:left="1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七、其它</w:t>
            </w:r>
          </w:p>
        </w:tc>
        <w:tc>
          <w:tcPr>
            <w:tcW w:w="1294" w:type="dxa"/>
            <w:vAlign w:val="top"/>
          </w:tcPr>
          <w:p w14:paraId="4D77A95B">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185F8E5">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8A326B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6214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FF8FAEC">
            <w:pPr>
              <w:keepNext w:val="0"/>
              <w:keepLines w:val="0"/>
              <w:pageBreakBefore w:val="0"/>
              <w:wordWrap w:val="0"/>
              <w:overflowPunct/>
              <w:topLinePunct w:val="0"/>
              <w:bidi w:val="0"/>
              <w:spacing w:before="130" w:line="327" w:lineRule="auto"/>
              <w:ind w:left="115" w:right="168"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（一）施工高度 50m 及以上的建筑幕墙安装工 程。</w:t>
            </w:r>
          </w:p>
        </w:tc>
        <w:tc>
          <w:tcPr>
            <w:tcW w:w="1294" w:type="dxa"/>
            <w:vAlign w:val="top"/>
          </w:tcPr>
          <w:p w14:paraId="79731486">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B1EF7E">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0F023B34">
            <w:pPr>
              <w:pStyle w:val="27"/>
              <w:keepNext w:val="0"/>
              <w:keepLines w:val="0"/>
              <w:pageBreakBefore w:val="0"/>
              <w:wordWrap w:val="0"/>
              <w:overflowPunct/>
              <w:topLinePunct w:val="0"/>
              <w:bidi w:val="0"/>
              <w:spacing w:line="29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642A23D">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39FC3417">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3255E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65A9370B">
            <w:pPr>
              <w:keepNext w:val="0"/>
              <w:keepLines w:val="0"/>
              <w:pageBreakBefore w:val="0"/>
              <w:wordWrap w:val="0"/>
              <w:overflowPunct/>
              <w:topLinePunct w:val="0"/>
              <w:bidi w:val="0"/>
              <w:spacing w:before="130" w:line="221"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（二）跨度 36m 及以上的钢结构安装工程，或</w:t>
            </w:r>
          </w:p>
        </w:tc>
        <w:tc>
          <w:tcPr>
            <w:tcW w:w="1294" w:type="dxa"/>
            <w:vAlign w:val="top"/>
          </w:tcPr>
          <w:p w14:paraId="0E28B8BF">
            <w:pPr>
              <w:keepNext w:val="0"/>
              <w:keepLines w:val="0"/>
              <w:pageBreakBefore w:val="0"/>
              <w:wordWrap w:val="0"/>
              <w:overflowPunct/>
              <w:topLinePunct w:val="0"/>
              <w:bidi w:val="0"/>
              <w:spacing w:before="130"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65DB057B">
            <w:pPr>
              <w:keepNext w:val="0"/>
              <w:keepLines w:val="0"/>
              <w:pageBreakBefore w:val="0"/>
              <w:wordWrap w:val="0"/>
              <w:overflowPunct/>
              <w:topLinePunct w:val="0"/>
              <w:bidi w:val="0"/>
              <w:spacing w:before="130"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23DB903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48D8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41E2AF4">
            <w:pPr>
              <w:keepNext w:val="0"/>
              <w:keepLines w:val="0"/>
              <w:pageBreakBefore w:val="0"/>
              <w:wordWrap w:val="0"/>
              <w:overflowPunct/>
              <w:topLinePunct w:val="0"/>
              <w:bidi w:val="0"/>
              <w:spacing w:before="131" w:line="221" w:lineRule="auto"/>
              <w:ind w:left="11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跨度 60m 及以上的网架和索膜结构安装工程。</w:t>
            </w:r>
          </w:p>
        </w:tc>
        <w:tc>
          <w:tcPr>
            <w:tcW w:w="1294" w:type="dxa"/>
            <w:vAlign w:val="top"/>
          </w:tcPr>
          <w:p w14:paraId="64B9705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294" w:type="dxa"/>
            <w:vAlign w:val="top"/>
          </w:tcPr>
          <w:p w14:paraId="002E064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2428" w:type="dxa"/>
            <w:vAlign w:val="top"/>
          </w:tcPr>
          <w:p w14:paraId="044C4BA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6EB4F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1B8FBFF">
            <w:pPr>
              <w:keepNext w:val="0"/>
              <w:keepLines w:val="0"/>
              <w:pageBreakBefore w:val="0"/>
              <w:wordWrap w:val="0"/>
              <w:overflowPunct/>
              <w:topLinePunct w:val="0"/>
              <w:bidi w:val="0"/>
              <w:spacing w:before="127" w:line="220" w:lineRule="auto"/>
              <w:jc w:val="right"/>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（三）开挖深度 16m 及以上的人工挖孔桩工程。</w:t>
            </w:r>
          </w:p>
        </w:tc>
        <w:tc>
          <w:tcPr>
            <w:tcW w:w="1294" w:type="dxa"/>
            <w:vAlign w:val="top"/>
          </w:tcPr>
          <w:p w14:paraId="62C02099">
            <w:pPr>
              <w:keepNext w:val="0"/>
              <w:keepLines w:val="0"/>
              <w:pageBreakBefore w:val="0"/>
              <w:wordWrap w:val="0"/>
              <w:overflowPunct/>
              <w:topLinePunct w:val="0"/>
              <w:bidi w:val="0"/>
              <w:spacing w:before="127"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241BE568">
            <w:pPr>
              <w:keepNext w:val="0"/>
              <w:keepLines w:val="0"/>
              <w:pageBreakBefore w:val="0"/>
              <w:wordWrap w:val="0"/>
              <w:overflowPunct/>
              <w:topLinePunct w:val="0"/>
              <w:bidi w:val="0"/>
              <w:spacing w:before="127"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1B3ECDA4">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A9F4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4C8AFDA4">
            <w:pPr>
              <w:keepNext w:val="0"/>
              <w:keepLines w:val="0"/>
              <w:pageBreakBefore w:val="0"/>
              <w:wordWrap w:val="0"/>
              <w:overflowPunct/>
              <w:topLinePunct w:val="0"/>
              <w:bidi w:val="0"/>
              <w:spacing w:before="129" w:line="220" w:lineRule="auto"/>
              <w:ind w:left="12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（四）水下作业工程。</w:t>
            </w:r>
          </w:p>
        </w:tc>
        <w:tc>
          <w:tcPr>
            <w:tcW w:w="1294" w:type="dxa"/>
            <w:vAlign w:val="top"/>
          </w:tcPr>
          <w:p w14:paraId="3067C02F">
            <w:pPr>
              <w:keepNext w:val="0"/>
              <w:keepLines w:val="0"/>
              <w:pageBreakBefore w:val="0"/>
              <w:wordWrap w:val="0"/>
              <w:overflowPunct/>
              <w:topLinePunct w:val="0"/>
              <w:bidi w:val="0"/>
              <w:spacing w:before="163"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52CEF54C">
            <w:pPr>
              <w:keepNext w:val="0"/>
              <w:keepLines w:val="0"/>
              <w:pageBreakBefore w:val="0"/>
              <w:wordWrap w:val="0"/>
              <w:overflowPunct/>
              <w:topLinePunct w:val="0"/>
              <w:bidi w:val="0"/>
              <w:spacing w:before="163"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B56A10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A1F8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1BCC59C5">
            <w:pPr>
              <w:keepNext w:val="0"/>
              <w:keepLines w:val="0"/>
              <w:pageBreakBefore w:val="0"/>
              <w:wordWrap w:val="0"/>
              <w:overflowPunct/>
              <w:topLinePunct w:val="0"/>
              <w:bidi w:val="0"/>
              <w:spacing w:before="130" w:line="327" w:lineRule="auto"/>
              <w:ind w:left="115" w:right="25" w:firstLine="1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（五）重量 1000kN及以上的大型结构整体顶升、 平移、转体等施工工艺。</w:t>
            </w:r>
          </w:p>
        </w:tc>
        <w:tc>
          <w:tcPr>
            <w:tcW w:w="1294" w:type="dxa"/>
            <w:vAlign w:val="top"/>
          </w:tcPr>
          <w:p w14:paraId="3F86B10F">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DAFD05C">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77CFDEAB">
            <w:pPr>
              <w:pStyle w:val="27"/>
              <w:keepNext w:val="0"/>
              <w:keepLines w:val="0"/>
              <w:pageBreakBefore w:val="0"/>
              <w:wordWrap w:val="0"/>
              <w:overflowPunct/>
              <w:topLinePunct w:val="0"/>
              <w:bidi w:val="0"/>
              <w:spacing w:line="29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83652C7">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4FC5E23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6CCF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4864" w:type="dxa"/>
            <w:gridSpan w:val="2"/>
            <w:vAlign w:val="top"/>
          </w:tcPr>
          <w:p w14:paraId="79C5CBEE">
            <w:pPr>
              <w:keepNext w:val="0"/>
              <w:keepLines w:val="0"/>
              <w:pageBreakBefore w:val="0"/>
              <w:wordWrap w:val="0"/>
              <w:overflowPunct/>
              <w:topLinePunct w:val="0"/>
              <w:bidi w:val="0"/>
              <w:spacing w:before="129" w:line="346" w:lineRule="auto"/>
              <w:ind w:left="117" w:right="168" w:firstLine="10"/>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（六）采用新技术、新工艺、新材料、新设备 可能影响工程施工安全，尚无国家、行业及地 方技术标准的分部分项工程。</w:t>
            </w:r>
          </w:p>
        </w:tc>
        <w:tc>
          <w:tcPr>
            <w:tcW w:w="1294" w:type="dxa"/>
            <w:vAlign w:val="top"/>
          </w:tcPr>
          <w:p w14:paraId="7BFE5A71">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6661FE2">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1A5B130">
            <w:pPr>
              <w:keepNext w:val="0"/>
              <w:keepLines w:val="0"/>
              <w:pageBreakBefore w:val="0"/>
              <w:wordWrap w:val="0"/>
              <w:overflowPunct/>
              <w:topLinePunct w:val="0"/>
              <w:bidi w:val="0"/>
              <w:spacing w:before="78" w:line="223" w:lineRule="auto"/>
              <w:ind w:left="3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1294" w:type="dxa"/>
            <w:vAlign w:val="top"/>
          </w:tcPr>
          <w:p w14:paraId="3094A60A">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8F5358C">
            <w:pPr>
              <w:pStyle w:val="27"/>
              <w:keepNext w:val="0"/>
              <w:keepLines w:val="0"/>
              <w:pageBreakBefore w:val="0"/>
              <w:wordWrap w:val="0"/>
              <w:overflowPunct/>
              <w:topLinePunct w:val="0"/>
              <w:bidi w:val="0"/>
              <w:spacing w:line="272"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33F0501">
            <w:pPr>
              <w:keepNext w:val="0"/>
              <w:keepLines w:val="0"/>
              <w:pageBreakBefore w:val="0"/>
              <w:wordWrap w:val="0"/>
              <w:overflowPunct/>
              <w:topLinePunct w:val="0"/>
              <w:bidi w:val="0"/>
              <w:spacing w:before="78" w:line="223" w:lineRule="auto"/>
              <w:ind w:left="36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w w:val="94"/>
                <w:sz w:val="24"/>
                <w:szCs w:val="24"/>
                <w:highlight w:val="none"/>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color w:val="000000" w:themeColor="text1"/>
                <w:spacing w:val="0"/>
                <w:w w:val="94"/>
                <w:sz w:val="24"/>
                <w:szCs w:val="24"/>
                <w:highlight w:val="none"/>
                <w14:textFill>
                  <w14:solidFill>
                    <w14:schemeClr w14:val="tx1"/>
                  </w14:solidFill>
                </w14:textFill>
              </w:rPr>
              <w:t>)</w:t>
            </w:r>
          </w:p>
        </w:tc>
        <w:tc>
          <w:tcPr>
            <w:tcW w:w="2428" w:type="dxa"/>
            <w:vAlign w:val="top"/>
          </w:tcPr>
          <w:p w14:paraId="0B0949F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bl>
    <w:p w14:paraId="6E7F6BBB">
      <w:pPr>
        <w:pStyle w:val="5"/>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548C332F">
      <w:pPr>
        <w:pStyle w:val="5"/>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highlight w:val="none"/>
          <w14:textFill>
            <w14:solidFill>
              <w14:schemeClr w14:val="tx1"/>
            </w14:solidFill>
          </w14:textFill>
        </w:rPr>
      </w:pPr>
    </w:p>
    <w:p w14:paraId="4D9ADF52">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应由建设单位组织勘察、设计等单位在招标文件中“勾选（对应项打“√”标识”危险性较大的分部分项工程）。</w:t>
      </w:r>
    </w:p>
    <w:p w14:paraId="0C4D1AF6">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000000" w:themeColor="text1"/>
          <w:spacing w:val="0"/>
          <w:sz w:val="21"/>
          <w:szCs w:val="21"/>
          <w:highlight w:val="none"/>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2.该《危险性较大的分部分项工程清单及超过一定规模的危险性较大的分部分项工程清单》在办理建设项目施工许可时必须提供，且各地建设行政主管部门可按照《广东省建设工程项目招标中标后监督 检查办法》相关规定开展检查。</w:t>
      </w:r>
    </w:p>
    <w:p w14:paraId="631FDCC1">
      <w:pPr>
        <w:keepNext w:val="0"/>
        <w:keepLines w:val="0"/>
        <w:pageBreakBefore w:val="0"/>
        <w:wordWrap w:val="0"/>
        <w:overflowPunct/>
        <w:topLinePunct w:val="0"/>
        <w:bidi w:val="0"/>
        <w:spacing w:before="28" w:line="360" w:lineRule="auto"/>
        <w:ind w:left="545" w:leftChars="244" w:hanging="33" w:hangingChars="16"/>
        <w:rPr>
          <w:rFonts w:hint="eastAsia" w:ascii="宋体" w:hAnsi="宋体" w:eastAsia="宋体" w:cs="宋体"/>
          <w:color w:val="000000" w:themeColor="text1"/>
          <w:spacing w:val="0"/>
          <w:sz w:val="21"/>
          <w:szCs w:val="21"/>
          <w:highlight w:val="none"/>
          <w:lang w:eastAsia="zh-CN"/>
          <w14:textFill>
            <w14:solidFill>
              <w14:schemeClr w14:val="tx1"/>
            </w14:solidFill>
          </w14:textFill>
        </w:rPr>
      </w:pPr>
      <w:r>
        <w:rPr>
          <w:rFonts w:hint="eastAsia" w:ascii="宋体" w:hAnsi="宋体" w:eastAsia="宋体" w:cs="宋体"/>
          <w:color w:val="000000" w:themeColor="text1"/>
          <w:spacing w:val="0"/>
          <w:sz w:val="21"/>
          <w:szCs w:val="21"/>
          <w:highlight w:val="none"/>
          <w14:textFill>
            <w14:solidFill>
              <w14:schemeClr w14:val="tx1"/>
            </w14:solidFill>
          </w14:textFill>
        </w:rPr>
        <w:t>3.如果需要（如需要通过计算编制专项方案，或者需要专家论证），可中标后提供</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详细版。</w:t>
      </w:r>
    </w:p>
    <w:p w14:paraId="4F0F2A5C">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749D726F">
      <w:pPr>
        <w:keepNext w:val="0"/>
        <w:keepLines w:val="0"/>
        <w:pageBreakBefore w:val="0"/>
        <w:wordWrap w:val="0"/>
        <w:overflowPunct/>
        <w:topLinePunct w:val="0"/>
        <w:bidi w:val="0"/>
        <w:spacing w:before="78" w:line="220" w:lineRule="auto"/>
        <w:jc w:val="both"/>
        <w:outlineLvl w:val="2"/>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bookmarkStart w:id="273" w:name="_Toc9289"/>
      <w:r>
        <w:rPr>
          <w:rFonts w:hint="eastAsia" w:ascii="宋体" w:hAnsi="宋体" w:eastAsia="宋体" w:cs="宋体"/>
          <w:b/>
          <w:bCs/>
          <w:color w:val="000000" w:themeColor="text1"/>
          <w:spacing w:val="0"/>
          <w:sz w:val="24"/>
          <w:szCs w:val="24"/>
          <w:highlight w:val="none"/>
          <w14:textFill>
            <w14:solidFill>
              <w14:schemeClr w14:val="tx1"/>
            </w14:solidFill>
          </w14:textFill>
        </w:rPr>
        <w:t>格式十四</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pacing w:val="0"/>
          <w:position w:val="3"/>
          <w:sz w:val="21"/>
          <w:szCs w:val="21"/>
          <w:highlight w:val="none"/>
          <w14:textFill>
            <w14:solidFill>
              <w14:schemeClr w14:val="tx1"/>
            </w14:solidFill>
          </w14:textFill>
        </w:rPr>
        <w:t>投标保证金信用承诺函</w:t>
      </w:r>
      <w:bookmarkEnd w:id="273"/>
    </w:p>
    <w:p w14:paraId="0C4BB798">
      <w:pPr>
        <w:keepNext w:val="0"/>
        <w:keepLines w:val="0"/>
        <w:pageBreakBefore w:val="0"/>
        <w:wordWrap w:val="0"/>
        <w:overflowPunct/>
        <w:topLinePunct w:val="0"/>
        <w:bidi w:val="0"/>
        <w:spacing w:before="140" w:line="604" w:lineRule="exact"/>
        <w:jc w:val="center"/>
        <w:rPr>
          <w:rFonts w:hint="eastAsia" w:ascii="宋体" w:hAnsi="宋体" w:eastAsia="宋体" w:cs="宋体"/>
          <w:color w:val="000000" w:themeColor="text1"/>
          <w:spacing w:val="0"/>
          <w:sz w:val="28"/>
          <w:szCs w:val="28"/>
          <w:highlight w:val="none"/>
          <w14:textFill>
            <w14:solidFill>
              <w14:schemeClr w14:val="tx1"/>
            </w14:solidFill>
          </w14:textFill>
        </w:rPr>
      </w:pPr>
      <w:r>
        <w:rPr>
          <w:rFonts w:hint="eastAsia" w:ascii="宋体" w:hAnsi="宋体" w:eastAsia="宋体" w:cs="宋体"/>
          <w:b/>
          <w:bCs/>
          <w:color w:val="000000" w:themeColor="text1"/>
          <w:spacing w:val="0"/>
          <w:position w:val="3"/>
          <w:sz w:val="28"/>
          <w:szCs w:val="28"/>
          <w:highlight w:val="none"/>
          <w14:textFill>
            <w14:solidFill>
              <w14:schemeClr w14:val="tx1"/>
            </w14:solidFill>
          </w14:textFill>
        </w:rPr>
        <w:t>投标保证金信用承诺函</w:t>
      </w:r>
    </w:p>
    <w:p w14:paraId="63DA26AC">
      <w:pPr>
        <w:pStyle w:val="5"/>
        <w:keepNext w:val="0"/>
        <w:keepLines w:val="0"/>
        <w:pageBreakBefore w:val="0"/>
        <w:wordWrap w:val="0"/>
        <w:overflowPunct/>
        <w:topLinePunct w:val="0"/>
        <w:bidi w:val="0"/>
        <w:spacing w:line="408" w:lineRule="auto"/>
        <w:rPr>
          <w:rFonts w:hint="eastAsia" w:ascii="宋体" w:hAnsi="宋体" w:eastAsia="宋体" w:cs="宋体"/>
          <w:color w:val="000000" w:themeColor="text1"/>
          <w:spacing w:val="0"/>
          <w:highlight w:val="none"/>
          <w14:textFill>
            <w14:solidFill>
              <w14:schemeClr w14:val="tx1"/>
            </w14:solidFill>
          </w14:textFill>
        </w:rPr>
      </w:pPr>
    </w:p>
    <w:p w14:paraId="2318544C">
      <w:pPr>
        <w:keepNext w:val="0"/>
        <w:keepLines w:val="0"/>
        <w:pageBreakBefore w:val="0"/>
        <w:wordWrap w:val="0"/>
        <w:overflowPunct/>
        <w:topLinePunct w:val="0"/>
        <w:bidi w:val="0"/>
        <w:spacing w:before="101" w:line="257" w:lineRule="auto"/>
        <w:ind w:left="3" w:firstLine="965"/>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一、</w:t>
      </w:r>
      <w:r>
        <w:rPr>
          <w:rFonts w:hint="eastAsia" w:ascii="宋体" w:hAnsi="宋体" w:eastAsia="宋体" w:cs="宋体"/>
          <w:color w:val="000000" w:themeColor="text1"/>
          <w:spacing w:val="0"/>
          <w:sz w:val="24"/>
          <w:szCs w:val="24"/>
          <w:highlight w:val="none"/>
          <w14:textFill>
            <w14:solidFill>
              <w14:schemeClr w14:val="tx1"/>
            </w14:solidFill>
          </w14:textFill>
        </w:rPr>
        <w:t>我单位参加</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（工程项目名称）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的投标活动，现承诺：将严格按照法律法规规定参与交易活动，按照招标文件要求依法履行投标人义务；我方若出现违反《中华人民共和国招标投标法》、《中华人民共和国招标投标法实施条例》、《电子招标投标办法》等有关法律法规的行为，将于投标有效期内全额付清招标文件规定的投标保证金 </w:t>
      </w:r>
      <w:r>
        <w:rPr>
          <w:rFonts w:hint="eastAsia" w:ascii="宋体" w:hAnsi="宋体" w:eastAsia="宋体" w:cs="宋体"/>
          <w:color w:val="000000" w:themeColor="text1"/>
          <w:spacing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元。</w:t>
      </w:r>
    </w:p>
    <w:p w14:paraId="2B9D0EA5">
      <w:pPr>
        <w:keepNext w:val="0"/>
        <w:keepLines w:val="0"/>
        <w:pageBreakBefore w:val="0"/>
        <w:wordWrap w:val="0"/>
        <w:overflowPunct/>
        <w:topLinePunct w:val="0"/>
        <w:bidi w:val="0"/>
        <w:spacing w:before="48" w:line="252" w:lineRule="auto"/>
        <w:ind w:left="1" w:firstLine="647"/>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二、至投标文件提交当天，本公司无严重不良信用记录或存在曾作出虚假承诺的情形，且不属于韶关市建筑市场信用管理平台公布的信用等级为 B 级、C 级、D 级的企业。</w:t>
      </w:r>
    </w:p>
    <w:p w14:paraId="1EFDE8F2">
      <w:pPr>
        <w:keepNext w:val="0"/>
        <w:keepLines w:val="0"/>
        <w:pageBreakBefore w:val="0"/>
        <w:wordWrap w:val="0"/>
        <w:overflowPunct/>
        <w:topLinePunct w:val="0"/>
        <w:bidi w:val="0"/>
        <w:spacing w:before="52" w:line="247" w:lineRule="auto"/>
        <w:ind w:left="6" w:right="2" w:firstLine="638"/>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本企业对以上承诺和声明负责。如有虚假，愿接受行政主管部门作出的处罚，并承担以下后果：</w:t>
      </w:r>
    </w:p>
    <w:p w14:paraId="28F04F87">
      <w:pPr>
        <w:keepNext w:val="0"/>
        <w:keepLines w:val="0"/>
        <w:pageBreakBefore w:val="0"/>
        <w:wordWrap w:val="0"/>
        <w:overflowPunct/>
        <w:topLinePunct w:val="0"/>
        <w:bidi w:val="0"/>
        <w:spacing w:before="48"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（一）取消本单位在本项目中的投标资格或中标资格；</w:t>
      </w:r>
    </w:p>
    <w:p w14:paraId="64420808">
      <w:pPr>
        <w:keepNext w:val="0"/>
        <w:keepLines w:val="0"/>
        <w:pageBreakBefore w:val="0"/>
        <w:wordWrap w:val="0"/>
        <w:overflowPunct/>
        <w:topLinePunct w:val="0"/>
        <w:bidi w:val="0"/>
        <w:spacing w:before="64"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（二）将本单位不良行为纳入信用信息管理系统；</w:t>
      </w:r>
    </w:p>
    <w:p w14:paraId="30729E54">
      <w:pPr>
        <w:keepNext w:val="0"/>
        <w:keepLines w:val="0"/>
        <w:pageBreakBefore w:val="0"/>
        <w:wordWrap w:val="0"/>
        <w:overflowPunct/>
        <w:topLinePunct w:val="0"/>
        <w:bidi w:val="0"/>
        <w:spacing w:before="60" w:line="244" w:lineRule="auto"/>
        <w:ind w:left="41" w:right="2" w:firstLine="6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（三）主动在产生不良行为所在的各县（市、区）行政区域内不参加房建市政工程项目的投标活动一年；</w:t>
      </w:r>
    </w:p>
    <w:p w14:paraId="0761697F">
      <w:pPr>
        <w:keepNext w:val="0"/>
        <w:keepLines w:val="0"/>
        <w:pageBreakBefore w:val="0"/>
        <w:wordWrap w:val="0"/>
        <w:overflowPunct/>
        <w:topLinePunct w:val="0"/>
        <w:bidi w:val="0"/>
        <w:spacing w:before="63" w:line="225" w:lineRule="auto"/>
        <w:ind w:left="65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（四）应付的赔偿责任和相应法律责任。</w:t>
      </w:r>
    </w:p>
    <w:p w14:paraId="71665105">
      <w:pPr>
        <w:pStyle w:val="5"/>
        <w:keepNext w:val="0"/>
        <w:keepLines w:val="0"/>
        <w:pageBreakBefore w:val="0"/>
        <w:wordWrap w:val="0"/>
        <w:overflowPunct/>
        <w:topLinePunct w:val="0"/>
        <w:bidi w:val="0"/>
        <w:spacing w:line="32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01930B0">
      <w:pPr>
        <w:keepNext w:val="0"/>
        <w:keepLines w:val="0"/>
        <w:pageBreakBefore w:val="0"/>
        <w:wordWrap w:val="0"/>
        <w:overflowPunct/>
        <w:topLinePunct w:val="0"/>
        <w:bidi w:val="0"/>
        <w:spacing w:before="102" w:line="225" w:lineRule="auto"/>
        <w:ind w:left="84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单位名称（公章）：</w:t>
      </w:r>
    </w:p>
    <w:p w14:paraId="2C853675">
      <w:pPr>
        <w:pStyle w:val="5"/>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304A271">
      <w:pPr>
        <w:keepNext w:val="0"/>
        <w:keepLines w:val="0"/>
        <w:pageBreakBefore w:val="0"/>
        <w:wordWrap w:val="0"/>
        <w:overflowPunct/>
        <w:topLinePunct w:val="0"/>
        <w:bidi w:val="0"/>
        <w:spacing w:before="100" w:line="225" w:lineRule="auto"/>
        <w:ind w:left="85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统一社会信用代码：</w:t>
      </w:r>
    </w:p>
    <w:p w14:paraId="1892BA66">
      <w:pPr>
        <w:pStyle w:val="5"/>
        <w:keepNext w:val="0"/>
        <w:keepLines w:val="0"/>
        <w:pageBreakBefore w:val="0"/>
        <w:wordWrap w:val="0"/>
        <w:overflowPunct/>
        <w:topLinePunct w:val="0"/>
        <w:bidi w:val="0"/>
        <w:spacing w:line="4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5DBB6F71">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法定代表人（签字）：</w:t>
      </w:r>
    </w:p>
    <w:p w14:paraId="2D5FF0AE">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 xml:space="preserve"> 年   月 </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日</w:t>
      </w:r>
    </w:p>
    <w:p w14:paraId="0CF3EB86">
      <w:pPr>
        <w:pStyle w:val="13"/>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p w14:paraId="352EA194">
      <w:pPr>
        <w:pStyle w:val="13"/>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lang w:eastAsia="zh-CN"/>
          <w14:textFill>
            <w14:solidFill>
              <w14:schemeClr w14:val="tx1"/>
            </w14:solidFill>
          </w14:textFill>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367075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4" w:name="_Toc22197"/>
      <w:r>
        <w:rPr>
          <w:rFonts w:hint="eastAsia" w:ascii="宋体" w:hAnsi="宋体" w:eastAsia="宋体" w:cs="宋体"/>
          <w:b/>
          <w:bCs/>
          <w:color w:val="000000" w:themeColor="text1"/>
          <w:spacing w:val="0"/>
          <w:sz w:val="24"/>
          <w:szCs w:val="24"/>
          <w:highlight w:val="none"/>
          <w14:textFill>
            <w14:solidFill>
              <w14:schemeClr w14:val="tx1"/>
            </w14:solidFill>
          </w14:textFill>
        </w:rPr>
        <w:t>格式十</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五</w:t>
      </w:r>
      <w:r>
        <w:rPr>
          <w:rFonts w:hint="eastAsia" w:ascii="宋体" w:hAnsi="宋体" w:eastAsia="宋体" w:cs="宋体"/>
          <w:b/>
          <w:bCs/>
          <w:color w:val="000000" w:themeColor="text1"/>
          <w:spacing w:val="0"/>
          <w:sz w:val="24"/>
          <w:szCs w:val="24"/>
          <w:highlight w:val="none"/>
          <w14:textFill>
            <w14:solidFill>
              <w14:schemeClr w14:val="tx1"/>
            </w14:solidFill>
          </w14:textFill>
        </w:rPr>
        <w:t xml:space="preserve">  原件一览表</w:t>
      </w:r>
      <w:bookmarkEnd w:id="274"/>
    </w:p>
    <w:tbl>
      <w:tblPr>
        <w:tblStyle w:val="14"/>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5F244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B40EF1C">
            <w:pPr>
              <w:keepNext w:val="0"/>
              <w:keepLines w:val="0"/>
              <w:pageBreakBefore w:val="0"/>
              <w:wordWrap w:val="0"/>
              <w:overflowPunct/>
              <w:topLinePunct w:val="0"/>
              <w:bidi w:val="0"/>
              <w:spacing w:before="132" w:line="220" w:lineRule="auto"/>
              <w:ind w:left="39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t>原件一览表</w:t>
            </w:r>
          </w:p>
        </w:tc>
      </w:tr>
      <w:tr w14:paraId="6C17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03FBA86E">
            <w:pPr>
              <w:keepNext w:val="0"/>
              <w:keepLines w:val="0"/>
              <w:pageBreakBefore w:val="0"/>
              <w:wordWrap w:val="0"/>
              <w:overflowPunct/>
              <w:topLinePunct w:val="0"/>
              <w:bidi w:val="0"/>
              <w:spacing w:before="62" w:line="230" w:lineRule="auto"/>
              <w:jc w:val="center"/>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工程名称</w:t>
            </w:r>
          </w:p>
        </w:tc>
        <w:tc>
          <w:tcPr>
            <w:tcW w:w="6816" w:type="dxa"/>
            <w:gridSpan w:val="6"/>
            <w:vAlign w:val="top"/>
          </w:tcPr>
          <w:p w14:paraId="5F792F2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87BE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254D3CCA">
            <w:pPr>
              <w:keepNext w:val="0"/>
              <w:keepLines w:val="0"/>
              <w:pageBreakBefore w:val="0"/>
              <w:wordWrap w:val="0"/>
              <w:overflowPunct/>
              <w:topLinePunct w:val="0"/>
              <w:bidi w:val="0"/>
              <w:spacing w:before="150" w:line="230" w:lineRule="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投标人名称(请务必填写单位全称)</w:t>
            </w:r>
          </w:p>
        </w:tc>
        <w:tc>
          <w:tcPr>
            <w:tcW w:w="6816" w:type="dxa"/>
            <w:gridSpan w:val="6"/>
            <w:vAlign w:val="top"/>
          </w:tcPr>
          <w:p w14:paraId="0F353D0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2EC7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6683BB0E">
            <w:pPr>
              <w:keepNext w:val="0"/>
              <w:keepLines w:val="0"/>
              <w:pageBreakBefore w:val="0"/>
              <w:wordWrap w:val="0"/>
              <w:overflowPunct/>
              <w:topLinePunct w:val="0"/>
              <w:bidi w:val="0"/>
              <w:spacing w:before="151"/>
              <w:ind w:right="14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投标人法定代表人或其委托代理人签名</w:t>
            </w:r>
          </w:p>
        </w:tc>
        <w:tc>
          <w:tcPr>
            <w:tcW w:w="2689" w:type="dxa"/>
            <w:gridSpan w:val="2"/>
            <w:vAlign w:val="top"/>
          </w:tcPr>
          <w:p w14:paraId="7969720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499" w:type="dxa"/>
            <w:gridSpan w:val="2"/>
            <w:vAlign w:val="top"/>
          </w:tcPr>
          <w:p w14:paraId="58C1E63A">
            <w:pPr>
              <w:keepNext w:val="0"/>
              <w:keepLines w:val="0"/>
              <w:pageBreakBefore w:val="0"/>
              <w:wordWrap w:val="0"/>
              <w:overflowPunct/>
              <w:topLinePunct w:val="0"/>
              <w:bidi w:val="0"/>
              <w:spacing w:before="151" w:line="312" w:lineRule="auto"/>
              <w:ind w:right="17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手机号码</w:t>
            </w:r>
          </w:p>
        </w:tc>
        <w:tc>
          <w:tcPr>
            <w:tcW w:w="2628" w:type="dxa"/>
            <w:gridSpan w:val="2"/>
            <w:vAlign w:val="top"/>
          </w:tcPr>
          <w:p w14:paraId="460A230E">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1064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5B16BEA7">
            <w:pPr>
              <w:keepNext w:val="0"/>
              <w:keepLines w:val="0"/>
              <w:pageBreakBefore w:val="0"/>
              <w:wordWrap w:val="0"/>
              <w:overflowPunct/>
              <w:topLinePunct w:val="0"/>
              <w:bidi w:val="0"/>
              <w:spacing w:before="62" w:line="228" w:lineRule="auto"/>
              <w:ind w:left="3361"/>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递交的证明材料原件如下：</w:t>
            </w:r>
          </w:p>
        </w:tc>
      </w:tr>
      <w:tr w14:paraId="6562F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47F8E8A8">
            <w:pPr>
              <w:pStyle w:val="27"/>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022230E">
            <w:pPr>
              <w:keepNext w:val="0"/>
              <w:keepLines w:val="0"/>
              <w:pageBreakBefore w:val="0"/>
              <w:wordWrap w:val="0"/>
              <w:overflowPunct/>
              <w:topLinePunct w:val="0"/>
              <w:bidi w:val="0"/>
              <w:spacing w:before="62" w:line="230" w:lineRule="auto"/>
              <w:ind w:left="15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序号</w:t>
            </w:r>
          </w:p>
        </w:tc>
        <w:tc>
          <w:tcPr>
            <w:tcW w:w="5304" w:type="dxa"/>
            <w:gridSpan w:val="4"/>
            <w:vAlign w:val="top"/>
          </w:tcPr>
          <w:p w14:paraId="35D769FC">
            <w:pPr>
              <w:pStyle w:val="27"/>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EEA02B2">
            <w:pPr>
              <w:keepNext w:val="0"/>
              <w:keepLines w:val="0"/>
              <w:pageBreakBefore w:val="0"/>
              <w:wordWrap w:val="0"/>
              <w:overflowPunct/>
              <w:topLinePunct w:val="0"/>
              <w:bidi w:val="0"/>
              <w:spacing w:before="61" w:line="228" w:lineRule="auto"/>
              <w:ind w:left="176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证明材料原件名称</w:t>
            </w:r>
          </w:p>
        </w:tc>
        <w:tc>
          <w:tcPr>
            <w:tcW w:w="1771" w:type="dxa"/>
            <w:gridSpan w:val="2"/>
            <w:vAlign w:val="top"/>
          </w:tcPr>
          <w:p w14:paraId="66A03B25">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92559B5">
            <w:pPr>
              <w:keepNext w:val="0"/>
              <w:keepLines w:val="0"/>
              <w:pageBreakBefore w:val="0"/>
              <w:wordWrap w:val="0"/>
              <w:overflowPunct/>
              <w:topLinePunct w:val="0"/>
              <w:bidi w:val="0"/>
              <w:spacing w:before="62" w:line="230" w:lineRule="auto"/>
              <w:ind w:left="66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单位</w:t>
            </w:r>
          </w:p>
        </w:tc>
        <w:tc>
          <w:tcPr>
            <w:tcW w:w="1637" w:type="dxa"/>
            <w:vAlign w:val="top"/>
          </w:tcPr>
          <w:p w14:paraId="3BEEA542">
            <w:pPr>
              <w:pStyle w:val="27"/>
              <w:keepNext w:val="0"/>
              <w:keepLines w:val="0"/>
              <w:pageBreakBefore w:val="0"/>
              <w:wordWrap w:val="0"/>
              <w:overflowPunct/>
              <w:topLinePunct w:val="0"/>
              <w:bidi w:val="0"/>
              <w:spacing w:line="25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CE3B1D0">
            <w:pPr>
              <w:keepNext w:val="0"/>
              <w:keepLines w:val="0"/>
              <w:pageBreakBefore w:val="0"/>
              <w:wordWrap w:val="0"/>
              <w:overflowPunct/>
              <w:topLinePunct w:val="0"/>
              <w:bidi w:val="0"/>
              <w:spacing w:before="62" w:line="229" w:lineRule="auto"/>
              <w:ind w:left="59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数量</w:t>
            </w:r>
          </w:p>
        </w:tc>
      </w:tr>
      <w:tr w14:paraId="4F82D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BE58E00">
            <w:pPr>
              <w:keepNext w:val="0"/>
              <w:keepLines w:val="0"/>
              <w:pageBreakBefore w:val="0"/>
              <w:wordWrap w:val="0"/>
              <w:overflowPunct/>
              <w:topLinePunct w:val="0"/>
              <w:bidi w:val="0"/>
              <w:spacing w:before="287" w:line="184"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1</w:t>
            </w:r>
          </w:p>
        </w:tc>
        <w:tc>
          <w:tcPr>
            <w:tcW w:w="5304" w:type="dxa"/>
            <w:gridSpan w:val="4"/>
            <w:vAlign w:val="top"/>
          </w:tcPr>
          <w:p w14:paraId="48BEE8B0">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69FF32C9">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23FE965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2DB2F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39F9AE2">
            <w:pPr>
              <w:keepNext w:val="0"/>
              <w:keepLines w:val="0"/>
              <w:pageBreakBefore w:val="0"/>
              <w:wordWrap w:val="0"/>
              <w:overflowPunct/>
              <w:topLinePunct w:val="0"/>
              <w:bidi w:val="0"/>
              <w:spacing w:before="288" w:line="183" w:lineRule="auto"/>
              <w:ind w:left="302"/>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2</w:t>
            </w:r>
          </w:p>
        </w:tc>
        <w:tc>
          <w:tcPr>
            <w:tcW w:w="5304" w:type="dxa"/>
            <w:gridSpan w:val="4"/>
            <w:vAlign w:val="top"/>
          </w:tcPr>
          <w:p w14:paraId="4F70EA6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2C3C76C">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969C218">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73152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4F34003A">
            <w:pPr>
              <w:keepNext w:val="0"/>
              <w:keepLines w:val="0"/>
              <w:pageBreakBefore w:val="0"/>
              <w:wordWrap w:val="0"/>
              <w:overflowPunct/>
              <w:topLinePunct w:val="0"/>
              <w:bidi w:val="0"/>
              <w:spacing w:before="287" w:line="183" w:lineRule="auto"/>
              <w:ind w:left="304"/>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3</w:t>
            </w:r>
          </w:p>
        </w:tc>
        <w:tc>
          <w:tcPr>
            <w:tcW w:w="5304" w:type="dxa"/>
            <w:gridSpan w:val="4"/>
            <w:vAlign w:val="top"/>
          </w:tcPr>
          <w:p w14:paraId="32F8469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7AD8029B">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6E7CE753">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00948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36DFC70">
            <w:pPr>
              <w:pStyle w:val="27"/>
              <w:keepNext w:val="0"/>
              <w:keepLines w:val="0"/>
              <w:pageBreakBefore w:val="0"/>
              <w:wordWrap w:val="0"/>
              <w:overflowPunct/>
              <w:topLinePunct w:val="0"/>
              <w:bidi w:val="0"/>
              <w:spacing w:line="34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EBABEED">
            <w:pPr>
              <w:keepNext w:val="0"/>
              <w:keepLines w:val="0"/>
              <w:pageBreakBefore w:val="0"/>
              <w:wordWrap w:val="0"/>
              <w:overflowPunct/>
              <w:topLinePunct w:val="0"/>
              <w:bidi w:val="0"/>
              <w:spacing w:before="78" w:line="99" w:lineRule="exact"/>
              <w:ind w:left="186"/>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position w:val="1"/>
                <w:sz w:val="24"/>
                <w:szCs w:val="24"/>
                <w:highlight w:val="none"/>
                <w14:textFill>
                  <w14:solidFill>
                    <w14:schemeClr w14:val="tx1"/>
                  </w14:solidFill>
                </w14:textFill>
              </w:rPr>
              <w:t>...</w:t>
            </w:r>
          </w:p>
        </w:tc>
        <w:tc>
          <w:tcPr>
            <w:tcW w:w="5304" w:type="dxa"/>
            <w:gridSpan w:val="4"/>
            <w:vAlign w:val="top"/>
          </w:tcPr>
          <w:p w14:paraId="78AEE5FA">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771" w:type="dxa"/>
            <w:gridSpan w:val="2"/>
            <w:vAlign w:val="top"/>
          </w:tcPr>
          <w:p w14:paraId="56A6BE9F">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37" w:type="dxa"/>
            <w:vAlign w:val="top"/>
          </w:tcPr>
          <w:p w14:paraId="15AD4B06">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r>
      <w:tr w14:paraId="44067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5E70F2C3">
            <w:pPr>
              <w:pStyle w:val="27"/>
              <w:keepNext w:val="0"/>
              <w:keepLines w:val="0"/>
              <w:pageBreakBefore w:val="0"/>
              <w:wordWrap w:val="0"/>
              <w:overflowPunct/>
              <w:topLinePunct w:val="0"/>
              <w:bidi w:val="0"/>
              <w:spacing w:line="274"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12A84F17">
            <w:pPr>
              <w:pStyle w:val="27"/>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CB2179">
            <w:pPr>
              <w:pStyle w:val="27"/>
              <w:keepNext w:val="0"/>
              <w:keepLines w:val="0"/>
              <w:pageBreakBefore w:val="0"/>
              <w:wordWrap w:val="0"/>
              <w:overflowPunct/>
              <w:topLinePunct w:val="0"/>
              <w:bidi w:val="0"/>
              <w:spacing w:line="27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0A613965">
            <w:pPr>
              <w:keepNext w:val="0"/>
              <w:keepLines w:val="0"/>
              <w:pageBreakBefore w:val="0"/>
              <w:wordWrap w:val="0"/>
              <w:overflowPunct/>
              <w:topLinePunct w:val="0"/>
              <w:bidi w:val="0"/>
              <w:spacing w:before="62" w:line="233" w:lineRule="auto"/>
              <w:ind w:left="2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注意：</w:t>
            </w:r>
          </w:p>
        </w:tc>
        <w:tc>
          <w:tcPr>
            <w:tcW w:w="8712" w:type="dxa"/>
            <w:gridSpan w:val="7"/>
            <w:vAlign w:val="top"/>
          </w:tcPr>
          <w:p w14:paraId="04434907">
            <w:pPr>
              <w:keepNext w:val="0"/>
              <w:keepLines w:val="0"/>
              <w:pageBreakBefore w:val="0"/>
              <w:wordWrap w:val="0"/>
              <w:overflowPunct/>
              <w:topLinePunct w:val="0"/>
              <w:bidi w:val="0"/>
              <w:spacing w:before="148"/>
              <w:ind w:left="111" w:right="107" w:firstLine="483"/>
              <w:jc w:val="both"/>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1CF2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761E9651">
            <w:pPr>
              <w:pStyle w:val="27"/>
              <w:keepNext w:val="0"/>
              <w:keepLines w:val="0"/>
              <w:pageBreakBefore w:val="0"/>
              <w:wordWrap w:val="0"/>
              <w:overflowPunct/>
              <w:topLinePunct w:val="0"/>
              <w:bidi w:val="0"/>
              <w:spacing w:line="240"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2A419AAE">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接收原件经办人</w:t>
            </w:r>
          </w:p>
          <w:p w14:paraId="1690E6DB">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(招标代理)：</w:t>
            </w:r>
          </w:p>
        </w:tc>
        <w:tc>
          <w:tcPr>
            <w:tcW w:w="1725" w:type="dxa"/>
            <w:vAlign w:val="top"/>
          </w:tcPr>
          <w:p w14:paraId="275A8985">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1474D634">
            <w:pPr>
              <w:pStyle w:val="27"/>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DC3DCF2">
            <w:pPr>
              <w:pStyle w:val="27"/>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674EC6F">
            <w:pPr>
              <w:keepNext w:val="0"/>
              <w:keepLines w:val="0"/>
              <w:pageBreakBefore w:val="0"/>
              <w:wordWrap w:val="0"/>
              <w:overflowPunct/>
              <w:topLinePunct w:val="0"/>
              <w:bidi w:val="0"/>
              <w:spacing w:before="62" w:line="229" w:lineRule="auto"/>
              <w:ind w:left="315"/>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接收时间：</w:t>
            </w:r>
          </w:p>
        </w:tc>
        <w:tc>
          <w:tcPr>
            <w:tcW w:w="3408" w:type="dxa"/>
            <w:gridSpan w:val="3"/>
            <w:vAlign w:val="top"/>
          </w:tcPr>
          <w:p w14:paraId="14CF6FE5">
            <w:pPr>
              <w:pStyle w:val="27"/>
              <w:keepNext w:val="0"/>
              <w:keepLines w:val="0"/>
              <w:pageBreakBefore w:val="0"/>
              <w:wordWrap w:val="0"/>
              <w:overflowPunct/>
              <w:topLinePunct w:val="0"/>
              <w:bidi w:val="0"/>
              <w:spacing w:line="288"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4D2D58A7">
            <w:pPr>
              <w:pStyle w:val="27"/>
              <w:keepNext w:val="0"/>
              <w:keepLines w:val="0"/>
              <w:pageBreakBefore w:val="0"/>
              <w:wordWrap w:val="0"/>
              <w:overflowPunct/>
              <w:topLinePunct w:val="0"/>
              <w:bidi w:val="0"/>
              <w:spacing w:line="289"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705600D0">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r w14:paraId="25E6C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2EB55666">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退还原件接收人</w:t>
            </w:r>
          </w:p>
          <w:p w14:paraId="1CDD5251">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(投标人)：</w:t>
            </w:r>
          </w:p>
        </w:tc>
        <w:tc>
          <w:tcPr>
            <w:tcW w:w="1725" w:type="dxa"/>
            <w:vAlign w:val="top"/>
          </w:tcPr>
          <w:p w14:paraId="66FA3EB1">
            <w:pPr>
              <w:pStyle w:val="27"/>
              <w:keepNext w:val="0"/>
              <w:keepLines w:val="0"/>
              <w:pageBreakBefore w:val="0"/>
              <w:wordWrap w:val="0"/>
              <w:overflowPunct/>
              <w:topLinePunct w:val="0"/>
              <w:bidi w:val="0"/>
              <w:rPr>
                <w:rFonts w:hint="eastAsia" w:ascii="宋体" w:hAnsi="宋体" w:eastAsia="宋体" w:cs="宋体"/>
                <w:color w:val="000000" w:themeColor="text1"/>
                <w:spacing w:val="0"/>
                <w:sz w:val="24"/>
                <w:szCs w:val="24"/>
                <w:highlight w:val="none"/>
                <w14:textFill>
                  <w14:solidFill>
                    <w14:schemeClr w14:val="tx1"/>
                  </w14:solidFill>
                </w14:textFill>
              </w:rPr>
            </w:pPr>
          </w:p>
        </w:tc>
        <w:tc>
          <w:tcPr>
            <w:tcW w:w="1683" w:type="dxa"/>
            <w:gridSpan w:val="2"/>
            <w:vAlign w:val="top"/>
          </w:tcPr>
          <w:p w14:paraId="37AC43BC">
            <w:pPr>
              <w:pStyle w:val="27"/>
              <w:keepNext w:val="0"/>
              <w:keepLines w:val="0"/>
              <w:pageBreakBefore w:val="0"/>
              <w:wordWrap w:val="0"/>
              <w:overflowPunct/>
              <w:topLinePunct w:val="0"/>
              <w:bidi w:val="0"/>
              <w:spacing w:line="336"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3C24FA50">
            <w:pPr>
              <w:keepNext w:val="0"/>
              <w:keepLines w:val="0"/>
              <w:pageBreakBefore w:val="0"/>
              <w:wordWrap w:val="0"/>
              <w:overflowPunct/>
              <w:topLinePunct w:val="0"/>
              <w:bidi w:val="0"/>
              <w:spacing w:before="61" w:line="231" w:lineRule="auto"/>
              <w:ind w:left="317"/>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退还时间：</w:t>
            </w:r>
          </w:p>
        </w:tc>
        <w:tc>
          <w:tcPr>
            <w:tcW w:w="3408" w:type="dxa"/>
            <w:gridSpan w:val="3"/>
            <w:vAlign w:val="top"/>
          </w:tcPr>
          <w:p w14:paraId="7DD435CD">
            <w:pPr>
              <w:pStyle w:val="27"/>
              <w:keepNext w:val="0"/>
              <w:keepLines w:val="0"/>
              <w:pageBreakBefore w:val="0"/>
              <w:wordWrap w:val="0"/>
              <w:overflowPunct/>
              <w:topLinePunct w:val="0"/>
              <w:bidi w:val="0"/>
              <w:spacing w:line="335" w:lineRule="auto"/>
              <w:rPr>
                <w:rFonts w:hint="eastAsia" w:ascii="宋体" w:hAnsi="宋体" w:eastAsia="宋体" w:cs="宋体"/>
                <w:color w:val="000000" w:themeColor="text1"/>
                <w:spacing w:val="0"/>
                <w:sz w:val="24"/>
                <w:szCs w:val="24"/>
                <w:highlight w:val="none"/>
                <w14:textFill>
                  <w14:solidFill>
                    <w14:schemeClr w14:val="tx1"/>
                  </w14:solidFill>
                </w14:textFill>
              </w:rPr>
            </w:pPr>
          </w:p>
          <w:p w14:paraId="683946A7">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年   月   日  时   分</w:t>
            </w:r>
          </w:p>
        </w:tc>
      </w:tr>
    </w:tbl>
    <w:p w14:paraId="7FF2268B">
      <w:pPr>
        <w:keepNext w:val="0"/>
        <w:keepLines w:val="0"/>
        <w:pageBreakBefore w:val="0"/>
        <w:wordWrap w:val="0"/>
        <w:overflowPunct/>
        <w:topLinePunct w:val="0"/>
        <w:bidi w:val="0"/>
        <w:rPr>
          <w:rFonts w:hint="eastAsia" w:ascii="宋体" w:hAnsi="宋体" w:eastAsia="宋体" w:cs="宋体"/>
          <w:b/>
          <w:bCs/>
          <w:color w:val="000000" w:themeColor="text1"/>
          <w:spacing w:val="0"/>
          <w:sz w:val="24"/>
          <w:szCs w:val="24"/>
          <w:highlight w:val="none"/>
          <w14:textFill>
            <w14:solidFill>
              <w14:schemeClr w14:val="tx1"/>
            </w14:solidFill>
          </w14:textFill>
        </w:rPr>
      </w:pPr>
      <w:bookmarkStart w:id="275" w:name="bookmark107"/>
      <w:bookmarkEnd w:id="275"/>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4B0574CF">
      <w:pPr>
        <w:pStyle w:val="53"/>
        <w:snapToGrid w:val="0"/>
        <w:spacing w:line="440" w:lineRule="exact"/>
        <w:ind w:firstLine="0"/>
        <w:outlineLvl w:val="2"/>
        <w:rPr>
          <w:rStyle w:val="26"/>
          <w:rFonts w:hint="eastAsia" w:ascii="Times New Roman" w:hAnsi="宋体"/>
          <w:b/>
          <w:bCs/>
          <w:color w:val="000000" w:themeColor="text1"/>
          <w:sz w:val="21"/>
          <w:szCs w:val="21"/>
          <w:highlight w:val="none"/>
          <w14:textFill>
            <w14:solidFill>
              <w14:schemeClr w14:val="tx1"/>
            </w14:solidFill>
          </w14:textFill>
        </w:rPr>
      </w:pPr>
      <w:bookmarkStart w:id="276" w:name="_Toc29477"/>
      <w:bookmarkStart w:id="277" w:name="_Toc22112"/>
      <w:bookmarkStart w:id="278" w:name="_Toc26133"/>
      <w:bookmarkStart w:id="279" w:name="_Toc26911"/>
      <w:r>
        <w:rPr>
          <w:rStyle w:val="26"/>
          <w:rFonts w:hint="eastAsia" w:ascii="Times New Roman" w:hAnsi="宋体" w:eastAsia="Arial" w:cs="Arial"/>
          <w:b/>
          <w:bCs/>
          <w:snapToGrid w:val="0"/>
          <w:color w:val="000000" w:themeColor="text1"/>
          <w:kern w:val="2"/>
          <w:sz w:val="21"/>
          <w:szCs w:val="21"/>
          <w:highlight w:val="none"/>
          <w:lang w:eastAsia="en-US"/>
          <w14:textFill>
            <w14:solidFill>
              <w14:schemeClr w14:val="tx1"/>
            </w14:solidFill>
          </w14:textFill>
        </w:rPr>
        <w:t>格式十六 定标因素评审资料</w:t>
      </w:r>
      <w:bookmarkEnd w:id="276"/>
      <w:bookmarkEnd w:id="277"/>
      <w:bookmarkEnd w:id="278"/>
      <w:bookmarkEnd w:id="279"/>
    </w:p>
    <w:p w14:paraId="3FDDD85F">
      <w:pPr>
        <w:kinsoku/>
        <w:autoSpaceDE/>
        <w:autoSpaceDN/>
        <w:adjustRightInd/>
        <w:snapToGrid/>
        <w:spacing w:line="500" w:lineRule="exact"/>
        <w:jc w:val="center"/>
        <w:rPr>
          <w:rFonts w:hint="eastAsia" w:ascii="宋体" w:hAnsi="宋体" w:eastAsia="宋体" w:cs="宋体"/>
          <w:b/>
          <w:bCs/>
          <w:snapToGrid/>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t>定标因素评审资料</w:t>
      </w:r>
    </w:p>
    <w:p w14:paraId="6DCF793B">
      <w:pPr>
        <w:kinsoku/>
        <w:autoSpaceDE/>
        <w:autoSpaceDN/>
        <w:adjustRightInd/>
        <w:snapToGrid/>
        <w:spacing w:line="360" w:lineRule="auto"/>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pPr>
    </w:p>
    <w:p w14:paraId="7AB4D12E">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投标人根据“第一章 第五节 定标规定及细则”载明的定标因素，提交评审资料。</w:t>
      </w:r>
    </w:p>
    <w:p w14:paraId="1A80573E">
      <w:pPr>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14:textFill>
            <w14:solidFill>
              <w14:schemeClr w14:val="tx1"/>
            </w14:solidFill>
          </w14:textFill>
        </w:rPr>
        <w:br w:type="page"/>
      </w:r>
    </w:p>
    <w:p w14:paraId="3E438A30">
      <w:pPr>
        <w:keepNext w:val="0"/>
        <w:keepLines w:val="0"/>
        <w:pageBreakBefore w:val="0"/>
        <w:wordWrap w:val="0"/>
        <w:overflowPunct/>
        <w:topLinePunct w:val="0"/>
        <w:bidi w:val="0"/>
        <w:spacing w:before="78" w:line="219" w:lineRule="auto"/>
        <w:jc w:val="center"/>
        <w:outlineLvl w:val="1"/>
        <w:rPr>
          <w:rFonts w:hint="eastAsia" w:ascii="宋体" w:hAnsi="宋体" w:eastAsia="宋体" w:cs="宋体"/>
          <w:color w:val="000000" w:themeColor="text1"/>
          <w:spacing w:val="0"/>
          <w:highlight w:val="none"/>
          <w14:textFill>
            <w14:solidFill>
              <w14:schemeClr w14:val="tx1"/>
            </w14:solidFill>
          </w14:textFill>
        </w:rPr>
      </w:pPr>
      <w:bookmarkStart w:id="280" w:name="_Toc8487"/>
      <w:r>
        <w:rPr>
          <w:rFonts w:hint="eastAsia" w:ascii="宋体" w:hAnsi="宋体" w:eastAsia="宋体" w:cs="宋体"/>
          <w:b/>
          <w:bCs/>
          <w:color w:val="000000" w:themeColor="text1"/>
          <w:spacing w:val="0"/>
          <w:sz w:val="24"/>
          <w:szCs w:val="24"/>
          <w:highlight w:val="none"/>
          <w14:textFill>
            <w14:solidFill>
              <w14:schemeClr w14:val="tx1"/>
            </w14:solidFill>
          </w14:textFill>
        </w:rPr>
        <w:t>第七章</w:t>
      </w:r>
      <w:r>
        <w:rPr>
          <w:rFonts w:hint="eastAsia" w:ascii="宋体" w:hAnsi="宋体" w:eastAsia="宋体" w:cs="宋体"/>
          <w:color w:val="000000" w:themeColor="text1"/>
          <w:spacing w:val="0"/>
          <w:sz w:val="24"/>
          <w:szCs w:val="24"/>
          <w:highlight w:val="none"/>
          <w14:textFill>
            <w14:solidFill>
              <w14:schemeClr w14:val="tx1"/>
            </w14:solidFill>
          </w14:textFill>
        </w:rPr>
        <w:t xml:space="preserve"> </w:t>
      </w:r>
      <w:r>
        <w:rPr>
          <w:rFonts w:hint="eastAsia" w:ascii="宋体" w:hAnsi="宋体" w:eastAsia="宋体" w:cs="宋体"/>
          <w:b/>
          <w:bCs/>
          <w:color w:val="000000" w:themeColor="text1"/>
          <w:spacing w:val="0"/>
          <w:sz w:val="24"/>
          <w:szCs w:val="24"/>
          <w:highlight w:val="none"/>
          <w14:textFill>
            <w14:solidFill>
              <w14:schemeClr w14:val="tx1"/>
            </w14:solidFill>
          </w14:textFill>
        </w:rPr>
        <w:t>建设工程施工合同</w:t>
      </w:r>
      <w:bookmarkEnd w:id="280"/>
    </w:p>
    <w:p w14:paraId="0F14ACDF">
      <w:pPr>
        <w:pStyle w:val="5"/>
        <w:keepNext w:val="0"/>
        <w:keepLines w:val="0"/>
        <w:pageBreakBefore w:val="0"/>
        <w:wordWrap w:val="0"/>
        <w:overflowPunct/>
        <w:topLinePunct w:val="0"/>
        <w:bidi w:val="0"/>
        <w:spacing w:line="257" w:lineRule="auto"/>
        <w:rPr>
          <w:rFonts w:hint="eastAsia" w:ascii="宋体" w:hAnsi="宋体" w:eastAsia="宋体" w:cs="宋体"/>
          <w:color w:val="000000" w:themeColor="text1"/>
          <w:spacing w:val="0"/>
          <w:highlight w:val="none"/>
          <w14:textFill>
            <w14:solidFill>
              <w14:schemeClr w14:val="tx1"/>
            </w14:solidFill>
          </w14:textFill>
        </w:rPr>
      </w:pPr>
    </w:p>
    <w:p w14:paraId="151CC36E">
      <w:pPr>
        <w:keepNext w:val="0"/>
        <w:keepLines w:val="0"/>
        <w:pageBreakBefore w:val="0"/>
        <w:wordWrap w:val="0"/>
        <w:overflowPunct/>
        <w:topLinePunct w:val="0"/>
        <w:bidi w:val="0"/>
        <w:spacing w:before="78" w:line="324" w:lineRule="auto"/>
        <w:ind w:firstLine="48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（略），按《广东省建设工程标准施工合同》（2009 年版）或《建设工程施工合同（示范文本）》（GF—2017—0201）执行。</w:t>
      </w:r>
    </w:p>
    <w:p w14:paraId="01801F5B">
      <w:pPr>
        <w:keepNext w:val="0"/>
        <w:keepLines w:val="0"/>
        <w:pageBreakBefore w:val="0"/>
        <w:wordWrap w:val="0"/>
        <w:overflowPunct/>
        <w:topLinePunct w:val="0"/>
        <w:bidi w:val="0"/>
        <w:rPr>
          <w:rFonts w:hint="eastAsia" w:ascii="宋体" w:hAnsi="宋体" w:eastAsia="宋体" w:cs="宋体"/>
          <w:color w:val="000000" w:themeColor="text1"/>
          <w:spacing w:val="0"/>
          <w:highlight w:val="none"/>
          <w14:textFill>
            <w14:solidFill>
              <w14:schemeClr w14:val="tx1"/>
            </w14:solidFill>
          </w14:textFill>
        </w:rPr>
      </w:pPr>
    </w:p>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0A28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E4A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0A77C8">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0A77C8">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2642">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53644F">
                          <w:pPr>
                            <w:pStyle w:val="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53644F">
                    <w:pPr>
                      <w:pStyle w:val="8"/>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D71C">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F71FC">
                          <w:pPr>
                            <w:pStyle w:val="8"/>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4F71FC">
                    <w:pPr>
                      <w:pStyle w:val="8"/>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83137">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65B2D">
                          <w:pPr>
                            <w:pStyle w:val="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2B65B2D">
                    <w:pPr>
                      <w:pStyle w:val="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E147">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BAC9">
                          <w:pPr>
                            <w:pStyle w:val="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40DBAC9">
                    <w:pPr>
                      <w:pStyle w:val="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BFC2D">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91286">
                          <w:pPr>
                            <w:pStyle w:val="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F091286">
                    <w:pPr>
                      <w:pStyle w:val="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DF844">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B81C9">
                          <w:pPr>
                            <w:pStyle w:val="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8DB81C9">
                    <w:pPr>
                      <w:pStyle w:val="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67EE6">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B08799">
                          <w:pPr>
                            <w:pStyle w:val="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B08799">
                    <w:pPr>
                      <w:pStyle w:val="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111AF">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EB88D6">
                          <w:pPr>
                            <w:pStyle w:val="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EB88D6">
                    <w:pPr>
                      <w:pStyle w:val="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3D4B">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9540B">
                          <w:pPr>
                            <w:pStyle w:val="8"/>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5C9540B">
                    <w:pPr>
                      <w:pStyle w:val="8"/>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CA7E8">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A68BB">
                          <w:pPr>
                            <w:pStyle w:val="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BFA68BB">
                    <w:pPr>
                      <w:pStyle w:val="8"/>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B6E0A">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CEF52">
                          <w:pPr>
                            <w:pStyle w:val="8"/>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55CEF52">
                    <w:pPr>
                      <w:pStyle w:val="8"/>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D6CBA">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93DF6">
                          <w:pPr>
                            <w:pStyle w:val="8"/>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C393DF6">
                    <w:pPr>
                      <w:pStyle w:val="8"/>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4F25A">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58473">
                          <w:pPr>
                            <w:pStyle w:val="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5158473">
                    <w:pPr>
                      <w:pStyle w:val="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3A765">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8E82C">
                          <w:pPr>
                            <w:pStyle w:val="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A68E82C">
                    <w:pPr>
                      <w:pStyle w:val="8"/>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0510">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35F8D">
                          <w:pPr>
                            <w:pStyle w:val="8"/>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6235F8D">
                    <w:pPr>
                      <w:pStyle w:val="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0073A">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6AC4E">
                          <w:pPr>
                            <w:pStyle w:val="8"/>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B16AC4E">
                    <w:pPr>
                      <w:pStyle w:val="8"/>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F30B">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FFB92">
                          <w:pPr>
                            <w:pStyle w:val="8"/>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388FFB92">
                    <w:pPr>
                      <w:pStyle w:val="8"/>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F5C4">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0A844">
                          <w:pPr>
                            <w:pStyle w:val="8"/>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7F40A844">
                    <w:pPr>
                      <w:pStyle w:val="8"/>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3C7A">
    <w:pPr>
      <w:pStyle w:val="5"/>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D440">
    <w:pPr>
      <w:pStyle w:val="5"/>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978D7">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C9BDCA"/>
    <w:multiLevelType w:val="singleLevel"/>
    <w:tmpl w:val="E6C9BDC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kZmUxYzUwZTk0YWQ4OWIxZDY5YjRhZmIwMjUzNzMifQ=="/>
  </w:docVars>
  <w:rsids>
    <w:rsidRoot w:val="4F582EF7"/>
    <w:rsid w:val="000D6A89"/>
    <w:rsid w:val="0012211A"/>
    <w:rsid w:val="00215AA4"/>
    <w:rsid w:val="003F512F"/>
    <w:rsid w:val="00473031"/>
    <w:rsid w:val="004F4B45"/>
    <w:rsid w:val="00D61DC8"/>
    <w:rsid w:val="00ED3513"/>
    <w:rsid w:val="00F661CB"/>
    <w:rsid w:val="01073D6F"/>
    <w:rsid w:val="010D6029"/>
    <w:rsid w:val="01110546"/>
    <w:rsid w:val="01203FAE"/>
    <w:rsid w:val="012A2737"/>
    <w:rsid w:val="013F153F"/>
    <w:rsid w:val="013F232E"/>
    <w:rsid w:val="014B09BB"/>
    <w:rsid w:val="014C6B51"/>
    <w:rsid w:val="016471F9"/>
    <w:rsid w:val="01916C5A"/>
    <w:rsid w:val="019A0A09"/>
    <w:rsid w:val="019E647B"/>
    <w:rsid w:val="01B841E6"/>
    <w:rsid w:val="01D95F0B"/>
    <w:rsid w:val="01DB7ED5"/>
    <w:rsid w:val="02337D11"/>
    <w:rsid w:val="026E699E"/>
    <w:rsid w:val="0273635F"/>
    <w:rsid w:val="02AA30B8"/>
    <w:rsid w:val="02B7625C"/>
    <w:rsid w:val="02BF0C55"/>
    <w:rsid w:val="03091250"/>
    <w:rsid w:val="03195159"/>
    <w:rsid w:val="032C4E8C"/>
    <w:rsid w:val="0358304C"/>
    <w:rsid w:val="03696A9E"/>
    <w:rsid w:val="037C563F"/>
    <w:rsid w:val="038667F3"/>
    <w:rsid w:val="039E06FB"/>
    <w:rsid w:val="03B524C9"/>
    <w:rsid w:val="03C5042E"/>
    <w:rsid w:val="03E26ED3"/>
    <w:rsid w:val="04021749"/>
    <w:rsid w:val="041A2998"/>
    <w:rsid w:val="041A2F36"/>
    <w:rsid w:val="04200D92"/>
    <w:rsid w:val="043C0BB8"/>
    <w:rsid w:val="04540333"/>
    <w:rsid w:val="048719B2"/>
    <w:rsid w:val="048B3E34"/>
    <w:rsid w:val="04AD2CA3"/>
    <w:rsid w:val="04B51863"/>
    <w:rsid w:val="04B67F25"/>
    <w:rsid w:val="04B86DCC"/>
    <w:rsid w:val="04BF763A"/>
    <w:rsid w:val="04C07235"/>
    <w:rsid w:val="04C52712"/>
    <w:rsid w:val="04C93D12"/>
    <w:rsid w:val="04C95B8C"/>
    <w:rsid w:val="04CE00F8"/>
    <w:rsid w:val="05654685"/>
    <w:rsid w:val="05DD1BF7"/>
    <w:rsid w:val="05E30CAA"/>
    <w:rsid w:val="05E732EC"/>
    <w:rsid w:val="05EC614B"/>
    <w:rsid w:val="05FE0636"/>
    <w:rsid w:val="062E2CC9"/>
    <w:rsid w:val="0633208D"/>
    <w:rsid w:val="06342423"/>
    <w:rsid w:val="063C112F"/>
    <w:rsid w:val="066642EF"/>
    <w:rsid w:val="066C1D20"/>
    <w:rsid w:val="066E18CA"/>
    <w:rsid w:val="069B537E"/>
    <w:rsid w:val="06B156A8"/>
    <w:rsid w:val="06B9200C"/>
    <w:rsid w:val="06C70A28"/>
    <w:rsid w:val="06C929F2"/>
    <w:rsid w:val="06E57385"/>
    <w:rsid w:val="06E67100"/>
    <w:rsid w:val="06EE2458"/>
    <w:rsid w:val="07133987"/>
    <w:rsid w:val="073360BD"/>
    <w:rsid w:val="07477021"/>
    <w:rsid w:val="074B3407"/>
    <w:rsid w:val="07A1396F"/>
    <w:rsid w:val="07A71DAB"/>
    <w:rsid w:val="07B90CB8"/>
    <w:rsid w:val="07CA36B7"/>
    <w:rsid w:val="07EC510E"/>
    <w:rsid w:val="08000695"/>
    <w:rsid w:val="082A5712"/>
    <w:rsid w:val="083D3697"/>
    <w:rsid w:val="08412974"/>
    <w:rsid w:val="089D2EAF"/>
    <w:rsid w:val="08B35707"/>
    <w:rsid w:val="08C55606"/>
    <w:rsid w:val="08CD7283"/>
    <w:rsid w:val="08DB07BA"/>
    <w:rsid w:val="08EB6C4F"/>
    <w:rsid w:val="09023F99"/>
    <w:rsid w:val="0908136C"/>
    <w:rsid w:val="09120B77"/>
    <w:rsid w:val="09151F1E"/>
    <w:rsid w:val="092D5890"/>
    <w:rsid w:val="09310546"/>
    <w:rsid w:val="094817DD"/>
    <w:rsid w:val="09AD381B"/>
    <w:rsid w:val="09C339A8"/>
    <w:rsid w:val="09F06AB0"/>
    <w:rsid w:val="09FA34EB"/>
    <w:rsid w:val="0A182626"/>
    <w:rsid w:val="0A2763AD"/>
    <w:rsid w:val="0A3F51F1"/>
    <w:rsid w:val="0A581BBF"/>
    <w:rsid w:val="0A620AA0"/>
    <w:rsid w:val="0A62467A"/>
    <w:rsid w:val="0A7D4664"/>
    <w:rsid w:val="0AA7676D"/>
    <w:rsid w:val="0AC57974"/>
    <w:rsid w:val="0ACA6F28"/>
    <w:rsid w:val="0AD33307"/>
    <w:rsid w:val="0ADA523C"/>
    <w:rsid w:val="0AEE3BCC"/>
    <w:rsid w:val="0AF8049C"/>
    <w:rsid w:val="0AFB0342"/>
    <w:rsid w:val="0B3866B7"/>
    <w:rsid w:val="0B3B5F5C"/>
    <w:rsid w:val="0B631C3B"/>
    <w:rsid w:val="0B644CDF"/>
    <w:rsid w:val="0B901D30"/>
    <w:rsid w:val="0BD240F7"/>
    <w:rsid w:val="0C120997"/>
    <w:rsid w:val="0C350433"/>
    <w:rsid w:val="0C3D67FB"/>
    <w:rsid w:val="0C4153D2"/>
    <w:rsid w:val="0C4E3A2A"/>
    <w:rsid w:val="0CA07D76"/>
    <w:rsid w:val="0CA247B5"/>
    <w:rsid w:val="0CC032D1"/>
    <w:rsid w:val="0CC51EAD"/>
    <w:rsid w:val="0CE74EA1"/>
    <w:rsid w:val="0CEB3524"/>
    <w:rsid w:val="0CED0068"/>
    <w:rsid w:val="0CFE2CC9"/>
    <w:rsid w:val="0D0364DD"/>
    <w:rsid w:val="0D03679A"/>
    <w:rsid w:val="0D410E67"/>
    <w:rsid w:val="0D786450"/>
    <w:rsid w:val="0DB97443"/>
    <w:rsid w:val="0DCB0DFD"/>
    <w:rsid w:val="0DD203DE"/>
    <w:rsid w:val="0DDC125D"/>
    <w:rsid w:val="0DF525DE"/>
    <w:rsid w:val="0DF61CE0"/>
    <w:rsid w:val="0E122ED0"/>
    <w:rsid w:val="0E1E1875"/>
    <w:rsid w:val="0E54719F"/>
    <w:rsid w:val="0E8230FE"/>
    <w:rsid w:val="0E8E37ED"/>
    <w:rsid w:val="0EAF2E14"/>
    <w:rsid w:val="0EBC0E48"/>
    <w:rsid w:val="0EDB59B8"/>
    <w:rsid w:val="0EEC3721"/>
    <w:rsid w:val="0EF30E7F"/>
    <w:rsid w:val="0F1B4006"/>
    <w:rsid w:val="0F256C33"/>
    <w:rsid w:val="0F312AB7"/>
    <w:rsid w:val="0F4920A4"/>
    <w:rsid w:val="0F693ECA"/>
    <w:rsid w:val="0FB35FED"/>
    <w:rsid w:val="0FB775B8"/>
    <w:rsid w:val="0FF44D8A"/>
    <w:rsid w:val="103425BC"/>
    <w:rsid w:val="10433815"/>
    <w:rsid w:val="10484987"/>
    <w:rsid w:val="105858FC"/>
    <w:rsid w:val="1069143D"/>
    <w:rsid w:val="108156F9"/>
    <w:rsid w:val="108403E2"/>
    <w:rsid w:val="109275A9"/>
    <w:rsid w:val="10945E1E"/>
    <w:rsid w:val="10C15734"/>
    <w:rsid w:val="10E36DA6"/>
    <w:rsid w:val="10F76084"/>
    <w:rsid w:val="110D36CE"/>
    <w:rsid w:val="11183B29"/>
    <w:rsid w:val="11533574"/>
    <w:rsid w:val="11785740"/>
    <w:rsid w:val="117874EE"/>
    <w:rsid w:val="11862732"/>
    <w:rsid w:val="118F278E"/>
    <w:rsid w:val="119105B0"/>
    <w:rsid w:val="11994D85"/>
    <w:rsid w:val="11A47985"/>
    <w:rsid w:val="11D80D88"/>
    <w:rsid w:val="11F50B3F"/>
    <w:rsid w:val="120B3EBE"/>
    <w:rsid w:val="12297E7D"/>
    <w:rsid w:val="12906AB9"/>
    <w:rsid w:val="12B46AE6"/>
    <w:rsid w:val="12C7072D"/>
    <w:rsid w:val="12E7492B"/>
    <w:rsid w:val="12E74FC1"/>
    <w:rsid w:val="12F27F6E"/>
    <w:rsid w:val="12F53397"/>
    <w:rsid w:val="131A26A8"/>
    <w:rsid w:val="132A4818"/>
    <w:rsid w:val="13313DF9"/>
    <w:rsid w:val="133A43BF"/>
    <w:rsid w:val="133D279D"/>
    <w:rsid w:val="13842E04"/>
    <w:rsid w:val="1385172F"/>
    <w:rsid w:val="13A22600"/>
    <w:rsid w:val="13AC5F03"/>
    <w:rsid w:val="13AD4B58"/>
    <w:rsid w:val="13B36C86"/>
    <w:rsid w:val="13C438FA"/>
    <w:rsid w:val="13E34C75"/>
    <w:rsid w:val="140D46BB"/>
    <w:rsid w:val="14141B79"/>
    <w:rsid w:val="148650F4"/>
    <w:rsid w:val="1505553D"/>
    <w:rsid w:val="150D2643"/>
    <w:rsid w:val="15192D96"/>
    <w:rsid w:val="151C1FBA"/>
    <w:rsid w:val="155663AB"/>
    <w:rsid w:val="156706B8"/>
    <w:rsid w:val="15674B8D"/>
    <w:rsid w:val="15811995"/>
    <w:rsid w:val="15BC5601"/>
    <w:rsid w:val="15DC13FE"/>
    <w:rsid w:val="15F3699E"/>
    <w:rsid w:val="16005D04"/>
    <w:rsid w:val="16157A01"/>
    <w:rsid w:val="161F618A"/>
    <w:rsid w:val="16223ECC"/>
    <w:rsid w:val="16351E52"/>
    <w:rsid w:val="16737FC1"/>
    <w:rsid w:val="16C60CFC"/>
    <w:rsid w:val="16DF591A"/>
    <w:rsid w:val="1722468F"/>
    <w:rsid w:val="172C4685"/>
    <w:rsid w:val="173157BB"/>
    <w:rsid w:val="17487240"/>
    <w:rsid w:val="175C172B"/>
    <w:rsid w:val="1767428D"/>
    <w:rsid w:val="1776627E"/>
    <w:rsid w:val="17C50FB3"/>
    <w:rsid w:val="17EA767E"/>
    <w:rsid w:val="17F760DF"/>
    <w:rsid w:val="18023FB5"/>
    <w:rsid w:val="181E51C8"/>
    <w:rsid w:val="18226406"/>
    <w:rsid w:val="182A472E"/>
    <w:rsid w:val="184079AD"/>
    <w:rsid w:val="1862610F"/>
    <w:rsid w:val="18710487"/>
    <w:rsid w:val="18866995"/>
    <w:rsid w:val="188B4D90"/>
    <w:rsid w:val="18AE7C99"/>
    <w:rsid w:val="18C06D07"/>
    <w:rsid w:val="190B3062"/>
    <w:rsid w:val="192D6E10"/>
    <w:rsid w:val="192E77AB"/>
    <w:rsid w:val="19355CC5"/>
    <w:rsid w:val="19597C05"/>
    <w:rsid w:val="1963464B"/>
    <w:rsid w:val="197764F6"/>
    <w:rsid w:val="19E27BFB"/>
    <w:rsid w:val="19FC44C3"/>
    <w:rsid w:val="1A200723"/>
    <w:rsid w:val="1A277D03"/>
    <w:rsid w:val="1A2C70C8"/>
    <w:rsid w:val="1A3A6836"/>
    <w:rsid w:val="1A4A3FE0"/>
    <w:rsid w:val="1A5B5BFF"/>
    <w:rsid w:val="1A6040D2"/>
    <w:rsid w:val="1AB75BA5"/>
    <w:rsid w:val="1AE57555"/>
    <w:rsid w:val="1B2B0B2B"/>
    <w:rsid w:val="1B2B6BCB"/>
    <w:rsid w:val="1BAA0049"/>
    <w:rsid w:val="1BB32838"/>
    <w:rsid w:val="1BC25F36"/>
    <w:rsid w:val="1BC82E20"/>
    <w:rsid w:val="1BCD48DA"/>
    <w:rsid w:val="1BE85270"/>
    <w:rsid w:val="1C116575"/>
    <w:rsid w:val="1C2A3ADB"/>
    <w:rsid w:val="1C324211"/>
    <w:rsid w:val="1C623275"/>
    <w:rsid w:val="1C7F3E27"/>
    <w:rsid w:val="1C977356"/>
    <w:rsid w:val="1CEE68B6"/>
    <w:rsid w:val="1CFE11EF"/>
    <w:rsid w:val="1D126A49"/>
    <w:rsid w:val="1D1C4C74"/>
    <w:rsid w:val="1D4666F2"/>
    <w:rsid w:val="1D526E45"/>
    <w:rsid w:val="1D893503"/>
    <w:rsid w:val="1D8A6E37"/>
    <w:rsid w:val="1DAB6BCE"/>
    <w:rsid w:val="1DED3012"/>
    <w:rsid w:val="1DFB74DD"/>
    <w:rsid w:val="1E02178A"/>
    <w:rsid w:val="1E3B5065"/>
    <w:rsid w:val="1E3B5B2B"/>
    <w:rsid w:val="1E491296"/>
    <w:rsid w:val="1E504393"/>
    <w:rsid w:val="1E5D49E3"/>
    <w:rsid w:val="1E6432D4"/>
    <w:rsid w:val="1E69281B"/>
    <w:rsid w:val="1E7D3C36"/>
    <w:rsid w:val="1E854FF8"/>
    <w:rsid w:val="1E9F430C"/>
    <w:rsid w:val="1EB53B18"/>
    <w:rsid w:val="1EBD4792"/>
    <w:rsid w:val="1EE461C3"/>
    <w:rsid w:val="1F2962CC"/>
    <w:rsid w:val="1F297E9B"/>
    <w:rsid w:val="1F3C3740"/>
    <w:rsid w:val="1F483CA8"/>
    <w:rsid w:val="1F487665"/>
    <w:rsid w:val="1F4E5D32"/>
    <w:rsid w:val="1F683A66"/>
    <w:rsid w:val="1F793D64"/>
    <w:rsid w:val="1F82221D"/>
    <w:rsid w:val="1FA6791C"/>
    <w:rsid w:val="1FB65DB1"/>
    <w:rsid w:val="1FD50B49"/>
    <w:rsid w:val="1FDA1374"/>
    <w:rsid w:val="20210F16"/>
    <w:rsid w:val="206770AC"/>
    <w:rsid w:val="208714FC"/>
    <w:rsid w:val="209B130E"/>
    <w:rsid w:val="20AD68C4"/>
    <w:rsid w:val="20B41F4E"/>
    <w:rsid w:val="20B73CE8"/>
    <w:rsid w:val="20CB1F07"/>
    <w:rsid w:val="20E76E0C"/>
    <w:rsid w:val="2120725A"/>
    <w:rsid w:val="21244F9D"/>
    <w:rsid w:val="216E1E9C"/>
    <w:rsid w:val="220C2760"/>
    <w:rsid w:val="222C2B90"/>
    <w:rsid w:val="22457E73"/>
    <w:rsid w:val="224726A9"/>
    <w:rsid w:val="2248233E"/>
    <w:rsid w:val="22592440"/>
    <w:rsid w:val="22614D52"/>
    <w:rsid w:val="227D2BB6"/>
    <w:rsid w:val="22910410"/>
    <w:rsid w:val="229E3272"/>
    <w:rsid w:val="22E70030"/>
    <w:rsid w:val="22EC3898"/>
    <w:rsid w:val="22F866E1"/>
    <w:rsid w:val="23260E04"/>
    <w:rsid w:val="233953DA"/>
    <w:rsid w:val="2345488C"/>
    <w:rsid w:val="234F2844"/>
    <w:rsid w:val="235102BE"/>
    <w:rsid w:val="23515DF1"/>
    <w:rsid w:val="237613B4"/>
    <w:rsid w:val="23790749"/>
    <w:rsid w:val="237B2B1D"/>
    <w:rsid w:val="237B4B25"/>
    <w:rsid w:val="23931F66"/>
    <w:rsid w:val="23933B60"/>
    <w:rsid w:val="23C363E4"/>
    <w:rsid w:val="23D332D0"/>
    <w:rsid w:val="24782AD4"/>
    <w:rsid w:val="249C3951"/>
    <w:rsid w:val="249F17D3"/>
    <w:rsid w:val="24A10C0D"/>
    <w:rsid w:val="24C70119"/>
    <w:rsid w:val="251E59E0"/>
    <w:rsid w:val="254479BB"/>
    <w:rsid w:val="254C2D14"/>
    <w:rsid w:val="256D06AE"/>
    <w:rsid w:val="2582242A"/>
    <w:rsid w:val="259077D0"/>
    <w:rsid w:val="25AF7A72"/>
    <w:rsid w:val="25B20381"/>
    <w:rsid w:val="25CB3C39"/>
    <w:rsid w:val="25DB33C1"/>
    <w:rsid w:val="25F25669"/>
    <w:rsid w:val="26031625"/>
    <w:rsid w:val="260357AC"/>
    <w:rsid w:val="26081331"/>
    <w:rsid w:val="260B6FC2"/>
    <w:rsid w:val="264763B7"/>
    <w:rsid w:val="26727723"/>
    <w:rsid w:val="268B2A3A"/>
    <w:rsid w:val="268B3DAD"/>
    <w:rsid w:val="26A61FB0"/>
    <w:rsid w:val="26B13700"/>
    <w:rsid w:val="26E1530D"/>
    <w:rsid w:val="275131CB"/>
    <w:rsid w:val="277025E4"/>
    <w:rsid w:val="27734537"/>
    <w:rsid w:val="279B1E5B"/>
    <w:rsid w:val="27BF3F2A"/>
    <w:rsid w:val="27C8346E"/>
    <w:rsid w:val="28035CB8"/>
    <w:rsid w:val="280F14ED"/>
    <w:rsid w:val="282B4E63"/>
    <w:rsid w:val="282B6C11"/>
    <w:rsid w:val="28541BD2"/>
    <w:rsid w:val="28884FF7"/>
    <w:rsid w:val="28B30264"/>
    <w:rsid w:val="28B60B0F"/>
    <w:rsid w:val="28E16404"/>
    <w:rsid w:val="28F60FCD"/>
    <w:rsid w:val="290F389D"/>
    <w:rsid w:val="291572CF"/>
    <w:rsid w:val="293033DF"/>
    <w:rsid w:val="293D2CA4"/>
    <w:rsid w:val="293E21D3"/>
    <w:rsid w:val="29567CBD"/>
    <w:rsid w:val="2962542C"/>
    <w:rsid w:val="296F1102"/>
    <w:rsid w:val="297C2ABA"/>
    <w:rsid w:val="298E56BA"/>
    <w:rsid w:val="29982084"/>
    <w:rsid w:val="299D769A"/>
    <w:rsid w:val="29A9794B"/>
    <w:rsid w:val="2A58372E"/>
    <w:rsid w:val="2A7228D5"/>
    <w:rsid w:val="2A97233B"/>
    <w:rsid w:val="2ACA03C4"/>
    <w:rsid w:val="2AD73080"/>
    <w:rsid w:val="2B160E6F"/>
    <w:rsid w:val="2B351DFD"/>
    <w:rsid w:val="2B367172"/>
    <w:rsid w:val="2B784A6E"/>
    <w:rsid w:val="2B9A7B07"/>
    <w:rsid w:val="2BAE2033"/>
    <w:rsid w:val="2BB37649"/>
    <w:rsid w:val="2BB82A63"/>
    <w:rsid w:val="2BC730F4"/>
    <w:rsid w:val="2BE42462"/>
    <w:rsid w:val="2BFA2F81"/>
    <w:rsid w:val="2BFD3113"/>
    <w:rsid w:val="2BFD6B16"/>
    <w:rsid w:val="2C0003B4"/>
    <w:rsid w:val="2C15160E"/>
    <w:rsid w:val="2C191F46"/>
    <w:rsid w:val="2C2422F5"/>
    <w:rsid w:val="2C3A068B"/>
    <w:rsid w:val="2CA156F3"/>
    <w:rsid w:val="2CBA1C4C"/>
    <w:rsid w:val="2D087FC0"/>
    <w:rsid w:val="2D236108"/>
    <w:rsid w:val="2D906B09"/>
    <w:rsid w:val="2D945258"/>
    <w:rsid w:val="2D9577C3"/>
    <w:rsid w:val="2D9C5EBB"/>
    <w:rsid w:val="2DAC0A59"/>
    <w:rsid w:val="2DCE076A"/>
    <w:rsid w:val="2DF314FE"/>
    <w:rsid w:val="2E620EB2"/>
    <w:rsid w:val="2E8A241A"/>
    <w:rsid w:val="2E8E7DCA"/>
    <w:rsid w:val="2E9A689E"/>
    <w:rsid w:val="2ED7388A"/>
    <w:rsid w:val="2EDD4BB1"/>
    <w:rsid w:val="2EE212D0"/>
    <w:rsid w:val="2EF134B4"/>
    <w:rsid w:val="2F1C3757"/>
    <w:rsid w:val="2F2729AC"/>
    <w:rsid w:val="2F3C0F4C"/>
    <w:rsid w:val="2F5A6566"/>
    <w:rsid w:val="2F7259B8"/>
    <w:rsid w:val="2F840E78"/>
    <w:rsid w:val="2FB82F9F"/>
    <w:rsid w:val="2FCC6F2B"/>
    <w:rsid w:val="2FE5383E"/>
    <w:rsid w:val="30083A5D"/>
    <w:rsid w:val="304E08DD"/>
    <w:rsid w:val="305F0957"/>
    <w:rsid w:val="30E67B79"/>
    <w:rsid w:val="30F027A5"/>
    <w:rsid w:val="313C778B"/>
    <w:rsid w:val="319C13AD"/>
    <w:rsid w:val="31BB1005"/>
    <w:rsid w:val="31BF2D37"/>
    <w:rsid w:val="31D9592F"/>
    <w:rsid w:val="32105FF7"/>
    <w:rsid w:val="321A2D0F"/>
    <w:rsid w:val="322E1126"/>
    <w:rsid w:val="324D664C"/>
    <w:rsid w:val="32504AC8"/>
    <w:rsid w:val="32814191"/>
    <w:rsid w:val="32943604"/>
    <w:rsid w:val="32BE6EB2"/>
    <w:rsid w:val="32C616FD"/>
    <w:rsid w:val="32C7154E"/>
    <w:rsid w:val="32D46E8A"/>
    <w:rsid w:val="3317207A"/>
    <w:rsid w:val="331A6B7B"/>
    <w:rsid w:val="33204F95"/>
    <w:rsid w:val="33294383"/>
    <w:rsid w:val="33396D39"/>
    <w:rsid w:val="33643EF5"/>
    <w:rsid w:val="33B107B1"/>
    <w:rsid w:val="33BC3AED"/>
    <w:rsid w:val="33D80BF4"/>
    <w:rsid w:val="33E57C5B"/>
    <w:rsid w:val="34124B0B"/>
    <w:rsid w:val="345705E4"/>
    <w:rsid w:val="346F60D7"/>
    <w:rsid w:val="348F605A"/>
    <w:rsid w:val="34930CEC"/>
    <w:rsid w:val="349E40E0"/>
    <w:rsid w:val="34A357B5"/>
    <w:rsid w:val="34AA1521"/>
    <w:rsid w:val="34B1049E"/>
    <w:rsid w:val="34C22379"/>
    <w:rsid w:val="34CC177B"/>
    <w:rsid w:val="34D80120"/>
    <w:rsid w:val="34EF2E71"/>
    <w:rsid w:val="34F206CA"/>
    <w:rsid w:val="34F51A33"/>
    <w:rsid w:val="351F18AB"/>
    <w:rsid w:val="35233259"/>
    <w:rsid w:val="352769B2"/>
    <w:rsid w:val="353C0959"/>
    <w:rsid w:val="357E4769"/>
    <w:rsid w:val="358636D8"/>
    <w:rsid w:val="35A3428A"/>
    <w:rsid w:val="35B20971"/>
    <w:rsid w:val="35E1465A"/>
    <w:rsid w:val="35F03248"/>
    <w:rsid w:val="361E1B63"/>
    <w:rsid w:val="36546AFC"/>
    <w:rsid w:val="365D08DD"/>
    <w:rsid w:val="36791FB9"/>
    <w:rsid w:val="369F27CF"/>
    <w:rsid w:val="36B60605"/>
    <w:rsid w:val="36C73FA8"/>
    <w:rsid w:val="36CF7301"/>
    <w:rsid w:val="36DB3EF8"/>
    <w:rsid w:val="36F70DBC"/>
    <w:rsid w:val="3701395E"/>
    <w:rsid w:val="3727713D"/>
    <w:rsid w:val="37704A11"/>
    <w:rsid w:val="379538CC"/>
    <w:rsid w:val="379D2F5B"/>
    <w:rsid w:val="37A75B88"/>
    <w:rsid w:val="37C45ACE"/>
    <w:rsid w:val="37DE7F69"/>
    <w:rsid w:val="37E335F2"/>
    <w:rsid w:val="37E76AA3"/>
    <w:rsid w:val="38125B90"/>
    <w:rsid w:val="38131388"/>
    <w:rsid w:val="3835053A"/>
    <w:rsid w:val="384C63F6"/>
    <w:rsid w:val="387463B2"/>
    <w:rsid w:val="38BE1535"/>
    <w:rsid w:val="38D3500A"/>
    <w:rsid w:val="395A2DA3"/>
    <w:rsid w:val="397A7B42"/>
    <w:rsid w:val="39A15914"/>
    <w:rsid w:val="39B4157B"/>
    <w:rsid w:val="39DF785B"/>
    <w:rsid w:val="3A1A0893"/>
    <w:rsid w:val="3A5C534F"/>
    <w:rsid w:val="3A5E69D2"/>
    <w:rsid w:val="3A60099C"/>
    <w:rsid w:val="3A751F07"/>
    <w:rsid w:val="3A8B1791"/>
    <w:rsid w:val="3AA16B06"/>
    <w:rsid w:val="3AC72565"/>
    <w:rsid w:val="3AD969A0"/>
    <w:rsid w:val="3ADB44C6"/>
    <w:rsid w:val="3B111C96"/>
    <w:rsid w:val="3B25718E"/>
    <w:rsid w:val="3B2C2F74"/>
    <w:rsid w:val="3B351E28"/>
    <w:rsid w:val="3B78218B"/>
    <w:rsid w:val="3B8B205B"/>
    <w:rsid w:val="3BA174BE"/>
    <w:rsid w:val="3BAE1FDB"/>
    <w:rsid w:val="3BAE3989"/>
    <w:rsid w:val="3BC05FBD"/>
    <w:rsid w:val="3BC74A4B"/>
    <w:rsid w:val="3BCC3E0F"/>
    <w:rsid w:val="3BD258C9"/>
    <w:rsid w:val="3C123FA5"/>
    <w:rsid w:val="3C242530"/>
    <w:rsid w:val="3C607CD7"/>
    <w:rsid w:val="3C8748FF"/>
    <w:rsid w:val="3C8B7826"/>
    <w:rsid w:val="3C8D17F0"/>
    <w:rsid w:val="3C965E23"/>
    <w:rsid w:val="3CA078D1"/>
    <w:rsid w:val="3CCA02B2"/>
    <w:rsid w:val="3CD243F0"/>
    <w:rsid w:val="3CE62383"/>
    <w:rsid w:val="3CEC7A2A"/>
    <w:rsid w:val="3D0433A8"/>
    <w:rsid w:val="3D15699B"/>
    <w:rsid w:val="3D6600F0"/>
    <w:rsid w:val="3D6A66B2"/>
    <w:rsid w:val="3D867B10"/>
    <w:rsid w:val="3DA07301"/>
    <w:rsid w:val="3DBF44D4"/>
    <w:rsid w:val="3DC207FD"/>
    <w:rsid w:val="3DCE35B6"/>
    <w:rsid w:val="3DD136B5"/>
    <w:rsid w:val="3DD75419"/>
    <w:rsid w:val="3DF14E3C"/>
    <w:rsid w:val="3DFC6C2D"/>
    <w:rsid w:val="3E043D34"/>
    <w:rsid w:val="3E0A3EC6"/>
    <w:rsid w:val="3E0D6740"/>
    <w:rsid w:val="3E2609B2"/>
    <w:rsid w:val="3E502AD5"/>
    <w:rsid w:val="3E6B6B36"/>
    <w:rsid w:val="3E772758"/>
    <w:rsid w:val="3E7F6463"/>
    <w:rsid w:val="3E88735B"/>
    <w:rsid w:val="3EA572C5"/>
    <w:rsid w:val="3EAF459C"/>
    <w:rsid w:val="3ECB4852"/>
    <w:rsid w:val="3EDB4A95"/>
    <w:rsid w:val="3EEB0292"/>
    <w:rsid w:val="3EF142B8"/>
    <w:rsid w:val="3EF313C9"/>
    <w:rsid w:val="3EFA2B3E"/>
    <w:rsid w:val="3F0D3980"/>
    <w:rsid w:val="3F281B00"/>
    <w:rsid w:val="3F4D76DD"/>
    <w:rsid w:val="3F6227AE"/>
    <w:rsid w:val="3F930BE9"/>
    <w:rsid w:val="3F952DC8"/>
    <w:rsid w:val="3FC63CF0"/>
    <w:rsid w:val="3FCD30FD"/>
    <w:rsid w:val="3FE15005"/>
    <w:rsid w:val="3FE77469"/>
    <w:rsid w:val="400E2C48"/>
    <w:rsid w:val="401B4FB0"/>
    <w:rsid w:val="401C11D4"/>
    <w:rsid w:val="402B37FA"/>
    <w:rsid w:val="40324B88"/>
    <w:rsid w:val="403D2804"/>
    <w:rsid w:val="40515615"/>
    <w:rsid w:val="40A56767"/>
    <w:rsid w:val="40B21825"/>
    <w:rsid w:val="40BE641C"/>
    <w:rsid w:val="40C14BE6"/>
    <w:rsid w:val="40E85E9C"/>
    <w:rsid w:val="41173D7E"/>
    <w:rsid w:val="4133434D"/>
    <w:rsid w:val="41711C4E"/>
    <w:rsid w:val="417778B2"/>
    <w:rsid w:val="41B50A70"/>
    <w:rsid w:val="41CB2246"/>
    <w:rsid w:val="41DA6A63"/>
    <w:rsid w:val="42056C09"/>
    <w:rsid w:val="42056EE1"/>
    <w:rsid w:val="423242FA"/>
    <w:rsid w:val="428D039F"/>
    <w:rsid w:val="42D77BC6"/>
    <w:rsid w:val="42FC0E58"/>
    <w:rsid w:val="431379ED"/>
    <w:rsid w:val="4315253F"/>
    <w:rsid w:val="43672D9B"/>
    <w:rsid w:val="436C6603"/>
    <w:rsid w:val="437454B8"/>
    <w:rsid w:val="4376670D"/>
    <w:rsid w:val="43947908"/>
    <w:rsid w:val="43AA0EDA"/>
    <w:rsid w:val="43BB6C43"/>
    <w:rsid w:val="43CC2BFE"/>
    <w:rsid w:val="43D25E53"/>
    <w:rsid w:val="43FE0419"/>
    <w:rsid w:val="440138A0"/>
    <w:rsid w:val="44246EDE"/>
    <w:rsid w:val="44384737"/>
    <w:rsid w:val="44692B43"/>
    <w:rsid w:val="44740E09"/>
    <w:rsid w:val="44983428"/>
    <w:rsid w:val="44C32FE7"/>
    <w:rsid w:val="44C47D79"/>
    <w:rsid w:val="44D34460"/>
    <w:rsid w:val="450F07D9"/>
    <w:rsid w:val="451A208F"/>
    <w:rsid w:val="453170D2"/>
    <w:rsid w:val="453E5D7D"/>
    <w:rsid w:val="45464C32"/>
    <w:rsid w:val="45AD2F03"/>
    <w:rsid w:val="45BE2A1A"/>
    <w:rsid w:val="45BE47A3"/>
    <w:rsid w:val="45D60635"/>
    <w:rsid w:val="46053F44"/>
    <w:rsid w:val="460B7B64"/>
    <w:rsid w:val="4612476D"/>
    <w:rsid w:val="46276812"/>
    <w:rsid w:val="462F50FB"/>
    <w:rsid w:val="46617E0B"/>
    <w:rsid w:val="468F5CB4"/>
    <w:rsid w:val="46953618"/>
    <w:rsid w:val="46B73C34"/>
    <w:rsid w:val="46C027C2"/>
    <w:rsid w:val="46E75FA1"/>
    <w:rsid w:val="474820C5"/>
    <w:rsid w:val="47513C75"/>
    <w:rsid w:val="475B13E7"/>
    <w:rsid w:val="475D7F74"/>
    <w:rsid w:val="476B2262"/>
    <w:rsid w:val="477A7EE5"/>
    <w:rsid w:val="477C5396"/>
    <w:rsid w:val="47A0687C"/>
    <w:rsid w:val="47DD7AD0"/>
    <w:rsid w:val="47DF6F81"/>
    <w:rsid w:val="47F0715F"/>
    <w:rsid w:val="47F51E94"/>
    <w:rsid w:val="481D611E"/>
    <w:rsid w:val="4851130F"/>
    <w:rsid w:val="485D476D"/>
    <w:rsid w:val="48665BDE"/>
    <w:rsid w:val="48867F4E"/>
    <w:rsid w:val="48AB008C"/>
    <w:rsid w:val="48B545A9"/>
    <w:rsid w:val="48B979EC"/>
    <w:rsid w:val="48BD5E62"/>
    <w:rsid w:val="48D34790"/>
    <w:rsid w:val="494D6EBA"/>
    <w:rsid w:val="49557B3A"/>
    <w:rsid w:val="498C348F"/>
    <w:rsid w:val="49A34401"/>
    <w:rsid w:val="49BA4655"/>
    <w:rsid w:val="49BC151F"/>
    <w:rsid w:val="49CD757C"/>
    <w:rsid w:val="49DA3B9B"/>
    <w:rsid w:val="49EF5898"/>
    <w:rsid w:val="49FA5FEB"/>
    <w:rsid w:val="4A286278"/>
    <w:rsid w:val="4A30081A"/>
    <w:rsid w:val="4A3C6BE3"/>
    <w:rsid w:val="4A62606A"/>
    <w:rsid w:val="4A6F0787"/>
    <w:rsid w:val="4A7638C4"/>
    <w:rsid w:val="4AA76173"/>
    <w:rsid w:val="4AAE1013"/>
    <w:rsid w:val="4AC9149F"/>
    <w:rsid w:val="4ADE1878"/>
    <w:rsid w:val="4ADE2E23"/>
    <w:rsid w:val="4AE64EED"/>
    <w:rsid w:val="4B380D6F"/>
    <w:rsid w:val="4B5400FE"/>
    <w:rsid w:val="4B675822"/>
    <w:rsid w:val="4B812670"/>
    <w:rsid w:val="4BA47B1F"/>
    <w:rsid w:val="4BBC29D4"/>
    <w:rsid w:val="4C560DCF"/>
    <w:rsid w:val="4C6F4A6E"/>
    <w:rsid w:val="4CA73452"/>
    <w:rsid w:val="4CBE77A4"/>
    <w:rsid w:val="4CC32763"/>
    <w:rsid w:val="4CE17CAE"/>
    <w:rsid w:val="4D0F1621"/>
    <w:rsid w:val="4D24354A"/>
    <w:rsid w:val="4D4E6D7A"/>
    <w:rsid w:val="4D785BA5"/>
    <w:rsid w:val="4DB07781"/>
    <w:rsid w:val="4DEF09C3"/>
    <w:rsid w:val="4DF97234"/>
    <w:rsid w:val="4E157897"/>
    <w:rsid w:val="4E437F61"/>
    <w:rsid w:val="4E4C36AA"/>
    <w:rsid w:val="4E4F6531"/>
    <w:rsid w:val="4EA36C51"/>
    <w:rsid w:val="4EB7021F"/>
    <w:rsid w:val="4EEE25C2"/>
    <w:rsid w:val="4F377967"/>
    <w:rsid w:val="4F411EB6"/>
    <w:rsid w:val="4F42646A"/>
    <w:rsid w:val="4F447BCB"/>
    <w:rsid w:val="4F582EF7"/>
    <w:rsid w:val="4F5D5E43"/>
    <w:rsid w:val="4F5F63A7"/>
    <w:rsid w:val="4FB65BEA"/>
    <w:rsid w:val="4FBA24A4"/>
    <w:rsid w:val="4FC77A71"/>
    <w:rsid w:val="4FDA6E22"/>
    <w:rsid w:val="4FFD0EF1"/>
    <w:rsid w:val="50091D29"/>
    <w:rsid w:val="501E0C85"/>
    <w:rsid w:val="501E2A33"/>
    <w:rsid w:val="502F4C40"/>
    <w:rsid w:val="50353716"/>
    <w:rsid w:val="506D7517"/>
    <w:rsid w:val="50AA2519"/>
    <w:rsid w:val="50AC44E3"/>
    <w:rsid w:val="50FD6AED"/>
    <w:rsid w:val="51022209"/>
    <w:rsid w:val="510E3C07"/>
    <w:rsid w:val="512E061B"/>
    <w:rsid w:val="5135755A"/>
    <w:rsid w:val="514F12D7"/>
    <w:rsid w:val="51754B1B"/>
    <w:rsid w:val="517B73AD"/>
    <w:rsid w:val="518A5306"/>
    <w:rsid w:val="518A79B5"/>
    <w:rsid w:val="51A37E3C"/>
    <w:rsid w:val="51B66656"/>
    <w:rsid w:val="51D16F4E"/>
    <w:rsid w:val="51D610EC"/>
    <w:rsid w:val="521045FE"/>
    <w:rsid w:val="52534816"/>
    <w:rsid w:val="52634928"/>
    <w:rsid w:val="52E2243E"/>
    <w:rsid w:val="53277999"/>
    <w:rsid w:val="53353269"/>
    <w:rsid w:val="533B7DA0"/>
    <w:rsid w:val="536746F1"/>
    <w:rsid w:val="53751DF0"/>
    <w:rsid w:val="53764934"/>
    <w:rsid w:val="53A35FB7"/>
    <w:rsid w:val="53B536AF"/>
    <w:rsid w:val="53C80FD0"/>
    <w:rsid w:val="53CE4770"/>
    <w:rsid w:val="53E30294"/>
    <w:rsid w:val="53FD5056"/>
    <w:rsid w:val="540B1521"/>
    <w:rsid w:val="544B3A05"/>
    <w:rsid w:val="5472334E"/>
    <w:rsid w:val="54917718"/>
    <w:rsid w:val="549269FE"/>
    <w:rsid w:val="54A86D6F"/>
    <w:rsid w:val="54F74640"/>
    <w:rsid w:val="550F1330"/>
    <w:rsid w:val="556829A3"/>
    <w:rsid w:val="55721E2D"/>
    <w:rsid w:val="55782BE6"/>
    <w:rsid w:val="558566E7"/>
    <w:rsid w:val="55B415BA"/>
    <w:rsid w:val="55D46448"/>
    <w:rsid w:val="55FA1006"/>
    <w:rsid w:val="560E3442"/>
    <w:rsid w:val="56111251"/>
    <w:rsid w:val="56193729"/>
    <w:rsid w:val="56252ADC"/>
    <w:rsid w:val="562B0D21"/>
    <w:rsid w:val="56327239"/>
    <w:rsid w:val="56426E9F"/>
    <w:rsid w:val="564725B8"/>
    <w:rsid w:val="56652099"/>
    <w:rsid w:val="56680EAC"/>
    <w:rsid w:val="566D353C"/>
    <w:rsid w:val="569B3338"/>
    <w:rsid w:val="56F269C8"/>
    <w:rsid w:val="57580F21"/>
    <w:rsid w:val="576176AA"/>
    <w:rsid w:val="5765355C"/>
    <w:rsid w:val="57690BD0"/>
    <w:rsid w:val="5779071D"/>
    <w:rsid w:val="57CA1153"/>
    <w:rsid w:val="57EE53E1"/>
    <w:rsid w:val="58460B49"/>
    <w:rsid w:val="584A495B"/>
    <w:rsid w:val="586675E4"/>
    <w:rsid w:val="587162C9"/>
    <w:rsid w:val="58765D26"/>
    <w:rsid w:val="58947716"/>
    <w:rsid w:val="58B66C06"/>
    <w:rsid w:val="58D345D7"/>
    <w:rsid w:val="59152645"/>
    <w:rsid w:val="591E25B4"/>
    <w:rsid w:val="591F4A55"/>
    <w:rsid w:val="59407EBE"/>
    <w:rsid w:val="59495785"/>
    <w:rsid w:val="59816B33"/>
    <w:rsid w:val="599C2C1B"/>
    <w:rsid w:val="59B605EE"/>
    <w:rsid w:val="59BE5287"/>
    <w:rsid w:val="59BF67D8"/>
    <w:rsid w:val="59BF6E54"/>
    <w:rsid w:val="59C96098"/>
    <w:rsid w:val="59CD22DC"/>
    <w:rsid w:val="59F86D18"/>
    <w:rsid w:val="5A2F2D66"/>
    <w:rsid w:val="5A3B2A23"/>
    <w:rsid w:val="5A9467BF"/>
    <w:rsid w:val="5AAE69DB"/>
    <w:rsid w:val="5AB26B9A"/>
    <w:rsid w:val="5AC261B4"/>
    <w:rsid w:val="5AC474BB"/>
    <w:rsid w:val="5AC643F3"/>
    <w:rsid w:val="5ACA056B"/>
    <w:rsid w:val="5AD24795"/>
    <w:rsid w:val="5AEC0684"/>
    <w:rsid w:val="5AF0582F"/>
    <w:rsid w:val="5B1B6AA6"/>
    <w:rsid w:val="5B224E28"/>
    <w:rsid w:val="5B9C02BE"/>
    <w:rsid w:val="5BAF7B56"/>
    <w:rsid w:val="5BC30933"/>
    <w:rsid w:val="5BF611E3"/>
    <w:rsid w:val="5C0E6052"/>
    <w:rsid w:val="5C313AEE"/>
    <w:rsid w:val="5C7D4F86"/>
    <w:rsid w:val="5C86208C"/>
    <w:rsid w:val="5CAC7619"/>
    <w:rsid w:val="5CAF35B1"/>
    <w:rsid w:val="5CC02210"/>
    <w:rsid w:val="5D072AA1"/>
    <w:rsid w:val="5D211242"/>
    <w:rsid w:val="5D2B49E2"/>
    <w:rsid w:val="5D2E5B27"/>
    <w:rsid w:val="5D3B4FAE"/>
    <w:rsid w:val="5D730EDB"/>
    <w:rsid w:val="5D7C18C6"/>
    <w:rsid w:val="5D902A97"/>
    <w:rsid w:val="5D916BB6"/>
    <w:rsid w:val="5DC32E6C"/>
    <w:rsid w:val="5DC62D2E"/>
    <w:rsid w:val="5DCD2F01"/>
    <w:rsid w:val="5DE3467B"/>
    <w:rsid w:val="5E000678"/>
    <w:rsid w:val="5E367A57"/>
    <w:rsid w:val="5E371164"/>
    <w:rsid w:val="5E634018"/>
    <w:rsid w:val="5E7B54F5"/>
    <w:rsid w:val="5EB639EA"/>
    <w:rsid w:val="5F0537AA"/>
    <w:rsid w:val="5F0B5B73"/>
    <w:rsid w:val="5F1267B5"/>
    <w:rsid w:val="5F13572D"/>
    <w:rsid w:val="5F2B3E04"/>
    <w:rsid w:val="5F4A1A8C"/>
    <w:rsid w:val="5F760F40"/>
    <w:rsid w:val="5F813FC0"/>
    <w:rsid w:val="5FC52ECB"/>
    <w:rsid w:val="5FC80DD2"/>
    <w:rsid w:val="5FD21144"/>
    <w:rsid w:val="5FD9212E"/>
    <w:rsid w:val="5FE1785D"/>
    <w:rsid w:val="5FF401AB"/>
    <w:rsid w:val="5FF52077"/>
    <w:rsid w:val="5FFF5CB2"/>
    <w:rsid w:val="600532C8"/>
    <w:rsid w:val="60101E15"/>
    <w:rsid w:val="6049733D"/>
    <w:rsid w:val="60673F83"/>
    <w:rsid w:val="606E1F64"/>
    <w:rsid w:val="60CE0B25"/>
    <w:rsid w:val="61113EEE"/>
    <w:rsid w:val="61241E74"/>
    <w:rsid w:val="61555832"/>
    <w:rsid w:val="6194560C"/>
    <w:rsid w:val="619C4100"/>
    <w:rsid w:val="61A30FEA"/>
    <w:rsid w:val="61BE5E24"/>
    <w:rsid w:val="61D5316E"/>
    <w:rsid w:val="61DB6D9C"/>
    <w:rsid w:val="623C3CCB"/>
    <w:rsid w:val="6277131B"/>
    <w:rsid w:val="62894736"/>
    <w:rsid w:val="62A274F4"/>
    <w:rsid w:val="62A72D5C"/>
    <w:rsid w:val="62DC02C2"/>
    <w:rsid w:val="62EC4C13"/>
    <w:rsid w:val="62EE46C0"/>
    <w:rsid w:val="632E6FDA"/>
    <w:rsid w:val="63381C06"/>
    <w:rsid w:val="6345292E"/>
    <w:rsid w:val="635D5082"/>
    <w:rsid w:val="63964B41"/>
    <w:rsid w:val="63CD05A1"/>
    <w:rsid w:val="63F26259"/>
    <w:rsid w:val="6410048D"/>
    <w:rsid w:val="64234664"/>
    <w:rsid w:val="64421F3D"/>
    <w:rsid w:val="64487C27"/>
    <w:rsid w:val="647838E3"/>
    <w:rsid w:val="647C3D75"/>
    <w:rsid w:val="648570CD"/>
    <w:rsid w:val="64AD03D2"/>
    <w:rsid w:val="64B66E59"/>
    <w:rsid w:val="64CC5E52"/>
    <w:rsid w:val="650F4B9B"/>
    <w:rsid w:val="654E657D"/>
    <w:rsid w:val="65864EAB"/>
    <w:rsid w:val="65AC2438"/>
    <w:rsid w:val="65AE5BBD"/>
    <w:rsid w:val="65B768E4"/>
    <w:rsid w:val="65BF216B"/>
    <w:rsid w:val="65C57872"/>
    <w:rsid w:val="65D8147F"/>
    <w:rsid w:val="65DA0D53"/>
    <w:rsid w:val="65EF0F14"/>
    <w:rsid w:val="65FB4B21"/>
    <w:rsid w:val="6601664A"/>
    <w:rsid w:val="66042274"/>
    <w:rsid w:val="66043DF1"/>
    <w:rsid w:val="6614083B"/>
    <w:rsid w:val="661D46CA"/>
    <w:rsid w:val="667B0788"/>
    <w:rsid w:val="66887A48"/>
    <w:rsid w:val="669F48C5"/>
    <w:rsid w:val="66A10636"/>
    <w:rsid w:val="66B94E0C"/>
    <w:rsid w:val="66BB1AFB"/>
    <w:rsid w:val="66C8643E"/>
    <w:rsid w:val="66CA0DC7"/>
    <w:rsid w:val="66F0707E"/>
    <w:rsid w:val="66F20D2E"/>
    <w:rsid w:val="66F95B50"/>
    <w:rsid w:val="6720747F"/>
    <w:rsid w:val="673D6A15"/>
    <w:rsid w:val="67492634"/>
    <w:rsid w:val="67960780"/>
    <w:rsid w:val="67B86C37"/>
    <w:rsid w:val="67BB2DBB"/>
    <w:rsid w:val="682E5386"/>
    <w:rsid w:val="683F57E5"/>
    <w:rsid w:val="68415A7C"/>
    <w:rsid w:val="688D47A2"/>
    <w:rsid w:val="68B27D65"/>
    <w:rsid w:val="68BF3CEC"/>
    <w:rsid w:val="68CD623B"/>
    <w:rsid w:val="68FD36D6"/>
    <w:rsid w:val="694D7A8E"/>
    <w:rsid w:val="69562DE6"/>
    <w:rsid w:val="696012B6"/>
    <w:rsid w:val="69642093"/>
    <w:rsid w:val="6985191D"/>
    <w:rsid w:val="69BD2E65"/>
    <w:rsid w:val="69CA6B08"/>
    <w:rsid w:val="69E95A08"/>
    <w:rsid w:val="6A042666"/>
    <w:rsid w:val="6A8F00D2"/>
    <w:rsid w:val="6A9736F0"/>
    <w:rsid w:val="6AB214EC"/>
    <w:rsid w:val="6AB26742"/>
    <w:rsid w:val="6ADE08A2"/>
    <w:rsid w:val="6AF44665"/>
    <w:rsid w:val="6AF97ECD"/>
    <w:rsid w:val="6B680BAF"/>
    <w:rsid w:val="6B6C68F1"/>
    <w:rsid w:val="6B8D0FD1"/>
    <w:rsid w:val="6BA17D14"/>
    <w:rsid w:val="6BCC55E2"/>
    <w:rsid w:val="6BD25936"/>
    <w:rsid w:val="6BE41292"/>
    <w:rsid w:val="6BF43D6E"/>
    <w:rsid w:val="6BF43F27"/>
    <w:rsid w:val="6C3A781B"/>
    <w:rsid w:val="6C884442"/>
    <w:rsid w:val="6C8D4D71"/>
    <w:rsid w:val="6CD15DD8"/>
    <w:rsid w:val="6CDC3602"/>
    <w:rsid w:val="6CF25FA0"/>
    <w:rsid w:val="6CF3094C"/>
    <w:rsid w:val="6CF3436B"/>
    <w:rsid w:val="6D257FA0"/>
    <w:rsid w:val="6D5B6316"/>
    <w:rsid w:val="6D77157D"/>
    <w:rsid w:val="6D9143ED"/>
    <w:rsid w:val="6DC40A12"/>
    <w:rsid w:val="6DC74A88"/>
    <w:rsid w:val="6DDD7C5D"/>
    <w:rsid w:val="6DDE1B2C"/>
    <w:rsid w:val="6DEA2117"/>
    <w:rsid w:val="6E050A29"/>
    <w:rsid w:val="6E113780"/>
    <w:rsid w:val="6E2178BF"/>
    <w:rsid w:val="6E62222D"/>
    <w:rsid w:val="6E6C4C84"/>
    <w:rsid w:val="6E8C1058"/>
    <w:rsid w:val="6EBF142E"/>
    <w:rsid w:val="6F0F5F11"/>
    <w:rsid w:val="6F120DB6"/>
    <w:rsid w:val="6F2946DA"/>
    <w:rsid w:val="6F550DE0"/>
    <w:rsid w:val="6F8929B2"/>
    <w:rsid w:val="6F9836F2"/>
    <w:rsid w:val="6FD1766A"/>
    <w:rsid w:val="6FEA2615"/>
    <w:rsid w:val="70294E19"/>
    <w:rsid w:val="703A6FBE"/>
    <w:rsid w:val="70531E2E"/>
    <w:rsid w:val="70637DEC"/>
    <w:rsid w:val="707443AD"/>
    <w:rsid w:val="70990122"/>
    <w:rsid w:val="70A50A55"/>
    <w:rsid w:val="70AC7790"/>
    <w:rsid w:val="70AE36D8"/>
    <w:rsid w:val="70C60851"/>
    <w:rsid w:val="70CE7706"/>
    <w:rsid w:val="70D00980"/>
    <w:rsid w:val="70DD3DED"/>
    <w:rsid w:val="70E51DA8"/>
    <w:rsid w:val="70F96E79"/>
    <w:rsid w:val="71213150"/>
    <w:rsid w:val="712D267F"/>
    <w:rsid w:val="712F47EA"/>
    <w:rsid w:val="713C6679"/>
    <w:rsid w:val="713E70F6"/>
    <w:rsid w:val="714802B0"/>
    <w:rsid w:val="71812600"/>
    <w:rsid w:val="71946BA2"/>
    <w:rsid w:val="719C15B2"/>
    <w:rsid w:val="71A843FB"/>
    <w:rsid w:val="71A9542C"/>
    <w:rsid w:val="71D82792"/>
    <w:rsid w:val="71E35433"/>
    <w:rsid w:val="71F94EA8"/>
    <w:rsid w:val="71FE401B"/>
    <w:rsid w:val="721E450C"/>
    <w:rsid w:val="72514A93"/>
    <w:rsid w:val="7262278F"/>
    <w:rsid w:val="72BC63B0"/>
    <w:rsid w:val="730C2768"/>
    <w:rsid w:val="7329331A"/>
    <w:rsid w:val="732A300A"/>
    <w:rsid w:val="733A0A1E"/>
    <w:rsid w:val="73A429A0"/>
    <w:rsid w:val="73B93EE5"/>
    <w:rsid w:val="73BE1CB4"/>
    <w:rsid w:val="73CC7691"/>
    <w:rsid w:val="73D85A6B"/>
    <w:rsid w:val="740A6CA7"/>
    <w:rsid w:val="74AE006A"/>
    <w:rsid w:val="74AE1D28"/>
    <w:rsid w:val="74B84D2D"/>
    <w:rsid w:val="74C2331D"/>
    <w:rsid w:val="74CF1255"/>
    <w:rsid w:val="74E7523A"/>
    <w:rsid w:val="74F24A8E"/>
    <w:rsid w:val="74FB54A4"/>
    <w:rsid w:val="751610E2"/>
    <w:rsid w:val="751A7B05"/>
    <w:rsid w:val="751C63E4"/>
    <w:rsid w:val="7521643E"/>
    <w:rsid w:val="753A180E"/>
    <w:rsid w:val="75611CC1"/>
    <w:rsid w:val="756215FB"/>
    <w:rsid w:val="756248C1"/>
    <w:rsid w:val="75822D61"/>
    <w:rsid w:val="759233F8"/>
    <w:rsid w:val="75C71154"/>
    <w:rsid w:val="75D25EEA"/>
    <w:rsid w:val="75DD731F"/>
    <w:rsid w:val="764B039C"/>
    <w:rsid w:val="766641C7"/>
    <w:rsid w:val="766656C3"/>
    <w:rsid w:val="76740D50"/>
    <w:rsid w:val="768014A2"/>
    <w:rsid w:val="768D4B1F"/>
    <w:rsid w:val="76B352F7"/>
    <w:rsid w:val="76BD4AAB"/>
    <w:rsid w:val="76C22210"/>
    <w:rsid w:val="76CA7E5A"/>
    <w:rsid w:val="770A59BD"/>
    <w:rsid w:val="77120FDD"/>
    <w:rsid w:val="7741479F"/>
    <w:rsid w:val="775C2950"/>
    <w:rsid w:val="77610F13"/>
    <w:rsid w:val="776B3787"/>
    <w:rsid w:val="778C37F8"/>
    <w:rsid w:val="77903967"/>
    <w:rsid w:val="779D7E32"/>
    <w:rsid w:val="77B12E34"/>
    <w:rsid w:val="77B32EDF"/>
    <w:rsid w:val="77BF5FFA"/>
    <w:rsid w:val="77CA451A"/>
    <w:rsid w:val="77D46CD2"/>
    <w:rsid w:val="77D83D50"/>
    <w:rsid w:val="77EF6F6D"/>
    <w:rsid w:val="77F50340"/>
    <w:rsid w:val="78056103"/>
    <w:rsid w:val="780F6F82"/>
    <w:rsid w:val="781D0CC1"/>
    <w:rsid w:val="7823193A"/>
    <w:rsid w:val="782E61C7"/>
    <w:rsid w:val="7836235A"/>
    <w:rsid w:val="783B33E4"/>
    <w:rsid w:val="78534B66"/>
    <w:rsid w:val="787B0197"/>
    <w:rsid w:val="787E1A12"/>
    <w:rsid w:val="78A00DCC"/>
    <w:rsid w:val="78BE10F6"/>
    <w:rsid w:val="78BF6934"/>
    <w:rsid w:val="78C25DA2"/>
    <w:rsid w:val="78D43D28"/>
    <w:rsid w:val="78FD502C"/>
    <w:rsid w:val="790E2D96"/>
    <w:rsid w:val="792275BE"/>
    <w:rsid w:val="793F4A83"/>
    <w:rsid w:val="794672BF"/>
    <w:rsid w:val="794F79D4"/>
    <w:rsid w:val="79532E9E"/>
    <w:rsid w:val="79797086"/>
    <w:rsid w:val="797A5F8B"/>
    <w:rsid w:val="798D4602"/>
    <w:rsid w:val="7A170370"/>
    <w:rsid w:val="7A3C1D44"/>
    <w:rsid w:val="7A401675"/>
    <w:rsid w:val="7A666C01"/>
    <w:rsid w:val="7A8B158A"/>
    <w:rsid w:val="7ABB0CFB"/>
    <w:rsid w:val="7AD647F1"/>
    <w:rsid w:val="7ADD5362"/>
    <w:rsid w:val="7AE069B4"/>
    <w:rsid w:val="7B1A0118"/>
    <w:rsid w:val="7B302174"/>
    <w:rsid w:val="7B62386D"/>
    <w:rsid w:val="7B6E2211"/>
    <w:rsid w:val="7BD217F3"/>
    <w:rsid w:val="7C277454"/>
    <w:rsid w:val="7C37432E"/>
    <w:rsid w:val="7C594C70"/>
    <w:rsid w:val="7C7C270C"/>
    <w:rsid w:val="7C85264B"/>
    <w:rsid w:val="7CB63E70"/>
    <w:rsid w:val="7CC266CE"/>
    <w:rsid w:val="7CC76395"/>
    <w:rsid w:val="7D00333D"/>
    <w:rsid w:val="7D677B9D"/>
    <w:rsid w:val="7D7A30EF"/>
    <w:rsid w:val="7D906276"/>
    <w:rsid w:val="7D9D293A"/>
    <w:rsid w:val="7DB41364"/>
    <w:rsid w:val="7DE44A0D"/>
    <w:rsid w:val="7DEC55B6"/>
    <w:rsid w:val="7E17093E"/>
    <w:rsid w:val="7E1E7F1F"/>
    <w:rsid w:val="7E2F667A"/>
    <w:rsid w:val="7E321E60"/>
    <w:rsid w:val="7E493D4F"/>
    <w:rsid w:val="7E51149B"/>
    <w:rsid w:val="7E5356EF"/>
    <w:rsid w:val="7E7358B0"/>
    <w:rsid w:val="7E916B3D"/>
    <w:rsid w:val="7E9B65C0"/>
    <w:rsid w:val="7EA95725"/>
    <w:rsid w:val="7EDC55C4"/>
    <w:rsid w:val="7F1205F3"/>
    <w:rsid w:val="7F43729D"/>
    <w:rsid w:val="7F52551F"/>
    <w:rsid w:val="7F69341C"/>
    <w:rsid w:val="7F6B3277"/>
    <w:rsid w:val="7F7C3A97"/>
    <w:rsid w:val="7F8F2756"/>
    <w:rsid w:val="7FFA6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spacing w:line="374" w:lineRule="auto"/>
      <w:outlineLvl w:val="3"/>
    </w:pPr>
    <w:rPr>
      <w:rFonts w:ascii="Arial" w:hAnsi="Arial"/>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next w:val="1"/>
    <w:qFormat/>
    <w:uiPriority w:val="0"/>
    <w:pPr>
      <w:adjustRightInd w:val="0"/>
      <w:spacing w:line="360" w:lineRule="atLeast"/>
      <w:jc w:val="left"/>
      <w:textAlignment w:val="baseline"/>
    </w:pPr>
    <w:rPr>
      <w:kern w:val="0"/>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2"/>
    <w:basedOn w:val="1"/>
    <w:next w:val="5"/>
    <w:qFormat/>
    <w:uiPriority w:val="0"/>
    <w:pPr>
      <w:spacing w:line="500" w:lineRule="exact"/>
    </w:pPr>
    <w:rPr>
      <w:rFonts w:ascii="宋体"/>
      <w:sz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99"/>
    <w:pPr>
      <w:spacing w:line="240" w:lineRule="auto"/>
      <w:ind w:firstLine="420" w:firstLineChars="100"/>
    </w:pPr>
    <w:rPr>
      <w:rFonts w:ascii="Times New Roman" w:cs="Times New Roman"/>
      <w:sz w:val="20"/>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FollowedHyperlink"/>
    <w:basedOn w:val="16"/>
    <w:qFormat/>
    <w:uiPriority w:val="0"/>
    <w:rPr>
      <w:color w:val="333333"/>
      <w:u w:val="none"/>
    </w:rPr>
  </w:style>
  <w:style w:type="character" w:styleId="19">
    <w:name w:val="Emphasis"/>
    <w:basedOn w:val="16"/>
    <w:qFormat/>
    <w:uiPriority w:val="0"/>
    <w:rPr>
      <w:i/>
    </w:rPr>
  </w:style>
  <w:style w:type="character" w:styleId="20">
    <w:name w:val="HTML Variable"/>
    <w:basedOn w:val="16"/>
    <w:qFormat/>
    <w:uiPriority w:val="0"/>
    <w:rPr>
      <w:i/>
    </w:rPr>
  </w:style>
  <w:style w:type="character" w:styleId="21">
    <w:name w:val="Hyperlink"/>
    <w:basedOn w:val="16"/>
    <w:qFormat/>
    <w:uiPriority w:val="0"/>
    <w:rPr>
      <w:color w:val="333333"/>
      <w:u w:val="none"/>
    </w:rPr>
  </w:style>
  <w:style w:type="character" w:styleId="22">
    <w:name w:val="HTML Code"/>
    <w:basedOn w:val="16"/>
    <w:qFormat/>
    <w:uiPriority w:val="0"/>
    <w:rPr>
      <w:rFonts w:ascii="Courier New" w:hAnsi="Courier New"/>
      <w:sz w:val="20"/>
    </w:rPr>
  </w:style>
  <w:style w:type="character" w:styleId="23">
    <w:name w:val="HTML Cite"/>
    <w:basedOn w:val="16"/>
    <w:qFormat/>
    <w:uiPriority w:val="0"/>
    <w:rPr>
      <w:i/>
    </w:rPr>
  </w:style>
  <w:style w:type="paragraph" w:customStyle="1" w:styleId="24">
    <w:name w:val="样式 宋体 行距: 1.5 倍行距"/>
    <w:next w:val="1"/>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5">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6">
    <w:name w:val="NormalCharacter"/>
    <w:qFormat/>
    <w:uiPriority w:val="99"/>
  </w:style>
  <w:style w:type="paragraph" w:customStyle="1" w:styleId="27">
    <w:name w:val="Table Text"/>
    <w:basedOn w:val="1"/>
    <w:semiHidden/>
    <w:qFormat/>
    <w:uiPriority w:val="0"/>
    <w:rPr>
      <w:rFonts w:ascii="Arial" w:hAnsi="Arial" w:eastAsia="Arial" w:cs="Arial"/>
      <w:sz w:val="21"/>
      <w:szCs w:val="21"/>
      <w:lang w:val="en-US" w:eastAsia="en-US" w:bidi="ar-SA"/>
    </w:rPr>
  </w:style>
  <w:style w:type="paragraph" w:customStyle="1" w:styleId="2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正文缩进1"/>
    <w:basedOn w:val="1"/>
    <w:qFormat/>
    <w:uiPriority w:val="0"/>
    <w:pPr>
      <w:widowControl/>
      <w:ind w:firstLine="420"/>
      <w:jc w:val="left"/>
    </w:pPr>
    <w:rPr>
      <w:kern w:val="0"/>
    </w:rPr>
  </w:style>
  <w:style w:type="paragraph" w:customStyle="1" w:styleId="30">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1">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2">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3">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Heading2"/>
    <w:basedOn w:val="1"/>
    <w:next w:val="1"/>
    <w:qFormat/>
    <w:uiPriority w:val="99"/>
    <w:pPr>
      <w:jc w:val="left"/>
    </w:pPr>
    <w:rPr>
      <w:kern w:val="0"/>
    </w:rPr>
  </w:style>
  <w:style w:type="paragraph" w:customStyle="1" w:styleId="36">
    <w:name w:val="AnnotationText"/>
    <w:basedOn w:val="1"/>
    <w:qFormat/>
    <w:uiPriority w:val="99"/>
    <w:pPr>
      <w:spacing w:line="360" w:lineRule="atLeast"/>
      <w:jc w:val="left"/>
    </w:pPr>
    <w:rPr>
      <w:kern w:val="0"/>
    </w:rPr>
  </w:style>
  <w:style w:type="paragraph" w:customStyle="1" w:styleId="37">
    <w:name w:val="UserStyle_44"/>
    <w:basedOn w:val="38"/>
    <w:qFormat/>
    <w:uiPriority w:val="99"/>
    <w:rPr>
      <w:sz w:val="24"/>
      <w:szCs w:val="24"/>
    </w:rPr>
  </w:style>
  <w:style w:type="paragraph" w:customStyle="1" w:styleId="38">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9">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0">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1">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2">
    <w:name w:val="BodyText"/>
    <w:basedOn w:val="1"/>
    <w:next w:val="43"/>
    <w:qFormat/>
    <w:uiPriority w:val="99"/>
    <w:pPr>
      <w:spacing w:after="120"/>
    </w:pPr>
  </w:style>
  <w:style w:type="paragraph" w:customStyle="1" w:styleId="43">
    <w:name w:val="BodyText2"/>
    <w:basedOn w:val="1"/>
    <w:qFormat/>
    <w:uiPriority w:val="99"/>
    <w:pPr>
      <w:spacing w:line="500" w:lineRule="exact"/>
    </w:pPr>
  </w:style>
  <w:style w:type="paragraph" w:customStyle="1" w:styleId="44">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5">
    <w:name w:val="正文缩进 New"/>
    <w:basedOn w:val="46"/>
    <w:qFormat/>
    <w:uiPriority w:val="0"/>
    <w:pPr>
      <w:widowControl/>
      <w:ind w:firstLine="420"/>
      <w:jc w:val="left"/>
    </w:pPr>
    <w:rPr>
      <w:kern w:val="0"/>
      <w:sz w:val="20"/>
    </w:rPr>
  </w:style>
  <w:style w:type="paragraph" w:customStyle="1" w:styleId="46">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7">
    <w:name w:val="正文文本 (2) + 间距 0 pt3"/>
    <w:basedOn w:val="16"/>
    <w:qFormat/>
    <w:uiPriority w:val="0"/>
    <w:rPr>
      <w:rFonts w:ascii="MingLiU" w:hAnsi="Times New Roman" w:eastAsia="MingLiU" w:cs="MingLiU"/>
      <w:spacing w:val="0"/>
      <w:sz w:val="22"/>
      <w:szCs w:val="22"/>
      <w:u w:val="none"/>
    </w:rPr>
  </w:style>
  <w:style w:type="character" w:customStyle="1" w:styleId="48">
    <w:name w:val="hover21"/>
    <w:basedOn w:val="16"/>
    <w:qFormat/>
    <w:uiPriority w:val="0"/>
    <w:rPr>
      <w:color w:val="5FB878"/>
    </w:rPr>
  </w:style>
  <w:style w:type="character" w:customStyle="1" w:styleId="49">
    <w:name w:val="hover22"/>
    <w:basedOn w:val="16"/>
    <w:qFormat/>
    <w:uiPriority w:val="0"/>
    <w:rPr>
      <w:color w:val="FFFFFF"/>
    </w:rPr>
  </w:style>
  <w:style w:type="character" w:customStyle="1" w:styleId="50">
    <w:name w:val="hover23"/>
    <w:basedOn w:val="16"/>
    <w:qFormat/>
    <w:uiPriority w:val="0"/>
    <w:rPr>
      <w:color w:val="5FB878"/>
    </w:rPr>
  </w:style>
  <w:style w:type="paragraph" w:customStyle="1" w:styleId="5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4"/>
    <w:qFormat/>
    <w:uiPriority w:val="0"/>
    <w:pPr>
      <w:widowControl w:val="0"/>
      <w:jc w:val="both"/>
    </w:pPr>
    <w:rPr>
      <w:rFonts w:ascii="Calibri" w:hAnsi="Calibri" w:eastAsia="宋体" w:cs="黑体"/>
      <w:kern w:val="2"/>
      <w:sz w:val="21"/>
      <w:szCs w:val="24"/>
      <w:lang w:val="en-US" w:eastAsia="zh-CN" w:bidi="ar-SA"/>
    </w:rPr>
  </w:style>
  <w:style w:type="paragraph" w:customStyle="1" w:styleId="52">
    <w:name w:val="Default"/>
    <w:qFormat/>
    <w:uiPriority w:val="0"/>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3">
    <w:name w:val="UserStyle_76"/>
    <w:qFormat/>
    <w:uiPriority w:val="0"/>
    <w:pPr>
      <w:spacing w:line="360" w:lineRule="auto"/>
      <w:ind w:firstLine="420"/>
      <w:jc w:val="left"/>
      <w:textAlignment w:val="baseline"/>
    </w:pPr>
    <w:rPr>
      <w:rFonts w:ascii="宋体" w:hAnsi="Times New Roman" w:eastAsia="宋体" w:cs="宋体"/>
      <w:kern w:val="0"/>
      <w:sz w:val="20"/>
      <w:szCs w:val="20"/>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8.png"/><Relationship Id="rId55" Type="http://schemas.openxmlformats.org/officeDocument/2006/relationships/image" Target="media/image17.jpe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wmf"/><Relationship Id="rId51" Type="http://schemas.openxmlformats.org/officeDocument/2006/relationships/oleObject" Target="embeddings/oleObject12.bin"/><Relationship Id="rId50" Type="http://schemas.openxmlformats.org/officeDocument/2006/relationships/image" Target="media/image13.wmf"/><Relationship Id="rId5" Type="http://schemas.openxmlformats.org/officeDocument/2006/relationships/footer" Target="footer2.xml"/><Relationship Id="rId49" Type="http://schemas.openxmlformats.org/officeDocument/2006/relationships/oleObject" Target="embeddings/oleObject11.bin"/><Relationship Id="rId48" Type="http://schemas.openxmlformats.org/officeDocument/2006/relationships/image" Target="media/image12.wmf"/><Relationship Id="rId47" Type="http://schemas.openxmlformats.org/officeDocument/2006/relationships/oleObject" Target="embeddings/oleObject10.bin"/><Relationship Id="rId46" Type="http://schemas.openxmlformats.org/officeDocument/2006/relationships/image" Target="media/image11.wmf"/><Relationship Id="rId45" Type="http://schemas.openxmlformats.org/officeDocument/2006/relationships/oleObject" Target="embeddings/oleObject9.bin"/><Relationship Id="rId44" Type="http://schemas.openxmlformats.org/officeDocument/2006/relationships/image" Target="media/image10.wmf"/><Relationship Id="rId43" Type="http://schemas.openxmlformats.org/officeDocument/2006/relationships/oleObject" Target="embeddings/oleObject8.bin"/><Relationship Id="rId42" Type="http://schemas.openxmlformats.org/officeDocument/2006/relationships/image" Target="media/image9.wmf"/><Relationship Id="rId41" Type="http://schemas.openxmlformats.org/officeDocument/2006/relationships/oleObject" Target="embeddings/oleObject7.bin"/><Relationship Id="rId40" Type="http://schemas.openxmlformats.org/officeDocument/2006/relationships/image" Target="media/image8.wmf"/><Relationship Id="rId4" Type="http://schemas.openxmlformats.org/officeDocument/2006/relationships/footer" Target="footer1.xml"/><Relationship Id="rId39" Type="http://schemas.openxmlformats.org/officeDocument/2006/relationships/oleObject" Target="embeddings/oleObject6.bin"/><Relationship Id="rId38" Type="http://schemas.openxmlformats.org/officeDocument/2006/relationships/image" Target="media/image7.wmf"/><Relationship Id="rId37" Type="http://schemas.openxmlformats.org/officeDocument/2006/relationships/oleObject" Target="embeddings/oleObject5.bin"/><Relationship Id="rId36" Type="http://schemas.openxmlformats.org/officeDocument/2006/relationships/image" Target="media/image6.wmf"/><Relationship Id="rId35" Type="http://schemas.openxmlformats.org/officeDocument/2006/relationships/oleObject" Target="embeddings/oleObject4.bin"/><Relationship Id="rId34" Type="http://schemas.openxmlformats.org/officeDocument/2006/relationships/image" Target="media/image5.wmf"/><Relationship Id="rId33" Type="http://schemas.openxmlformats.org/officeDocument/2006/relationships/oleObject" Target="embeddings/oleObject3.bin"/><Relationship Id="rId32" Type="http://schemas.openxmlformats.org/officeDocument/2006/relationships/image" Target="media/image4.wmf"/><Relationship Id="rId31" Type="http://schemas.openxmlformats.org/officeDocument/2006/relationships/oleObject" Target="embeddings/oleObject2.bin"/><Relationship Id="rId30" Type="http://schemas.openxmlformats.org/officeDocument/2006/relationships/image" Target="media/image3.wmf"/><Relationship Id="rId3" Type="http://schemas.openxmlformats.org/officeDocument/2006/relationships/header" Target="header1.xml"/><Relationship Id="rId29" Type="http://schemas.openxmlformats.org/officeDocument/2006/relationships/oleObject" Target="embeddings/oleObject1.bin"/><Relationship Id="rId28" Type="http://schemas.openxmlformats.org/officeDocument/2006/relationships/image" Target="media/image2.png"/><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93</Pages>
  <Words>11778</Words>
  <Characters>12950</Characters>
  <Lines>0</Lines>
  <Paragraphs>0</Paragraphs>
  <TotalTime>1</TotalTime>
  <ScaleCrop>false</ScaleCrop>
  <LinksUpToDate>false</LinksUpToDate>
  <CharactersWithSpaces>13340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2024-09-28T04:36:00Z</dcterms:created>
  <dc:creator>Administrator</dc:creator>
  <cp:lastModifiedBy>Joan</cp:lastModifiedBy>
  <cp:lastPrinted>2024-09-29T01:33:00Z</cp:lastPrinted>
  <dcterms:modified xsi:type="dcterms:W3CDTF">2026-10-23T02:32:24Z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FA6F3D7CC40442FEA48298AF602B2B63_11</vt:lpwstr>
  </property>
  <property fmtid="{D5CDD505-2E9C-101B-9397-08002B2CF9AE}" pid="4" name="KSOTemplateDocerSaveRecord">
    <vt:lpwstr>eyJoZGlkIjoiYjQwM2Y3NzFlMzYxMjg1ZDIzMWMxODRhNGZiMGZmMWIiLCJ1c2VySWQiOiIzNjk4MTQwMjcifQ==</vt:lpwstr>
  </property>
</Properties>
</file>