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b/>
          <w:bCs/>
          <w:color w:val="auto"/>
          <w:kern w:val="2"/>
          <w:sz w:val="52"/>
          <w:szCs w:val="60"/>
          <w:highlight w:val="none"/>
          <w:u w:val="none"/>
          <w:lang w:val="en-US" w:eastAsia="zh-CN" w:bidi="ar-SA"/>
        </w:rPr>
        <w:drawing>
          <wp:inline distT="0" distB="0" distL="114300" distR="114300">
            <wp:extent cx="6182360" cy="8768715"/>
            <wp:effectExtent l="0" t="0" r="2540" b="6985"/>
            <wp:docPr id="2" name="图片 2" descr="招文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招文封面"/>
                    <pic:cNvPicPr>
                      <a:picLocks noChangeAspect="1"/>
                    </pic:cNvPicPr>
                  </pic:nvPicPr>
                  <pic:blipFill>
                    <a:blip r:embed="rId26"/>
                    <a:stretch>
                      <a:fillRect/>
                    </a:stretch>
                  </pic:blipFill>
                  <pic:spPr>
                    <a:xfrm>
                      <a:off x="0" y="0"/>
                      <a:ext cx="6182360" cy="8768715"/>
                    </a:xfrm>
                    <a:prstGeom prst="rect">
                      <a:avLst/>
                    </a:prstGeom>
                  </pic:spPr>
                </pic:pic>
              </a:graphicData>
            </a:graphic>
          </wp:inline>
        </w:drawing>
      </w:r>
      <w:bookmarkStart w:id="266" w:name="_GoBack"/>
      <w:bookmarkEnd w:id="266"/>
    </w:p>
    <w:p>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pPr>
        <w:pStyle w:val="9"/>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_Toc10396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第一章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_Toc10396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4"/>
          <w:highlight w:val="none"/>
        </w:rPr>
        <w:fldChar w:fldCharType="end"/>
      </w:r>
    </w:p>
    <w:p>
      <w:pPr>
        <w:pStyle w:val="10"/>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_Toc18416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第一节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_Toc18416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4"/>
          <w:highlight w:val="none"/>
        </w:rPr>
        <w:fldChar w:fldCharType="end"/>
      </w:r>
    </w:p>
    <w:p>
      <w:pPr>
        <w:pStyle w:val="10"/>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_Toc21896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_Toc21896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zCs w:val="24"/>
          <w:highlight w:val="none"/>
        </w:rPr>
        <w:fldChar w:fldCharType="end"/>
      </w:r>
    </w:p>
    <w:p>
      <w:pPr>
        <w:pStyle w:val="10"/>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_Toc1462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第三节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_Toc1462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_Toc22331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4"/>
          <w:szCs w:val="24"/>
          <w:highlight w:val="none"/>
        </w:rPr>
        <w:t>．项目概况、招标范围和标段划分、投标费用等</w:t>
      </w:r>
      <w:r>
        <w:rPr>
          <w:color w:val="auto"/>
          <w:highlight w:val="none"/>
        </w:rPr>
        <w:tab/>
      </w:r>
      <w:r>
        <w:rPr>
          <w:color w:val="auto"/>
          <w:highlight w:val="none"/>
        </w:rPr>
        <w:fldChar w:fldCharType="begin"/>
      </w:r>
      <w:r>
        <w:rPr>
          <w:color w:val="auto"/>
          <w:highlight w:val="none"/>
        </w:rPr>
        <w:instrText xml:space="preserve"> PAGEREF _Toc22331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_Toc13750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zCs w:val="24"/>
          <w:highlight w:val="none"/>
        </w:rPr>
        <w:t>2．</w:t>
      </w:r>
      <w:r>
        <w:rPr>
          <w:rFonts w:hint="eastAsia" w:ascii="宋体" w:hAnsi="宋体" w:eastAsia="宋体" w:cs="宋体"/>
          <w:bCs w:val="0"/>
          <w:color w:val="auto"/>
          <w:szCs w:val="24"/>
          <w:highlight w:val="none"/>
          <w:lang w:eastAsia="zh-CN"/>
        </w:rPr>
        <w:t>投标人</w:t>
      </w:r>
      <w:r>
        <w:rPr>
          <w:rFonts w:hint="eastAsia" w:ascii="宋体" w:hAnsi="宋体" w:eastAsia="宋体" w:cs="宋体"/>
          <w:bCs w:val="0"/>
          <w:color w:val="auto"/>
          <w:szCs w:val="24"/>
          <w:highlight w:val="none"/>
        </w:rPr>
        <w:t>资质要求</w:t>
      </w:r>
      <w:r>
        <w:rPr>
          <w:color w:val="auto"/>
          <w:highlight w:val="none"/>
        </w:rPr>
        <w:tab/>
      </w:r>
      <w:r>
        <w:rPr>
          <w:color w:val="auto"/>
          <w:highlight w:val="none"/>
        </w:rPr>
        <w:fldChar w:fldCharType="begin"/>
      </w:r>
      <w:r>
        <w:rPr>
          <w:color w:val="auto"/>
          <w:highlight w:val="none"/>
        </w:rPr>
        <w:instrText xml:space="preserve"> PAGEREF _Toc13750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_Toc30102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_Toc30102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_Toc26290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8"/>
          <w:szCs w:val="24"/>
          <w:highlight w:val="none"/>
          <w:lang w:val="en-US" w:eastAsia="zh-CN"/>
        </w:rPr>
        <w:t xml:space="preserve"> </w:t>
      </w:r>
      <w:r>
        <w:rPr>
          <w:rFonts w:hint="eastAsia" w:ascii="宋体" w:hAnsi="宋体" w:eastAsia="宋体" w:cs="宋体"/>
          <w:bCs/>
          <w:color w:val="auto"/>
          <w:spacing w:val="-8"/>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_Toc26290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_Toc30997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5</w:t>
      </w:r>
      <w:r>
        <w:rPr>
          <w:rFonts w:hint="eastAsia" w:ascii="宋体" w:hAnsi="宋体" w:eastAsia="宋体" w:cs="宋体"/>
          <w:bCs/>
          <w:color w:val="auto"/>
          <w:spacing w:val="-5"/>
          <w:szCs w:val="24"/>
          <w:highlight w:val="none"/>
          <w:lang w:val="en-US" w:eastAsia="zh-CN"/>
        </w:rPr>
        <w:t xml:space="preserve"> </w:t>
      </w:r>
      <w:r>
        <w:rPr>
          <w:rFonts w:hint="eastAsia" w:ascii="宋体" w:hAnsi="宋体" w:eastAsia="宋体" w:cs="宋体"/>
          <w:bCs/>
          <w:color w:val="auto"/>
          <w:spacing w:val="-5"/>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_Toc30997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_Toc26869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6"/>
          <w:szCs w:val="24"/>
          <w:highlight w:val="none"/>
        </w:rPr>
        <w:t>．施工条件及现场踏勘</w:t>
      </w:r>
      <w:r>
        <w:rPr>
          <w:color w:val="auto"/>
          <w:highlight w:val="none"/>
        </w:rPr>
        <w:tab/>
      </w:r>
      <w:r>
        <w:rPr>
          <w:color w:val="auto"/>
          <w:highlight w:val="none"/>
        </w:rPr>
        <w:fldChar w:fldCharType="begin"/>
      </w:r>
      <w:r>
        <w:rPr>
          <w:color w:val="auto"/>
          <w:highlight w:val="none"/>
        </w:rPr>
        <w:instrText xml:space="preserve"> PAGEREF _Toc26869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_Toc23472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7</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5"/>
          <w:szCs w:val="24"/>
          <w:highlight w:val="none"/>
        </w:rPr>
        <w:t>．招标文件的提问和答疑</w:t>
      </w:r>
      <w:r>
        <w:rPr>
          <w:color w:val="auto"/>
          <w:highlight w:val="none"/>
        </w:rPr>
        <w:tab/>
      </w:r>
      <w:r>
        <w:rPr>
          <w:color w:val="auto"/>
          <w:highlight w:val="none"/>
        </w:rPr>
        <w:fldChar w:fldCharType="begin"/>
      </w:r>
      <w:r>
        <w:rPr>
          <w:color w:val="auto"/>
          <w:highlight w:val="none"/>
        </w:rPr>
        <w:instrText xml:space="preserve"> PAGEREF _Toc23472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_Toc22045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8</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5"/>
          <w:szCs w:val="24"/>
          <w:highlight w:val="none"/>
        </w:rPr>
        <w:t>．</w:t>
      </w:r>
      <w:r>
        <w:rPr>
          <w:rFonts w:hint="eastAsia" w:ascii="宋体" w:hAnsi="宋体" w:eastAsia="宋体" w:cs="宋体"/>
          <w:bCs/>
          <w:color w:val="auto"/>
          <w:spacing w:val="-1"/>
          <w:szCs w:val="24"/>
          <w:highlight w:val="none"/>
          <w:lang w:val="en-US" w:eastAsia="zh-CN"/>
        </w:rPr>
        <w:t>最高投标限价</w:t>
      </w:r>
      <w:r>
        <w:rPr>
          <w:color w:val="auto"/>
          <w:highlight w:val="none"/>
        </w:rPr>
        <w:tab/>
      </w:r>
      <w:r>
        <w:rPr>
          <w:color w:val="auto"/>
          <w:highlight w:val="none"/>
        </w:rPr>
        <w:fldChar w:fldCharType="begin"/>
      </w:r>
      <w:r>
        <w:rPr>
          <w:color w:val="auto"/>
          <w:highlight w:val="none"/>
        </w:rPr>
        <w:instrText xml:space="preserve"> PAGEREF _Toc22045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_Toc25063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9</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8"/>
          <w:szCs w:val="24"/>
          <w:highlight w:val="none"/>
        </w:rPr>
        <w:t>．投标报价</w:t>
      </w:r>
      <w:r>
        <w:rPr>
          <w:color w:val="auto"/>
          <w:highlight w:val="none"/>
        </w:rPr>
        <w:tab/>
      </w:r>
      <w:r>
        <w:rPr>
          <w:color w:val="auto"/>
          <w:highlight w:val="none"/>
        </w:rPr>
        <w:fldChar w:fldCharType="begin"/>
      </w:r>
      <w:r>
        <w:rPr>
          <w:color w:val="auto"/>
          <w:highlight w:val="none"/>
        </w:rPr>
        <w:instrText xml:space="preserve"> PAGEREF _Toc25063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_Toc13448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10</w:t>
      </w:r>
      <w:r>
        <w:rPr>
          <w:rFonts w:hint="eastAsia" w:ascii="宋体" w:hAnsi="宋体" w:eastAsia="宋体" w:cs="宋体"/>
          <w:bCs/>
          <w:color w:val="auto"/>
          <w:spacing w:val="-21"/>
          <w:szCs w:val="24"/>
          <w:highlight w:val="none"/>
        </w:rPr>
        <w:t xml:space="preserve"> </w:t>
      </w:r>
      <w:r>
        <w:rPr>
          <w:rFonts w:hint="eastAsia" w:ascii="宋体" w:hAnsi="宋体" w:eastAsia="宋体" w:cs="宋体"/>
          <w:bCs/>
          <w:color w:val="auto"/>
          <w:spacing w:val="-6"/>
          <w:szCs w:val="24"/>
          <w:highlight w:val="none"/>
        </w:rPr>
        <w:t>．投标文件的编制要求</w:t>
      </w:r>
      <w:r>
        <w:rPr>
          <w:color w:val="auto"/>
          <w:highlight w:val="none"/>
        </w:rPr>
        <w:tab/>
      </w:r>
      <w:r>
        <w:rPr>
          <w:color w:val="auto"/>
          <w:highlight w:val="none"/>
        </w:rPr>
        <w:fldChar w:fldCharType="begin"/>
      </w:r>
      <w:r>
        <w:rPr>
          <w:color w:val="auto"/>
          <w:highlight w:val="none"/>
        </w:rPr>
        <w:instrText xml:space="preserve"> PAGEREF _Toc13448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_Toc25878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rPr>
        <w:t>11.</w:t>
      </w:r>
      <w:r>
        <w:rPr>
          <w:rFonts w:hint="eastAsia" w:ascii="宋体" w:hAnsi="宋体" w:eastAsia="宋体" w:cs="宋体"/>
          <w:bCs/>
          <w:color w:val="auto"/>
          <w:spacing w:val="20"/>
          <w:szCs w:val="24"/>
          <w:highlight w:val="none"/>
        </w:rPr>
        <w:t xml:space="preserve"> </w:t>
      </w:r>
      <w:r>
        <w:rPr>
          <w:rFonts w:hint="eastAsia" w:ascii="宋体" w:hAnsi="宋体" w:eastAsia="宋体" w:cs="宋体"/>
          <w:color w:val="auto"/>
          <w:spacing w:val="-9"/>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_Toc25878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_Toc31434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lang w:val="en-US" w:eastAsia="zh-CN"/>
        </w:rPr>
        <w:t>12.</w:t>
      </w:r>
      <w:r>
        <w:rPr>
          <w:rFonts w:hint="eastAsia" w:ascii="宋体" w:hAnsi="宋体" w:eastAsia="宋体" w:cs="宋体"/>
          <w:bCs/>
          <w:color w:val="auto"/>
          <w:spacing w:val="22"/>
          <w:w w:val="101"/>
          <w:szCs w:val="24"/>
          <w:highlight w:val="none"/>
        </w:rPr>
        <w:t xml:space="preserve"> </w:t>
      </w:r>
      <w:r>
        <w:rPr>
          <w:rFonts w:hint="eastAsia" w:ascii="宋体" w:hAnsi="宋体" w:eastAsia="宋体" w:cs="宋体"/>
          <w:bCs/>
          <w:color w:val="auto"/>
          <w:spacing w:val="-4"/>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_Toc31434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_Toc8579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13</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7"/>
          <w:szCs w:val="24"/>
          <w:highlight w:val="none"/>
        </w:rPr>
        <w:t>．投标文件的提交</w:t>
      </w:r>
      <w:r>
        <w:rPr>
          <w:color w:val="auto"/>
          <w:highlight w:val="none"/>
        </w:rPr>
        <w:tab/>
      </w:r>
      <w:r>
        <w:rPr>
          <w:color w:val="auto"/>
          <w:highlight w:val="none"/>
        </w:rPr>
        <w:fldChar w:fldCharType="begin"/>
      </w:r>
      <w:r>
        <w:rPr>
          <w:color w:val="auto"/>
          <w:highlight w:val="none"/>
        </w:rPr>
        <w:instrText xml:space="preserve"> PAGEREF _Toc8579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_Toc7179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14</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．开标</w:t>
      </w:r>
      <w:r>
        <w:rPr>
          <w:color w:val="auto"/>
          <w:highlight w:val="none"/>
        </w:rPr>
        <w:tab/>
      </w:r>
      <w:r>
        <w:rPr>
          <w:color w:val="auto"/>
          <w:highlight w:val="none"/>
        </w:rPr>
        <w:fldChar w:fldCharType="begin"/>
      </w:r>
      <w:r>
        <w:rPr>
          <w:color w:val="auto"/>
          <w:highlight w:val="none"/>
        </w:rPr>
        <w:instrText xml:space="preserve"> PAGEREF _Toc7179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_Toc11718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15</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．评标</w:t>
      </w:r>
      <w:r>
        <w:rPr>
          <w:color w:val="auto"/>
          <w:highlight w:val="none"/>
        </w:rPr>
        <w:tab/>
      </w:r>
      <w:r>
        <w:rPr>
          <w:color w:val="auto"/>
          <w:highlight w:val="none"/>
        </w:rPr>
        <w:fldChar w:fldCharType="begin"/>
      </w:r>
      <w:r>
        <w:rPr>
          <w:color w:val="auto"/>
          <w:highlight w:val="none"/>
        </w:rPr>
        <w:instrText xml:space="preserve"> PAGEREF _Toc11718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_Toc19536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16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7"/>
          <w:szCs w:val="24"/>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_Toc19536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4"/>
          <w:highlight w:val="none"/>
        </w:rPr>
        <w:fldChar w:fldCharType="end"/>
      </w:r>
    </w:p>
    <w:p>
      <w:pPr>
        <w:pStyle w:val="10"/>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_Toc11892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第四节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_Toc11892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_Toc25582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．资格评审环节</w:t>
      </w:r>
      <w:r>
        <w:rPr>
          <w:color w:val="auto"/>
          <w:highlight w:val="none"/>
        </w:rPr>
        <w:tab/>
      </w:r>
      <w:r>
        <w:rPr>
          <w:color w:val="auto"/>
          <w:highlight w:val="none"/>
        </w:rPr>
        <w:fldChar w:fldCharType="begin"/>
      </w:r>
      <w:r>
        <w:rPr>
          <w:color w:val="auto"/>
          <w:highlight w:val="none"/>
        </w:rPr>
        <w:instrText xml:space="preserve"> PAGEREF _Toc25582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_Toc12351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．形式评审环节</w:t>
      </w:r>
      <w:r>
        <w:rPr>
          <w:color w:val="auto"/>
          <w:highlight w:val="none"/>
        </w:rPr>
        <w:tab/>
      </w:r>
      <w:r>
        <w:rPr>
          <w:color w:val="auto"/>
          <w:highlight w:val="none"/>
        </w:rPr>
        <w:fldChar w:fldCharType="begin"/>
      </w:r>
      <w:r>
        <w:rPr>
          <w:color w:val="auto"/>
          <w:highlight w:val="none"/>
        </w:rPr>
        <w:instrText xml:space="preserve"> PAGEREF _Toc12351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_Toc17341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3</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6"/>
          <w:szCs w:val="24"/>
          <w:highlight w:val="none"/>
        </w:rPr>
        <w:t>．响应性评审环节</w:t>
      </w:r>
      <w:r>
        <w:rPr>
          <w:color w:val="auto"/>
          <w:highlight w:val="none"/>
        </w:rPr>
        <w:tab/>
      </w:r>
      <w:r>
        <w:rPr>
          <w:color w:val="auto"/>
          <w:highlight w:val="none"/>
        </w:rPr>
        <w:fldChar w:fldCharType="begin"/>
      </w:r>
      <w:r>
        <w:rPr>
          <w:color w:val="auto"/>
          <w:highlight w:val="none"/>
        </w:rPr>
        <w:instrText xml:space="preserve"> PAGEREF _Toc17341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_Toc9185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4</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11"/>
          <w:szCs w:val="24"/>
          <w:highlight w:val="none"/>
        </w:rPr>
        <w:t>．其他</w:t>
      </w:r>
      <w:r>
        <w:rPr>
          <w:color w:val="auto"/>
          <w:highlight w:val="none"/>
        </w:rPr>
        <w:tab/>
      </w:r>
      <w:r>
        <w:rPr>
          <w:color w:val="auto"/>
          <w:highlight w:val="none"/>
        </w:rPr>
        <w:fldChar w:fldCharType="begin"/>
      </w:r>
      <w:r>
        <w:rPr>
          <w:color w:val="auto"/>
          <w:highlight w:val="none"/>
        </w:rPr>
        <w:instrText xml:space="preserve"> PAGEREF _Toc9185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4"/>
          <w:highlight w:val="none"/>
        </w:rPr>
        <w:fldChar w:fldCharType="end"/>
      </w:r>
    </w:p>
    <w:p>
      <w:pPr>
        <w:pStyle w:val="9"/>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_Toc26569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第二章</w:t>
      </w:r>
      <w:r>
        <w:rPr>
          <w:rFonts w:hint="eastAsia" w:ascii="宋体" w:hAnsi="宋体" w:eastAsia="宋体" w:cs="宋体"/>
          <w:color w:val="auto"/>
          <w:spacing w:val="32"/>
          <w:szCs w:val="24"/>
          <w:highlight w:val="none"/>
        </w:rPr>
        <w:t xml:space="preserve"> </w:t>
      </w:r>
      <w:r>
        <w:rPr>
          <w:rFonts w:hint="eastAsia" w:ascii="宋体" w:hAnsi="宋体" w:eastAsia="宋体" w:cs="宋体"/>
          <w:bCs/>
          <w:color w:val="auto"/>
          <w:spacing w:val="-7"/>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_Toc26569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_Toc4746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rPr>
        <w:t>1</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9"/>
          <w:szCs w:val="24"/>
          <w:highlight w:val="none"/>
        </w:rPr>
        <w:t>．中标通知书</w:t>
      </w:r>
      <w:r>
        <w:rPr>
          <w:color w:val="auto"/>
          <w:highlight w:val="none"/>
        </w:rPr>
        <w:tab/>
      </w:r>
      <w:r>
        <w:rPr>
          <w:color w:val="auto"/>
          <w:highlight w:val="none"/>
        </w:rPr>
        <w:fldChar w:fldCharType="begin"/>
      </w:r>
      <w:r>
        <w:rPr>
          <w:color w:val="auto"/>
          <w:highlight w:val="none"/>
        </w:rPr>
        <w:instrText xml:space="preserve"> PAGEREF _Toc4746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_Toc1161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．中标结果公示</w:t>
      </w:r>
      <w:r>
        <w:rPr>
          <w:color w:val="auto"/>
          <w:highlight w:val="none"/>
        </w:rPr>
        <w:tab/>
      </w:r>
      <w:r>
        <w:rPr>
          <w:color w:val="auto"/>
          <w:highlight w:val="none"/>
        </w:rPr>
        <w:fldChar w:fldCharType="begin"/>
      </w:r>
      <w:r>
        <w:rPr>
          <w:color w:val="auto"/>
          <w:highlight w:val="none"/>
        </w:rPr>
        <w:instrText xml:space="preserve"> PAGEREF _Toc1161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_Toc5812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_Toc5812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_Toc10991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8"/>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_Toc10991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_Toc17531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5</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6"/>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_Toc17531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4"/>
          <w:highlight w:val="none"/>
        </w:rPr>
        <w:fldChar w:fldCharType="end"/>
      </w:r>
    </w:p>
    <w:p>
      <w:pPr>
        <w:pStyle w:val="9"/>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_Toc4553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第三章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_Toc4553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_Toc17914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．工程承包方式</w:t>
      </w:r>
      <w:r>
        <w:rPr>
          <w:color w:val="auto"/>
          <w:highlight w:val="none"/>
        </w:rPr>
        <w:tab/>
      </w:r>
      <w:r>
        <w:rPr>
          <w:color w:val="auto"/>
          <w:highlight w:val="none"/>
        </w:rPr>
        <w:fldChar w:fldCharType="begin"/>
      </w:r>
      <w:r>
        <w:rPr>
          <w:color w:val="auto"/>
          <w:highlight w:val="none"/>
        </w:rPr>
        <w:instrText xml:space="preserve"> PAGEREF _Toc17914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_Toc22342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．工程结算原则</w:t>
      </w:r>
      <w:r>
        <w:rPr>
          <w:color w:val="auto"/>
          <w:highlight w:val="none"/>
        </w:rPr>
        <w:tab/>
      </w:r>
      <w:r>
        <w:rPr>
          <w:color w:val="auto"/>
          <w:highlight w:val="none"/>
        </w:rPr>
        <w:fldChar w:fldCharType="begin"/>
      </w:r>
      <w:r>
        <w:rPr>
          <w:color w:val="auto"/>
          <w:highlight w:val="none"/>
        </w:rPr>
        <w:instrText xml:space="preserve"> PAGEREF _Toc22342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_Toc21301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_Toc21301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_Toc25509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4</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7"/>
          <w:szCs w:val="24"/>
          <w:highlight w:val="none"/>
        </w:rPr>
        <w:t>．其他专用合同条款</w:t>
      </w:r>
      <w:r>
        <w:rPr>
          <w:color w:val="auto"/>
          <w:highlight w:val="none"/>
        </w:rPr>
        <w:tab/>
      </w:r>
      <w:r>
        <w:rPr>
          <w:color w:val="auto"/>
          <w:highlight w:val="none"/>
        </w:rPr>
        <w:fldChar w:fldCharType="begin"/>
      </w:r>
      <w:r>
        <w:rPr>
          <w:color w:val="auto"/>
          <w:highlight w:val="none"/>
        </w:rPr>
        <w:instrText xml:space="preserve"> PAGEREF _Toc25509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eastAsia="宋体" w:cs="宋体"/>
          <w:color w:val="auto"/>
          <w:szCs w:val="24"/>
          <w:highlight w:val="none"/>
        </w:rPr>
        <w:fldChar w:fldCharType="end"/>
      </w:r>
    </w:p>
    <w:p>
      <w:pPr>
        <w:pStyle w:val="9"/>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_Toc10893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第四章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_Toc10893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_Toc7766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6"/>
          <w:szCs w:val="24"/>
          <w:highlight w:val="none"/>
        </w:rPr>
        <w:t>．</w:t>
      </w:r>
      <w:r>
        <w:rPr>
          <w:rFonts w:hint="eastAsia" w:ascii="宋体" w:hAnsi="宋体" w:eastAsia="宋体" w:cs="宋体"/>
          <w:bCs/>
          <w:color w:val="auto"/>
          <w:spacing w:val="-1"/>
          <w:szCs w:val="24"/>
          <w:highlight w:val="none"/>
        </w:rPr>
        <w:t>房屋建筑工程建设项目</w:t>
      </w:r>
      <w:r>
        <w:rPr>
          <w:color w:val="auto"/>
          <w:highlight w:val="none"/>
        </w:rPr>
        <w:tab/>
      </w:r>
      <w:r>
        <w:rPr>
          <w:color w:val="auto"/>
          <w:highlight w:val="none"/>
        </w:rPr>
        <w:fldChar w:fldCharType="begin"/>
      </w:r>
      <w:r>
        <w:rPr>
          <w:color w:val="auto"/>
          <w:highlight w:val="none"/>
        </w:rPr>
        <w:instrText xml:space="preserve"> PAGEREF _Toc7766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_Toc5612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2</w:t>
      </w:r>
      <w:r>
        <w:rPr>
          <w:rFonts w:hint="eastAsia" w:ascii="宋体" w:hAnsi="宋体" w:eastAsia="宋体" w:cs="宋体"/>
          <w:bCs/>
          <w:color w:val="auto"/>
          <w:spacing w:val="-18"/>
          <w:szCs w:val="24"/>
          <w:highlight w:val="none"/>
        </w:rPr>
        <w:t xml:space="preserve"> </w:t>
      </w:r>
      <w:r>
        <w:rPr>
          <w:rFonts w:hint="eastAsia" w:ascii="宋体" w:hAnsi="宋体" w:eastAsia="宋体" w:cs="宋体"/>
          <w:bCs/>
          <w:color w:val="auto"/>
          <w:spacing w:val="-5"/>
          <w:szCs w:val="24"/>
          <w:highlight w:val="none"/>
        </w:rPr>
        <w:t>．市政基础设施工程建设项目</w:t>
      </w:r>
      <w:r>
        <w:rPr>
          <w:color w:val="auto"/>
          <w:highlight w:val="none"/>
        </w:rPr>
        <w:tab/>
      </w:r>
      <w:r>
        <w:rPr>
          <w:color w:val="auto"/>
          <w:highlight w:val="none"/>
        </w:rPr>
        <w:fldChar w:fldCharType="begin"/>
      </w:r>
      <w:r>
        <w:rPr>
          <w:color w:val="auto"/>
          <w:highlight w:val="none"/>
        </w:rPr>
        <w:instrText xml:space="preserve"> PAGEREF _Toc5612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_Toc28940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．备查要求</w:t>
      </w:r>
      <w:r>
        <w:rPr>
          <w:color w:val="auto"/>
          <w:highlight w:val="none"/>
        </w:rPr>
        <w:tab/>
      </w:r>
      <w:r>
        <w:rPr>
          <w:color w:val="auto"/>
          <w:highlight w:val="none"/>
        </w:rPr>
        <w:fldChar w:fldCharType="begin"/>
      </w:r>
      <w:r>
        <w:rPr>
          <w:color w:val="auto"/>
          <w:highlight w:val="none"/>
        </w:rPr>
        <w:instrText xml:space="preserve"> PAGEREF _Toc28940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4"/>
          <w:highlight w:val="none"/>
        </w:rPr>
        <w:fldChar w:fldCharType="end"/>
      </w:r>
    </w:p>
    <w:p>
      <w:pPr>
        <w:pStyle w:val="9"/>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_Toc10737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第五章</w:t>
      </w:r>
      <w:r>
        <w:rPr>
          <w:rFonts w:hint="eastAsia" w:ascii="宋体" w:hAnsi="宋体" w:eastAsia="宋体" w:cs="宋体"/>
          <w:color w:val="auto"/>
          <w:spacing w:val="33"/>
          <w:szCs w:val="24"/>
          <w:highlight w:val="none"/>
        </w:rPr>
        <w:t xml:space="preserve"> </w:t>
      </w:r>
      <w:r>
        <w:rPr>
          <w:rFonts w:hint="eastAsia" w:ascii="宋体" w:hAnsi="宋体" w:eastAsia="宋体" w:cs="宋体"/>
          <w:bCs/>
          <w:color w:val="auto"/>
          <w:spacing w:val="-5"/>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_Toc10737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_Toc12447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4"/>
          <w:szCs w:val="24"/>
          <w:highlight w:val="none"/>
        </w:rPr>
        <w:t>1</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14"/>
          <w:szCs w:val="24"/>
          <w:highlight w:val="none"/>
        </w:rPr>
        <w:t>．图纸</w:t>
      </w:r>
      <w:r>
        <w:rPr>
          <w:color w:val="auto"/>
          <w:highlight w:val="none"/>
        </w:rPr>
        <w:tab/>
      </w:r>
      <w:r>
        <w:rPr>
          <w:color w:val="auto"/>
          <w:highlight w:val="none"/>
        </w:rPr>
        <w:fldChar w:fldCharType="begin"/>
      </w:r>
      <w:r>
        <w:rPr>
          <w:color w:val="auto"/>
          <w:highlight w:val="none"/>
        </w:rPr>
        <w:instrText xml:space="preserve"> PAGEREF _Toc12447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_Toc6127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2</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6"/>
          <w:szCs w:val="24"/>
          <w:highlight w:val="none"/>
        </w:rPr>
        <w:t>．招标工程量清单</w:t>
      </w:r>
      <w:r>
        <w:rPr>
          <w:color w:val="auto"/>
          <w:highlight w:val="none"/>
        </w:rPr>
        <w:tab/>
      </w:r>
      <w:r>
        <w:rPr>
          <w:color w:val="auto"/>
          <w:highlight w:val="none"/>
        </w:rPr>
        <w:fldChar w:fldCharType="begin"/>
      </w:r>
      <w:r>
        <w:rPr>
          <w:color w:val="auto"/>
          <w:highlight w:val="none"/>
        </w:rPr>
        <w:instrText xml:space="preserve"> PAGEREF _Toc6127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zCs w:val="24"/>
          <w:highlight w:val="none"/>
        </w:rPr>
        <w:fldChar w:fldCharType="end"/>
      </w:r>
    </w:p>
    <w:p>
      <w:pPr>
        <w:pStyle w:val="9"/>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_Toc423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第六章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_Toc423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_Toc28797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格式一</w:t>
      </w:r>
      <w:r>
        <w:rPr>
          <w:rFonts w:hint="eastAsia" w:ascii="宋体" w:hAnsi="宋体" w:eastAsia="宋体" w:cs="宋体"/>
          <w:color w:val="auto"/>
          <w:spacing w:val="-4"/>
          <w:szCs w:val="24"/>
          <w:highlight w:val="none"/>
        </w:rPr>
        <w:t xml:space="preserve"> </w:t>
      </w:r>
      <w:r>
        <w:rPr>
          <w:rFonts w:hint="eastAsia" w:ascii="宋体" w:hAnsi="宋体" w:eastAsia="宋体" w:cs="宋体"/>
          <w:bCs/>
          <w:color w:val="auto"/>
          <w:spacing w:val="-4"/>
          <w:szCs w:val="24"/>
          <w:highlight w:val="none"/>
        </w:rPr>
        <w:t>封面</w:t>
      </w:r>
      <w:r>
        <w:rPr>
          <w:color w:val="auto"/>
          <w:highlight w:val="none"/>
        </w:rPr>
        <w:tab/>
      </w:r>
      <w:r>
        <w:rPr>
          <w:color w:val="auto"/>
          <w:highlight w:val="none"/>
        </w:rPr>
        <w:fldChar w:fldCharType="begin"/>
      </w:r>
      <w:r>
        <w:rPr>
          <w:color w:val="auto"/>
          <w:highlight w:val="none"/>
        </w:rPr>
        <w:instrText xml:space="preserve"> PAGEREF _Toc28797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_Toc16176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_Toc16176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_Toc25573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_Toc25573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_Toc23563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_Toc23563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_Toc14011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_Toc14011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_Toc15221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_Toc15221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_Toc5206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_Toc5206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_Toc9266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_Toc9266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_Toc30225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_Toc30225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_Toc18769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_Toc18769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_Toc19822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_Toc19822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_Toc32300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_Toc32300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_Toc20640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格式十三：</w:t>
      </w:r>
      <w:r>
        <w:rPr>
          <w:rFonts w:hint="eastAsia" w:ascii="宋体" w:hAnsi="宋体" w:eastAsia="宋体" w:cs="宋体"/>
          <w:bCs/>
          <w:color w:val="auto"/>
          <w:spacing w:val="7"/>
          <w:szCs w:val="22"/>
          <w:highlight w:val="none"/>
        </w:rPr>
        <w:t>危险性较大的分部分项工程清单及超过一定规模的危险性较大的</w:t>
      </w:r>
      <w:r>
        <w:rPr>
          <w:rFonts w:hint="eastAsia" w:ascii="宋体" w:hAnsi="宋体" w:eastAsia="宋体" w:cs="宋体"/>
          <w:bCs/>
          <w:color w:val="auto"/>
          <w:spacing w:val="5"/>
          <w:szCs w:val="22"/>
          <w:highlight w:val="none"/>
        </w:rPr>
        <w:t>分部分项工程清单</w:t>
      </w:r>
      <w:r>
        <w:rPr>
          <w:color w:val="auto"/>
          <w:highlight w:val="none"/>
        </w:rPr>
        <w:tab/>
      </w:r>
      <w:r>
        <w:rPr>
          <w:color w:val="auto"/>
          <w:highlight w:val="none"/>
        </w:rPr>
        <w:fldChar w:fldCharType="begin"/>
      </w:r>
      <w:r>
        <w:rPr>
          <w:color w:val="auto"/>
          <w:highlight w:val="none"/>
        </w:rPr>
        <w:instrText xml:space="preserve"> PAGEREF _Toc20640 \h </w:instrText>
      </w:r>
      <w:r>
        <w:rPr>
          <w:color w:val="auto"/>
          <w:highlight w:val="none"/>
        </w:rPr>
        <w:fldChar w:fldCharType="separate"/>
      </w:r>
      <w:r>
        <w:rPr>
          <w:color w:val="auto"/>
          <w:highlight w:val="none"/>
        </w:rPr>
        <w:t>77</w:t>
      </w:r>
      <w:r>
        <w:rPr>
          <w:color w:val="auto"/>
          <w:highlight w:val="none"/>
        </w:rPr>
        <w:fldChar w:fldCharType="end"/>
      </w:r>
      <w:r>
        <w:rPr>
          <w:rFonts w:hint="eastAsia" w:ascii="宋体" w:hAnsi="宋体" w:eastAsia="宋体" w:cs="宋体"/>
          <w:color w:val="auto"/>
          <w:szCs w:val="24"/>
          <w:highlight w:val="none"/>
        </w:rPr>
        <w:fldChar w:fldCharType="end"/>
      </w:r>
    </w:p>
    <w:p>
      <w:pPr>
        <w:pStyle w:val="6"/>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_Toc5996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w:t>
      </w:r>
      <w:r>
        <w:rPr>
          <w:rFonts w:hint="eastAsia" w:ascii="宋体" w:hAnsi="宋体" w:eastAsia="宋体" w:cs="宋体"/>
          <w:bCs/>
          <w:color w:val="auto"/>
          <w:spacing w:val="-4"/>
          <w:szCs w:val="24"/>
          <w:highlight w:val="none"/>
          <w:lang w:eastAsia="zh-CN"/>
        </w:rPr>
        <w:t>四</w:t>
      </w:r>
      <w:r>
        <w:rPr>
          <w:rFonts w:hint="eastAsia" w:ascii="宋体" w:hAnsi="宋体" w:eastAsia="宋体" w:cs="宋体"/>
          <w:bCs/>
          <w:color w:val="auto"/>
          <w:spacing w:val="-4"/>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_Toc5996 \h </w:instrText>
      </w:r>
      <w:r>
        <w:rPr>
          <w:color w:val="auto"/>
          <w:highlight w:val="none"/>
        </w:rPr>
        <w:fldChar w:fldCharType="separate"/>
      </w:r>
      <w:r>
        <w:rPr>
          <w:color w:val="auto"/>
          <w:highlight w:val="none"/>
        </w:rPr>
        <w:t>82</w:t>
      </w:r>
      <w:r>
        <w:rPr>
          <w:color w:val="auto"/>
          <w:highlight w:val="none"/>
        </w:rPr>
        <w:fldChar w:fldCharType="end"/>
      </w:r>
      <w:r>
        <w:rPr>
          <w:rFonts w:hint="eastAsia" w:ascii="宋体" w:hAnsi="宋体" w:eastAsia="宋体" w:cs="宋体"/>
          <w:color w:val="auto"/>
          <w:szCs w:val="24"/>
          <w:highlight w:val="none"/>
        </w:rPr>
        <w:fldChar w:fldCharType="end"/>
      </w:r>
    </w:p>
    <w:p>
      <w:pPr>
        <w:pStyle w:val="10"/>
        <w:keepNext w:val="0"/>
        <w:keepLines w:val="0"/>
        <w:pageBreakBefore w:val="0"/>
        <w:widowControl w:val="0"/>
        <w:tabs>
          <w:tab w:val="right" w:leader="dot" w:pos="9746"/>
        </w:tabs>
        <w:overflowPunct/>
        <w:bidi w:val="0"/>
        <w:adjustRightInd w:val="0"/>
        <w:snapToGrid w:val="0"/>
        <w:spacing w:line="360" w:lineRule="auto"/>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_Toc1022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第七章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_Toc1022 \h </w:instrText>
      </w:r>
      <w:r>
        <w:rPr>
          <w:color w:val="auto"/>
          <w:highlight w:val="none"/>
        </w:rPr>
        <w:fldChar w:fldCharType="separate"/>
      </w:r>
      <w:r>
        <w:rPr>
          <w:color w:val="auto"/>
          <w:highlight w:val="none"/>
        </w:rPr>
        <w:t>83</w:t>
      </w:r>
      <w:r>
        <w:rPr>
          <w:color w:val="auto"/>
          <w:highlight w:val="none"/>
        </w:rPr>
        <w:fldChar w:fldCharType="end"/>
      </w:r>
      <w:r>
        <w:rPr>
          <w:rFonts w:hint="eastAsia" w:ascii="宋体" w:hAnsi="宋体" w:eastAsia="宋体" w:cs="宋体"/>
          <w:color w:val="auto"/>
          <w:szCs w:val="24"/>
          <w:highlight w:val="none"/>
        </w:rPr>
        <w:fldChar w:fldCharType="end"/>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Cs w:val="24"/>
          <w:highlight w:val="none"/>
        </w:rPr>
        <w:fldChar w:fldCharType="end"/>
      </w:r>
    </w:p>
    <w:p>
      <w:pPr>
        <w:pStyle w:val="5"/>
        <w:keepNext w:val="0"/>
        <w:keepLines w:val="0"/>
        <w:pageBreakBefore w:val="0"/>
        <w:widowControl w:val="0"/>
        <w:kinsoku/>
        <w:wordWrap w:val="0"/>
        <w:overflowPunct/>
        <w:topLinePunct/>
        <w:autoSpaceDE/>
        <w:autoSpaceDN/>
        <w:bidi w:val="0"/>
        <w:adjustRightInd w:val="0"/>
        <w:snapToGrid w:val="0"/>
        <w:spacing w:line="272"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left="3416" w:right="84" w:rightChars="40"/>
        <w:outlineLvl w:val="0"/>
        <w:rPr>
          <w:rFonts w:hint="eastAsia" w:ascii="宋体" w:hAnsi="宋体" w:eastAsia="宋体" w:cs="宋体"/>
          <w:color w:val="auto"/>
          <w:sz w:val="24"/>
          <w:szCs w:val="24"/>
          <w:highlight w:val="none"/>
        </w:rPr>
      </w:pPr>
      <w:bookmarkStart w:id="0" w:name="bookmark1"/>
      <w:bookmarkEnd w:id="0"/>
      <w:bookmarkStart w:id="1" w:name="_Toc10396"/>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pPr>
        <w:keepNext w:val="0"/>
        <w:keepLines w:val="0"/>
        <w:pageBreakBefore w:val="0"/>
        <w:widowControl w:val="0"/>
        <w:kinsoku/>
        <w:wordWrap w:val="0"/>
        <w:overflowPunct/>
        <w:topLinePunct/>
        <w:autoSpaceDE/>
        <w:autoSpaceDN/>
        <w:bidi w:val="0"/>
        <w:adjustRightInd w:val="0"/>
        <w:snapToGrid w:val="0"/>
        <w:spacing w:before="156" w:line="219" w:lineRule="auto"/>
        <w:ind w:left="17" w:right="84" w:rightChars="40"/>
        <w:outlineLvl w:val="1"/>
        <w:rPr>
          <w:rFonts w:hint="eastAsia" w:ascii="宋体" w:hAnsi="宋体" w:eastAsia="宋体" w:cs="宋体"/>
          <w:color w:val="auto"/>
          <w:sz w:val="24"/>
          <w:szCs w:val="24"/>
          <w:highlight w:val="none"/>
        </w:rPr>
      </w:pPr>
      <w:bookmarkStart w:id="2" w:name="bookmark3"/>
      <w:bookmarkEnd w:id="2"/>
      <w:bookmarkStart w:id="3" w:name="_Toc18416"/>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pPr>
        <w:keepNext w:val="0"/>
        <w:keepLines w:val="0"/>
        <w:pageBreakBefore w:val="0"/>
        <w:widowControl w:val="0"/>
        <w:kinsoku/>
        <w:wordWrap w:val="0"/>
        <w:overflowPunct/>
        <w:topLinePunct/>
        <w:autoSpaceDE/>
        <w:autoSpaceDN/>
        <w:bidi w:val="0"/>
        <w:adjustRightInd w:val="0"/>
        <w:snapToGrid w:val="0"/>
        <w:spacing w:before="25"/>
        <w:ind w:right="84" w:rightChars="40"/>
        <w:rPr>
          <w:rFonts w:hint="eastAsia" w:ascii="宋体" w:hAnsi="宋体" w:eastAsia="宋体" w:cs="宋体"/>
          <w:color w:val="auto"/>
          <w:highlight w:val="none"/>
        </w:rPr>
      </w:pPr>
    </w:p>
    <w:tbl>
      <w:tblPr>
        <w:tblStyle w:val="14"/>
        <w:tblW w:w="1001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top"/>
          </w:tcPr>
          <w:p>
            <w:pPr>
              <w:keepNext w:val="0"/>
              <w:keepLines w:val="0"/>
              <w:pageBreakBefore w:val="0"/>
              <w:widowControl w:val="0"/>
              <w:kinsoku/>
              <w:wordWrap w:val="0"/>
              <w:overflowPunct/>
              <w:topLinePunct/>
              <w:autoSpaceDE/>
              <w:autoSpaceDN/>
              <w:bidi w:val="0"/>
              <w:adjustRightInd w:val="0"/>
              <w:snapToGrid w:val="0"/>
              <w:spacing w:before="203" w:line="209" w:lineRule="auto"/>
              <w:ind w:left="0" w:leftChars="0" w:right="84" w:rightChars="40" w:firstLine="0" w:firstLineChars="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内容</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23" w:line="195" w:lineRule="auto"/>
              <w:ind w:right="84" w:rightChars="40"/>
              <w:jc w:val="center"/>
              <w:rPr>
                <w:rFonts w:hint="eastAsia" w:asciiTheme="minorEastAsia" w:hAnsiTheme="minorEastAsia" w:eastAsiaTheme="minorEastAsia" w:cstheme="minorEastAsia"/>
                <w:color w:val="auto"/>
                <w:sz w:val="24"/>
                <w:szCs w:val="24"/>
                <w:highlight w:val="none"/>
              </w:rPr>
            </w:pPr>
            <w:bookmarkStart w:id="4" w:name="OLE_LINK2" w:colFirst="2" w:colLast="2"/>
            <w:r>
              <w:rPr>
                <w:rFonts w:hint="eastAsia" w:asciiTheme="minorEastAsia" w:hAnsiTheme="minorEastAsia" w:eastAsiaTheme="minorEastAsia" w:cstheme="minorEastAsia"/>
                <w:color w:val="auto"/>
                <w:sz w:val="24"/>
                <w:szCs w:val="24"/>
                <w:highlight w:val="none"/>
              </w:rPr>
              <w:t>1</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项目名称</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仁化县产业转移工业园标准厂房建设项目（五期）施工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22"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项目业主</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仁化县丹霞旅游经济开发试验区管理委员会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项目批准部门及项目批准文号</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仁化县发展和改革局  仁发改投审【2022】108号；仁化县发展改革和政务数据局 仁发改和政数投审【2025】90号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2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建设地点</w:t>
            </w:r>
          </w:p>
        </w:tc>
        <w:tc>
          <w:tcPr>
            <w:tcW w:w="7575" w:type="dxa"/>
            <w:tcMar>
              <w:top w:w="0" w:type="dxa"/>
              <w:left w:w="0" w:type="dxa"/>
              <w:bottom w:w="0" w:type="dxa"/>
              <w:right w:w="0" w:type="dxa"/>
            </w:tcMar>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韶关仁化产业园区周田片区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26" w:line="192"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项目代码</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2208-440224-04-01-823973、2510-440224-04-01-612696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资金来源及落实</w:t>
            </w:r>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情况</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上级资金和县级财政资金安排解决，100%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28" w:line="192"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招标人</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仁化县丹霞旅游经济开发试验区管理委员会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24"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招标代理机构</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韶关鹰正项目管理有限公司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2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广州博厦建筑设计研究院有限公司</w:t>
            </w:r>
          </w:p>
        </w:tc>
      </w:tr>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4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10</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造价咨询单位</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□非全过程造价咨询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42"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监理单位</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☑已确定监理单位</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□未确定监理单位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lang w:eastAsia="zh-CN"/>
              </w:rPr>
              <w:t>1</w:t>
            </w:r>
            <w:r>
              <w:rPr>
                <w:rFonts w:hint="eastAsia" w:asciiTheme="minorEastAsia" w:hAnsiTheme="minorEastAsia" w:eastAsiaTheme="minorEastAsia" w:cstheme="minorEastAsia"/>
                <w:color w:val="auto"/>
                <w:spacing w:val="-8"/>
                <w:sz w:val="24"/>
                <w:szCs w:val="24"/>
                <w:highlight w:val="none"/>
              </w:rPr>
              <w:t>2</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建设内容和规模</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☑建设规模：</w:t>
            </w:r>
            <w:r>
              <w:rPr>
                <w:rFonts w:hint="eastAsia" w:asciiTheme="minorEastAsia" w:hAnsiTheme="minorEastAsia" w:eastAsiaTheme="minorEastAsia" w:cstheme="minorEastAsia"/>
                <w:snapToGrid w:val="0"/>
                <w:color w:val="auto"/>
                <w:kern w:val="0"/>
                <w:sz w:val="24"/>
                <w:szCs w:val="24"/>
                <w:highlight w:val="none"/>
                <w:lang w:val="en-US" w:eastAsia="zh-CN"/>
              </w:rPr>
              <w:t>规划总用地面积69076.79平方米(约103.61亩),总建筑面积45652.80平方米，其中厂房一建筑面积9400.36平方米，厂房二建筑面积5212.84平方米，厂房三建筑面积9400.36平方米，厂房四建筑面积17840.39平方米，倒班休息室建筑面积3798.85平方米。</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w:t>
            </w:r>
            <w:r>
              <w:rPr>
                <w:rFonts w:hint="eastAsia" w:asciiTheme="minorEastAsia" w:hAnsiTheme="minorEastAsia" w:eastAsiaTheme="minorEastAsia" w:cstheme="minorEastAsia"/>
                <w:snapToGrid w:val="0"/>
                <w:color w:val="auto"/>
                <w:kern w:val="0"/>
                <w:sz w:val="24"/>
                <w:szCs w:val="24"/>
                <w:highlight w:val="none"/>
                <w:lang w:val="en-US" w:eastAsia="zh-CN"/>
              </w:rPr>
              <w:t>主要建设内容包括新建4栋标准厂房、1栋配套倒班休息室等相关建筑单体，并同步实施道路、绿化、给排水、电力管网等配套基础设施工程。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13</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项目总投资</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项目概算总投资14528.79万元，其中工程费用7770.07万元。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招标范围</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按审查合格的施工图纸及工程量清单内容施工。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15</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标段划分</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本招标项目不划分标段。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rPr>
              <w:t>16</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工期</w:t>
            </w:r>
          </w:p>
        </w:tc>
        <w:tc>
          <w:tcPr>
            <w:tcW w:w="7575" w:type="dxa"/>
            <w:vAlign w:val="top"/>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本招标项目招标工期为</w:t>
            </w:r>
            <w:r>
              <w:rPr>
                <w:rFonts w:hint="eastAsia" w:asciiTheme="minorEastAsia" w:hAnsiTheme="minorEastAsia" w:eastAsiaTheme="minorEastAsia" w:cstheme="minorEastAsia"/>
                <w:snapToGrid w:val="0"/>
                <w:color w:val="auto"/>
                <w:kern w:val="0"/>
                <w:sz w:val="24"/>
                <w:szCs w:val="24"/>
                <w:highlight w:val="none"/>
                <w:lang w:val="en-US" w:eastAsia="zh-CN"/>
              </w:rPr>
              <w:t>300个日历天</w:t>
            </w:r>
            <w:r>
              <w:rPr>
                <w:rFonts w:hint="eastAsia" w:asciiTheme="minorEastAsia" w:hAnsiTheme="minorEastAsia" w:eastAsiaTheme="minorEastAsia" w:cstheme="minorEastAsia"/>
                <w:snapToGrid w:val="0"/>
                <w:color w:val="auto"/>
                <w:kern w:val="0"/>
                <w:sz w:val="24"/>
                <w:szCs w:val="24"/>
                <w:highlight w:val="none"/>
                <w:lang w:eastAsia="zh-CN"/>
              </w:rPr>
              <w:t>。具体如下：</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☑总工期：</w:t>
            </w:r>
            <w:r>
              <w:rPr>
                <w:rFonts w:hint="eastAsia" w:asciiTheme="minorEastAsia" w:hAnsiTheme="minorEastAsia" w:eastAsiaTheme="minorEastAsia" w:cstheme="minorEastAsia"/>
                <w:snapToGrid w:val="0"/>
                <w:color w:val="auto"/>
                <w:kern w:val="0"/>
                <w:sz w:val="24"/>
                <w:szCs w:val="24"/>
                <w:highlight w:val="none"/>
                <w:lang w:val="en-US" w:eastAsia="zh-CN"/>
              </w:rPr>
              <w:t>300</w:t>
            </w:r>
            <w:r>
              <w:rPr>
                <w:rFonts w:hint="eastAsia" w:asciiTheme="minorEastAsia" w:hAnsiTheme="minorEastAsia" w:eastAsiaTheme="minorEastAsia" w:cstheme="minorEastAsia"/>
                <w:snapToGrid w:val="0"/>
                <w:color w:val="auto"/>
                <w:kern w:val="0"/>
                <w:sz w:val="24"/>
                <w:szCs w:val="24"/>
                <w:highlight w:val="none"/>
                <w:lang w:eastAsia="zh-CN"/>
              </w:rPr>
              <w:t>天 （日历天）。</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□计划开工日期：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日（具体开工日期以合同为准）</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□计划竣工日期：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□除上述总工期外，发包人还要求以下阶段工期：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质量</w:t>
            </w:r>
            <w:r>
              <w:rPr>
                <w:rFonts w:hint="eastAsia" w:asciiTheme="minorEastAsia" w:hAnsiTheme="minorEastAsia" w:eastAsiaTheme="minorEastAsia" w:cstheme="minorEastAsia"/>
                <w:snapToGrid w:val="0"/>
                <w:color w:val="auto"/>
                <w:kern w:val="0"/>
                <w:sz w:val="24"/>
                <w:szCs w:val="24"/>
                <w:highlight w:val="none"/>
                <w:lang w:val="en-US" w:eastAsia="zh-CN"/>
              </w:rPr>
              <w:t>标准及目标</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before="116" w:line="220" w:lineRule="auto"/>
              <w:ind w:right="84" w:rightChars="40" w:firstLine="23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w:t>
            </w:r>
            <w:r>
              <w:rPr>
                <w:rFonts w:hint="eastAsia" w:asciiTheme="minorEastAsia" w:hAnsiTheme="minorEastAsia" w:eastAsiaTheme="minorEastAsia" w:cstheme="minorEastAsia"/>
                <w:color w:val="auto"/>
                <w:spacing w:val="-5"/>
                <w:sz w:val="24"/>
                <w:szCs w:val="24"/>
                <w:highlight w:val="none"/>
              </w:rPr>
              <w:t>质量目标：</w:t>
            </w:r>
            <w:r>
              <w:rPr>
                <w:rFonts w:hint="eastAsia" w:asciiTheme="minorEastAsia" w:hAnsiTheme="minorEastAsia" w:eastAsiaTheme="minorEastAsia" w:cstheme="minorEastAsia"/>
                <w:color w:val="auto"/>
                <w:spacing w:val="-4"/>
                <w:sz w:val="24"/>
                <w:szCs w:val="24"/>
                <w:highlight w:val="none"/>
                <w:u w:val="single"/>
              </w:rPr>
              <w:t>合格</w:t>
            </w:r>
            <w:r>
              <w:rPr>
                <w:rFonts w:hint="eastAsia" w:asciiTheme="minorEastAsia" w:hAnsiTheme="minorEastAsia" w:eastAsiaTheme="minorEastAsia" w:cstheme="minorEastAsia"/>
                <w:color w:val="auto"/>
                <w:spacing w:val="-4"/>
                <w:sz w:val="24"/>
                <w:szCs w:val="24"/>
                <w:highlight w:val="none"/>
                <w:u w:val="single"/>
                <w:lang w:eastAsia="zh-CN"/>
              </w:rPr>
              <w:t>。</w:t>
            </w:r>
          </w:p>
          <w:p>
            <w:pPr>
              <w:keepNext w:val="0"/>
              <w:keepLines w:val="0"/>
              <w:pageBreakBefore w:val="0"/>
              <w:widowControl w:val="0"/>
              <w:kinsoku/>
              <w:wordWrap w:val="0"/>
              <w:overflowPunct/>
              <w:topLinePunct/>
              <w:autoSpaceDE/>
              <w:autoSpaceDN/>
              <w:bidi w:val="0"/>
              <w:adjustRightInd w:val="0"/>
              <w:snapToGrid w:val="0"/>
              <w:spacing w:before="112" w:line="265" w:lineRule="auto"/>
              <w:ind w:right="84" w:rightChars="40" w:firstLine="232"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lang w:eastAsia="zh-CN"/>
              </w:rPr>
              <w:t>☑</w:t>
            </w:r>
            <w:r>
              <w:rPr>
                <w:rFonts w:hint="eastAsia" w:asciiTheme="minorEastAsia" w:hAnsiTheme="minorEastAsia" w:eastAsiaTheme="minorEastAsia" w:cstheme="minorEastAsia"/>
                <w:color w:val="auto"/>
                <w:spacing w:val="-4"/>
                <w:sz w:val="24"/>
                <w:szCs w:val="24"/>
                <w:highlight w:val="none"/>
              </w:rPr>
              <w:t>质量标准：</w:t>
            </w:r>
            <w:r>
              <w:rPr>
                <w:rFonts w:hint="eastAsia" w:asciiTheme="minorEastAsia" w:hAnsiTheme="minorEastAsia" w:eastAsiaTheme="minorEastAsia" w:cstheme="minorEastAsia"/>
                <w:color w:val="auto"/>
                <w:spacing w:val="-4"/>
                <w:sz w:val="24"/>
                <w:szCs w:val="24"/>
                <w:highlight w:val="none"/>
                <w:u w:val="single"/>
              </w:rPr>
              <w:t>符合现行国家有关工程施工质量验收规范和标准的要求</w:t>
            </w:r>
            <w:r>
              <w:rPr>
                <w:rFonts w:hint="eastAsia" w:asciiTheme="minorEastAsia" w:hAnsiTheme="minorEastAsia" w:eastAsiaTheme="minorEastAsia" w:cstheme="minorEastAsia"/>
                <w:color w:val="auto"/>
                <w:spacing w:val="-4"/>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before="75" w:line="277" w:lineRule="auto"/>
              <w:ind w:right="84" w:rightChars="40" w:firstLine="238"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rPr>
              <w:t>优质工程要求：</w:t>
            </w:r>
            <w:r>
              <w:rPr>
                <w:rFonts w:hint="eastAsia" w:asciiTheme="minorEastAsia" w:hAnsiTheme="minorEastAsia" w:eastAsiaTheme="minorEastAsia" w:cstheme="minorEastAsia"/>
                <w:color w:val="auto"/>
                <w:spacing w:val="-1"/>
                <w:sz w:val="24"/>
                <w:szCs w:val="24"/>
                <w:highlight w:val="none"/>
                <w:u w:val="single" w:color="auto"/>
              </w:rPr>
              <w:t>无/市优/省优/.....</w:t>
            </w:r>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24"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rPr>
              <w:t>工程优质费：</w:t>
            </w:r>
            <w:r>
              <w:rPr>
                <w:rFonts w:hint="eastAsia" w:asciiTheme="minorEastAsia" w:hAnsiTheme="minorEastAsia" w:eastAsiaTheme="minorEastAsia" w:cstheme="minorEastAsia"/>
                <w:color w:val="auto"/>
                <w:spacing w:val="-80"/>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□无</w:t>
            </w:r>
            <w:r>
              <w:rPr>
                <w:rFonts w:hint="eastAsia" w:asciiTheme="minorEastAsia" w:hAnsiTheme="minorEastAsia" w:eastAsiaTheme="minorEastAsia" w:cstheme="minorEastAsia"/>
                <w:color w:val="auto"/>
                <w:spacing w:val="6"/>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□有：</w:t>
            </w:r>
            <w:r>
              <w:rPr>
                <w:rFonts w:hint="eastAsia" w:asciiTheme="minorEastAsia" w:hAnsiTheme="minorEastAsia" w:eastAsiaTheme="minorEastAsia" w:cstheme="minorEastAsia"/>
                <w:color w:val="auto"/>
                <w:sz w:val="24"/>
                <w:szCs w:val="24"/>
                <w:highlight w:val="none"/>
                <w:u w:val="single" w:color="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Merge w:val="restart"/>
            <w:vAlign w:val="center"/>
          </w:tcPr>
          <w:p>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18</w:t>
            </w:r>
          </w:p>
        </w:tc>
        <w:tc>
          <w:tcPr>
            <w:tcW w:w="1860" w:type="dxa"/>
            <w:vMerge w:val="restart"/>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合同类型</w:t>
            </w:r>
          </w:p>
        </w:tc>
        <w:tc>
          <w:tcPr>
            <w:tcW w:w="7575" w:type="dxa"/>
            <w:vAlign w:val="top"/>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☑单价合同：发承包双方约定以工程量清单及其综合单价进行合同价款计算、调整和确认的建设工程施工合同。</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Merge w:val="continue"/>
            <w:vAlign w:val="center"/>
          </w:tcPr>
          <w:p>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pacing w:val="-8"/>
                <w:sz w:val="24"/>
                <w:szCs w:val="24"/>
                <w:highlight w:val="none"/>
              </w:rPr>
            </w:pPr>
          </w:p>
        </w:tc>
        <w:tc>
          <w:tcPr>
            <w:tcW w:w="1860" w:type="dxa"/>
            <w:vMerge w:val="continue"/>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575" w:type="dxa"/>
            <w:vAlign w:val="top"/>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□总价合同：发承包双方约定以施工图及其预算和有关条件进行合同价款计算、调整和确认的建设工程施工合同。 </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19"/>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房屋建筑工程绿色建筑标准</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本招标项目纳入绿色建设实施范围，要求达到《绿色建筑评价标准》(GB/T50378-2019）规定的</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基本级</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19.</w:t>
            </w:r>
            <w:r>
              <w:rPr>
                <w:rFonts w:hint="eastAsia" w:asciiTheme="minorEastAsia" w:hAnsiTheme="minorEastAsia" w:eastAsiaTheme="minorEastAsia" w:cstheme="minorEastAsia"/>
                <w:color w:val="auto"/>
                <w:spacing w:val="-26"/>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1</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装配式建筑标准</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不 </w:t>
            </w:r>
            <w:r>
              <w:rPr>
                <w:rFonts w:hint="eastAsia" w:asciiTheme="minorEastAsia" w:hAnsiTheme="minorEastAsia" w:eastAsiaTheme="minorEastAsia" w:cstheme="minorEastAsia"/>
                <w:snapToGrid w:val="0"/>
                <w:color w:val="auto"/>
                <w:kern w:val="0"/>
                <w:sz w:val="24"/>
                <w:szCs w:val="24"/>
                <w:highlight w:val="none"/>
                <w:lang w:eastAsia="zh-CN"/>
              </w:rPr>
              <w:t>纳入装配式建造建设实施范围。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20</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 ☑无     □有：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21</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承包人提供材料和工程设备</w:t>
            </w:r>
          </w:p>
        </w:tc>
        <w:tc>
          <w:tcPr>
            <w:tcW w:w="7575" w:type="dxa"/>
            <w:vAlign w:val="top"/>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□其它说明：鼓励承包人积极采购环保产品进行施工。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22</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最高投标限价</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本工程的</w:t>
            </w:r>
            <w:r>
              <w:rPr>
                <w:rFonts w:hint="eastAsia" w:asciiTheme="minorEastAsia" w:hAnsiTheme="minorEastAsia" w:eastAsiaTheme="minorEastAsia" w:cstheme="minorEastAsia"/>
                <w:snapToGrid w:val="0"/>
                <w:color w:val="auto"/>
                <w:kern w:val="0"/>
                <w:sz w:val="24"/>
                <w:szCs w:val="24"/>
                <w:highlight w:val="none"/>
                <w:lang w:val="en-US" w:eastAsia="zh-CN"/>
              </w:rPr>
              <w:t>最高投标限价</w:t>
            </w:r>
            <w:r>
              <w:rPr>
                <w:rFonts w:hint="eastAsia" w:asciiTheme="minorEastAsia" w:hAnsiTheme="minorEastAsia" w:eastAsiaTheme="minorEastAsia" w:cstheme="minorEastAsia"/>
                <w:snapToGrid w:val="0"/>
                <w:color w:val="auto"/>
                <w:kern w:val="0"/>
                <w:sz w:val="24"/>
                <w:szCs w:val="24"/>
                <w:highlight w:val="none"/>
                <w:lang w:eastAsia="zh-CN"/>
              </w:rPr>
              <w:t>为人民币（大写）：</w:t>
            </w:r>
            <w:r>
              <w:rPr>
                <w:rFonts w:hint="eastAsia" w:asciiTheme="minorEastAsia" w:hAnsiTheme="minorEastAsia" w:eastAsiaTheme="minorEastAsia" w:cstheme="minorEastAsia"/>
                <w:snapToGrid w:val="0"/>
                <w:color w:val="auto"/>
                <w:kern w:val="0"/>
                <w:sz w:val="24"/>
                <w:szCs w:val="24"/>
                <w:highlight w:val="none"/>
                <w:u w:val="single"/>
                <w:lang w:val="en-US" w:eastAsia="zh-CN"/>
              </w:rPr>
              <w:t>柒仟零肆拾贰万捌仟零捌拾壹元肆角叁分(小写：¥ 70428081.43元)</w:t>
            </w:r>
            <w:r>
              <w:rPr>
                <w:rFonts w:hint="eastAsia" w:asciiTheme="minorEastAsia" w:hAnsiTheme="minorEastAsia" w:eastAsiaTheme="minorEastAsia" w:cstheme="minorEastAsia"/>
                <w:snapToGrid w:val="0"/>
                <w:color w:val="auto"/>
                <w:kern w:val="0"/>
                <w:sz w:val="24"/>
                <w:szCs w:val="24"/>
                <w:highlight w:val="none"/>
                <w:lang w:val="en-US" w:eastAsia="zh-CN"/>
              </w:rPr>
              <w:t>；其中安全生产措施费为：¥</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1599176.06 </w:t>
            </w:r>
            <w:r>
              <w:rPr>
                <w:rFonts w:hint="eastAsia" w:asciiTheme="minorEastAsia" w:hAnsiTheme="minorEastAsia" w:eastAsiaTheme="minorEastAsia" w:cstheme="minorEastAsia"/>
                <w:snapToGrid w:val="0"/>
                <w:color w:val="auto"/>
                <w:kern w:val="0"/>
                <w:sz w:val="24"/>
                <w:szCs w:val="24"/>
                <w:highlight w:val="none"/>
                <w:lang w:val="en-US" w:eastAsia="zh-CN"/>
              </w:rPr>
              <w:t>元，专业工程暂估价金额为：</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  </w:t>
            </w:r>
            <w:r>
              <w:rPr>
                <w:rFonts w:hint="eastAsia" w:asciiTheme="minorEastAsia" w:hAnsiTheme="minorEastAsia" w:eastAsiaTheme="minorEastAsia" w:cstheme="minorEastAsia"/>
                <w:snapToGrid w:val="0"/>
                <w:color w:val="auto"/>
                <w:kern w:val="0"/>
                <w:sz w:val="24"/>
                <w:szCs w:val="24"/>
                <w:highlight w:val="none"/>
                <w:lang w:val="en-US" w:eastAsia="zh-CN"/>
              </w:rPr>
              <w:t>元 ，暂列金额为：¥</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3693194.49 </w:t>
            </w:r>
            <w:r>
              <w:rPr>
                <w:rFonts w:hint="eastAsia" w:asciiTheme="minorEastAsia" w:hAnsiTheme="minorEastAsia" w:eastAsiaTheme="minorEastAsia" w:cstheme="minorEastAsia"/>
                <w:snapToGrid w:val="0"/>
                <w:color w:val="auto"/>
                <w:kern w:val="0"/>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23</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投标人的投标</w:t>
            </w:r>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报价</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before="118" w:line="308" w:lineRule="auto"/>
              <w:ind w:right="84" w:rightChars="40" w:firstLine="238" w:firstLineChars="1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投标人投标时响应招标文件要求所报出的对已标价工程量清单</w:t>
            </w:r>
            <w:r>
              <w:rPr>
                <w:rFonts w:hint="eastAsia" w:asciiTheme="minorEastAsia" w:hAnsiTheme="minorEastAsia" w:eastAsiaTheme="minorEastAsia" w:cstheme="minorEastAsia"/>
                <w:color w:val="auto"/>
                <w:sz w:val="24"/>
                <w:szCs w:val="24"/>
                <w:highlight w:val="none"/>
              </w:rPr>
              <w:t>汇总后标明的总价。投标人在投标报价填写</w:t>
            </w:r>
            <w:r>
              <w:rPr>
                <w:rFonts w:hint="eastAsia" w:asciiTheme="minorEastAsia" w:hAnsiTheme="minorEastAsia" w:eastAsiaTheme="minorEastAsia" w:cstheme="minorEastAsia"/>
                <w:color w:val="auto"/>
                <w:spacing w:val="-1"/>
                <w:sz w:val="24"/>
                <w:szCs w:val="24"/>
                <w:highlight w:val="none"/>
              </w:rPr>
              <w:t>的工程量清单的项目编</w:t>
            </w:r>
            <w:r>
              <w:rPr>
                <w:rFonts w:hint="eastAsia" w:asciiTheme="minorEastAsia" w:hAnsiTheme="minorEastAsia" w:eastAsiaTheme="minorEastAsia" w:cstheme="minorEastAsia"/>
                <w:color w:val="auto"/>
                <w:spacing w:val="-3"/>
                <w:sz w:val="24"/>
                <w:szCs w:val="24"/>
                <w:highlight w:val="none"/>
              </w:rPr>
              <w:t>码、项目名称、项目特征、计量单位、工程数量必须与招标人招标文</w:t>
            </w:r>
            <w:r>
              <w:rPr>
                <w:rFonts w:hint="eastAsia" w:asciiTheme="minorEastAsia" w:hAnsiTheme="minorEastAsia" w:eastAsiaTheme="minorEastAsia" w:cstheme="minorEastAsia"/>
                <w:color w:val="auto"/>
                <w:sz w:val="24"/>
                <w:szCs w:val="24"/>
                <w:highlight w:val="none"/>
              </w:rPr>
              <w:t>件中提供的一致，投标价不能低于工程成本</w:t>
            </w:r>
            <w:r>
              <w:rPr>
                <w:rFonts w:hint="eastAsia" w:asciiTheme="minorEastAsia" w:hAnsiTheme="minorEastAsia" w:eastAsiaTheme="minorEastAsia" w:cstheme="minorEastAsia"/>
                <w:color w:val="auto"/>
                <w:spacing w:val="-1"/>
                <w:sz w:val="24"/>
                <w:szCs w:val="24"/>
                <w:highlight w:val="none"/>
              </w:rPr>
              <w:t>、高于最高投标限价。</w:t>
            </w:r>
          </w:p>
          <w:p>
            <w:pPr>
              <w:keepNext w:val="0"/>
              <w:keepLines w:val="0"/>
              <w:pageBreakBefore w:val="0"/>
              <w:widowControl w:val="0"/>
              <w:kinsoku/>
              <w:wordWrap w:val="0"/>
              <w:overflowPunct/>
              <w:topLinePunct/>
              <w:autoSpaceDE/>
              <w:autoSpaceDN/>
              <w:bidi w:val="0"/>
              <w:adjustRightInd w:val="0"/>
              <w:snapToGrid w:val="0"/>
              <w:spacing w:line="218" w:lineRule="auto"/>
              <w:ind w:right="84" w:rightChars="40" w:firstLine="236"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投标报价方式：</w:t>
            </w:r>
            <w:r>
              <w:rPr>
                <w:rFonts w:hint="eastAsia" w:asciiTheme="minorEastAsia" w:hAnsiTheme="minorEastAsia" w:eastAsiaTheme="minorEastAsia" w:cstheme="minorEastAsia"/>
                <w:color w:val="auto"/>
                <w:spacing w:val="-8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rPr>
              <w:t>工程量清单报价    □其</w:t>
            </w:r>
            <w:r>
              <w:rPr>
                <w:rFonts w:hint="eastAsia" w:asciiTheme="minorEastAsia" w:hAnsiTheme="minorEastAsia" w:eastAsiaTheme="minorEastAsia" w:cstheme="minorEastAsia"/>
                <w:color w:val="auto"/>
                <w:spacing w:val="-3"/>
                <w:sz w:val="24"/>
                <w:szCs w:val="24"/>
                <w:highlight w:val="none"/>
              </w:rPr>
              <w:t>他：</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2"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投标报价时，应按《广东省建设工程计价依据（2018）》规定的费率报价，若招标工程量清单明确说明不计算预算包干费或另外确定</w:t>
            </w:r>
            <w:r>
              <w:rPr>
                <w:rFonts w:hint="eastAsia" w:asciiTheme="minorEastAsia" w:hAnsiTheme="minorEastAsia" w:eastAsiaTheme="minorEastAsia" w:cstheme="minorEastAsia"/>
                <w:color w:val="auto"/>
                <w:spacing w:val="-1"/>
                <w:sz w:val="24"/>
                <w:szCs w:val="24"/>
                <w:highlight w:val="none"/>
              </w:rPr>
              <w:t>预算包干费费率的，则按招标工程量清单报价。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24</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投标报价风险</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☑投标人依据招标文件约定自行考虑风险因素，一旦中标，投标报价（合同价）除合同另有约定外将不因市场变化而调整。</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☑投标报价中应包括工程量清单项目所发生的人工费、材料费、机具费、管理费、利润、措施项目费、其它项目费、税金、暂列金额、暂估价以及所有风险、责任等各项费用。</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☑人工费、材料费、机具费、管理费、利润、措施项目费（不含安全生产措施费）投标人漏报或不报，招标人视为有关费用已包括在工程量清单项目的其它单价及合价中不予另外增加。</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☑措施项目中的安全生产措施费，必须按国家、省级、市级（即工程所在地）行业建设主管部门的规定计算，不得作为竞争性费用。</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☑招标人向投标人提供的有关施工现场资料及数据，是招标人现有的能使投标人利用的资料，招标人对投标人据此作出的推论及理解概不负责。</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84"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25</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投标费用</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投标人自行承担编制与递交投标文件的一切费用。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26</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投标人资格要求</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1.本次招标</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u w:val="single"/>
                <w:lang w:eastAsia="zh-CN"/>
              </w:rPr>
              <w:t>接受</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联合体投标，联合体以一个投标人的身份共同投标。</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1.1  联合体成员数量</w:t>
            </w:r>
            <w:r>
              <w:rPr>
                <w:rFonts w:hint="eastAsia" w:asciiTheme="minorEastAsia" w:hAnsiTheme="minorEastAsia" w:eastAsiaTheme="minorEastAsia" w:cstheme="minorEastAsia"/>
                <w:strike w:val="0"/>
                <w:dstrike w:val="0"/>
                <w:snapToGrid w:val="0"/>
                <w:color w:val="auto"/>
                <w:kern w:val="0"/>
                <w:sz w:val="24"/>
                <w:szCs w:val="24"/>
                <w:highlight w:val="none"/>
                <w:u w:val="single"/>
                <w:lang w:val="en-US" w:eastAsia="zh-CN"/>
              </w:rPr>
              <w:t xml:space="preserve"> </w:t>
            </w:r>
            <w:r>
              <w:rPr>
                <w:rFonts w:hint="eastAsia" w:asciiTheme="minorEastAsia" w:hAnsiTheme="minorEastAsia" w:eastAsiaTheme="minorEastAsia" w:cstheme="minorEastAsia"/>
                <w:strike w:val="0"/>
                <w:dstrike w:val="0"/>
                <w:snapToGrid w:val="0"/>
                <w:color w:val="auto"/>
                <w:kern w:val="0"/>
                <w:sz w:val="24"/>
                <w:szCs w:val="24"/>
                <w:highlight w:val="none"/>
                <w:u w:val="single"/>
                <w:lang w:eastAsia="zh-CN"/>
              </w:rPr>
              <w:t xml:space="preserve">不超过 </w:t>
            </w:r>
            <w:r>
              <w:rPr>
                <w:rFonts w:hint="eastAsia" w:asciiTheme="minorEastAsia" w:hAnsiTheme="minorEastAsia" w:eastAsiaTheme="minorEastAsia" w:cstheme="minorEastAsia"/>
                <w:strike w:val="0"/>
                <w:dstrike w:val="0"/>
                <w:snapToGrid w:val="0"/>
                <w:color w:val="auto"/>
                <w:kern w:val="0"/>
                <w:sz w:val="24"/>
                <w:szCs w:val="24"/>
                <w:highlight w:val="none"/>
                <w:u w:val="single"/>
                <w:lang w:val="en-US" w:eastAsia="zh-CN"/>
              </w:rPr>
              <w:t>2</w:t>
            </w:r>
            <w:r>
              <w:rPr>
                <w:rFonts w:hint="eastAsia" w:asciiTheme="minorEastAsia" w:hAnsiTheme="minorEastAsia" w:eastAsiaTheme="minorEastAsia" w:cstheme="minorEastAsia"/>
                <w:strike w:val="0"/>
                <w:dstrike w:val="0"/>
                <w:snapToGrid w:val="0"/>
                <w:color w:val="auto"/>
                <w:kern w:val="0"/>
                <w:sz w:val="24"/>
                <w:szCs w:val="24"/>
                <w:highlight w:val="none"/>
                <w:u w:val="single"/>
                <w:lang w:eastAsia="zh-CN"/>
              </w:rPr>
              <w:t xml:space="preserve"> 个 </w:t>
            </w:r>
            <w:r>
              <w:rPr>
                <w:rFonts w:hint="eastAsia" w:asciiTheme="minorEastAsia" w:hAnsiTheme="minorEastAsia" w:eastAsiaTheme="minorEastAsia" w:cstheme="minorEastAsia"/>
                <w:snapToGrid w:val="0"/>
                <w:color w:val="auto"/>
                <w:kern w:val="0"/>
                <w:sz w:val="24"/>
                <w:szCs w:val="24"/>
                <w:highlight w:val="none"/>
                <w:lang w:eastAsia="zh-CN"/>
              </w:rPr>
              <w:t>。</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1.2  联合体各方应按招标文件提供的格式签订联合体协议书，明确联合体牵头人和各方权利义务，并承诺就中标项目向招标人承担连带责任。《联合体协议书》作为投标文件的组成部分向招标人提交。</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1.4  联合体各方不得再以自己名义单独或参加其他联合体在本招标项目中投标，否则各相关投标均无效。</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2．资质要求</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2.1 投标人须具备独立法人资格，按国家法律经营。</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2.2 投标人须持有建设行政主管部门颁发的企业资质证书及安全生产许可证。</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2.3 投标人须具备以下资质：</w:t>
            </w:r>
            <w:r>
              <w:rPr>
                <w:rFonts w:hint="eastAsia" w:asciiTheme="minorEastAsia" w:hAnsiTheme="minorEastAsia" w:eastAsiaTheme="minorEastAsia" w:cstheme="minorEastAsia"/>
                <w:snapToGrid w:val="0"/>
                <w:color w:val="auto"/>
                <w:kern w:val="0"/>
                <w:sz w:val="24"/>
                <w:szCs w:val="24"/>
                <w:highlight w:val="none"/>
                <w:u w:val="single"/>
                <w:lang w:eastAsia="zh-CN"/>
              </w:rPr>
              <w:t>具有建设行政主管部门颁发的建筑工程施工总承包二级以上（含二级）资质</w:t>
            </w:r>
            <w:r>
              <w:rPr>
                <w:rFonts w:hint="eastAsia" w:asciiTheme="minorEastAsia" w:hAnsiTheme="minorEastAsia" w:eastAsiaTheme="minorEastAsia" w:cstheme="minorEastAsia"/>
                <w:snapToGrid w:val="0"/>
                <w:color w:val="auto"/>
                <w:kern w:val="0"/>
                <w:sz w:val="24"/>
                <w:szCs w:val="24"/>
                <w:highlight w:val="none"/>
                <w:lang w:eastAsia="zh-CN"/>
              </w:rPr>
              <w:t>。</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2.4 </w:t>
            </w:r>
            <w:r>
              <w:rPr>
                <w:rFonts w:hint="eastAsia" w:asciiTheme="minorEastAsia" w:hAnsiTheme="minorEastAsia" w:eastAsiaTheme="minorEastAsia" w:cstheme="minorEastAsia"/>
                <w:snapToGrid w:val="0"/>
                <w:color w:val="auto"/>
                <w:kern w:val="0"/>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3．相关人员要求</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3.1  </w:t>
            </w:r>
            <w:r>
              <w:rPr>
                <w:rFonts w:hint="eastAsia" w:asciiTheme="minorEastAsia" w:hAnsiTheme="minorEastAsia" w:eastAsiaTheme="minorEastAsia" w:cstheme="minorEastAsia"/>
                <w:snapToGrid w:val="0"/>
                <w:color w:val="auto"/>
                <w:kern w:val="0"/>
                <w:sz w:val="24"/>
                <w:szCs w:val="24"/>
                <w:highlight w:val="none"/>
                <w:lang w:val="en-US" w:eastAsia="zh-CN"/>
              </w:rPr>
              <w:t>拟派项目经理为</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建筑工程 </w:t>
            </w:r>
            <w:r>
              <w:rPr>
                <w:rFonts w:hint="eastAsia" w:asciiTheme="minorEastAsia" w:hAnsiTheme="minorEastAsia" w:eastAsiaTheme="minorEastAsia" w:cstheme="minorEastAsia"/>
                <w:snapToGrid w:val="0"/>
                <w:color w:val="auto"/>
                <w:kern w:val="0"/>
                <w:sz w:val="24"/>
                <w:szCs w:val="24"/>
                <w:highlight w:val="none"/>
                <w:lang w:val="en-US" w:eastAsia="zh-CN"/>
              </w:rPr>
              <w:t>专业一级注册建造师，</w:t>
            </w:r>
            <w:r>
              <w:rPr>
                <w:rFonts w:ascii="宋体" w:hAnsi="宋体" w:eastAsia="宋体" w:cs="宋体"/>
                <w:color w:val="auto"/>
                <w:spacing w:val="-1"/>
                <w:sz w:val="24"/>
                <w:szCs w:val="24"/>
                <w:highlight w:val="none"/>
              </w:rPr>
              <w:t>应持有国家住建</w:t>
            </w:r>
            <w:r>
              <w:rPr>
                <w:rFonts w:ascii="宋体" w:hAnsi="宋体" w:eastAsia="宋体" w:cs="宋体"/>
                <w:color w:val="auto"/>
                <w:spacing w:val="-2"/>
                <w:sz w:val="24"/>
                <w:szCs w:val="24"/>
                <w:highlight w:val="none"/>
              </w:rPr>
              <w:t>部印</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发的有效注册证书和有效安全生产考核合格证明（</w:t>
            </w:r>
            <w:r>
              <w:rPr>
                <w:rFonts w:ascii="Times New Roman" w:hAnsi="Times New Roman" w:eastAsia="Times New Roman" w:cs="Times New Roman"/>
                <w:color w:val="auto"/>
                <w:spacing w:val="-1"/>
                <w:sz w:val="24"/>
                <w:szCs w:val="24"/>
                <w:highlight w:val="none"/>
              </w:rPr>
              <w:t>B</w:t>
            </w:r>
            <w:r>
              <w:rPr>
                <w:rFonts w:ascii="宋体" w:hAnsi="宋体" w:eastAsia="宋体" w:cs="宋体"/>
                <w:color w:val="auto"/>
                <w:spacing w:val="-1"/>
                <w:sz w:val="24"/>
                <w:szCs w:val="24"/>
                <w:highlight w:val="none"/>
              </w:rPr>
              <w:t>证，安全生产考</w:t>
            </w:r>
            <w:r>
              <w:rPr>
                <w:rFonts w:ascii="宋体" w:hAnsi="宋体" w:eastAsia="宋体" w:cs="宋体"/>
                <w:color w:val="auto"/>
                <w:spacing w:val="5"/>
                <w:sz w:val="24"/>
                <w:szCs w:val="24"/>
                <w:highlight w:val="none"/>
              </w:rPr>
              <w:t>核合格证书或广东省建筑施工企业管理人员安全生产考核系统考核</w:t>
            </w:r>
            <w:r>
              <w:rPr>
                <w:rFonts w:ascii="宋体" w:hAnsi="宋体" w:eastAsia="宋体" w:cs="宋体"/>
                <w:color w:val="auto"/>
                <w:spacing w:val="-3"/>
                <w:sz w:val="24"/>
                <w:szCs w:val="24"/>
                <w:highlight w:val="none"/>
              </w:rPr>
              <w:t>合格信息打印页</w:t>
            </w:r>
            <w:r>
              <w:rPr>
                <w:rFonts w:ascii="宋体" w:hAnsi="宋体" w:eastAsia="宋体" w:cs="宋体"/>
                <w:color w:val="auto"/>
                <w:spacing w:val="-5"/>
                <w:sz w:val="24"/>
                <w:szCs w:val="24"/>
                <w:highlight w:val="none"/>
              </w:rPr>
              <w:t>），</w:t>
            </w:r>
            <w:r>
              <w:rPr>
                <w:rFonts w:ascii="宋体" w:hAnsi="宋体" w:eastAsia="宋体" w:cs="宋体"/>
                <w:color w:val="auto"/>
                <w:spacing w:val="-3"/>
                <w:sz w:val="24"/>
                <w:szCs w:val="24"/>
                <w:highlight w:val="none"/>
              </w:rPr>
              <w:t>且未担任其他在施（包括已中标未开工、已开工</w:t>
            </w:r>
            <w:r>
              <w:rPr>
                <w:rFonts w:ascii="宋体" w:hAnsi="宋体" w:eastAsia="宋体" w:cs="宋体"/>
                <w:color w:val="auto"/>
                <w:spacing w:val="-7"/>
                <w:sz w:val="24"/>
                <w:szCs w:val="24"/>
                <w:highlight w:val="none"/>
              </w:rPr>
              <w:t>未竣工）建设工程项目的项目经理</w:t>
            </w:r>
            <w:r>
              <w:rPr>
                <w:rFonts w:hint="eastAsia" w:asciiTheme="minorEastAsia" w:hAnsiTheme="minorEastAsia" w:eastAsiaTheme="minorEastAsia" w:cstheme="minorEastAsia"/>
                <w:snapToGrid w:val="0"/>
                <w:color w:val="auto"/>
                <w:kern w:val="0"/>
                <w:sz w:val="24"/>
                <w:szCs w:val="24"/>
                <w:highlight w:val="none"/>
                <w:lang w:eastAsia="zh-CN"/>
              </w:rPr>
              <w:t>。</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3.2 拟派项目技术负责人须具备</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建筑工程相关专业中级以上（含中级）技术职称。</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w:t>
            </w:r>
            <w:r>
              <w:rPr>
                <w:rFonts w:hint="eastAsia" w:asciiTheme="minorEastAsia" w:hAnsiTheme="minorEastAsia" w:eastAsiaTheme="minorEastAsia" w:cstheme="minorEastAsia"/>
                <w:snapToGrid w:val="0"/>
                <w:color w:val="auto"/>
                <w:kern w:val="0"/>
                <w:sz w:val="24"/>
                <w:szCs w:val="24"/>
                <w:highlight w:val="none"/>
                <w:u w:val="single"/>
                <w:lang w:val="en-US" w:eastAsia="zh-CN"/>
              </w:rPr>
              <w:t>2</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人。</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 ．禁止投标条款：</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4.1  投标人不得存在下列情形之一：</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（1）为招标人不具有独立法人资格的附属机构（单位）；</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（2）为本招标项目前期准备提供设计或咨询服务的；</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（3）与本招标项目的其他投标人为同一个单位负责人；</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（4）与本招标项目的其他投标人存在控股、管理关系；</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（5）为本招标项目的监理人；</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（6）为本招标项目的代建人；</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（7）为本招标项目的招标代理机构；</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（8）与本招标项目的监理人或代建人或招标代理机构同为一个法定代表人；</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（9）与本招标项目的监理人或代建人或招标代理机构存在控股或参股关系；</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（10）与本招标项目的监理人或代建人或招标代理机构存在相互任职或工作关系；</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（11）被依法暂停或者取消投标资格；</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（12）被责令停产停业、暂扣或者吊销许可证、暂扣或者吊销执照；</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（13）进入清算程序，或被宣告破产，或其他丧失履约能力的情形；</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（14）在最近三年内发生重大工程质量或安全问题（以相关行业主管部门的行政处罚决定或司法机关出具的有关法律文书为准）；</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（15）被“信用中国”网站（https://www.creditchina.gov.cn）发布的《法人和非法人组织公共信用信息报告》列为严重失信主体名单的。</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4.2  招标人拒绝以下名单中的单位参加本次投标：</w:t>
            </w:r>
          </w:p>
          <w:tbl>
            <w:tblPr>
              <w:tblStyle w:val="14"/>
              <w:tblW w:w="7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704"/>
              <w:gridCol w:w="3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序号</w:t>
                  </w:r>
                </w:p>
              </w:tc>
              <w:tc>
                <w:tcPr>
                  <w:tcW w:w="3704"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单位名称</w:t>
                  </w:r>
                </w:p>
              </w:tc>
              <w:tc>
                <w:tcPr>
                  <w:tcW w:w="3081"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1</w:t>
                  </w:r>
                </w:p>
              </w:tc>
              <w:tc>
                <w:tcPr>
                  <w:tcW w:w="370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仁化县丹霞旅游经济开发试验区管理委员会</w:t>
                  </w:r>
                </w:p>
              </w:tc>
              <w:tc>
                <w:tcPr>
                  <w:tcW w:w="3081"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2</w:t>
                  </w:r>
                </w:p>
              </w:tc>
              <w:tc>
                <w:tcPr>
                  <w:tcW w:w="370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韶关鹰正项目管理有限公司</w:t>
                  </w:r>
                </w:p>
              </w:tc>
              <w:tc>
                <w:tcPr>
                  <w:tcW w:w="3081"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3</w:t>
                  </w:r>
                </w:p>
              </w:tc>
              <w:tc>
                <w:tcPr>
                  <w:tcW w:w="370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广州博厦建筑设计研究院有限公司</w:t>
                  </w:r>
                </w:p>
              </w:tc>
              <w:tc>
                <w:tcPr>
                  <w:tcW w:w="3081"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为本招标项目</w:t>
                  </w:r>
                  <w:r>
                    <w:rPr>
                      <w:rFonts w:hint="eastAsia" w:asciiTheme="minorEastAsia" w:hAnsiTheme="minorEastAsia" w:eastAsiaTheme="minorEastAsia" w:cstheme="minorEastAsia"/>
                      <w:snapToGrid w:val="0"/>
                      <w:color w:val="auto"/>
                      <w:kern w:val="0"/>
                      <w:sz w:val="24"/>
                      <w:szCs w:val="24"/>
                      <w:highlight w:val="none"/>
                      <w:lang w:eastAsia="zh-CN"/>
                    </w:rPr>
                    <w:t>的</w:t>
                  </w:r>
                  <w:r>
                    <w:rPr>
                      <w:rFonts w:hint="eastAsia" w:asciiTheme="minorEastAsia" w:hAnsiTheme="minorEastAsia" w:eastAsiaTheme="minorEastAsia" w:cstheme="minorEastAsia"/>
                      <w:snapToGrid w:val="0"/>
                      <w:color w:val="auto"/>
                      <w:kern w:val="0"/>
                      <w:sz w:val="24"/>
                      <w:szCs w:val="24"/>
                      <w:highlight w:val="none"/>
                      <w:lang w:val="en-US" w:eastAsia="zh-CN"/>
                    </w:rPr>
                    <w:t>设计</w:t>
                  </w:r>
                  <w:r>
                    <w:rPr>
                      <w:rFonts w:hint="eastAsia" w:asciiTheme="minorEastAsia" w:hAnsiTheme="minorEastAsia" w:eastAsiaTheme="minorEastAsia" w:cstheme="minorEastAsia"/>
                      <w:snapToGrid w:val="0"/>
                      <w:color w:val="auto"/>
                      <w:kern w:val="0"/>
                      <w:sz w:val="24"/>
                      <w:szCs w:val="24"/>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4</w:t>
                  </w:r>
                </w:p>
              </w:tc>
              <w:tc>
                <w:tcPr>
                  <w:tcW w:w="370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广东伟达工程咨询顾问有限公司</w:t>
                  </w:r>
                </w:p>
              </w:tc>
              <w:tc>
                <w:tcPr>
                  <w:tcW w:w="3081"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为本招标项目的可研单位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7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5</w:t>
                  </w:r>
                </w:p>
              </w:tc>
              <w:tc>
                <w:tcPr>
                  <w:tcW w:w="370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广东宝骏工程咨询有限公司</w:t>
                  </w:r>
                </w:p>
              </w:tc>
              <w:tc>
                <w:tcPr>
                  <w:tcW w:w="3081"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为本招标项目的全过程造价咨询单位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6</w:t>
                  </w:r>
                </w:p>
              </w:tc>
              <w:tc>
                <w:tcPr>
                  <w:tcW w:w="3704" w:type="dxa"/>
                  <w:vAlign w:val="center"/>
                </w:tcPr>
                <w:p>
                  <w:pPr>
                    <w:keepNext w:val="0"/>
                    <w:keepLines w:val="0"/>
                    <w:pageBreakBefore w:val="0"/>
                    <w:widowControl w:val="0"/>
                    <w:kinsoku/>
                    <w:wordWrap w:val="0"/>
                    <w:overflowPunct/>
                    <w:topLinePunct/>
                    <w:autoSpaceDE/>
                    <w:autoSpaceDN/>
                    <w:bidi w:val="0"/>
                    <w:adjustRightInd w:val="0"/>
                    <w:snapToGrid w:val="0"/>
                    <w:spacing w:line="24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仁化县住房和城乡建设管理局</w:t>
                  </w:r>
                </w:p>
              </w:tc>
              <w:tc>
                <w:tcPr>
                  <w:tcW w:w="3081" w:type="dxa"/>
                  <w:vAlign w:val="center"/>
                </w:tcPr>
                <w:p>
                  <w:pPr>
                    <w:keepNext w:val="0"/>
                    <w:keepLines w:val="0"/>
                    <w:pageBreakBefore w:val="0"/>
                    <w:widowControl w:val="0"/>
                    <w:kinsoku/>
                    <w:wordWrap w:val="0"/>
                    <w:overflowPunct/>
                    <w:topLinePunct/>
                    <w:autoSpaceDE/>
                    <w:autoSpaceDN/>
                    <w:bidi w:val="0"/>
                    <w:adjustRightInd w:val="0"/>
                    <w:snapToGrid w:val="0"/>
                    <w:spacing w:line="24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为本招标项目的监督单位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4"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40" w:lineRule="exact"/>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7</w:t>
                  </w:r>
                </w:p>
              </w:tc>
              <w:tc>
                <w:tcPr>
                  <w:tcW w:w="3704" w:type="dxa"/>
                  <w:vAlign w:val="center"/>
                </w:tcPr>
                <w:p>
                  <w:pPr>
                    <w:keepNext w:val="0"/>
                    <w:keepLines w:val="0"/>
                    <w:pageBreakBefore w:val="0"/>
                    <w:widowControl w:val="0"/>
                    <w:kinsoku/>
                    <w:wordWrap w:val="0"/>
                    <w:overflowPunct/>
                    <w:topLinePunct/>
                    <w:autoSpaceDE/>
                    <w:autoSpaceDN/>
                    <w:bidi w:val="0"/>
                    <w:adjustRightInd w:val="0"/>
                    <w:snapToGrid w:val="0"/>
                    <w:spacing w:line="24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广东省城规建设监理有限公司</w:t>
                  </w:r>
                </w:p>
              </w:tc>
              <w:tc>
                <w:tcPr>
                  <w:tcW w:w="3081" w:type="dxa"/>
                  <w:vAlign w:val="center"/>
                </w:tcPr>
                <w:p>
                  <w:pPr>
                    <w:keepNext w:val="0"/>
                    <w:keepLines w:val="0"/>
                    <w:pageBreakBefore w:val="0"/>
                    <w:widowControl w:val="0"/>
                    <w:kinsoku/>
                    <w:wordWrap w:val="0"/>
                    <w:overflowPunct/>
                    <w:topLinePunct/>
                    <w:autoSpaceDE/>
                    <w:autoSpaceDN/>
                    <w:bidi w:val="0"/>
                    <w:adjustRightInd w:val="0"/>
                    <w:snapToGrid w:val="0"/>
                    <w:spacing w:line="24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为本招标项目的监理单位</w:t>
                  </w:r>
                </w:p>
              </w:tc>
            </w:tr>
          </w:tbl>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5．其他要求</w:t>
            </w:r>
          </w:p>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19"/>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27</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投标有效期</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本次招标的投标有效期为</w:t>
            </w:r>
            <w:r>
              <w:rPr>
                <w:rFonts w:hint="eastAsia" w:asciiTheme="minorEastAsia" w:hAnsiTheme="minorEastAsia" w:eastAsiaTheme="minorEastAsia" w:cstheme="minorEastAsia"/>
                <w:snapToGrid w:val="0"/>
                <w:color w:val="auto"/>
                <w:kern w:val="0"/>
                <w:sz w:val="24"/>
                <w:szCs w:val="24"/>
                <w:highlight w:val="none"/>
                <w:u w:val="single"/>
                <w:lang w:eastAsia="zh-CN"/>
              </w:rPr>
              <w:t>90</w:t>
            </w:r>
            <w:r>
              <w:rPr>
                <w:rFonts w:hint="eastAsia" w:asciiTheme="minorEastAsia" w:hAnsiTheme="minorEastAsia" w:eastAsiaTheme="minorEastAsia" w:cstheme="minorEastAsia"/>
                <w:snapToGrid w:val="0"/>
                <w:color w:val="auto"/>
                <w:kern w:val="0"/>
                <w:sz w:val="24"/>
                <w:szCs w:val="24"/>
                <w:highlight w:val="none"/>
                <w:lang w:eastAsia="zh-CN"/>
              </w:rPr>
              <w:t xml:space="preserve"> 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left="205"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28</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投标文件组成</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投标文件包括商务标书、经济标书、施工组织设计三个分册。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left="205"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29</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施工组织设计评审方式</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本次招标施工组织设计</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不采用 </w:t>
            </w:r>
            <w:r>
              <w:rPr>
                <w:rFonts w:hint="eastAsia" w:asciiTheme="minorEastAsia" w:hAnsiTheme="minorEastAsia" w:eastAsiaTheme="minorEastAsia" w:cstheme="minorEastAsia"/>
                <w:snapToGrid w:val="0"/>
                <w:color w:val="auto"/>
                <w:kern w:val="0"/>
                <w:sz w:val="24"/>
                <w:szCs w:val="24"/>
                <w:highlight w:val="none"/>
                <w:lang w:eastAsia="zh-CN"/>
              </w:rPr>
              <w:t>“暗标”方式进行评审。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left="209"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30</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w:t>
            </w:r>
          </w:p>
        </w:tc>
        <w:tc>
          <w:tcPr>
            <w:tcW w:w="7575" w:type="dxa"/>
            <w:vAlign w:val="top"/>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评标委员会由5人组成，其中招标人代表0人，专家5人。专家从广东省综合评标评审专家库（韶关区域）中随机抽取，其中技术类专家3人，经济类专家 2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258" w:line="188" w:lineRule="auto"/>
              <w:ind w:left="209"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31</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评标方法</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A＋B 值评标法  □经评审的最低投标价法   ☑综合评估法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招标文件要求提交的用于评审的证书、证件、证明原件</w:t>
            </w:r>
          </w:p>
        </w:tc>
        <w:tc>
          <w:tcPr>
            <w:tcW w:w="7575" w:type="dxa"/>
            <w:vAlign w:val="top"/>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在提交用于评审的证书、证件、证明原件的，投标人应自行将所需原件密封于文件袋（箱）中，并自行准备两张“原件一览表”(详见格式十四，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left="209" w:right="84" w:rightChars="40"/>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33</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招标代理费</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本工程的招标代理费和评标专家酬劳由中标人支付，该费用不再另行报价，由投标人在投标报价时综合考虑在内。中标人须向招标代理机构一次性支付（招标代理服务费：参照《关于印发&lt;招标代理服务收费管理暂行办法&gt;通知》[2002]1980号文以中标价为基数并下浮40%计取（若中标价超过5000万元，则以5000万元为基数，同样下浮40%计取）。评标专家酬劳以现场签订为准。具体以签订的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34</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w:t>
            </w:r>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单位名称：</w:t>
            </w:r>
            <w:r>
              <w:rPr>
                <w:rFonts w:hint="eastAsia" w:asciiTheme="minorEastAsia" w:hAnsiTheme="minorEastAsia" w:eastAsiaTheme="minorEastAsia" w:cstheme="minorEastAsia"/>
                <w:snapToGrid w:val="0"/>
                <w:color w:val="auto"/>
                <w:kern w:val="0"/>
                <w:sz w:val="24"/>
                <w:szCs w:val="24"/>
                <w:highlight w:val="none"/>
                <w:lang w:eastAsia="zh-CN"/>
              </w:rPr>
              <w:t>仁化县丹霞旅游经济开发试验区管理委员会</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办公地址：</w:t>
            </w:r>
            <w:r>
              <w:rPr>
                <w:rFonts w:hint="eastAsia" w:asciiTheme="minorEastAsia" w:hAnsiTheme="minorEastAsia" w:eastAsiaTheme="minorEastAsia" w:cstheme="minorEastAsia"/>
                <w:snapToGrid w:val="0"/>
                <w:color w:val="auto"/>
                <w:kern w:val="0"/>
                <w:sz w:val="24"/>
                <w:szCs w:val="24"/>
                <w:highlight w:val="none"/>
                <w:lang w:eastAsia="zh-CN"/>
              </w:rPr>
              <w:t>仁化县周田镇新庄工业园</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40" w:firstLineChars="10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联系人（部门）：</w:t>
            </w:r>
            <w:r>
              <w:rPr>
                <w:rFonts w:hint="eastAsia" w:asciiTheme="minorEastAsia" w:hAnsiTheme="minorEastAsia" w:eastAsiaTheme="minorEastAsia" w:cstheme="minorEastAsia"/>
                <w:snapToGrid w:val="0"/>
                <w:color w:val="auto"/>
                <w:kern w:val="0"/>
                <w:sz w:val="24"/>
                <w:szCs w:val="24"/>
                <w:highlight w:val="none"/>
                <w:lang w:val="en-US" w:eastAsia="zh-CN"/>
              </w:rPr>
              <w:t>黄工</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联系电话：</w:t>
            </w:r>
            <w:r>
              <w:rPr>
                <w:rFonts w:hint="eastAsia" w:asciiTheme="minorEastAsia" w:hAnsiTheme="minorEastAsia" w:eastAsiaTheme="minorEastAsia" w:cstheme="minorEastAsia"/>
                <w:snapToGrid w:val="0"/>
                <w:color w:val="auto"/>
                <w:kern w:val="0"/>
                <w:sz w:val="24"/>
                <w:szCs w:val="24"/>
                <w:highlight w:val="none"/>
                <w:lang w:eastAsia="zh-CN"/>
              </w:rPr>
              <w:t>0751-6422238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35</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招标代理机构</w:t>
            </w:r>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单位名称：</w:t>
            </w:r>
            <w:r>
              <w:rPr>
                <w:rFonts w:hint="eastAsia" w:asciiTheme="minorEastAsia" w:hAnsiTheme="minorEastAsia" w:eastAsiaTheme="minorEastAsia" w:cstheme="minorEastAsia"/>
                <w:snapToGrid w:val="0"/>
                <w:color w:val="auto"/>
                <w:kern w:val="0"/>
                <w:sz w:val="24"/>
                <w:szCs w:val="24"/>
                <w:highlight w:val="none"/>
                <w:lang w:eastAsia="zh-CN"/>
              </w:rPr>
              <w:t>韶关鹰正项目管理有限公司</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办公地址：</w:t>
            </w:r>
            <w:r>
              <w:rPr>
                <w:rFonts w:hint="eastAsia" w:asciiTheme="minorEastAsia" w:hAnsiTheme="minorEastAsia" w:eastAsiaTheme="minorEastAsia" w:cstheme="minorEastAsia"/>
                <w:snapToGrid w:val="0"/>
                <w:color w:val="auto"/>
                <w:kern w:val="0"/>
                <w:sz w:val="24"/>
                <w:szCs w:val="24"/>
                <w:highlight w:val="none"/>
                <w:lang w:eastAsia="zh-CN"/>
              </w:rPr>
              <w:t>韶关市武江区沙洲路32号</w:t>
            </w:r>
            <w:r>
              <w:rPr>
                <w:rFonts w:hint="eastAsia" w:asciiTheme="minorEastAsia" w:hAnsiTheme="minorEastAsia" w:eastAsiaTheme="minorEastAsia" w:cstheme="minorEastAsia"/>
                <w:snapToGrid w:val="0"/>
                <w:color w:val="auto"/>
                <w:kern w:val="0"/>
                <w:sz w:val="24"/>
                <w:szCs w:val="24"/>
                <w:highlight w:val="none"/>
                <w:lang w:val="en-US" w:eastAsia="zh-CN"/>
              </w:rPr>
              <w:t>404</w:t>
            </w:r>
            <w:r>
              <w:rPr>
                <w:rFonts w:hint="eastAsia" w:asciiTheme="minorEastAsia" w:hAnsiTheme="minorEastAsia" w:eastAsiaTheme="minorEastAsia" w:cstheme="minorEastAsia"/>
                <w:snapToGrid w:val="0"/>
                <w:color w:val="auto"/>
                <w:kern w:val="0"/>
                <w:sz w:val="24"/>
                <w:szCs w:val="24"/>
                <w:highlight w:val="none"/>
                <w:lang w:eastAsia="zh-CN"/>
              </w:rPr>
              <w:t>房</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联 系 人：</w:t>
            </w:r>
            <w:r>
              <w:rPr>
                <w:rFonts w:hint="eastAsia" w:asciiTheme="minorEastAsia" w:hAnsiTheme="minorEastAsia" w:eastAsiaTheme="minorEastAsia" w:cstheme="minorEastAsia"/>
                <w:snapToGrid w:val="0"/>
                <w:color w:val="auto"/>
                <w:kern w:val="0"/>
                <w:sz w:val="24"/>
                <w:szCs w:val="24"/>
                <w:highlight w:val="none"/>
                <w:lang w:val="en-US" w:eastAsia="zh-CN"/>
              </w:rPr>
              <w:t>邓工</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40" w:firstLineChars="10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电    话：</w:t>
            </w:r>
            <w:r>
              <w:rPr>
                <w:rFonts w:hint="eastAsia" w:asciiTheme="minorEastAsia" w:hAnsiTheme="minorEastAsia" w:eastAsiaTheme="minorEastAsia" w:cstheme="minorEastAsia"/>
                <w:snapToGrid w:val="0"/>
                <w:color w:val="auto"/>
                <w:kern w:val="0"/>
                <w:sz w:val="24"/>
                <w:szCs w:val="24"/>
                <w:highlight w:val="none"/>
                <w:lang w:eastAsia="zh-CN"/>
              </w:rPr>
              <w:t>0751-8355683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36</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交易场所</w:t>
            </w:r>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73" w:firstLineChars="114"/>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单位名称：韶关市公共资源交易中心</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73" w:firstLineChars="114"/>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办公地址：仁化县丹霞大道228号1</w:t>
            </w:r>
            <w:r>
              <w:rPr>
                <w:rFonts w:hint="eastAsia" w:asciiTheme="minorEastAsia" w:hAnsiTheme="minorEastAsia" w:eastAsiaTheme="minorEastAsia" w:cstheme="minorEastAsia"/>
                <w:snapToGrid w:val="0"/>
                <w:color w:val="auto"/>
                <w:kern w:val="0"/>
                <w:sz w:val="24"/>
                <w:szCs w:val="24"/>
                <w:highlight w:val="none"/>
                <w:lang w:val="en-US" w:eastAsia="zh-CN"/>
              </w:rPr>
              <w:t>2</w:t>
            </w:r>
            <w:r>
              <w:rPr>
                <w:rFonts w:hint="eastAsia" w:asciiTheme="minorEastAsia" w:hAnsiTheme="minorEastAsia" w:eastAsiaTheme="minorEastAsia" w:cstheme="minorEastAsia"/>
                <w:snapToGrid w:val="0"/>
                <w:color w:val="auto"/>
                <w:kern w:val="0"/>
                <w:sz w:val="24"/>
                <w:szCs w:val="24"/>
                <w:highlight w:val="none"/>
              </w:rPr>
              <w:t>楼韶关市公共资源交易中心仁化分中心</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73" w:firstLineChars="114"/>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联系人（部门）：工程交易部</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73" w:firstLineChars="114"/>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联系电话：0751-6354032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37</w:t>
            </w:r>
          </w:p>
        </w:tc>
        <w:tc>
          <w:tcPr>
            <w:tcW w:w="1860" w:type="dxa"/>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行政监督部门</w:t>
            </w:r>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75" w:type="dxa"/>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73" w:firstLineChars="114"/>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单位名称：仁化县住房和城乡建设管理局</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73" w:firstLineChars="114"/>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办公地址：仁化县丹霞大道228号仁化县行政服务中心6楼</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73" w:firstLineChars="114"/>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联系人（部门）：建筑业监督管理股</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firstLine="273" w:firstLineChars="114"/>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 xml:space="preserve">联系电话：0751-6354573 </w:t>
            </w:r>
          </w:p>
        </w:tc>
      </w:tr>
    </w:tbl>
    <w:p>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pPr>
        <w:keepNext w:val="0"/>
        <w:keepLines w:val="0"/>
        <w:pageBreakBefore w:val="0"/>
        <w:widowControl w:val="0"/>
        <w:kinsoku/>
        <w:wordWrap w:val="0"/>
        <w:overflowPunct/>
        <w:topLinePunct/>
        <w:autoSpaceDE/>
        <w:autoSpaceDN/>
        <w:bidi w:val="0"/>
        <w:adjustRightInd w:val="0"/>
        <w:snapToGrid w:val="0"/>
        <w:spacing w:before="156" w:line="219" w:lineRule="auto"/>
        <w:ind w:left="17" w:right="84" w:rightChars="40"/>
        <w:jc w:val="left"/>
        <w:outlineLvl w:val="1"/>
        <w:rPr>
          <w:rFonts w:hint="eastAsia" w:ascii="宋体" w:hAnsi="宋体" w:eastAsia="宋体" w:cs="宋体"/>
          <w:color w:val="auto"/>
          <w:highlight w:val="none"/>
        </w:rPr>
      </w:pPr>
      <w:bookmarkStart w:id="6" w:name="_Toc21896"/>
      <w:r>
        <w:rPr>
          <w:rFonts w:hint="eastAsia" w:ascii="宋体" w:hAnsi="宋体" w:eastAsia="宋体" w:cs="宋体"/>
          <w:b/>
          <w:bCs/>
          <w:color w:val="auto"/>
          <w:spacing w:val="-3"/>
          <w:sz w:val="24"/>
          <w:szCs w:val="24"/>
          <w:highlight w:val="none"/>
        </w:rPr>
        <w:t>第二节 重要事项时间地点一览表</w:t>
      </w:r>
      <w:bookmarkEnd w:id="6"/>
    </w:p>
    <w:p>
      <w:pPr>
        <w:pStyle w:val="5"/>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tbl>
      <w:tblPr>
        <w:tblStyle w:val="14"/>
        <w:tblW w:w="10179"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491"/>
        <w:gridCol w:w="1756"/>
        <w:gridCol w:w="793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40"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招标公告</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发布时间 </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31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20</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2"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获取招标文件截止时间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86"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网上提问</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11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 </w:t>
            </w:r>
            <w:r>
              <w:rPr>
                <w:rFonts w:hint="eastAsia" w:ascii="宋体" w:hAnsi="宋体" w:eastAsia="宋体" w:cs="宋体"/>
                <w:color w:val="auto"/>
                <w:kern w:val="0"/>
                <w:sz w:val="24"/>
                <w:szCs w:val="24"/>
                <w:highlight w:val="none"/>
                <w:lang w:val="en-US" w:eastAsia="zh-CN" w:bidi="ar-SA"/>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1"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网上答疑</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时间</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 xml:space="preserve">2025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11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分至</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11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14</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w:t>
            </w:r>
            <w:r>
              <w:rPr>
                <w:rFonts w:hint="eastAsia" w:ascii="宋体" w:hAnsi="宋体" w:eastAsia="宋体" w:cs="宋体"/>
                <w:color w:val="auto"/>
                <w:kern w:val="0"/>
                <w:sz w:val="24"/>
                <w:szCs w:val="24"/>
                <w:highlight w:val="none"/>
                <w:lang w:val="en-US" w:eastAsia="zh-CN" w:bidi="ar-SA"/>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638"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投标保证缴</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纳截止时间</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投标保证金到账截止时间：</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20</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p>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投标保证担保上传截止时间：</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20</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p>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投标保证保险投保截止时间：</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20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96"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电子投标</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投标相关资料（如有）</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递交时间</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 xml:space="preserve">时 </w:t>
            </w:r>
            <w:r>
              <w:rPr>
                <w:rFonts w:hint="eastAsia" w:ascii="宋体" w:hAnsi="宋体" w:eastAsia="宋体" w:cs="宋体"/>
                <w:color w:val="auto"/>
                <w:kern w:val="0"/>
                <w:sz w:val="24"/>
                <w:szCs w:val="24"/>
                <w:highlight w:val="none"/>
                <w:u w:val="single"/>
                <w:lang w:val="en-US" w:eastAsia="zh-CN" w:bidi="ar-SA"/>
              </w:rPr>
              <w:t xml:space="preserve">00 </w:t>
            </w:r>
            <w:r>
              <w:rPr>
                <w:rFonts w:hint="eastAsia" w:ascii="宋体" w:hAnsi="宋体" w:eastAsia="宋体" w:cs="宋体"/>
                <w:color w:val="auto"/>
                <w:kern w:val="0"/>
                <w:sz w:val="24"/>
                <w:szCs w:val="24"/>
                <w:highlight w:val="none"/>
                <w:lang w:val="en-US" w:eastAsia="zh-CN" w:bidi="ar-SA"/>
              </w:rPr>
              <w:t>分至</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投标相关资料（如有）</w:t>
            </w:r>
          </w:p>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递交地点</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递交场所： 韶关市公共资源交易中心仁化分中心，地址：仁化县丹霞大道228号11楼韶关市公共资源交易中心仁化分中心，具体房间号以当日现场通知为准。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0"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开标时间 </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snapToGrid w:val="0"/>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21</w:t>
            </w:r>
            <w:r>
              <w:rPr>
                <w:rFonts w:hint="eastAsia" w:ascii="宋体" w:hAnsi="宋体" w:eastAsia="宋体" w:cs="宋体"/>
                <w:snapToGrid w:val="0"/>
                <w:color w:val="auto"/>
                <w:kern w:val="0"/>
                <w:sz w:val="24"/>
                <w:szCs w:val="24"/>
                <w:highlight w:val="none"/>
                <w:lang w:val="en-US" w:eastAsia="zh-CN" w:bidi="ar-SA"/>
              </w:rPr>
              <w:t>日</w:t>
            </w:r>
            <w:r>
              <w:rPr>
                <w:rFonts w:hint="eastAsia" w:ascii="宋体" w:hAnsi="宋体" w:eastAsia="宋体" w:cs="宋体"/>
                <w:snapToGrid w:val="0"/>
                <w:color w:val="auto"/>
                <w:kern w:val="0"/>
                <w:sz w:val="24"/>
                <w:szCs w:val="24"/>
                <w:highlight w:val="none"/>
                <w:u w:val="single"/>
                <w:lang w:val="en-US" w:eastAsia="zh-CN" w:bidi="ar-SA"/>
              </w:rPr>
              <w:t xml:space="preserve"> 9 </w:t>
            </w:r>
            <w:r>
              <w:rPr>
                <w:rFonts w:hint="eastAsia" w:ascii="宋体" w:hAnsi="宋体" w:eastAsia="宋体" w:cs="宋体"/>
                <w:snapToGrid w:val="0"/>
                <w:color w:val="auto"/>
                <w:kern w:val="0"/>
                <w:sz w:val="24"/>
                <w:szCs w:val="24"/>
                <w:highlight w:val="none"/>
                <w:lang w:val="en-US" w:eastAsia="zh-CN" w:bidi="ar-SA"/>
              </w:rPr>
              <w:t>时</w:t>
            </w:r>
            <w:r>
              <w:rPr>
                <w:rFonts w:hint="eastAsia" w:ascii="宋体" w:hAnsi="宋体" w:eastAsia="宋体" w:cs="宋体"/>
                <w:snapToGrid w:val="0"/>
                <w:color w:val="auto"/>
                <w:kern w:val="0"/>
                <w:sz w:val="24"/>
                <w:szCs w:val="24"/>
                <w:highlight w:val="none"/>
                <w:u w:val="single"/>
                <w:lang w:val="en-US" w:eastAsia="zh-CN" w:bidi="ar-SA"/>
              </w:rPr>
              <w:t xml:space="preserve"> 30 </w:t>
            </w:r>
            <w:r>
              <w:rPr>
                <w:rFonts w:hint="eastAsia" w:ascii="宋体" w:hAnsi="宋体" w:eastAsia="宋体" w:cs="宋体"/>
                <w:snapToGrid w:val="0"/>
                <w:color w:val="auto"/>
                <w:kern w:val="0"/>
                <w:sz w:val="24"/>
                <w:szCs w:val="24"/>
                <w:highlight w:val="none"/>
                <w:lang w:val="en-US" w:eastAsia="zh-CN" w:bidi="ar-SA"/>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197" w:hRule="atLeast"/>
        </w:trPr>
        <w:tc>
          <w:tcPr>
            <w:tcW w:w="491"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56"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开标地点 </w:t>
            </w:r>
          </w:p>
        </w:tc>
        <w:tc>
          <w:tcPr>
            <w:tcW w:w="7932" w:type="dxa"/>
            <w:tcBorders>
              <w:top w:val="single" w:color="080000" w:sz="4" w:space="0"/>
              <w:left w:val="single" w:color="080000" w:sz="4" w:space="0"/>
              <w:bottom w:val="single" w:color="080000" w:sz="4" w:space="0"/>
              <w:right w:val="single" w:color="080000" w:sz="4" w:space="0"/>
            </w:tcBorders>
            <w:vAlign w:val="center"/>
          </w:tcPr>
          <w:p>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开标地点： 韶关市公共资源交易中心仁化分中心，地址：仁化县丹霞大道228号11楼韶关市公共资源交易中心仁化分中心，具体房间号以当日现场通知为准。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732" w:hRule="atLeast"/>
        </w:trPr>
        <w:tc>
          <w:tcPr>
            <w:tcW w:w="2247" w:type="dxa"/>
            <w:gridSpan w:val="2"/>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7932" w:type="dxa"/>
            <w:tcBorders>
              <w:top w:val="single" w:color="080000" w:sz="4" w:space="0"/>
              <w:left w:val="single" w:color="080000" w:sz="4" w:space="0"/>
              <w:bottom w:val="single" w:color="080000" w:sz="4" w:space="0"/>
              <w:right w:val="single" w:color="080000" w:sz="4" w:space="0"/>
            </w:tcBorders>
            <w:vAlign w:val="center"/>
          </w:tcPr>
          <w:p>
            <w:pPr>
              <w:pStyle w:val="20"/>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pPr>
        <w:keepNext w:val="0"/>
        <w:keepLines w:val="0"/>
        <w:pageBreakBefore w:val="0"/>
        <w:widowControl w:val="0"/>
        <w:tabs>
          <w:tab w:val="left" w:pos="8820"/>
        </w:tabs>
        <w:kinsoku/>
        <w:wordWrap w:val="0"/>
        <w:overflowPunct/>
        <w:topLinePunct/>
        <w:autoSpaceDE/>
        <w:autoSpaceDN/>
        <w:bidi w:val="0"/>
        <w:adjustRightInd w:val="0"/>
        <w:snapToGrid w:val="0"/>
        <w:ind w:right="84" w:rightChars="40"/>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ind w:right="84" w:rightChars="40"/>
        <w:jc w:val="center"/>
        <w:outlineLvl w:val="1"/>
        <w:rPr>
          <w:rFonts w:hint="eastAsia" w:ascii="宋体" w:hAnsi="宋体" w:eastAsia="宋体" w:cs="宋体"/>
          <w:color w:val="auto"/>
          <w:sz w:val="24"/>
          <w:szCs w:val="24"/>
          <w:highlight w:val="none"/>
        </w:rPr>
      </w:pPr>
      <w:bookmarkStart w:id="7" w:name="_Toc1462"/>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pPr>
        <w:pStyle w:val="5"/>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pPr>
        <w:keepNext w:val="0"/>
        <w:keepLines w:val="0"/>
        <w:pageBreakBefore w:val="0"/>
        <w:widowControl w:val="0"/>
        <w:suppressLineNumbers w:val="0"/>
        <w:tabs>
          <w:tab w:val="left" w:pos="9040"/>
          <w:tab w:val="left" w:pos="9240"/>
        </w:tabs>
        <w:kinsoku/>
        <w:wordWrap w:val="0"/>
        <w:overflowPunct/>
        <w:topLinePunct/>
        <w:autoSpaceDE/>
        <w:autoSpaceDN/>
        <w:bidi w:val="0"/>
        <w:adjustRightInd w:val="0"/>
        <w:snapToGrid w:val="0"/>
        <w:spacing w:line="360" w:lineRule="auto"/>
        <w:ind w:right="84" w:rightChars="40" w:firstLine="480" w:firstLineChars="200"/>
        <w:jc w:val="left"/>
        <w:textAlignment w:val="baseline"/>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仁化县产业转移工业园标准厂房建设项目（五期）施工</w:t>
      </w:r>
      <w:r>
        <w:rPr>
          <w:rFonts w:hint="eastAsia" w:ascii="宋体" w:hAnsi="宋体" w:eastAsia="宋体" w:cs="宋体"/>
          <w:snapToGrid w:val="0"/>
          <w:color w:val="auto"/>
          <w:kern w:val="0"/>
          <w:sz w:val="24"/>
          <w:szCs w:val="32"/>
          <w:highlight w:val="none"/>
        </w:rPr>
        <w:t>业经</w:t>
      </w:r>
      <w:r>
        <w:rPr>
          <w:rFonts w:hint="eastAsia" w:ascii="宋体" w:hAnsi="宋体" w:eastAsia="宋体" w:cs="宋体"/>
          <w:snapToGrid w:val="0"/>
          <w:color w:val="auto"/>
          <w:kern w:val="0"/>
          <w:sz w:val="24"/>
          <w:szCs w:val="32"/>
          <w:highlight w:val="none"/>
          <w:u w:val="single"/>
          <w:lang w:val="en-US" w:eastAsia="zh-CN"/>
        </w:rPr>
        <w:t>仁化县发展和改革局</w:t>
      </w:r>
      <w:r>
        <w:rPr>
          <w:rFonts w:hint="eastAsia" w:ascii="宋体" w:hAnsi="宋体" w:eastAsia="宋体" w:cs="宋体"/>
          <w:snapToGrid w:val="0"/>
          <w:color w:val="auto"/>
          <w:kern w:val="0"/>
          <w:sz w:val="24"/>
          <w:szCs w:val="32"/>
          <w:highlight w:val="none"/>
          <w:u w:val="none"/>
          <w:lang w:val="en-US" w:eastAsia="zh-CN"/>
        </w:rPr>
        <w:t>以</w:t>
      </w:r>
      <w:r>
        <w:rPr>
          <w:rFonts w:hint="eastAsia" w:ascii="宋体" w:hAnsi="宋体" w:eastAsia="宋体" w:cs="宋体"/>
          <w:snapToGrid w:val="0"/>
          <w:color w:val="auto"/>
          <w:kern w:val="0"/>
          <w:sz w:val="24"/>
          <w:szCs w:val="32"/>
          <w:highlight w:val="none"/>
          <w:u w:val="single"/>
          <w:lang w:val="en-US" w:eastAsia="zh-CN"/>
        </w:rPr>
        <w:t>《仁化县发展和改革局关于仁化产业转移工业园区基础建设(二期)项目变更的复函》（仁发改投审【2022】108号</w:t>
      </w:r>
      <w:r>
        <w:rPr>
          <w:rFonts w:hint="eastAsia" w:ascii="宋体" w:hAnsi="宋体" w:eastAsia="宋体" w:cs="宋体"/>
          <w:snapToGrid w:val="0"/>
          <w:color w:val="auto"/>
          <w:kern w:val="0"/>
          <w:sz w:val="24"/>
          <w:szCs w:val="32"/>
          <w:highlight w:val="none"/>
          <w:u w:val="none"/>
          <w:lang w:val="en-US" w:eastAsia="zh-CN"/>
        </w:rPr>
        <w:t>）；</w:t>
      </w:r>
      <w:r>
        <w:rPr>
          <w:rFonts w:hint="eastAsia" w:ascii="宋体" w:hAnsi="宋体" w:eastAsia="宋体" w:cs="宋体"/>
          <w:snapToGrid w:val="0"/>
          <w:color w:val="auto"/>
          <w:kern w:val="0"/>
          <w:sz w:val="24"/>
          <w:szCs w:val="24"/>
          <w:highlight w:val="none"/>
          <w:u w:val="single"/>
          <w:lang w:eastAsia="zh-CN"/>
        </w:rPr>
        <w:t>仁化县发展改革和政务数据局</w:t>
      </w:r>
      <w:r>
        <w:rPr>
          <w:rFonts w:hint="eastAsia" w:ascii="宋体" w:hAnsi="宋体" w:eastAsia="宋体" w:cs="宋体"/>
          <w:snapToGrid w:val="0"/>
          <w:color w:val="auto"/>
          <w:kern w:val="0"/>
          <w:sz w:val="24"/>
          <w:szCs w:val="32"/>
          <w:highlight w:val="none"/>
          <w:u w:val="none"/>
        </w:rPr>
        <w:t>以</w:t>
      </w:r>
      <w:r>
        <w:rPr>
          <w:rFonts w:hint="eastAsia" w:ascii="宋体" w:hAnsi="宋体" w:eastAsia="宋体" w:cs="宋体"/>
          <w:snapToGrid w:val="0"/>
          <w:color w:val="auto"/>
          <w:kern w:val="0"/>
          <w:sz w:val="24"/>
          <w:szCs w:val="32"/>
          <w:highlight w:val="none"/>
          <w:u w:val="single"/>
        </w:rPr>
        <w:t>《</w:t>
      </w:r>
      <w:r>
        <w:rPr>
          <w:rFonts w:hint="eastAsia" w:ascii="宋体" w:hAnsi="宋体" w:eastAsia="宋体" w:cs="宋体"/>
          <w:snapToGrid w:val="0"/>
          <w:color w:val="auto"/>
          <w:kern w:val="0"/>
          <w:sz w:val="24"/>
          <w:szCs w:val="32"/>
          <w:highlight w:val="none"/>
          <w:u w:val="single"/>
          <w:lang w:val="en-US" w:eastAsia="zh-CN"/>
        </w:rPr>
        <w:t>仁化县发展改革和政务数据局关于仁化县产业转移工业园区标准厂房建设项目(五期)初步设计概算的批复</w:t>
      </w:r>
      <w:r>
        <w:rPr>
          <w:rFonts w:hint="eastAsia" w:ascii="宋体" w:hAnsi="宋体" w:eastAsia="宋体" w:cs="宋体"/>
          <w:snapToGrid w:val="0"/>
          <w:color w:val="auto"/>
          <w:kern w:val="0"/>
          <w:sz w:val="24"/>
          <w:szCs w:val="32"/>
          <w:highlight w:val="none"/>
          <w:u w:val="single"/>
        </w:rPr>
        <w:t>》</w:t>
      </w:r>
      <w:r>
        <w:rPr>
          <w:rFonts w:hint="eastAsia" w:ascii="宋体" w:hAnsi="宋体" w:eastAsia="宋体" w:cs="宋体"/>
          <w:snapToGrid w:val="0"/>
          <w:color w:val="auto"/>
          <w:kern w:val="0"/>
          <w:sz w:val="24"/>
          <w:szCs w:val="32"/>
          <w:highlight w:val="none"/>
          <w:u w:val="single"/>
          <w:lang w:eastAsia="zh-CN"/>
        </w:rPr>
        <w:t>（仁发改和政数投审【2025】90号）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2208-440224-04-01-823973、</w:t>
      </w:r>
      <w:r>
        <w:rPr>
          <w:rFonts w:hint="eastAsia" w:ascii="宋体" w:hAnsi="宋体" w:eastAsia="宋体" w:cs="宋体"/>
          <w:snapToGrid w:val="0"/>
          <w:color w:val="auto"/>
          <w:kern w:val="0"/>
          <w:sz w:val="24"/>
          <w:szCs w:val="32"/>
          <w:highlight w:val="none"/>
          <w:u w:val="single"/>
          <w:lang w:val="en-US" w:eastAsia="zh-CN"/>
        </w:rPr>
        <w:t xml:space="preserve">2510-440224-04-01-612696 </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上级资金和县级财政资金安排解决</w:t>
      </w:r>
      <w:r>
        <w:rPr>
          <w:rFonts w:hint="eastAsia" w:ascii="宋体" w:hAnsi="宋体" w:eastAsia="宋体" w:cs="宋体"/>
          <w:snapToGrid w:val="0"/>
          <w:color w:val="auto"/>
          <w:kern w:val="0"/>
          <w:sz w:val="24"/>
          <w:szCs w:val="32"/>
          <w:highlight w:val="none"/>
          <w:u w:val="single"/>
        </w:rPr>
        <w:t xml:space="preserve"> </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韶关鹰正项目管理有限公司</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 xml:space="preserve"> 施工 </w:t>
      </w:r>
      <w:r>
        <w:rPr>
          <w:rFonts w:hint="eastAsia" w:ascii="宋体" w:hAnsi="宋体" w:eastAsia="宋体" w:cs="宋体"/>
          <w:snapToGrid w:val="0"/>
          <w:color w:val="auto"/>
          <w:kern w:val="0"/>
          <w:sz w:val="24"/>
          <w:szCs w:val="24"/>
          <w:highlight w:val="none"/>
        </w:rPr>
        <w:t>进行公开招标。</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outlineLvl w:val="2"/>
        <w:rPr>
          <w:rFonts w:hint="eastAsia" w:ascii="宋体" w:hAnsi="宋体" w:eastAsia="宋体" w:cs="宋体"/>
          <w:color w:val="auto"/>
          <w:sz w:val="24"/>
          <w:szCs w:val="24"/>
          <w:highlight w:val="none"/>
        </w:rPr>
      </w:pPr>
      <w:bookmarkStart w:id="8" w:name="bookmark73"/>
      <w:bookmarkEnd w:id="8"/>
      <w:bookmarkStart w:id="9" w:name="bookmark59"/>
      <w:bookmarkEnd w:id="9"/>
      <w:bookmarkStart w:id="10" w:name="bookmark52"/>
      <w:bookmarkEnd w:id="10"/>
      <w:bookmarkStart w:id="11" w:name="_Toc15993"/>
      <w:bookmarkStart w:id="12" w:name="_Toc22331"/>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韶关仁化产业园区周田片区。</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规划总用地面积69076.79平方米(约103.61亩),总建筑面积45652.80平方米，其中厂房一建筑面积9400.36平方米，厂房二建筑面积5212.84平方米，厂房三建筑面积9400.36平方米，厂房四建筑面积17840.39平方米，倒班休息室建筑面积3798.85平方米。主要建设内容包括新建4栋标准厂房、1栋配套倒班休息室等相关建筑单体，并同步实施道路、绿化、给排水、电力管网等配套基础设施工程。</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18"/>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u w:val="single"/>
          <w:lang w:val="en-US" w:eastAsia="zh-CN"/>
        </w:rPr>
        <w:t>项目概算总投资14528.79万元，其中工程费用7770.07万元。</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none"/>
          <w:lang w:val="en-US" w:eastAsia="zh-CN"/>
        </w:rPr>
        <w:t xml:space="preserve"> 招标范围和标段划分</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outlineLvl w:val="9"/>
        <w:rPr>
          <w:rFonts w:hint="eastAsia" w:ascii="宋体" w:hAnsi="宋体" w:eastAsia="宋体" w:cs="宋体"/>
          <w:color w:val="auto"/>
          <w:sz w:val="24"/>
          <w:szCs w:val="24"/>
          <w:highlight w:val="none"/>
        </w:rPr>
      </w:pPr>
      <w:bookmarkStart w:id="13" w:name="_Toc28202"/>
      <w:bookmarkStart w:id="14" w:name="_Toc20855"/>
      <w:bookmarkStart w:id="15" w:name="_Toc24593"/>
      <w:bookmarkStart w:id="16" w:name="_Toc14190"/>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13750"/>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Style w:val="18"/>
          <w:rFonts w:hint="eastAsia" w:ascii="宋体" w:hAnsi="宋体" w:eastAsia="宋体" w:cs="宋体"/>
          <w:b/>
          <w:bCs/>
          <w:color w:val="auto"/>
          <w:kern w:val="0"/>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2.1</w:t>
      </w:r>
      <w:r>
        <w:rPr>
          <w:rStyle w:val="18"/>
          <w:rFonts w:hint="eastAsia" w:ascii="宋体" w:hAnsi="宋体" w:eastAsia="宋体" w:cs="宋体"/>
          <w:b w:val="0"/>
          <w:bCs w:val="0"/>
          <w:color w:val="auto"/>
          <w:kern w:val="0"/>
          <w:sz w:val="24"/>
          <w:szCs w:val="24"/>
          <w:highlight w:val="none"/>
          <w:lang w:val="en-US" w:eastAsia="zh-CN"/>
        </w:rPr>
        <w:t xml:space="preserve"> 本次招标</w:t>
      </w:r>
      <w:r>
        <w:rPr>
          <w:rStyle w:val="18"/>
          <w:rFonts w:hint="eastAsia" w:ascii="宋体" w:hAnsi="宋体" w:eastAsia="宋体" w:cs="宋体"/>
          <w:b w:val="0"/>
          <w:bCs w:val="0"/>
          <w:color w:val="auto"/>
          <w:kern w:val="0"/>
          <w:sz w:val="24"/>
          <w:szCs w:val="24"/>
          <w:highlight w:val="none"/>
          <w:u w:val="single"/>
          <w:lang w:val="en-US" w:eastAsia="zh-CN"/>
        </w:rPr>
        <w:t xml:space="preserve"> 接受 </w:t>
      </w:r>
      <w:r>
        <w:rPr>
          <w:rStyle w:val="18"/>
          <w:rFonts w:hint="eastAsia" w:ascii="宋体" w:hAnsi="宋体" w:eastAsia="宋体" w:cs="宋体"/>
          <w:b w:val="0"/>
          <w:bCs w:val="0"/>
          <w:color w:val="auto"/>
          <w:kern w:val="0"/>
          <w:sz w:val="24"/>
          <w:szCs w:val="24"/>
          <w:highlight w:val="none"/>
          <w:lang w:val="en-US" w:eastAsia="zh-CN"/>
        </w:rPr>
        <w:t>联合体投标。</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b/>
          <w:bCs/>
          <w:snapToGrid w:val="0"/>
          <w:color w:val="auto"/>
          <w:kern w:val="0"/>
          <w:sz w:val="24"/>
          <w:szCs w:val="24"/>
          <w:highlight w:val="none"/>
          <w:lang w:val="en-US" w:eastAsia="zh-CN"/>
        </w:rPr>
        <w:t>2.</w:t>
      </w:r>
      <w:r>
        <w:rPr>
          <w:rFonts w:hint="eastAsia" w:asciiTheme="minorEastAsia" w:hAnsiTheme="minorEastAsia" w:eastAsiaTheme="minorEastAsia" w:cstheme="minorEastAsia"/>
          <w:b/>
          <w:bCs/>
          <w:snapToGrid w:val="0"/>
          <w:color w:val="auto"/>
          <w:kern w:val="0"/>
          <w:sz w:val="24"/>
          <w:szCs w:val="24"/>
          <w:highlight w:val="none"/>
          <w:lang w:eastAsia="zh-CN"/>
        </w:rPr>
        <w:t>1.1</w:t>
      </w:r>
      <w:r>
        <w:rPr>
          <w:rFonts w:hint="eastAsia" w:asciiTheme="minorEastAsia" w:hAnsiTheme="minorEastAsia" w:eastAsiaTheme="minorEastAsia" w:cstheme="minorEastAsia"/>
          <w:snapToGrid w:val="0"/>
          <w:color w:val="auto"/>
          <w:kern w:val="0"/>
          <w:sz w:val="24"/>
          <w:szCs w:val="24"/>
          <w:highlight w:val="none"/>
          <w:lang w:eastAsia="zh-CN"/>
        </w:rPr>
        <w:t xml:space="preserve">  联合体成员数量</w:t>
      </w:r>
      <w:r>
        <w:rPr>
          <w:rFonts w:hint="eastAsia" w:asciiTheme="minorEastAsia" w:hAnsiTheme="minorEastAsia" w:eastAsiaTheme="minorEastAsia" w:cstheme="minorEastAsia"/>
          <w:strike w:val="0"/>
          <w:dstrike w:val="0"/>
          <w:snapToGrid w:val="0"/>
          <w:color w:val="auto"/>
          <w:kern w:val="0"/>
          <w:sz w:val="24"/>
          <w:szCs w:val="24"/>
          <w:highlight w:val="none"/>
          <w:u w:val="single"/>
          <w:lang w:val="en-US" w:eastAsia="zh-CN"/>
        </w:rPr>
        <w:t xml:space="preserve"> </w:t>
      </w:r>
      <w:r>
        <w:rPr>
          <w:rFonts w:hint="eastAsia" w:asciiTheme="minorEastAsia" w:hAnsiTheme="minorEastAsia" w:eastAsiaTheme="minorEastAsia" w:cstheme="minorEastAsia"/>
          <w:strike w:val="0"/>
          <w:dstrike w:val="0"/>
          <w:snapToGrid w:val="0"/>
          <w:color w:val="auto"/>
          <w:kern w:val="0"/>
          <w:sz w:val="24"/>
          <w:szCs w:val="24"/>
          <w:highlight w:val="none"/>
          <w:u w:val="single"/>
          <w:lang w:eastAsia="zh-CN"/>
        </w:rPr>
        <w:t xml:space="preserve">不超过 </w:t>
      </w:r>
      <w:r>
        <w:rPr>
          <w:rFonts w:hint="eastAsia" w:asciiTheme="minorEastAsia" w:hAnsiTheme="minorEastAsia" w:eastAsiaTheme="minorEastAsia" w:cstheme="minorEastAsia"/>
          <w:strike w:val="0"/>
          <w:dstrike w:val="0"/>
          <w:snapToGrid w:val="0"/>
          <w:color w:val="auto"/>
          <w:kern w:val="0"/>
          <w:sz w:val="24"/>
          <w:szCs w:val="24"/>
          <w:highlight w:val="none"/>
          <w:u w:val="single"/>
          <w:lang w:val="en-US" w:eastAsia="zh-CN"/>
        </w:rPr>
        <w:t>2</w:t>
      </w:r>
      <w:r>
        <w:rPr>
          <w:rFonts w:hint="eastAsia" w:asciiTheme="minorEastAsia" w:hAnsiTheme="minorEastAsia" w:eastAsiaTheme="minorEastAsia" w:cstheme="minorEastAsia"/>
          <w:strike w:val="0"/>
          <w:dstrike w:val="0"/>
          <w:snapToGrid w:val="0"/>
          <w:color w:val="auto"/>
          <w:kern w:val="0"/>
          <w:sz w:val="24"/>
          <w:szCs w:val="24"/>
          <w:highlight w:val="none"/>
          <w:u w:val="single"/>
          <w:lang w:eastAsia="zh-CN"/>
        </w:rPr>
        <w:t xml:space="preserve"> 个 </w:t>
      </w:r>
      <w:r>
        <w:rPr>
          <w:rFonts w:hint="eastAsia" w:asciiTheme="minorEastAsia" w:hAnsiTheme="minorEastAsia" w:eastAsiaTheme="minorEastAsia" w:cstheme="minorEastAsia"/>
          <w:snapToGrid w:val="0"/>
          <w:color w:val="auto"/>
          <w:kern w:val="0"/>
          <w:sz w:val="24"/>
          <w:szCs w:val="24"/>
          <w:highlight w:val="none"/>
          <w:lang w:eastAsia="zh-CN"/>
        </w:rPr>
        <w:t>。</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b/>
          <w:bCs/>
          <w:snapToGrid w:val="0"/>
          <w:color w:val="auto"/>
          <w:kern w:val="0"/>
          <w:sz w:val="24"/>
          <w:szCs w:val="24"/>
          <w:highlight w:val="none"/>
          <w:lang w:val="en-US" w:eastAsia="zh-CN"/>
        </w:rPr>
        <w:t>2.1.2</w:t>
      </w:r>
      <w:r>
        <w:rPr>
          <w:rFonts w:hint="eastAsia" w:asciiTheme="minorEastAsia" w:hAnsiTheme="minorEastAsia" w:eastAsiaTheme="minorEastAsia" w:cstheme="minorEastAsia"/>
          <w:snapToGrid w:val="0"/>
          <w:color w:val="auto"/>
          <w:kern w:val="0"/>
          <w:sz w:val="24"/>
          <w:szCs w:val="24"/>
          <w:highlight w:val="none"/>
          <w:lang w:eastAsia="zh-CN"/>
        </w:rPr>
        <w:t xml:space="preserve">  联合体各方应按招标文件提供的格式签订联合体协议书，明确联合体牵头人和各方权利义务，并承诺就中标项目向招标人承担连带责任。《联合体协议书》作为投标文件的组成部分向招标人提交。</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b/>
          <w:bCs/>
          <w:snapToGrid w:val="0"/>
          <w:color w:val="auto"/>
          <w:kern w:val="0"/>
          <w:sz w:val="24"/>
          <w:szCs w:val="24"/>
          <w:highlight w:val="none"/>
          <w:lang w:val="en-US" w:eastAsia="zh-CN"/>
        </w:rPr>
        <w:t>2.1.3</w:t>
      </w:r>
      <w:r>
        <w:rPr>
          <w:rFonts w:hint="eastAsia" w:asciiTheme="minorEastAsia" w:hAnsiTheme="minorEastAsia" w:eastAsiaTheme="minorEastAsia" w:cstheme="minorEastAsia"/>
          <w:snapToGrid w:val="0"/>
          <w:color w:val="auto"/>
          <w:kern w:val="0"/>
          <w:sz w:val="24"/>
          <w:szCs w:val="24"/>
          <w:highlight w:val="none"/>
          <w:lang w:eastAsia="zh-CN"/>
        </w:rPr>
        <w:t xml:space="preserve">  联合体成员单位均应具备拟承担的工作内容（以《联合体协议书》的约定为准）所规定的资格条件。若同一工作内容由两个或两个以上单位共同承担，该项工作内容按照资质等级较低的单位确定联合体资质等级。</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Style w:val="18"/>
          <w:rFonts w:hint="eastAsia" w:ascii="宋体" w:hAnsi="宋体" w:eastAsia="宋体" w:cs="宋体"/>
          <w:b/>
          <w:bCs/>
          <w:color w:val="auto"/>
          <w:kern w:val="0"/>
          <w:sz w:val="24"/>
          <w:szCs w:val="24"/>
          <w:highlight w:val="none"/>
          <w:lang w:val="en-US" w:eastAsia="zh-CN"/>
        </w:rPr>
      </w:pPr>
      <w:r>
        <w:rPr>
          <w:rFonts w:hint="eastAsia" w:asciiTheme="minorEastAsia" w:hAnsiTheme="minorEastAsia" w:eastAsiaTheme="minorEastAsia" w:cstheme="minorEastAsia"/>
          <w:b/>
          <w:bCs/>
          <w:snapToGrid w:val="0"/>
          <w:color w:val="auto"/>
          <w:kern w:val="0"/>
          <w:sz w:val="24"/>
          <w:szCs w:val="24"/>
          <w:highlight w:val="none"/>
          <w:lang w:val="en-US" w:eastAsia="zh-CN"/>
        </w:rPr>
        <w:t xml:space="preserve">2.1.4 </w:t>
      </w:r>
      <w:r>
        <w:rPr>
          <w:rFonts w:hint="eastAsia" w:asciiTheme="minorEastAsia" w:hAnsiTheme="minorEastAsia" w:eastAsiaTheme="minorEastAsia" w:cstheme="minorEastAsia"/>
          <w:snapToGrid w:val="0"/>
          <w:color w:val="auto"/>
          <w:kern w:val="0"/>
          <w:sz w:val="24"/>
          <w:szCs w:val="24"/>
          <w:highlight w:val="none"/>
          <w:lang w:eastAsia="zh-CN"/>
        </w:rPr>
        <w:t xml:space="preserve"> 联合体各方不得再以自己名义单独或参加其他联合体在本招标项目中投标，否则各相关投标均无效。</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Style w:val="18"/>
          <w:rFonts w:hint="eastAsia" w:ascii="宋体" w:hAnsi="宋体" w:eastAsia="宋体" w:cs="宋体"/>
          <w:b w:val="0"/>
          <w:bCs w:val="0"/>
          <w:color w:val="auto"/>
          <w:kern w:val="0"/>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2.2 </w:t>
      </w:r>
      <w:r>
        <w:rPr>
          <w:rStyle w:val="18"/>
          <w:rFonts w:hint="eastAsia" w:ascii="宋体" w:hAnsi="宋体" w:eastAsia="宋体" w:cs="宋体"/>
          <w:b w:val="0"/>
          <w:bCs w:val="0"/>
          <w:color w:val="auto"/>
          <w:kern w:val="0"/>
          <w:sz w:val="24"/>
          <w:szCs w:val="24"/>
          <w:highlight w:val="none"/>
          <w:lang w:val="en-US" w:eastAsia="zh-CN"/>
        </w:rPr>
        <w:t>资格资质要求</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val="0"/>
          <w:color w:val="auto"/>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val="0"/>
          <w:color w:val="auto"/>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Style w:val="18"/>
          <w:rFonts w:hint="eastAsia" w:ascii="宋体" w:hAnsi="宋体" w:eastAsia="宋体" w:cs="宋体"/>
          <w:b/>
          <w:bCs/>
          <w:color w:val="auto"/>
          <w:kern w:val="0"/>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具有建设行政主管部门颁发的建筑工程施工总承包二级以上（含二级）资质。</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val="0"/>
          <w:color w:val="auto"/>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val="0"/>
          <w:color w:val="auto"/>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Style w:val="18"/>
          <w:rFonts w:hint="eastAsia" w:ascii="宋体" w:hAnsi="宋体" w:eastAsia="宋体" w:cs="宋体"/>
          <w:b/>
          <w:bCs/>
          <w:color w:val="auto"/>
          <w:kern w:val="0"/>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2.3.1 </w:t>
      </w:r>
      <w:r>
        <w:rPr>
          <w:rFonts w:hint="eastAsia" w:asciiTheme="minorEastAsia" w:hAnsiTheme="minorEastAsia" w:eastAsiaTheme="minorEastAsia" w:cstheme="minorEastAsia"/>
          <w:snapToGrid w:val="0"/>
          <w:color w:val="auto"/>
          <w:kern w:val="0"/>
          <w:sz w:val="24"/>
          <w:szCs w:val="24"/>
          <w:highlight w:val="none"/>
          <w:lang w:val="en-US" w:eastAsia="zh-CN"/>
        </w:rPr>
        <w:t>拟派项目经理为</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建筑工程 </w:t>
      </w:r>
      <w:r>
        <w:rPr>
          <w:rFonts w:hint="eastAsia" w:asciiTheme="minorEastAsia" w:hAnsiTheme="minorEastAsia" w:eastAsiaTheme="minorEastAsia" w:cstheme="minorEastAsia"/>
          <w:snapToGrid w:val="0"/>
          <w:color w:val="auto"/>
          <w:kern w:val="0"/>
          <w:sz w:val="24"/>
          <w:szCs w:val="24"/>
          <w:highlight w:val="none"/>
          <w:lang w:val="en-US" w:eastAsia="zh-CN"/>
        </w:rPr>
        <w:t>专业一级注册建造师，</w:t>
      </w:r>
      <w:r>
        <w:rPr>
          <w:rFonts w:ascii="宋体" w:hAnsi="宋体" w:eastAsia="宋体" w:cs="宋体"/>
          <w:color w:val="auto"/>
          <w:spacing w:val="-1"/>
          <w:sz w:val="24"/>
          <w:szCs w:val="24"/>
          <w:highlight w:val="none"/>
        </w:rPr>
        <w:t>应持有国家住建</w:t>
      </w:r>
      <w:r>
        <w:rPr>
          <w:rFonts w:ascii="宋体" w:hAnsi="宋体" w:eastAsia="宋体" w:cs="宋体"/>
          <w:color w:val="auto"/>
          <w:spacing w:val="-2"/>
          <w:sz w:val="24"/>
          <w:szCs w:val="24"/>
          <w:highlight w:val="none"/>
        </w:rPr>
        <w:t>部印</w:t>
      </w:r>
      <w:r>
        <w:rPr>
          <w:rFonts w:ascii="宋体" w:hAnsi="宋体" w:eastAsia="宋体" w:cs="宋体"/>
          <w:color w:val="auto"/>
          <w:spacing w:val="-1"/>
          <w:sz w:val="24"/>
          <w:szCs w:val="24"/>
          <w:highlight w:val="none"/>
        </w:rPr>
        <w:t>发的有效注册证书和有效安全生产考核合格证明（</w:t>
      </w:r>
      <w:r>
        <w:rPr>
          <w:rFonts w:ascii="Times New Roman" w:hAnsi="Times New Roman" w:eastAsia="Times New Roman" w:cs="Times New Roman"/>
          <w:color w:val="auto"/>
          <w:spacing w:val="-1"/>
          <w:sz w:val="24"/>
          <w:szCs w:val="24"/>
          <w:highlight w:val="none"/>
        </w:rPr>
        <w:t>B</w:t>
      </w:r>
      <w:r>
        <w:rPr>
          <w:rFonts w:ascii="宋体" w:hAnsi="宋体" w:eastAsia="宋体" w:cs="宋体"/>
          <w:color w:val="auto"/>
          <w:spacing w:val="-1"/>
          <w:sz w:val="24"/>
          <w:szCs w:val="24"/>
          <w:highlight w:val="none"/>
        </w:rPr>
        <w:t>证，安全生产考</w:t>
      </w:r>
      <w:r>
        <w:rPr>
          <w:rFonts w:ascii="宋体" w:hAnsi="宋体" w:eastAsia="宋体" w:cs="宋体"/>
          <w:color w:val="auto"/>
          <w:spacing w:val="5"/>
          <w:sz w:val="24"/>
          <w:szCs w:val="24"/>
          <w:highlight w:val="none"/>
        </w:rPr>
        <w:t>核合格证书或广东省建筑施工企业管理人员安全生产考核系统考核</w:t>
      </w:r>
      <w:r>
        <w:rPr>
          <w:rFonts w:ascii="宋体" w:hAnsi="宋体" w:eastAsia="宋体" w:cs="宋体"/>
          <w:color w:val="auto"/>
          <w:spacing w:val="-3"/>
          <w:sz w:val="24"/>
          <w:szCs w:val="24"/>
          <w:highlight w:val="none"/>
        </w:rPr>
        <w:t>合格信息打印页</w:t>
      </w:r>
      <w:r>
        <w:rPr>
          <w:rFonts w:ascii="宋体" w:hAnsi="宋体" w:eastAsia="宋体" w:cs="宋体"/>
          <w:color w:val="auto"/>
          <w:spacing w:val="-5"/>
          <w:sz w:val="24"/>
          <w:szCs w:val="24"/>
          <w:highlight w:val="none"/>
        </w:rPr>
        <w:t>），</w:t>
      </w:r>
      <w:r>
        <w:rPr>
          <w:rFonts w:ascii="宋体" w:hAnsi="宋体" w:eastAsia="宋体" w:cs="宋体"/>
          <w:color w:val="auto"/>
          <w:spacing w:val="-3"/>
          <w:sz w:val="24"/>
          <w:szCs w:val="24"/>
          <w:highlight w:val="none"/>
        </w:rPr>
        <w:t>且未担任其他在施（包括已中标未开工、已开工</w:t>
      </w:r>
      <w:r>
        <w:rPr>
          <w:rFonts w:ascii="宋体" w:hAnsi="宋体" w:eastAsia="宋体" w:cs="宋体"/>
          <w:color w:val="auto"/>
          <w:spacing w:val="-7"/>
          <w:sz w:val="24"/>
          <w:szCs w:val="24"/>
          <w:highlight w:val="none"/>
        </w:rPr>
        <w:t>未竣工）建设工程项目的项目经理</w:t>
      </w:r>
      <w:r>
        <w:rPr>
          <w:rFonts w:hint="eastAsia" w:ascii="宋体" w:hAnsi="宋体" w:eastAsia="宋体" w:cs="宋体"/>
          <w:b w:val="0"/>
          <w:bCs w:val="0"/>
          <w:color w:val="auto"/>
          <w:sz w:val="24"/>
          <w:szCs w:val="24"/>
          <w:highlight w:val="none"/>
          <w:lang w:val="en-US" w:eastAsia="zh-CN"/>
        </w:rPr>
        <w:t xml:space="preserve">。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val="0"/>
          <w:color w:val="auto"/>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拟派项目技术负责人须具备建筑工程相关专业中级或以上技术职称。</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Style w:val="18"/>
          <w:rFonts w:hint="eastAsia" w:ascii="宋体" w:hAnsi="宋体" w:eastAsia="宋体" w:cs="宋体"/>
          <w:b/>
          <w:bCs/>
          <w:color w:val="auto"/>
          <w:kern w:val="0"/>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拟派专职安全生产管理人员须具备有效安全生产考核合格证明（C证，安全生产考核合格证书或“广东省建筑施工企业管理人员安全生产考核信息系统”考核合格信息打印页），且不少于2人。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val="0"/>
          <w:color w:val="auto"/>
          <w:sz w:val="24"/>
          <w:szCs w:val="24"/>
          <w:highlight w:val="none"/>
          <w:lang w:val="en-US" w:eastAsia="zh-CN"/>
        </w:rPr>
      </w:pPr>
      <w:r>
        <w:rPr>
          <w:rStyle w:val="18"/>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w:t>
      </w:r>
    </w:p>
    <w:p>
      <w:pPr>
        <w:keepNext w:val="0"/>
        <w:keepLines w:val="0"/>
        <w:pageBreakBefore w:val="0"/>
        <w:widowControl w:val="0"/>
        <w:kinsoku/>
        <w:wordWrap w:val="0"/>
        <w:overflowPunct/>
        <w:topLinePunct/>
        <w:autoSpaceDE/>
        <w:autoSpaceDN/>
        <w:bidi w:val="0"/>
        <w:adjustRightInd w:val="0"/>
        <w:snapToGrid w:val="0"/>
        <w:spacing w:line="360" w:lineRule="auto"/>
        <w:ind w:left="489"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pPr>
        <w:keepNext w:val="0"/>
        <w:keepLines w:val="0"/>
        <w:pageBreakBefore w:val="0"/>
        <w:widowControl w:val="0"/>
        <w:kinsoku/>
        <w:wordWrap w:val="0"/>
        <w:overflowPunct/>
        <w:topLinePunct/>
        <w:autoSpaceDE/>
        <w:autoSpaceDN/>
        <w:bidi w:val="0"/>
        <w:adjustRightInd w:val="0"/>
        <w:snapToGrid w:val="0"/>
        <w:spacing w:line="360" w:lineRule="auto"/>
        <w:ind w:left="489"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pPr>
        <w:keepNext w:val="0"/>
        <w:keepLines w:val="0"/>
        <w:pageBreakBefore w:val="0"/>
        <w:widowControl w:val="0"/>
        <w:kinsoku/>
        <w:wordWrap w:val="0"/>
        <w:overflowPunct/>
        <w:topLinePunct/>
        <w:autoSpaceDE/>
        <w:autoSpaceDN/>
        <w:bidi w:val="0"/>
        <w:adjustRightInd w:val="0"/>
        <w:snapToGrid w:val="0"/>
        <w:spacing w:line="360" w:lineRule="auto"/>
        <w:ind w:left="5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jc w:val="left"/>
        <w:rPr>
          <w:rFonts w:hint="eastAsia" w:ascii="宋体" w:hAnsi="宋体" w:eastAsia="宋体" w:cs="宋体"/>
          <w:color w:val="auto"/>
          <w:sz w:val="24"/>
          <w:szCs w:val="24"/>
          <w:highlight w:val="none"/>
        </w:rPr>
      </w:pPr>
      <w:bookmarkStart w:id="18" w:name="bookmark116"/>
      <w:bookmarkEnd w:id="18"/>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pPr>
        <w:keepNext w:val="0"/>
        <w:keepLines w:val="0"/>
        <w:pageBreakBefore w:val="0"/>
        <w:widowControl w:val="0"/>
        <w:kinsoku/>
        <w:wordWrap w:val="0"/>
        <w:overflowPunct/>
        <w:topLinePunct/>
        <w:autoSpaceDE/>
        <w:autoSpaceDN/>
        <w:bidi w:val="0"/>
        <w:adjustRightInd w:val="0"/>
        <w:snapToGrid w:val="0"/>
        <w:spacing w:line="360" w:lineRule="auto"/>
        <w:ind w:left="232" w:right="84" w:rightChars="40"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70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10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4897"/>
        <w:gridCol w:w="4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55" w:type="dxa"/>
            <w:vAlign w:val="center"/>
          </w:tcPr>
          <w:p>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序号</w:t>
            </w:r>
          </w:p>
        </w:tc>
        <w:tc>
          <w:tcPr>
            <w:tcW w:w="4897" w:type="dxa"/>
            <w:vAlign w:val="center"/>
          </w:tcPr>
          <w:p>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p>
        </w:tc>
        <w:tc>
          <w:tcPr>
            <w:tcW w:w="4275" w:type="dxa"/>
            <w:vAlign w:val="center"/>
          </w:tcPr>
          <w:p>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5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p>
        </w:tc>
        <w:tc>
          <w:tcPr>
            <w:tcW w:w="4897"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仁化县丹霞旅游经济开发试验区管理委员会</w:t>
            </w:r>
          </w:p>
        </w:tc>
        <w:tc>
          <w:tcPr>
            <w:tcW w:w="427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5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2</w:t>
            </w:r>
          </w:p>
        </w:tc>
        <w:tc>
          <w:tcPr>
            <w:tcW w:w="4897"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宋体" w:hAnsi="宋体" w:eastAsia="宋体" w:cs="宋体"/>
                <w:color w:val="auto"/>
                <w:sz w:val="24"/>
                <w:szCs w:val="24"/>
                <w:highlight w:val="none"/>
                <w:lang w:val="en-US" w:eastAsia="zh-CN"/>
              </w:rPr>
            </w:pPr>
            <w:r>
              <w:rPr>
                <w:rFonts w:hint="eastAsia" w:ascii="宋体" w:hAnsi="宋体" w:cs="宋体"/>
                <w:snapToGrid w:val="0"/>
                <w:color w:val="auto"/>
                <w:kern w:val="0"/>
                <w:sz w:val="24"/>
                <w:szCs w:val="24"/>
                <w:highlight w:val="none"/>
                <w:lang w:eastAsia="zh-CN"/>
              </w:rPr>
              <w:t>韶关鹰正项目管理有限公司</w:t>
            </w:r>
          </w:p>
        </w:tc>
        <w:tc>
          <w:tcPr>
            <w:tcW w:w="427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5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3</w:t>
            </w:r>
          </w:p>
        </w:tc>
        <w:tc>
          <w:tcPr>
            <w:tcW w:w="4897"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广州博厦建筑设计研究院有限公司</w:t>
            </w:r>
          </w:p>
        </w:tc>
        <w:tc>
          <w:tcPr>
            <w:tcW w:w="427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为本招标项目</w:t>
            </w:r>
            <w:r>
              <w:rPr>
                <w:rFonts w:hint="eastAsia" w:ascii="宋体" w:hAnsi="宋体" w:eastAsia="宋体" w:cs="宋体"/>
                <w:snapToGrid w:val="0"/>
                <w:color w:val="auto"/>
                <w:kern w:val="0"/>
                <w:sz w:val="24"/>
                <w:szCs w:val="24"/>
                <w:highlight w:val="none"/>
                <w:lang w:eastAsia="zh-CN"/>
              </w:rPr>
              <w:t>的</w:t>
            </w:r>
            <w:r>
              <w:rPr>
                <w:rFonts w:hint="eastAsia" w:ascii="宋体" w:hAnsi="宋体" w:eastAsia="宋体" w:cs="宋体"/>
                <w:snapToGrid w:val="0"/>
                <w:color w:val="auto"/>
                <w:kern w:val="0"/>
                <w:sz w:val="24"/>
                <w:szCs w:val="24"/>
                <w:highlight w:val="none"/>
                <w:lang w:val="en-US" w:eastAsia="zh-CN"/>
              </w:rPr>
              <w:t>设计</w:t>
            </w:r>
            <w:r>
              <w:rPr>
                <w:rFonts w:hint="eastAsia" w:ascii="宋体" w:hAnsi="宋体" w:eastAsia="宋体" w:cs="宋体"/>
                <w:snapToGrid w:val="0"/>
                <w:color w:val="auto"/>
                <w:kern w:val="0"/>
                <w:sz w:val="24"/>
                <w:szCs w:val="24"/>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5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default"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w:t>
            </w:r>
          </w:p>
        </w:tc>
        <w:tc>
          <w:tcPr>
            <w:tcW w:w="4897"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广东伟达工程咨询顾问有限公司</w:t>
            </w:r>
          </w:p>
        </w:tc>
        <w:tc>
          <w:tcPr>
            <w:tcW w:w="427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default"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为本招标项目的可研单位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5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w:t>
            </w:r>
          </w:p>
        </w:tc>
        <w:tc>
          <w:tcPr>
            <w:tcW w:w="4897"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宋体" w:hAnsi="宋体" w:eastAsia="宋体" w:cs="宋体"/>
                <w:color w:val="auto"/>
                <w:sz w:val="24"/>
                <w:szCs w:val="24"/>
                <w:highlight w:val="none"/>
                <w:lang w:val="en-US" w:eastAsia="zh-CN"/>
              </w:rPr>
            </w:pPr>
            <w:r>
              <w:rPr>
                <w:rFonts w:hint="eastAsia" w:ascii="宋体" w:hAnsi="宋体" w:cs="宋体"/>
                <w:snapToGrid w:val="0"/>
                <w:color w:val="auto"/>
                <w:kern w:val="0"/>
                <w:sz w:val="24"/>
                <w:szCs w:val="24"/>
                <w:highlight w:val="none"/>
                <w:lang w:val="en-US" w:eastAsia="zh-CN"/>
              </w:rPr>
              <w:t>广东宝骏工程咨询有限公司</w:t>
            </w:r>
          </w:p>
        </w:tc>
        <w:tc>
          <w:tcPr>
            <w:tcW w:w="427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eastAsia="zh-CN"/>
              </w:rPr>
              <w:t>为本招标项目的全过程造价咨询单位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5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6</w:t>
            </w:r>
          </w:p>
        </w:tc>
        <w:tc>
          <w:tcPr>
            <w:tcW w:w="4897" w:type="dxa"/>
            <w:vAlign w:val="center"/>
          </w:tcPr>
          <w:p>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eastAsia="宋体"/>
                <w:color w:val="auto"/>
                <w:sz w:val="24"/>
                <w:szCs w:val="24"/>
                <w:highlight w:val="none"/>
                <w:lang w:eastAsia="zh-CN"/>
              </w:rPr>
              <w:t>仁化县住房和城乡建设管理局</w:t>
            </w:r>
          </w:p>
        </w:tc>
        <w:tc>
          <w:tcPr>
            <w:tcW w:w="4275" w:type="dxa"/>
            <w:vAlign w:val="center"/>
          </w:tcPr>
          <w:p>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hAnsi="宋体" w:cs="宋体"/>
                <w:color w:val="auto"/>
                <w:kern w:val="0"/>
                <w:sz w:val="24"/>
                <w:szCs w:val="24"/>
                <w:highlight w:val="none"/>
                <w:lang w:val="en-US" w:eastAsia="zh-CN"/>
              </w:rPr>
              <w:t>为本招标项目的监督单位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55" w:type="dxa"/>
            <w:vAlign w:val="center"/>
          </w:tcPr>
          <w:p>
            <w:pPr>
              <w:pStyle w:val="20"/>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7</w:t>
            </w:r>
          </w:p>
        </w:tc>
        <w:tc>
          <w:tcPr>
            <w:tcW w:w="4897" w:type="dxa"/>
            <w:vAlign w:val="center"/>
          </w:tcPr>
          <w:p>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eastAsia="宋体"/>
                <w:color w:val="auto"/>
                <w:sz w:val="24"/>
                <w:szCs w:val="24"/>
                <w:highlight w:val="none"/>
                <w:lang w:eastAsia="zh-CN"/>
              </w:rPr>
              <w:t>广东省城规建设监理有限公司</w:t>
            </w:r>
          </w:p>
        </w:tc>
        <w:tc>
          <w:tcPr>
            <w:tcW w:w="4275" w:type="dxa"/>
            <w:vAlign w:val="center"/>
          </w:tcPr>
          <w:p>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hAnsi="宋体" w:cs="宋体"/>
                <w:color w:val="auto"/>
                <w:kern w:val="0"/>
                <w:sz w:val="24"/>
                <w:szCs w:val="24"/>
                <w:highlight w:val="none"/>
                <w:lang w:val="en-US" w:eastAsia="zh-CN"/>
              </w:rPr>
              <w:t>为本招标项目的监理单位</w:t>
            </w:r>
          </w:p>
        </w:tc>
      </w:tr>
    </w:tbl>
    <w:p>
      <w:pPr>
        <w:keepNext w:val="0"/>
        <w:keepLines w:val="0"/>
        <w:pageBreakBefore w:val="0"/>
        <w:widowControl w:val="0"/>
        <w:kinsoku/>
        <w:wordWrap w:val="0"/>
        <w:overflowPunct/>
        <w:topLinePunct/>
        <w:autoSpaceDE/>
        <w:autoSpaceDN/>
        <w:bidi w:val="0"/>
        <w:adjustRightInd w:val="0"/>
        <w:snapToGrid w:val="0"/>
        <w:spacing w:line="360" w:lineRule="auto"/>
        <w:ind w:right="84" w:rightChars="40"/>
        <w:rPr>
          <w:rFonts w:hint="eastAsia" w:ascii="宋体" w:hAnsi="宋体" w:eastAsia="宋体" w:cs="宋体"/>
          <w:color w:val="auto"/>
          <w:sz w:val="2"/>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70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pPr>
        <w:keepNext w:val="0"/>
        <w:keepLines w:val="0"/>
        <w:pageBreakBefore w:val="0"/>
        <w:widowControl w:val="0"/>
        <w:kinsoku/>
        <w:wordWrap w:val="0"/>
        <w:overflowPunct/>
        <w:topLinePunct/>
        <w:autoSpaceDE/>
        <w:autoSpaceDN/>
        <w:bidi w:val="0"/>
        <w:adjustRightInd w:val="0"/>
        <w:snapToGrid w:val="0"/>
        <w:spacing w:line="360" w:lineRule="auto"/>
        <w:ind w:left="232" w:right="84" w:rightChars="40"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pacing w:val="-4"/>
          <w:sz w:val="24"/>
          <w:szCs w:val="24"/>
          <w:highlight w:val="none"/>
        </w:rPr>
        <w:t>52号）规定在“进粤企业和人员诚信信息登记平台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pPr>
        <w:keepNext w:val="0"/>
        <w:keepLines w:val="0"/>
        <w:pageBreakBefore w:val="0"/>
        <w:widowControl w:val="0"/>
        <w:kinsoku/>
        <w:wordWrap w:val="0"/>
        <w:overflowPunct/>
        <w:topLinePunct/>
        <w:autoSpaceDE/>
        <w:autoSpaceDN/>
        <w:bidi w:val="0"/>
        <w:adjustRightInd w:val="0"/>
        <w:snapToGrid w:val="0"/>
        <w:spacing w:line="360" w:lineRule="auto"/>
        <w:ind w:left="715" w:right="84" w:rightChars="40"/>
        <w:outlineLvl w:val="2"/>
        <w:rPr>
          <w:rFonts w:hint="eastAsia" w:ascii="宋体" w:hAnsi="宋体" w:eastAsia="宋体" w:cs="宋体"/>
          <w:color w:val="auto"/>
          <w:sz w:val="24"/>
          <w:szCs w:val="24"/>
          <w:highlight w:val="none"/>
        </w:rPr>
      </w:pPr>
      <w:bookmarkStart w:id="19" w:name="_Toc30102"/>
      <w:bookmarkStart w:id="20" w:name="_Toc23243"/>
      <w:r>
        <w:rPr>
          <w:rFonts w:hint="eastAsia" w:ascii="宋体" w:hAnsi="宋体" w:eastAsia="宋体" w:cs="宋体"/>
          <w:b/>
          <w:bCs/>
          <w:color w:val="auto"/>
          <w:spacing w:val="-4"/>
          <w:sz w:val="24"/>
          <w:szCs w:val="24"/>
          <w:highlight w:val="none"/>
        </w:rPr>
        <w:t>3．招标文件的获取</w:t>
      </w:r>
      <w:bookmarkEnd w:id="19"/>
      <w:bookmarkEnd w:id="20"/>
    </w:p>
    <w:p>
      <w:pPr>
        <w:keepNext w:val="0"/>
        <w:keepLines w:val="0"/>
        <w:pageBreakBefore w:val="0"/>
        <w:widowControl w:val="0"/>
        <w:kinsoku/>
        <w:wordWrap w:val="0"/>
        <w:overflowPunct/>
        <w:topLinePunct/>
        <w:autoSpaceDE/>
        <w:autoSpaceDN/>
        <w:bidi w:val="0"/>
        <w:adjustRightInd w:val="0"/>
        <w:snapToGrid w:val="0"/>
        <w:spacing w:line="360" w:lineRule="auto"/>
        <w:ind w:left="704"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pPr>
        <w:keepNext w:val="0"/>
        <w:keepLines w:val="0"/>
        <w:pageBreakBefore w:val="0"/>
        <w:widowControl w:val="0"/>
        <w:kinsoku/>
        <w:wordWrap w:val="0"/>
        <w:overflowPunct/>
        <w:topLinePunct/>
        <w:autoSpaceDE/>
        <w:autoSpaceDN/>
        <w:bidi w:val="0"/>
        <w:adjustRightInd w:val="0"/>
        <w:snapToGrid w:val="0"/>
        <w:spacing w:line="360" w:lineRule="auto"/>
        <w:ind w:left="229" w:right="84" w:rightChars="40"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pacing w:val="-4"/>
          <w:sz w:val="24"/>
          <w:szCs w:val="24"/>
          <w:highlight w:val="none"/>
        </w:rPr>
        <w:t>致，投标人须登录全国公共资源交易平台（广东省·韶关市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标人操作指南（电子评标）》（附件2），了解网上获取招标文件操作流程。技术咨询电话：0751-837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pacing w:val="-1"/>
          <w:sz w:val="24"/>
          <w:szCs w:val="24"/>
          <w:highlight w:val="none"/>
        </w:rPr>
        <w:t>业务咨询电话：0751-8633211、8633071。</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交易平台（广东省·韶关市）</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2"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损失和后果，由投标人自行承担。</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0"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8"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 xml:space="preserve"> 50 万元</w:t>
      </w:r>
      <w:r>
        <w:rPr>
          <w:rFonts w:hint="eastAsia" w:ascii="宋体" w:hAnsi="宋体" w:eastAsia="宋体" w:cs="宋体"/>
          <w:color w:val="auto"/>
          <w:spacing w:val="-1"/>
          <w:sz w:val="24"/>
          <w:szCs w:val="24"/>
          <w:highlight w:val="none"/>
        </w:rPr>
        <w:t>人民币的投标保证。联合体投标的，由联合体牵头人</w:t>
      </w:r>
      <w:r>
        <w:rPr>
          <w:rFonts w:hint="eastAsia" w:ascii="宋体" w:hAnsi="宋体" w:eastAsia="宋体" w:cs="宋体"/>
          <w:color w:val="auto"/>
          <w:spacing w:val="-3"/>
          <w:sz w:val="24"/>
          <w:szCs w:val="24"/>
          <w:highlight w:val="none"/>
        </w:rPr>
        <w:t>缴纳。</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90"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bookmarkStart w:id="21" w:name="bookmark117"/>
      <w:bookmarkEnd w:id="21"/>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88"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止时间（见本招标文件“重要事项时间地点一览表”）前，从其基本账户将投标保证金转账到指定的缴纳账号。逾期到账的、从非投标人基本账户转出的，其投标无效。</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6"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6"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效期不得短于投标有效期。投标人可登录全国公共资源交易平台（广东省·韶关市）（</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），在【服务指南】栏目中下载《建设工程网上交易系统保险保证金缴纳操作指南》，了解网上投保具体操作流程。逾期投保的</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其投标无效。</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68"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温馨提示：1.投标人采用投标保证担保或投标保证保险的，为避免在评标过程中因有效期发生争议，建议投标人将银行保函或电子保单有效期设置为较招标文件规定的投标有效期延长不少于20个日历天。</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0" w:firstLineChars="200"/>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bookmarkStart w:id="22" w:name="bookmark78"/>
      <w:bookmarkEnd w:id="22"/>
      <w:bookmarkStart w:id="23" w:name="bookmark64"/>
      <w:bookmarkEnd w:id="23"/>
      <w:bookmarkStart w:id="24" w:name="_Toc15498"/>
      <w:bookmarkStart w:id="25" w:name="_Toc26290"/>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50" w:firstLineChars="200"/>
        <w:jc w:val="both"/>
        <w:textAlignment w:val="baseline"/>
        <w:rPr>
          <w:rFonts w:hint="eastAsia" w:ascii="宋体" w:hAnsi="宋体" w:eastAsia="宋体" w:cs="宋体"/>
          <w:b/>
          <w:bCs/>
          <w:color w:val="auto"/>
          <w:spacing w:val="-8"/>
          <w:sz w:val="24"/>
          <w:szCs w:val="24"/>
          <w:highlight w:val="none"/>
        </w:rPr>
      </w:pPr>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2" w:firstLineChars="200"/>
        <w:jc w:val="both"/>
        <w:textAlignment w:val="baseline"/>
        <w:rPr>
          <w:rFonts w:hint="eastAsia" w:ascii="宋体" w:hAnsi="宋体" w:eastAsia="宋体" w:cs="宋体"/>
          <w:i w:val="0"/>
          <w:iCs w:val="0"/>
          <w:color w:val="auto"/>
          <w:spacing w:val="-5"/>
          <w:sz w:val="24"/>
          <w:szCs w:val="24"/>
          <w:highlight w:val="none"/>
        </w:rPr>
      </w:pPr>
      <w:r>
        <w:rPr>
          <w:rFonts w:hint="eastAsia" w:ascii="宋体" w:hAnsi="宋体" w:eastAsia="宋体" w:cs="宋体"/>
          <w:i w:val="0"/>
          <w:iCs w:val="0"/>
          <w:color w:val="auto"/>
          <w:spacing w:val="-2"/>
          <w:sz w:val="24"/>
          <w:szCs w:val="24"/>
          <w:highlight w:val="none"/>
        </w:rPr>
        <w:t>本招标项目招标工期为</w:t>
      </w:r>
      <w:r>
        <w:rPr>
          <w:rFonts w:hint="eastAsia" w:ascii="宋体" w:hAnsi="宋体" w:eastAsia="宋体" w:cs="宋体"/>
          <w:i w:val="0"/>
          <w:iCs w:val="0"/>
          <w:color w:val="auto"/>
          <w:spacing w:val="-2"/>
          <w:sz w:val="24"/>
          <w:szCs w:val="24"/>
          <w:highlight w:val="none"/>
          <w:u w:val="single"/>
          <w:lang w:val="en-US" w:eastAsia="zh-CN"/>
        </w:rPr>
        <w:t>300个日历天</w:t>
      </w:r>
      <w:r>
        <w:rPr>
          <w:rFonts w:hint="eastAsia" w:ascii="宋体" w:hAnsi="宋体" w:eastAsia="宋体" w:cs="宋体"/>
          <w:i w:val="0"/>
          <w:iCs w:val="0"/>
          <w:color w:val="auto"/>
          <w:spacing w:val="-2"/>
          <w:sz w:val="24"/>
          <w:szCs w:val="24"/>
          <w:highlight w:val="none"/>
        </w:rPr>
        <w:t>，中标人必须在招标工期内完成招标范围内</w:t>
      </w:r>
      <w:r>
        <w:rPr>
          <w:rFonts w:hint="eastAsia" w:ascii="宋体" w:hAnsi="宋体" w:eastAsia="宋体" w:cs="宋体"/>
          <w:i w:val="0"/>
          <w:iCs w:val="0"/>
          <w:color w:val="auto"/>
          <w:spacing w:val="-5"/>
          <w:sz w:val="24"/>
          <w:szCs w:val="24"/>
          <w:highlight w:val="none"/>
        </w:rPr>
        <w:t>的全部内容。</w:t>
      </w:r>
      <w:bookmarkStart w:id="26" w:name="_Toc30997"/>
      <w:bookmarkStart w:id="27" w:name="_Toc4154"/>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62" w:firstLineChars="200"/>
        <w:jc w:val="both"/>
        <w:textAlignment w:val="baseline"/>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82" w:firstLineChars="200"/>
        <w:jc w:val="both"/>
        <w:textAlignment w:val="baseline"/>
        <w:rPr>
          <w:rFonts w:hint="eastAsia" w:ascii="宋体" w:hAnsi="宋体" w:eastAsia="宋体" w:cs="宋体"/>
          <w:color w:val="auto"/>
          <w:spacing w:val="-1"/>
          <w:sz w:val="24"/>
          <w:szCs w:val="24"/>
          <w:highlight w:val="none"/>
          <w:u w:val="singl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w:t>
      </w:r>
      <w:r>
        <w:rPr>
          <w:rFonts w:hint="eastAsia" w:ascii="宋体" w:hAnsi="宋体" w:eastAsia="宋体" w:cs="宋体"/>
          <w:color w:val="auto"/>
          <w:spacing w:val="-1"/>
          <w:sz w:val="24"/>
          <w:szCs w:val="24"/>
          <w:highlight w:val="none"/>
          <w:u w:val="none"/>
          <w:lang w:val="en-US" w:eastAsia="zh-CN"/>
        </w:rPr>
        <w:t>须</w:t>
      </w:r>
      <w:r>
        <w:rPr>
          <w:rFonts w:hint="eastAsia" w:asciiTheme="minorEastAsia" w:hAnsiTheme="minorEastAsia" w:eastAsiaTheme="minorEastAsia" w:cstheme="minorEastAsia"/>
          <w:color w:val="auto"/>
          <w:spacing w:val="-4"/>
          <w:sz w:val="24"/>
          <w:szCs w:val="24"/>
          <w:highlight w:val="none"/>
          <w:u w:val="single"/>
        </w:rPr>
        <w:t>符合现行国家有关工程施工质量验收规范和标准的要求</w:t>
      </w:r>
      <w:r>
        <w:rPr>
          <w:rFonts w:hint="eastAsia" w:asciiTheme="minorEastAsia" w:hAnsiTheme="minorEastAsia" w:eastAsiaTheme="minorEastAsia" w:cstheme="minorEastAsia"/>
          <w:color w:val="auto"/>
          <w:spacing w:val="-4"/>
          <w:sz w:val="24"/>
          <w:szCs w:val="24"/>
          <w:highlight w:val="none"/>
          <w:u w:val="single"/>
          <w:lang w:eastAsia="zh-CN"/>
        </w:rPr>
        <w:t>，竣工验收</w:t>
      </w:r>
      <w:r>
        <w:rPr>
          <w:rFonts w:hint="eastAsia" w:ascii="宋体" w:hAnsi="宋体" w:eastAsia="宋体" w:cs="宋体"/>
          <w:color w:val="auto"/>
          <w:spacing w:val="-1"/>
          <w:sz w:val="24"/>
          <w:szCs w:val="24"/>
          <w:highlight w:val="none"/>
          <w:u w:val="single"/>
          <w:lang w:val="en-US" w:eastAsia="zh-CN"/>
        </w:rPr>
        <w:t>达到合格标准</w:t>
      </w:r>
      <w:r>
        <w:rPr>
          <w:rFonts w:hint="eastAsia" w:ascii="宋体" w:hAnsi="宋体" w:eastAsia="宋体" w:cs="宋体"/>
          <w:color w:val="auto"/>
          <w:spacing w:val="-1"/>
          <w:sz w:val="24"/>
          <w:szCs w:val="24"/>
          <w:highlight w:val="none"/>
          <w:u w:val="single"/>
        </w:rPr>
        <w:t>。</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号）有关规定，结合《韶关市住建管理局关于贯彻落实&lt;广东省绿色建筑条例&gt;有关工作的通知》（韶市建字〔2021〕85号）等有关规定，本招标项目纳入绿色建筑实施范围，要求达到《绿色建筑评价标准》（GB/T50378-2019）规定的</w:t>
      </w:r>
      <w:r>
        <w:rPr>
          <w:rFonts w:hint="eastAsia" w:ascii="宋体" w:hAnsi="宋体" w:eastAsia="宋体" w:cs="宋体"/>
          <w:color w:val="auto"/>
          <w:spacing w:val="-6"/>
          <w:sz w:val="24"/>
          <w:szCs w:val="24"/>
          <w:highlight w:val="none"/>
          <w:u w:val="single"/>
          <w:lang w:val="en-US" w:eastAsia="zh-CN"/>
        </w:rPr>
        <w:t xml:space="preserve"> 基本级 </w:t>
      </w:r>
      <w:r>
        <w:rPr>
          <w:rFonts w:hint="eastAsia" w:ascii="宋体" w:hAnsi="宋体" w:eastAsia="宋体" w:cs="宋体"/>
          <w:color w:val="auto"/>
          <w:spacing w:val="-6"/>
          <w:sz w:val="24"/>
          <w:szCs w:val="24"/>
          <w:highlight w:val="none"/>
          <w:lang w:val="en-US" w:eastAsia="zh-CN"/>
        </w:rPr>
        <w:t>标准。</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pPr>
        <w:keepNext w:val="0"/>
        <w:keepLines w:val="0"/>
        <w:pageBreakBefore w:val="0"/>
        <w:widowControl w:val="0"/>
        <w:kinsoku/>
        <w:wordWrap w:val="0"/>
        <w:overflowPunct/>
        <w:topLinePunct/>
        <w:autoSpaceDE/>
        <w:autoSpaceDN/>
        <w:bidi w:val="0"/>
        <w:adjustRightInd w:val="0"/>
        <w:snapToGrid w:val="0"/>
        <w:spacing w:line="360" w:lineRule="auto"/>
        <w:ind w:left="489" w:right="84" w:rightChars="40"/>
        <w:outlineLvl w:val="2"/>
        <w:rPr>
          <w:rFonts w:hint="eastAsia" w:ascii="宋体" w:hAnsi="宋体" w:eastAsia="宋体" w:cs="宋体"/>
          <w:color w:val="auto"/>
          <w:sz w:val="24"/>
          <w:szCs w:val="24"/>
          <w:highlight w:val="none"/>
        </w:rPr>
      </w:pPr>
      <w:bookmarkStart w:id="28" w:name="_Toc7763"/>
      <w:bookmarkStart w:id="29" w:name="_Toc26869"/>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6.4</w:t>
      </w:r>
      <w:r>
        <w:rPr>
          <w:rFonts w:hint="eastAsia" w:ascii="宋体" w:hAnsi="宋体" w:eastAsia="宋体" w:cs="宋体"/>
          <w:color w:val="auto"/>
          <w:spacing w:val="-2"/>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u w:val="single"/>
          <w:lang w:val="en-US" w:eastAsia="zh-CN"/>
        </w:rPr>
        <w:t xml:space="preserve">仁化县 </w:t>
      </w:r>
      <w:r>
        <w:rPr>
          <w:rFonts w:hint="eastAsia" w:ascii="宋体" w:hAnsi="宋体" w:eastAsia="宋体" w:cs="宋体"/>
          <w:color w:val="auto"/>
          <w:spacing w:val="-2"/>
          <w:sz w:val="24"/>
          <w:szCs w:val="24"/>
          <w:highlight w:val="none"/>
        </w:rPr>
        <w:t>基建工程水、电计费</w:t>
      </w:r>
      <w:r>
        <w:rPr>
          <w:rFonts w:hint="eastAsia" w:ascii="宋体" w:hAnsi="宋体" w:eastAsia="宋体" w:cs="宋体"/>
          <w:color w:val="auto"/>
          <w:spacing w:val="-3"/>
          <w:sz w:val="24"/>
          <w:szCs w:val="24"/>
          <w:highlight w:val="none"/>
        </w:rPr>
        <w:t>标准计算并由中标人缴纳。</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6.5  </w:t>
      </w:r>
      <w:r>
        <w:rPr>
          <w:rFonts w:hint="eastAsia" w:ascii="宋体" w:hAnsi="宋体" w:eastAsia="宋体" w:cs="宋体"/>
          <w:color w:val="auto"/>
          <w:spacing w:val="-2"/>
          <w:sz w:val="24"/>
          <w:szCs w:val="24"/>
          <w:highlight w:val="none"/>
        </w:rPr>
        <w:t>招标人不组织现场踏勘，但会在招标文件及有关设计文件中明确告知招标项</w:t>
      </w:r>
      <w:r>
        <w:rPr>
          <w:rFonts w:hint="eastAsia" w:ascii="宋体" w:hAnsi="宋体" w:eastAsia="宋体" w:cs="宋体"/>
          <w:color w:val="auto"/>
          <w:spacing w:val="-1"/>
          <w:sz w:val="24"/>
          <w:szCs w:val="24"/>
          <w:highlight w:val="none"/>
        </w:rPr>
        <w:t>目的具体位置和周边环境，并在现场设置足以识别的标识或提</w:t>
      </w:r>
      <w:r>
        <w:rPr>
          <w:rFonts w:hint="eastAsia" w:ascii="宋体" w:hAnsi="宋体" w:eastAsia="宋体" w:cs="宋体"/>
          <w:color w:val="auto"/>
          <w:spacing w:val="-2"/>
          <w:sz w:val="24"/>
          <w:szCs w:val="24"/>
          <w:highlight w:val="none"/>
        </w:rPr>
        <w:t>供足以表明招标项目具</w:t>
      </w:r>
      <w:r>
        <w:rPr>
          <w:rFonts w:hint="eastAsia" w:ascii="宋体" w:hAnsi="宋体" w:eastAsia="宋体" w:cs="宋体"/>
          <w:color w:val="auto"/>
          <w:sz w:val="24"/>
          <w:szCs w:val="24"/>
          <w:highlight w:val="none"/>
        </w:rPr>
        <w:t>体位置的文字或图片。投标人需要了解现场情况的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6.6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pPr>
        <w:keepNext w:val="0"/>
        <w:keepLines w:val="0"/>
        <w:pageBreakBefore w:val="0"/>
        <w:widowControl w:val="0"/>
        <w:kinsoku/>
        <w:wordWrap w:val="0"/>
        <w:overflowPunct/>
        <w:topLinePunct/>
        <w:autoSpaceDE/>
        <w:autoSpaceDN/>
        <w:bidi w:val="0"/>
        <w:adjustRightInd w:val="0"/>
        <w:snapToGrid w:val="0"/>
        <w:spacing w:line="360" w:lineRule="auto"/>
        <w:ind w:left="568" w:right="84" w:rightChars="40"/>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6.7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outlineLvl w:val="2"/>
        <w:rPr>
          <w:rFonts w:hint="eastAsia" w:ascii="宋体" w:hAnsi="宋体" w:eastAsia="宋体" w:cs="宋体"/>
          <w:color w:val="auto"/>
          <w:sz w:val="24"/>
          <w:szCs w:val="24"/>
          <w:highlight w:val="none"/>
        </w:rPr>
      </w:pPr>
      <w:bookmarkStart w:id="31" w:name="bookmark67"/>
      <w:bookmarkEnd w:id="31"/>
      <w:bookmarkStart w:id="32" w:name="bookmark81"/>
      <w:bookmarkEnd w:id="32"/>
      <w:bookmarkStart w:id="33" w:name="bookmark69"/>
      <w:bookmarkEnd w:id="33"/>
      <w:bookmarkStart w:id="34" w:name="_Toc23472"/>
      <w:bookmarkStart w:id="35"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5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outlineLvl w:val="2"/>
        <w:rPr>
          <w:rFonts w:hint="eastAsia" w:ascii="宋体" w:hAnsi="宋体" w:eastAsia="宋体" w:cs="宋体"/>
          <w:color w:val="auto"/>
          <w:sz w:val="24"/>
          <w:szCs w:val="24"/>
          <w:highlight w:val="none"/>
          <w:lang w:eastAsia="zh-CN"/>
        </w:rPr>
      </w:pPr>
      <w:bookmarkStart w:id="36" w:name="_Toc6897"/>
      <w:bookmarkStart w:id="37" w:name="_Toc22045"/>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bookmarkEnd w:id="36"/>
      <w:r>
        <w:rPr>
          <w:rFonts w:hint="eastAsia" w:ascii="宋体" w:hAnsi="宋体" w:eastAsia="宋体" w:cs="宋体"/>
          <w:b/>
          <w:bCs/>
          <w:color w:val="auto"/>
          <w:spacing w:val="-1"/>
          <w:sz w:val="24"/>
          <w:szCs w:val="24"/>
          <w:highlight w:val="none"/>
          <w:lang w:val="en-US" w:eastAsia="zh-CN"/>
        </w:rPr>
        <w:t>最高投标限价</w:t>
      </w:r>
      <w:bookmarkEnd w:id="37"/>
    </w:p>
    <w:p>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pPr>
        <w:keepNext w:val="0"/>
        <w:keepLines w:val="0"/>
        <w:pageBreakBefore w:val="0"/>
        <w:widowControl w:val="0"/>
        <w:kinsoku/>
        <w:wordWrap w:val="0"/>
        <w:overflowPunct/>
        <w:topLinePunct/>
        <w:autoSpaceDE/>
        <w:autoSpaceDN/>
        <w:bidi w:val="0"/>
        <w:adjustRightInd w:val="0"/>
        <w:snapToGrid w:val="0"/>
        <w:spacing w:line="360" w:lineRule="auto"/>
        <w:ind w:left="502" w:right="84" w:rightChars="40"/>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pPr>
        <w:keepNext w:val="0"/>
        <w:keepLines w:val="0"/>
        <w:pageBreakBefore w:val="0"/>
        <w:widowControl w:val="0"/>
        <w:kinsoku/>
        <w:wordWrap w:val="0"/>
        <w:overflowPunct/>
        <w:topLinePunct/>
        <w:autoSpaceDE/>
        <w:autoSpaceDN/>
        <w:bidi w:val="0"/>
        <w:adjustRightInd w:val="0"/>
        <w:snapToGrid w:val="0"/>
        <w:spacing w:line="360" w:lineRule="auto"/>
        <w:ind w:left="50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pPr>
        <w:keepNext w:val="0"/>
        <w:keepLines w:val="0"/>
        <w:pageBreakBefore w:val="0"/>
        <w:widowControl w:val="0"/>
        <w:kinsoku/>
        <w:wordWrap w:val="0"/>
        <w:overflowPunct/>
        <w:topLinePunct/>
        <w:autoSpaceDE/>
        <w:autoSpaceDN/>
        <w:bidi w:val="0"/>
        <w:adjustRightInd w:val="0"/>
        <w:snapToGrid w:val="0"/>
        <w:spacing w:line="360" w:lineRule="auto"/>
        <w:ind w:left="50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9"/>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Theme="minorEastAsia" w:hAnsiTheme="minorEastAsia" w:eastAsiaTheme="minorEastAsia" w:cstheme="minorEastAsia"/>
          <w:b/>
          <w:bCs/>
          <w:snapToGrid w:val="0"/>
          <w:color w:val="auto"/>
          <w:kern w:val="0"/>
          <w:sz w:val="24"/>
          <w:szCs w:val="24"/>
          <w:highlight w:val="none"/>
          <w:lang w:eastAsia="zh-CN"/>
        </w:rPr>
        <w:t>本工程的</w:t>
      </w:r>
      <w:r>
        <w:rPr>
          <w:rFonts w:hint="eastAsia" w:asciiTheme="minorEastAsia" w:hAnsiTheme="minorEastAsia" w:eastAsiaTheme="minorEastAsia" w:cstheme="minorEastAsia"/>
          <w:b/>
          <w:bCs/>
          <w:snapToGrid w:val="0"/>
          <w:color w:val="auto"/>
          <w:kern w:val="0"/>
          <w:sz w:val="24"/>
          <w:szCs w:val="24"/>
          <w:highlight w:val="none"/>
          <w:lang w:val="en-US" w:eastAsia="zh-CN"/>
        </w:rPr>
        <w:t>最高投标限价</w:t>
      </w:r>
      <w:r>
        <w:rPr>
          <w:rFonts w:hint="eastAsia" w:asciiTheme="minorEastAsia" w:hAnsiTheme="minorEastAsia" w:eastAsiaTheme="minorEastAsia" w:cstheme="minorEastAsia"/>
          <w:b/>
          <w:bCs/>
          <w:snapToGrid w:val="0"/>
          <w:color w:val="auto"/>
          <w:kern w:val="0"/>
          <w:sz w:val="24"/>
          <w:szCs w:val="24"/>
          <w:highlight w:val="none"/>
          <w:lang w:eastAsia="zh-CN"/>
        </w:rPr>
        <w:t>为人民币（大写）：</w:t>
      </w:r>
      <w:r>
        <w:rPr>
          <w:rFonts w:hint="eastAsia" w:asciiTheme="minorEastAsia" w:hAnsiTheme="minorEastAsia" w:eastAsiaTheme="minorEastAsia" w:cstheme="minorEastAsia"/>
          <w:b/>
          <w:bCs/>
          <w:snapToGrid w:val="0"/>
          <w:color w:val="auto"/>
          <w:kern w:val="0"/>
          <w:sz w:val="24"/>
          <w:szCs w:val="24"/>
          <w:highlight w:val="none"/>
          <w:u w:val="single"/>
          <w:lang w:val="en-US" w:eastAsia="zh-CN"/>
        </w:rPr>
        <w:t>柒仟零肆拾贰万捌仟零捌拾壹元肆角叁分(小写：¥ 70428081.43元)</w:t>
      </w:r>
      <w:r>
        <w:rPr>
          <w:rFonts w:hint="eastAsia" w:asciiTheme="minorEastAsia" w:hAnsiTheme="minorEastAsia" w:eastAsiaTheme="minorEastAsia" w:cstheme="minorEastAsia"/>
          <w:b/>
          <w:bCs/>
          <w:snapToGrid w:val="0"/>
          <w:color w:val="auto"/>
          <w:kern w:val="0"/>
          <w:sz w:val="24"/>
          <w:szCs w:val="24"/>
          <w:highlight w:val="none"/>
          <w:lang w:val="en-US" w:eastAsia="zh-CN"/>
        </w:rPr>
        <w:t>；其中安全生产措施费为：¥</w:t>
      </w:r>
      <w:r>
        <w:rPr>
          <w:rFonts w:hint="eastAsia" w:asciiTheme="minorEastAsia" w:hAnsiTheme="minorEastAsia" w:eastAsiaTheme="minorEastAsia" w:cstheme="minorEastAsia"/>
          <w:b/>
          <w:bCs/>
          <w:snapToGrid w:val="0"/>
          <w:color w:val="auto"/>
          <w:kern w:val="0"/>
          <w:sz w:val="24"/>
          <w:szCs w:val="24"/>
          <w:highlight w:val="none"/>
          <w:u w:val="single"/>
          <w:lang w:val="en-US" w:eastAsia="zh-CN"/>
        </w:rPr>
        <w:t xml:space="preserve"> 1599176.06 </w:t>
      </w:r>
      <w:r>
        <w:rPr>
          <w:rFonts w:hint="eastAsia" w:asciiTheme="minorEastAsia" w:hAnsiTheme="minorEastAsia" w:eastAsiaTheme="minorEastAsia" w:cstheme="minorEastAsia"/>
          <w:b/>
          <w:bCs/>
          <w:snapToGrid w:val="0"/>
          <w:color w:val="auto"/>
          <w:kern w:val="0"/>
          <w:sz w:val="24"/>
          <w:szCs w:val="24"/>
          <w:highlight w:val="none"/>
          <w:lang w:val="en-US" w:eastAsia="zh-CN"/>
        </w:rPr>
        <w:t>元，专业工程暂估价金额为：</w:t>
      </w:r>
      <w:r>
        <w:rPr>
          <w:rFonts w:hint="eastAsia" w:asciiTheme="minorEastAsia" w:hAnsiTheme="minorEastAsia" w:eastAsiaTheme="minorEastAsia" w:cstheme="minorEastAsia"/>
          <w:b/>
          <w:bCs/>
          <w:snapToGrid w:val="0"/>
          <w:color w:val="auto"/>
          <w:kern w:val="0"/>
          <w:sz w:val="24"/>
          <w:szCs w:val="24"/>
          <w:highlight w:val="none"/>
          <w:u w:val="single"/>
          <w:lang w:val="en-US" w:eastAsia="zh-CN"/>
        </w:rPr>
        <w:t xml:space="preserve">  /  </w:t>
      </w:r>
      <w:r>
        <w:rPr>
          <w:rFonts w:hint="eastAsia" w:asciiTheme="minorEastAsia" w:hAnsiTheme="minorEastAsia" w:eastAsiaTheme="minorEastAsia" w:cstheme="minorEastAsia"/>
          <w:b/>
          <w:bCs/>
          <w:snapToGrid w:val="0"/>
          <w:color w:val="auto"/>
          <w:kern w:val="0"/>
          <w:sz w:val="24"/>
          <w:szCs w:val="24"/>
          <w:highlight w:val="none"/>
          <w:lang w:val="en-US" w:eastAsia="zh-CN"/>
        </w:rPr>
        <w:t>元 ，暂列金额为：¥</w:t>
      </w:r>
      <w:r>
        <w:rPr>
          <w:rFonts w:hint="eastAsia" w:asciiTheme="minorEastAsia" w:hAnsiTheme="minorEastAsia" w:eastAsiaTheme="minorEastAsia" w:cstheme="minorEastAsia"/>
          <w:b/>
          <w:bCs/>
          <w:snapToGrid w:val="0"/>
          <w:color w:val="auto"/>
          <w:kern w:val="0"/>
          <w:sz w:val="24"/>
          <w:szCs w:val="24"/>
          <w:highlight w:val="none"/>
          <w:u w:val="single"/>
          <w:lang w:val="en-US" w:eastAsia="zh-CN"/>
        </w:rPr>
        <w:t xml:space="preserve"> 3693194.49 </w:t>
      </w:r>
      <w:r>
        <w:rPr>
          <w:rFonts w:hint="eastAsia" w:asciiTheme="minorEastAsia" w:hAnsiTheme="minorEastAsia" w:eastAsiaTheme="minorEastAsia" w:cstheme="minorEastAsia"/>
          <w:b/>
          <w:bCs/>
          <w:snapToGrid w:val="0"/>
          <w:color w:val="auto"/>
          <w:kern w:val="0"/>
          <w:sz w:val="24"/>
          <w:szCs w:val="24"/>
          <w:highlight w:val="none"/>
          <w:lang w:val="en-US" w:eastAsia="zh-CN"/>
        </w:rPr>
        <w:t>元。详见下表：</w:t>
      </w:r>
    </w:p>
    <w:tbl>
      <w:tblPr>
        <w:tblStyle w:val="14"/>
        <w:tblW w:w="8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55"/>
        <w:gridCol w:w="4017"/>
        <w:gridCol w:w="32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555" w:type="dxa"/>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auto"/>
                <w:sz w:val="24"/>
                <w:szCs w:val="24"/>
                <w:highlight w:val="none"/>
                <w:u w:val="none"/>
              </w:rPr>
            </w:pPr>
            <w:r>
              <w:rPr>
                <w:rStyle w:val="42"/>
                <w:rFonts w:hint="eastAsia" w:ascii="宋体" w:hAnsi="宋体" w:eastAsia="宋体" w:cs="宋体"/>
                <w:b/>
                <w:snapToGrid w:val="0"/>
                <w:color w:val="auto"/>
                <w:sz w:val="24"/>
                <w:szCs w:val="24"/>
                <w:highlight w:val="none"/>
                <w:lang w:val="en-US" w:eastAsia="zh-CN" w:bidi="ar"/>
              </w:rPr>
              <w:t>序号</w:t>
            </w:r>
          </w:p>
        </w:tc>
        <w:tc>
          <w:tcPr>
            <w:tcW w:w="4017"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auto"/>
                <w:sz w:val="24"/>
                <w:szCs w:val="24"/>
                <w:highlight w:val="none"/>
                <w:u w:val="none"/>
              </w:rPr>
            </w:pPr>
            <w:r>
              <w:rPr>
                <w:rStyle w:val="42"/>
                <w:rFonts w:hint="eastAsia" w:ascii="宋体" w:hAnsi="宋体" w:eastAsia="宋体" w:cs="宋体"/>
                <w:b/>
                <w:snapToGrid w:val="0"/>
                <w:color w:val="auto"/>
                <w:sz w:val="24"/>
                <w:szCs w:val="24"/>
                <w:highlight w:val="none"/>
                <w:lang w:val="en-US" w:eastAsia="zh-CN" w:bidi="ar"/>
              </w:rPr>
              <w:t>项目内容</w:t>
            </w:r>
          </w:p>
        </w:tc>
        <w:tc>
          <w:tcPr>
            <w:tcW w:w="3268"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auto"/>
                <w:sz w:val="24"/>
                <w:szCs w:val="24"/>
                <w:highlight w:val="none"/>
                <w:u w:val="none"/>
              </w:rPr>
            </w:pPr>
            <w:r>
              <w:rPr>
                <w:rStyle w:val="42"/>
                <w:rFonts w:hint="eastAsia" w:ascii="宋体" w:hAnsi="宋体" w:eastAsia="宋体" w:cs="宋体"/>
                <w:b/>
                <w:snapToGrid w:val="0"/>
                <w:color w:val="auto"/>
                <w:sz w:val="24"/>
                <w:szCs w:val="24"/>
                <w:highlight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1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分部分项工程费</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56818376.84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1.1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土建工程</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44450388.11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1.1.1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厂房一</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7808503.43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1.1.2</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厂房二</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4617807.15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1.1.3</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厂房三</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8381008.07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1.1.4</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厂房四</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14178773.13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1.1.5</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倒班休息室</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4623512.13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1.1.6</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园林绿化</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263962.65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1.1.7</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室外道路</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4576821.55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1.2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安装工程</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12367988.73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厂房一</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1096022.06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1.2.2</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厂房二</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206433.16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1.2.3</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厂房三</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907601.51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1.2.4</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厂房四</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1775418.7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1.2.5</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倒班休息室</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855951.51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1.2.6</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太阳能系统</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snapToGrid w:val="0"/>
              <w:spacing w:line="24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1.2.7</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室外给排水</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1879931.26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1.2.8</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室外强弱电</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4690526.1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1.2.9</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室外电缆通道</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692354.15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1.2.10</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室外电气工程</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263750.28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2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措施项目费</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4101347.41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2.1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安全生产措施费</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1599176.06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3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其他项目费</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3693194.49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3.1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其中：暂列金额</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3693194.49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3.2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其中：专业工程暂估价</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snapToGrid w:val="0"/>
              <w:spacing w:line="24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3.3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其中：计日工</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snapToGrid w:val="0"/>
              <w:spacing w:line="24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3.4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其中：总承包服务费</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snapToGrid w:val="0"/>
              <w:spacing w:line="24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3.5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其中：合同中约定的其他项目</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snapToGrid w:val="0"/>
              <w:spacing w:line="240" w:lineRule="auto"/>
              <w:ind w:left="0" w:leftChars="0" w:right="0" w:rightChars="0" w:firstLine="0" w:firstLineChars="0"/>
              <w:jc w:val="center"/>
              <w:rPr>
                <w:rFonts w:hint="eastAsia" w:ascii="宋体" w:hAnsi="宋体" w:eastAsia="宋体" w:cs="宋体"/>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5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税前工程造价</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64612918.74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6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增值税</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5815162.69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55"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 xml:space="preserve">7 </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Style w:val="43"/>
                <w:rFonts w:hint="eastAsia" w:ascii="宋体" w:hAnsi="宋体" w:eastAsia="宋体" w:cs="宋体"/>
                <w:snapToGrid w:val="0"/>
                <w:color w:val="auto"/>
                <w:sz w:val="24"/>
                <w:szCs w:val="24"/>
                <w:highlight w:val="none"/>
                <w:lang w:val="en-US" w:eastAsia="zh-CN" w:bidi="ar"/>
              </w:rPr>
              <w:t>合   计</w:t>
            </w:r>
          </w:p>
        </w:tc>
        <w:tc>
          <w:tcPr>
            <w:tcW w:w="326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70428081.43</w:t>
            </w:r>
          </w:p>
        </w:tc>
      </w:tr>
    </w:tbl>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9"/>
        <w:jc w:val="both"/>
        <w:rPr>
          <w:rFonts w:hint="eastAsia" w:asciiTheme="minorEastAsia" w:hAnsiTheme="minorEastAsia" w:eastAsiaTheme="minorEastAsia" w:cstheme="minorEastAsia"/>
          <w:snapToGrid w:val="0"/>
          <w:color w:val="auto"/>
          <w:kern w:val="0"/>
          <w:sz w:val="24"/>
          <w:szCs w:val="24"/>
          <w:highlight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360" w:lineRule="auto"/>
        <w:ind w:right="0" w:rightChars="0" w:firstLine="482"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pPr>
        <w:keepNext w:val="0"/>
        <w:keepLines w:val="0"/>
        <w:pageBreakBefore w:val="0"/>
        <w:widowControl w:val="0"/>
        <w:kinsoku/>
        <w:wordWrap w:val="0"/>
        <w:overflowPunct/>
        <w:topLinePunct/>
        <w:autoSpaceDE/>
        <w:autoSpaceDN/>
        <w:bidi w:val="0"/>
        <w:adjustRightInd w:val="0"/>
        <w:snapToGrid w:val="0"/>
        <w:spacing w:line="360" w:lineRule="auto"/>
        <w:ind w:left="-6" w:leftChars="0" w:right="84" w:rightChars="4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确定专业工程承包人（或材料、工程设备供应商）和合同价格。</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outlineLvl w:val="2"/>
        <w:rPr>
          <w:rFonts w:hint="eastAsia" w:ascii="宋体" w:hAnsi="宋体" w:eastAsia="宋体" w:cs="宋体"/>
          <w:color w:val="auto"/>
          <w:sz w:val="24"/>
          <w:szCs w:val="24"/>
          <w:highlight w:val="none"/>
        </w:rPr>
      </w:pPr>
      <w:bookmarkStart w:id="39" w:name="_Toc22978"/>
      <w:bookmarkStart w:id="40" w:name="_Toc25063"/>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4"/>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5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5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7"/>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7"/>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1175" w:firstLineChars="500"/>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pPr>
        <w:keepNext w:val="0"/>
        <w:keepLines w:val="0"/>
        <w:pageBreakBefore w:val="0"/>
        <w:widowControl w:val="0"/>
        <w:kinsoku/>
        <w:wordWrap w:val="0"/>
        <w:overflowPunct/>
        <w:topLinePunct/>
        <w:autoSpaceDE/>
        <w:autoSpaceDN/>
        <w:bidi w:val="0"/>
        <w:adjustRightInd w:val="0"/>
        <w:snapToGrid w:val="0"/>
        <w:spacing w:line="360" w:lineRule="auto"/>
        <w:ind w:left="29" w:right="84" w:rightChars="40" w:firstLine="45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9.8  </w:t>
      </w:r>
      <w:r>
        <w:rPr>
          <w:rFonts w:hint="eastAsia" w:ascii="宋体" w:hAnsi="宋体" w:eastAsia="宋体" w:cs="宋体"/>
          <w:color w:val="auto"/>
          <w:sz w:val="24"/>
          <w:szCs w:val="24"/>
          <w:highlight w:val="none"/>
        </w:rPr>
        <w:t>投标人的</w:t>
      </w:r>
      <w:r>
        <w:rPr>
          <w:rFonts w:hint="eastAsia" w:ascii="宋体" w:hAnsi="宋体" w:eastAsia="宋体" w:cs="宋体"/>
          <w:color w:val="auto"/>
          <w:sz w:val="24"/>
          <w:szCs w:val="24"/>
          <w:highlight w:val="none"/>
          <w:lang w:eastAsia="zh-CN"/>
        </w:rPr>
        <w:t>安全生产措施费</w:t>
      </w:r>
      <w:r>
        <w:rPr>
          <w:rFonts w:hint="eastAsia" w:ascii="宋体" w:hAnsi="宋体" w:eastAsia="宋体" w:cs="宋体"/>
          <w:color w:val="auto"/>
          <w:sz w:val="24"/>
          <w:szCs w:val="24"/>
          <w:highlight w:val="none"/>
        </w:rPr>
        <w:t>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中</w:t>
      </w:r>
      <w:r>
        <w:rPr>
          <w:rFonts w:hint="eastAsia" w:ascii="宋体" w:hAnsi="宋体" w:eastAsia="宋体" w:cs="宋体"/>
          <w:color w:val="auto"/>
          <w:spacing w:val="-1"/>
          <w:sz w:val="24"/>
          <w:szCs w:val="24"/>
          <w:highlight w:val="none"/>
        </w:rPr>
        <w:t>提供</w:t>
      </w:r>
      <w:r>
        <w:rPr>
          <w:rFonts w:hint="eastAsia" w:ascii="宋体" w:hAnsi="宋体" w:eastAsia="宋体" w:cs="宋体"/>
          <w:color w:val="auto"/>
          <w:spacing w:val="-3"/>
          <w:sz w:val="24"/>
          <w:szCs w:val="24"/>
          <w:highlight w:val="none"/>
        </w:rPr>
        <w:t>的</w:t>
      </w:r>
      <w:r>
        <w:rPr>
          <w:rFonts w:hint="eastAsia" w:ascii="宋体" w:hAnsi="宋体" w:eastAsia="宋体" w:cs="宋体"/>
          <w:color w:val="auto"/>
          <w:spacing w:val="-3"/>
          <w:sz w:val="24"/>
          <w:szCs w:val="24"/>
          <w:highlight w:val="none"/>
          <w:lang w:eastAsia="zh-CN"/>
        </w:rPr>
        <w:t>安全生产措施费</w:t>
      </w:r>
      <w:r>
        <w:rPr>
          <w:rFonts w:hint="eastAsia" w:ascii="宋体" w:hAnsi="宋体" w:eastAsia="宋体" w:cs="宋体"/>
          <w:color w:val="auto"/>
          <w:spacing w:val="-3"/>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rPr>
          <w:rFonts w:hint="eastAsia" w:ascii="宋体" w:hAnsi="宋体" w:eastAsia="宋体" w:cs="宋体"/>
          <w:color w:val="auto"/>
          <w:spacing w:val="-1"/>
          <w:sz w:val="24"/>
          <w:szCs w:val="24"/>
          <w:highlight w:val="none"/>
          <w:lang w:val="en-US" w:eastAsia="en-US"/>
        </w:rPr>
      </w:pPr>
      <w:r>
        <w:rPr>
          <w:rFonts w:hint="eastAsia" w:ascii="宋体" w:hAnsi="宋体" w:eastAsia="宋体" w:cs="宋体"/>
          <w:b/>
          <w:bCs/>
          <w:color w:val="auto"/>
          <w:spacing w:val="-1"/>
          <w:sz w:val="24"/>
          <w:szCs w:val="24"/>
          <w:highlight w:val="none"/>
        </w:rPr>
        <w:t xml:space="preserve">9.10 </w:t>
      </w:r>
      <w:r>
        <w:rPr>
          <w:rFonts w:hint="eastAsia" w:ascii="宋体" w:hAnsi="宋体" w:eastAsia="宋体" w:cs="宋体"/>
          <w:color w:val="auto"/>
          <w:spacing w:val="-1"/>
          <w:sz w:val="24"/>
          <w:szCs w:val="24"/>
          <w:highlight w:val="none"/>
          <w:lang w:val="en-US" w:eastAsia="en-US"/>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42" w:name="_Toc13448"/>
      <w:bookmarkStart w:id="43" w:name="_Toc16322"/>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9"/>
        <w:rPr>
          <w:rFonts w:hint="eastAsia" w:ascii="宋体" w:hAnsi="宋体" w:eastAsia="宋体" w:cs="宋体"/>
          <w:color w:val="auto"/>
          <w:sz w:val="24"/>
          <w:szCs w:val="24"/>
          <w:highlight w:val="none"/>
        </w:rPr>
      </w:pPr>
      <w:bookmarkStart w:id="44" w:name="_Toc20590"/>
      <w:bookmarkStart w:id="45"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10.1.2  </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交易平台（广东省·韶关市）</w:t>
      </w:r>
      <w:r>
        <w:rPr>
          <w:rFonts w:hint="eastAsia" w:ascii="宋体" w:hAnsi="宋体" w:eastAsia="宋体" w:cs="宋体"/>
          <w:color w:val="auto"/>
          <w:spacing w:val="-2"/>
          <w:sz w:val="24"/>
          <w:szCs w:val="24"/>
          <w:highlight w:val="none"/>
        </w:rPr>
        <w:t>交易指引。</w:t>
      </w:r>
    </w:p>
    <w:p>
      <w:pPr>
        <w:keepNext w:val="0"/>
        <w:keepLines w:val="0"/>
        <w:pageBreakBefore w:val="0"/>
        <w:widowControl w:val="0"/>
        <w:kinsoku/>
        <w:wordWrap w:val="0"/>
        <w:overflowPunct/>
        <w:topLinePunct/>
        <w:autoSpaceDE/>
        <w:autoSpaceDN/>
        <w:bidi w:val="0"/>
        <w:adjustRightInd w:val="0"/>
        <w:snapToGrid w:val="0"/>
        <w:spacing w:line="360" w:lineRule="auto"/>
        <w:ind w:left="579"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57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pPr>
        <w:keepNext w:val="0"/>
        <w:keepLines w:val="0"/>
        <w:pageBreakBefore w:val="0"/>
        <w:widowControl w:val="0"/>
        <w:kinsoku/>
        <w:wordWrap w:val="0"/>
        <w:overflowPunct/>
        <w:topLinePunct/>
        <w:autoSpaceDE/>
        <w:autoSpaceDN/>
        <w:bidi w:val="0"/>
        <w:adjustRightInd w:val="0"/>
        <w:snapToGrid w:val="0"/>
        <w:spacing w:line="360" w:lineRule="auto"/>
        <w:ind w:left="16" w:right="84" w:rightChars="40"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74" w:firstLineChars="200"/>
        <w:outlineLvl w:val="9"/>
        <w:rPr>
          <w:rFonts w:hint="eastAsia" w:ascii="宋体" w:hAnsi="宋体" w:eastAsia="宋体" w:cs="宋体"/>
          <w:b w:val="0"/>
          <w:bCs w:val="0"/>
          <w:color w:val="auto"/>
          <w:spacing w:val="-2"/>
          <w:sz w:val="24"/>
          <w:szCs w:val="24"/>
          <w:highlight w:val="none"/>
        </w:rPr>
      </w:pPr>
      <w:bookmarkStart w:id="46" w:name="_Toc21271"/>
      <w:bookmarkStart w:id="47"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联合体投标的，除《联合体协议书》外，由联合体牵头人按以上要求签亲笔署名或签章（电子印章）即可。</w:t>
      </w:r>
    </w:p>
    <w:p>
      <w:pPr>
        <w:keepNext w:val="0"/>
        <w:keepLines w:val="0"/>
        <w:pageBreakBefore w:val="0"/>
        <w:widowControl w:val="0"/>
        <w:kinsoku/>
        <w:wordWrap w:val="0"/>
        <w:overflowPunct/>
        <w:topLinePunct/>
        <w:autoSpaceDE/>
        <w:autoSpaceDN/>
        <w:bidi w:val="0"/>
        <w:adjustRightInd w:val="0"/>
        <w:snapToGrid w:val="0"/>
        <w:spacing w:line="360" w:lineRule="auto"/>
        <w:ind w:left="500" w:right="84" w:rightChars="40"/>
        <w:outlineLvl w:val="9"/>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10.2  </w:t>
      </w:r>
      <w:r>
        <w:rPr>
          <w:rFonts w:hint="eastAsia" w:ascii="宋体" w:hAnsi="宋体" w:eastAsia="宋体" w:cs="宋体"/>
          <w:color w:val="auto"/>
          <w:spacing w:val="-2"/>
          <w:sz w:val="24"/>
          <w:szCs w:val="24"/>
          <w:highlight w:val="none"/>
        </w:rPr>
        <w:t>商务标书的编制要求</w:t>
      </w:r>
      <w:bookmarkEnd w:id="46"/>
      <w:bookmarkEnd w:id="47"/>
    </w:p>
    <w:p>
      <w:pPr>
        <w:keepNext w:val="0"/>
        <w:keepLines w:val="0"/>
        <w:pageBreakBefore w:val="0"/>
        <w:widowControl w:val="0"/>
        <w:kinsoku/>
        <w:wordWrap w:val="0"/>
        <w:overflowPunct/>
        <w:topLinePunct/>
        <w:autoSpaceDE/>
        <w:autoSpaceDN/>
        <w:bidi w:val="0"/>
        <w:adjustRightInd w:val="0"/>
        <w:snapToGrid w:val="0"/>
        <w:spacing w:line="360" w:lineRule="auto"/>
        <w:ind w:left="581"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（9）《投标人基本情况表》（格式七）及所附资料；</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（10）《项目经理简历表》（格式八）及所附资料；</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（11）《项目经理任职声明》（格式九）；</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（12）《项目技术负责人简历表》（格式十）及所附资料；</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（13）《项</w:t>
      </w:r>
      <w:bookmarkStart w:id="48" w:name="OLE_LINK7"/>
      <w:r>
        <w:rPr>
          <w:rFonts w:hint="eastAsia" w:ascii="宋体" w:hAnsi="宋体" w:eastAsia="宋体" w:cs="宋体"/>
          <w:color w:val="auto"/>
          <w:spacing w:val="-2"/>
          <w:sz w:val="24"/>
          <w:szCs w:val="24"/>
          <w:highlight w:val="none"/>
        </w:rPr>
        <w:t>目管理机构组成表》（格式十一）及</w:t>
      </w:r>
      <w:bookmarkEnd w:id="48"/>
      <w:r>
        <w:rPr>
          <w:rFonts w:hint="eastAsia" w:ascii="宋体" w:hAnsi="宋体" w:eastAsia="宋体" w:cs="宋体"/>
          <w:color w:val="auto"/>
          <w:spacing w:val="-2"/>
          <w:sz w:val="24"/>
          <w:szCs w:val="24"/>
          <w:highlight w:val="none"/>
        </w:rPr>
        <w:t>所附资料；</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4</w:t>
      </w:r>
      <w:r>
        <w:rPr>
          <w:rFonts w:hint="eastAsia" w:ascii="宋体" w:hAnsi="宋体" w:eastAsia="宋体" w:cs="宋体"/>
          <w:color w:val="auto"/>
          <w:spacing w:val="-2"/>
          <w:sz w:val="24"/>
          <w:szCs w:val="24"/>
          <w:highlight w:val="none"/>
        </w:rPr>
        <w:t>）本节第 15.5.1目“评标方法 ”要求提供的评审资料；</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）投标人认为有必要补充的其他资料。（例如投标人已经工商变更，但其企业资质证书、安全生产许可证或其员工执业资格注册证书上的企业名称未能在投标期间完成变更的书面说明和佐证材料等）</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10.2.2  </w:t>
      </w:r>
      <w:r>
        <w:rPr>
          <w:rFonts w:hint="eastAsia" w:ascii="宋体" w:hAnsi="宋体" w:eastAsia="宋体" w:cs="宋体"/>
          <w:color w:val="auto"/>
          <w:spacing w:val="-2"/>
          <w:sz w:val="24"/>
          <w:szCs w:val="24"/>
          <w:highlight w:val="none"/>
        </w:rPr>
        <w:t>本节第 10.2.1目中所列出的商务标书组成内容中，第（1）至第（13）项所有投标人均应提供，但非联合体投标的，无需提供第（7）项内容。</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10.2.3 </w:t>
      </w:r>
      <w:r>
        <w:rPr>
          <w:rFonts w:hint="eastAsia" w:ascii="宋体" w:hAnsi="宋体" w:eastAsia="宋体" w:cs="宋体"/>
          <w:color w:val="auto"/>
          <w:spacing w:val="-2"/>
          <w:sz w:val="24"/>
          <w:szCs w:val="24"/>
          <w:highlight w:val="none"/>
        </w:rPr>
        <w:t>商务标书的组成内容按本节第10.2.1目规定的顺序整理、编排后，逐页（页码起始从封面开始）连续标记页码。</w:t>
      </w:r>
    </w:p>
    <w:p>
      <w:pPr>
        <w:pStyle w:val="5"/>
        <w:keepNext w:val="0"/>
        <w:keepLines w:val="0"/>
        <w:pageBreakBefore w:val="0"/>
        <w:widowControl w:val="0"/>
        <w:kinsoku/>
        <w:wordWrap w:val="0"/>
        <w:overflowPunct/>
        <w:topLinePunct/>
        <w:autoSpaceDE/>
        <w:autoSpaceDN/>
        <w:bidi w:val="0"/>
        <w:adjustRightInd w:val="0"/>
        <w:snapToGrid w:val="0"/>
        <w:spacing w:line="360"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9"/>
        <w:rPr>
          <w:rFonts w:hint="eastAsia" w:ascii="宋体" w:hAnsi="宋体" w:eastAsia="宋体" w:cs="宋体"/>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 xml:space="preserve">10.3  </w:t>
      </w:r>
      <w:r>
        <w:rPr>
          <w:rFonts w:hint="eastAsia" w:ascii="宋体" w:hAnsi="宋体" w:eastAsia="宋体" w:cs="宋体"/>
          <w:color w:val="auto"/>
          <w:spacing w:val="-2"/>
          <w:sz w:val="24"/>
          <w:szCs w:val="24"/>
          <w:highlight w:val="none"/>
        </w:rPr>
        <w:t>经济标书的编制要求</w:t>
      </w:r>
      <w:bookmarkEnd w:id="49"/>
      <w:bookmarkEnd w:id="50"/>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（1）封面（格式一）；</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 目录；</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（3）《投标总价》；</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说明：《投标总价》的格式按照《</w:t>
      </w:r>
      <w:r>
        <w:rPr>
          <w:rFonts w:hint="eastAsia" w:ascii="宋体" w:hAnsi="宋体" w:eastAsia="宋体" w:cs="宋体"/>
          <w:color w:val="auto"/>
          <w:spacing w:val="-2"/>
          <w:sz w:val="24"/>
          <w:szCs w:val="24"/>
          <w:highlight w:val="none"/>
          <w:lang w:eastAsia="zh-CN"/>
        </w:rPr>
        <w:t>建设工程工程量清单计价标准</w:t>
      </w:r>
      <w:r>
        <w:rPr>
          <w:rFonts w:hint="eastAsia" w:ascii="宋体" w:hAnsi="宋体" w:eastAsia="宋体" w:cs="宋体"/>
          <w:color w:val="auto"/>
          <w:spacing w:val="-2"/>
          <w:sz w:val="24"/>
          <w:szCs w:val="24"/>
          <w:highlight w:val="none"/>
        </w:rPr>
        <w:t>》（GB/T50500-2024）执行，并应满足以下要求：</w:t>
      </w:r>
    </w:p>
    <w:p>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．《投标总价扉页》（即扉—3）后应附编制人的造价工程师注册证书彩色扫描件（须扫描至变更注册栏，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 xml:space="preserve">10.3.1 </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.3.1目规定的顺序整理、编排后，逐页（页</w:t>
      </w:r>
      <w:r>
        <w:rPr>
          <w:rFonts w:hint="eastAsia" w:ascii="宋体" w:hAnsi="宋体" w:eastAsia="宋体" w:cs="宋体"/>
          <w:color w:val="auto"/>
          <w:spacing w:val="-1"/>
          <w:sz w:val="24"/>
          <w:szCs w:val="24"/>
          <w:highlight w:val="none"/>
        </w:rPr>
        <w:t>码起始从封面开始）连续标记页码。</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10.4  </w:t>
      </w:r>
      <w:r>
        <w:rPr>
          <w:rFonts w:hint="eastAsia" w:ascii="宋体" w:hAnsi="宋体" w:eastAsia="宋体" w:cs="宋体"/>
          <w:color w:val="auto"/>
          <w:spacing w:val="-3"/>
          <w:sz w:val="24"/>
          <w:szCs w:val="24"/>
          <w:highlight w:val="none"/>
        </w:rPr>
        <w:t>施工组织设计的编制要求</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2"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施工组织设计的组成内容按本节第10.4.2目规定的顺序整理、编排后，逐</w:t>
      </w:r>
      <w:r>
        <w:rPr>
          <w:rFonts w:hint="eastAsia" w:ascii="宋体" w:hAnsi="宋体" w:eastAsia="宋体" w:cs="宋体"/>
          <w:color w:val="auto"/>
          <w:spacing w:val="-1"/>
          <w:sz w:val="24"/>
          <w:szCs w:val="24"/>
          <w:highlight w:val="none"/>
        </w:rPr>
        <w:t>页（页码起始从封面开始）连续标记页码。</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outlineLvl w:val="9"/>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500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54" w:name="_Toc25878"/>
      <w:bookmarkStart w:id="55" w:name="_Toc21936"/>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4"/>
      <w:bookmarkEnd w:id="55"/>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ind w:right="84" w:rightChars="40" w:firstLine="446" w:firstLineChars="200"/>
        <w:outlineLvl w:val="2"/>
        <w:rPr>
          <w:rFonts w:hint="eastAsia" w:ascii="宋体" w:hAnsi="宋体" w:eastAsia="宋体" w:cs="宋体"/>
          <w:b/>
          <w:bCs/>
          <w:color w:val="auto"/>
          <w:spacing w:val="-4"/>
          <w:sz w:val="24"/>
          <w:szCs w:val="24"/>
          <w:highlight w:val="none"/>
        </w:rPr>
      </w:pPr>
      <w:bookmarkStart w:id="56" w:name="_Toc31434"/>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7" w:name="_Toc29834"/>
      <w:r>
        <w:rPr>
          <w:rFonts w:hint="eastAsia" w:ascii="宋体" w:hAnsi="宋体" w:eastAsia="宋体" w:cs="宋体"/>
          <w:b/>
          <w:bCs/>
          <w:color w:val="auto"/>
          <w:spacing w:val="-4"/>
          <w:sz w:val="24"/>
          <w:szCs w:val="24"/>
          <w:highlight w:val="none"/>
        </w:rPr>
        <w:t>电子投标及投标解密失败及突发情况的补救方案</w:t>
      </w:r>
      <w:bookmarkEnd w:id="56"/>
      <w:bookmarkEnd w:id="57"/>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8" w:name="bookmark122"/>
      <w:bookmarkEnd w:id="58"/>
      <w:r>
        <w:rPr>
          <w:rFonts w:hint="eastAsia" w:ascii="宋体" w:hAnsi="宋体" w:eastAsia="宋体" w:cs="宋体"/>
          <w:color w:val="auto"/>
          <w:spacing w:val="-1"/>
          <w:sz w:val="24"/>
          <w:szCs w:val="24"/>
          <w:highlight w:val="none"/>
        </w:rPr>
        <w:t>重新提交投标文件继续开标程序。</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59" w:name="_Toc27195"/>
      <w:bookmarkStart w:id="60" w:name="_Toc8579"/>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59"/>
      <w:bookmarkEnd w:id="60"/>
    </w:p>
    <w:p>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东省·韶关市）将予以拒收。</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pPr>
        <w:keepNext w:val="0"/>
        <w:keepLines w:val="0"/>
        <w:pageBreakBefore w:val="0"/>
        <w:widowControl w:val="0"/>
        <w:kinsoku/>
        <w:wordWrap w:val="0"/>
        <w:overflowPunct/>
        <w:topLinePunct/>
        <w:autoSpaceDE/>
        <w:autoSpaceDN/>
        <w:bidi w:val="0"/>
        <w:adjustRightInd w:val="0"/>
        <w:snapToGrid w:val="0"/>
        <w:spacing w:line="360" w:lineRule="auto"/>
        <w:ind w:left="7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pPr>
        <w:keepNext w:val="0"/>
        <w:keepLines w:val="0"/>
        <w:pageBreakBefore w:val="0"/>
        <w:widowControl w:val="0"/>
        <w:kinsoku/>
        <w:wordWrap w:val="0"/>
        <w:overflowPunct/>
        <w:topLinePunct/>
        <w:autoSpaceDE/>
        <w:autoSpaceDN/>
        <w:bidi w:val="0"/>
        <w:adjustRightInd w:val="0"/>
        <w:snapToGrid w:val="0"/>
        <w:spacing w:line="360" w:lineRule="auto"/>
        <w:ind w:left="7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pPr>
        <w:keepNext w:val="0"/>
        <w:keepLines w:val="0"/>
        <w:pageBreakBefore w:val="0"/>
        <w:widowControl w:val="0"/>
        <w:kinsoku/>
        <w:wordWrap w:val="0"/>
        <w:overflowPunct/>
        <w:topLinePunct/>
        <w:autoSpaceDE/>
        <w:autoSpaceDN/>
        <w:bidi w:val="0"/>
        <w:adjustRightInd w:val="0"/>
        <w:snapToGrid w:val="0"/>
        <w:spacing w:line="360" w:lineRule="auto"/>
        <w:ind w:left="7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61" w:name="_Toc7179"/>
      <w:bookmarkStart w:id="62" w:name="_Toc22047"/>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1"/>
      <w:bookmarkEnd w:id="62"/>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3" w:name="bookmark123"/>
      <w:bookmarkEnd w:id="63"/>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64" w:name="_Toc10291"/>
      <w:bookmarkStart w:id="65" w:name="_Toc10685"/>
      <w:bookmarkStart w:id="66" w:name="_Toc8314"/>
      <w:bookmarkStart w:id="67" w:name="_Toc15587"/>
      <w:r>
        <w:rPr>
          <w:rFonts w:hint="eastAsia" w:ascii="宋体" w:hAnsi="宋体" w:eastAsia="宋体" w:cs="宋体"/>
          <w:color w:val="auto"/>
          <w:spacing w:val="-1"/>
          <w:sz w:val="24"/>
          <w:szCs w:val="24"/>
          <w:highlight w:val="none"/>
        </w:rPr>
        <w:t>（1）主持人（招标人代表或招标人授权的招标代理机构人员）宣读开标纪律。</w:t>
      </w:r>
      <w:bookmarkEnd w:id="64"/>
      <w:bookmarkEnd w:id="65"/>
      <w:bookmarkEnd w:id="66"/>
      <w:bookmarkEnd w:id="67"/>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68" w:name="_Toc2011"/>
      <w:bookmarkStart w:id="69" w:name="_Toc16292"/>
      <w:bookmarkStart w:id="70" w:name="_Toc20238"/>
      <w:bookmarkStart w:id="71" w:name="_Toc30853"/>
      <w:r>
        <w:rPr>
          <w:rFonts w:hint="eastAsia" w:ascii="宋体" w:hAnsi="宋体" w:eastAsia="宋体" w:cs="宋体"/>
          <w:color w:val="auto"/>
          <w:spacing w:val="-1"/>
          <w:sz w:val="24"/>
          <w:szCs w:val="24"/>
          <w:highlight w:val="none"/>
        </w:rPr>
        <w:t>（2）主持人宣布唱标人、记录人、见证人、监督人等有关人员姓名。</w:t>
      </w:r>
      <w:bookmarkEnd w:id="68"/>
      <w:bookmarkEnd w:id="69"/>
      <w:bookmarkEnd w:id="70"/>
      <w:bookmarkEnd w:id="71"/>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72" w:name="_Toc26494"/>
      <w:bookmarkStart w:id="73" w:name="_Toc1974"/>
      <w:bookmarkStart w:id="74" w:name="_Toc17462"/>
      <w:bookmarkStart w:id="75" w:name="_Toc31716"/>
      <w:r>
        <w:rPr>
          <w:rFonts w:hint="eastAsia" w:ascii="宋体" w:hAnsi="宋体" w:eastAsia="宋体" w:cs="宋体"/>
          <w:color w:val="auto"/>
          <w:spacing w:val="-1"/>
          <w:sz w:val="24"/>
          <w:szCs w:val="24"/>
          <w:highlight w:val="none"/>
        </w:rPr>
        <w:t>（3）唱标人公布在投标截止时间前进行投标文件的投标人数量和名称</w:t>
      </w:r>
      <w:bookmarkEnd w:id="72"/>
      <w:bookmarkEnd w:id="73"/>
      <w:bookmarkEnd w:id="74"/>
      <w:bookmarkEnd w:id="75"/>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pacing w:val="-1"/>
          <w:sz w:val="24"/>
          <w:szCs w:val="24"/>
          <w:highlight w:val="none"/>
        </w:rPr>
      </w:pPr>
      <w:bookmarkStart w:id="76" w:name="_Toc8179"/>
      <w:bookmarkStart w:id="77" w:name="_Toc15860"/>
      <w:bookmarkStart w:id="78" w:name="_Toc27967"/>
      <w:bookmarkStart w:id="79" w:name="_Toc20559"/>
      <w:r>
        <w:rPr>
          <w:rFonts w:hint="eastAsia" w:ascii="宋体" w:hAnsi="宋体" w:eastAsia="宋体" w:cs="宋体"/>
          <w:color w:val="auto"/>
          <w:spacing w:val="-1"/>
          <w:sz w:val="24"/>
          <w:szCs w:val="24"/>
          <w:highlight w:val="none"/>
        </w:rPr>
        <w:t>（4）招标代理机构会同交易场所工作人员对投标人的电子投标信息进行解密，</w:t>
      </w:r>
      <w:bookmarkEnd w:id="76"/>
      <w:bookmarkEnd w:id="77"/>
      <w:bookmarkEnd w:id="78"/>
      <w:bookmarkEnd w:id="79"/>
      <w:r>
        <w:rPr>
          <w:rFonts w:hint="eastAsia" w:ascii="宋体" w:hAnsi="宋体" w:eastAsia="宋体" w:cs="宋体"/>
          <w:color w:val="auto"/>
          <w:spacing w:val="-1"/>
          <w:sz w:val="24"/>
          <w:szCs w:val="24"/>
          <w:highlight w:val="none"/>
        </w:rPr>
        <w:t>建设工程交易系统自动生成《投标保证缴纳情况表》和《开标一览表》。</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6" w:firstLineChars="200"/>
        <w:outlineLvl w:val="9"/>
        <w:rPr>
          <w:rFonts w:hint="eastAsia" w:ascii="宋体" w:hAnsi="宋体" w:eastAsia="宋体" w:cs="宋体"/>
          <w:color w:val="auto"/>
          <w:sz w:val="24"/>
          <w:szCs w:val="24"/>
          <w:highlight w:val="none"/>
        </w:rPr>
      </w:pPr>
      <w:bookmarkStart w:id="80" w:name="_Toc2199"/>
      <w:bookmarkStart w:id="81" w:name="_Toc28266"/>
      <w:bookmarkStart w:id="82" w:name="_Toc28812"/>
      <w:bookmarkStart w:id="83"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0"/>
      <w:bookmarkEnd w:id="81"/>
      <w:bookmarkEnd w:id="82"/>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3"/>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highlight w:val="none"/>
        </w:rPr>
      </w:pPr>
      <w:bookmarkStart w:id="84" w:name="_Toc11718"/>
      <w:bookmarkStart w:id="85"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4"/>
      <w:bookmarkEnd w:id="85"/>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82"/>
        <w:textAlignment w:val="baseline"/>
        <w:rPr>
          <w:rFonts w:hint="eastAsia" w:ascii="宋体" w:hAnsi="宋体" w:eastAsia="宋体" w:cs="宋体"/>
          <w:color w:val="auto"/>
          <w:sz w:val="24"/>
          <w:szCs w:val="24"/>
          <w:highlight w:val="none"/>
        </w:rPr>
      </w:pPr>
      <w:bookmarkStart w:id="86" w:name="bookmark124"/>
      <w:bookmarkEnd w:id="86"/>
      <w:r>
        <w:rPr>
          <w:rFonts w:hint="eastAsia" w:ascii="宋体" w:hAnsi="宋体" w:eastAsia="宋体" w:cs="宋体"/>
          <w:color w:val="auto"/>
          <w:spacing w:val="-1"/>
          <w:sz w:val="24"/>
          <w:szCs w:val="24"/>
          <w:highlight w:val="none"/>
        </w:rPr>
        <w:t>评标分为初步评审和详细评审两个阶段，由评标委员会</w:t>
      </w:r>
      <w:r>
        <w:rPr>
          <w:rFonts w:hint="eastAsia" w:ascii="宋体" w:hAnsi="宋体" w:eastAsia="宋体" w:cs="宋体"/>
          <w:color w:val="auto"/>
          <w:spacing w:val="-2"/>
          <w:sz w:val="24"/>
          <w:szCs w:val="24"/>
          <w:highlight w:val="none"/>
        </w:rPr>
        <w:t>在有关部门的监督下，严</w:t>
      </w:r>
      <w:r>
        <w:rPr>
          <w:rFonts w:hint="eastAsia" w:ascii="宋体" w:hAnsi="宋体" w:eastAsia="宋体" w:cs="宋体"/>
          <w:color w:val="auto"/>
          <w:spacing w:val="-1"/>
          <w:sz w:val="24"/>
          <w:szCs w:val="24"/>
          <w:highlight w:val="none"/>
        </w:rPr>
        <w:t>格按照本招标文件指定的评标方法，对投标人的投标文件进行审</w:t>
      </w:r>
      <w:r>
        <w:rPr>
          <w:rFonts w:hint="eastAsia" w:ascii="宋体" w:hAnsi="宋体" w:eastAsia="宋体" w:cs="宋体"/>
          <w:color w:val="auto"/>
          <w:spacing w:val="-2"/>
          <w:sz w:val="24"/>
          <w:szCs w:val="24"/>
          <w:highlight w:val="none"/>
        </w:rPr>
        <w:t>查、评审。评标委员</w:t>
      </w:r>
      <w:r>
        <w:rPr>
          <w:rFonts w:hint="eastAsia" w:ascii="宋体" w:hAnsi="宋体" w:eastAsia="宋体" w:cs="宋体"/>
          <w:color w:val="auto"/>
          <w:spacing w:val="2"/>
          <w:sz w:val="24"/>
          <w:szCs w:val="24"/>
          <w:highlight w:val="none"/>
        </w:rPr>
        <w:t>会完成评标后，向招标人推荐</w:t>
      </w:r>
      <w:r>
        <w:rPr>
          <w:rFonts w:hint="eastAsia" w:ascii="宋体" w:hAnsi="宋体" w:eastAsia="宋体" w:cs="宋体"/>
          <w:color w:val="auto"/>
          <w:spacing w:val="2"/>
          <w:sz w:val="24"/>
          <w:szCs w:val="24"/>
          <w:highlight w:val="none"/>
          <w:u w:val="single"/>
        </w:rPr>
        <w:t xml:space="preserve"> 3 </w:t>
      </w:r>
      <w:r>
        <w:rPr>
          <w:rFonts w:hint="eastAsia" w:ascii="宋体" w:hAnsi="宋体" w:eastAsia="宋体" w:cs="宋体"/>
          <w:color w:val="auto"/>
          <w:spacing w:val="2"/>
          <w:sz w:val="24"/>
          <w:szCs w:val="24"/>
          <w:highlight w:val="none"/>
        </w:rPr>
        <w:t>个中标候选人，并向招标人提交由全</w:t>
      </w:r>
      <w:r>
        <w:rPr>
          <w:rFonts w:hint="eastAsia" w:ascii="宋体" w:hAnsi="宋体" w:eastAsia="宋体" w:cs="宋体"/>
          <w:color w:val="auto"/>
          <w:spacing w:val="1"/>
          <w:sz w:val="24"/>
          <w:szCs w:val="24"/>
          <w:highlight w:val="none"/>
        </w:rPr>
        <w:t>体评标委员会</w:t>
      </w:r>
      <w:r>
        <w:rPr>
          <w:rFonts w:hint="eastAsia" w:ascii="宋体" w:hAnsi="宋体" w:eastAsia="宋体" w:cs="宋体"/>
          <w:color w:val="auto"/>
          <w:spacing w:val="-1"/>
          <w:sz w:val="24"/>
          <w:szCs w:val="24"/>
          <w:highlight w:val="none"/>
        </w:rPr>
        <w:t>成员签字的评标报告。</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pPr>
        <w:keepNext w:val="0"/>
        <w:keepLines w:val="0"/>
        <w:pageBreakBefore w:val="0"/>
        <w:widowControl w:val="0"/>
        <w:kinsoku/>
        <w:wordWrap w:val="0"/>
        <w:overflowPunct/>
        <w:topLinePunct/>
        <w:autoSpaceDE/>
        <w:autoSpaceDN/>
        <w:bidi w:val="0"/>
        <w:adjustRightInd w:val="0"/>
        <w:snapToGrid w:val="0"/>
        <w:spacing w:line="360" w:lineRule="auto"/>
        <w:ind w:left="577" w:right="84" w:rightChars="40"/>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pPr>
        <w:keepNext w:val="0"/>
        <w:keepLines w:val="0"/>
        <w:pageBreakBefore w:val="0"/>
        <w:widowControl w:val="0"/>
        <w:kinsoku/>
        <w:wordWrap w:val="0"/>
        <w:overflowPunct/>
        <w:topLinePunct/>
        <w:autoSpaceDE/>
        <w:autoSpaceDN/>
        <w:bidi w:val="0"/>
        <w:adjustRightInd w:val="0"/>
        <w:snapToGrid w:val="0"/>
        <w:spacing w:line="360" w:lineRule="auto"/>
        <w:ind w:left="231" w:right="84" w:rightChars="40" w:firstLine="560"/>
        <w:rPr>
          <w:rFonts w:hint="eastAsia" w:ascii="宋体" w:hAnsi="宋体" w:eastAsia="宋体" w:cs="宋体"/>
          <w:color w:val="auto"/>
          <w:highlight w:val="none"/>
        </w:rPr>
      </w:pPr>
      <w:bookmarkStart w:id="87" w:name="bookmark125"/>
      <w:bookmarkEnd w:id="87"/>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 xml:space="preserve"> 综合评估法</w:t>
      </w:r>
      <w:r>
        <w:rPr>
          <w:rFonts w:hint="eastAsia" w:ascii="宋体" w:hAnsi="宋体" w:eastAsia="宋体" w:cs="宋体"/>
          <w:color w:val="auto"/>
          <w:spacing w:val="-4"/>
          <w:sz w:val="24"/>
          <w:szCs w:val="24"/>
          <w:highlight w:val="none"/>
          <w:u w:val="single"/>
        </w:rPr>
        <w:t>（</w:t>
      </w:r>
      <w:r>
        <w:rPr>
          <w:rFonts w:hint="eastAsia" w:ascii="宋体" w:hAnsi="宋体" w:eastAsia="宋体" w:cs="宋体"/>
          <w:color w:val="auto"/>
          <w:spacing w:val="-1"/>
          <w:sz w:val="24"/>
          <w:szCs w:val="24"/>
          <w:highlight w:val="none"/>
        </w:rPr>
        <w:t>评标方法名称）进行评标。</w:t>
      </w:r>
    </w:p>
    <w:p>
      <w:pPr>
        <w:keepNext w:val="0"/>
        <w:keepLines w:val="0"/>
        <w:pageBreakBefore w:val="0"/>
        <w:widowControl w:val="0"/>
        <w:kinsoku/>
        <w:wordWrap w:val="0"/>
        <w:overflowPunct/>
        <w:topLinePunct/>
        <w:autoSpaceDE/>
        <w:autoSpaceDN/>
        <w:bidi w:val="0"/>
        <w:adjustRightInd w:val="0"/>
        <w:snapToGrid w:val="0"/>
        <w:spacing w:line="360" w:lineRule="auto"/>
        <w:ind w:left="220" w:right="84" w:rightChars="40"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pPr>
        <w:keepNext w:val="0"/>
        <w:keepLines w:val="0"/>
        <w:pageBreakBefore w:val="0"/>
        <w:widowControl w:val="0"/>
        <w:kinsoku/>
        <w:wordWrap w:val="0"/>
        <w:overflowPunct/>
        <w:topLinePunct/>
        <w:autoSpaceDE/>
        <w:autoSpaceDN/>
        <w:bidi w:val="0"/>
        <w:adjustRightInd w:val="0"/>
        <w:snapToGrid w:val="0"/>
        <w:spacing w:line="360" w:lineRule="auto"/>
        <w:ind w:left="71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pPr>
        <w:keepNext w:val="0"/>
        <w:keepLines w:val="0"/>
        <w:pageBreakBefore w:val="0"/>
        <w:widowControl w:val="0"/>
        <w:kinsoku/>
        <w:wordWrap w:val="0"/>
        <w:overflowPunct/>
        <w:topLinePunct/>
        <w:autoSpaceDE/>
        <w:autoSpaceDN/>
        <w:bidi w:val="0"/>
        <w:adjustRightInd w:val="0"/>
        <w:snapToGrid w:val="0"/>
        <w:spacing w:line="360" w:lineRule="auto"/>
        <w:ind w:left="70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pPr>
        <w:keepNext w:val="0"/>
        <w:keepLines w:val="0"/>
        <w:pageBreakBefore w:val="0"/>
        <w:widowControl w:val="0"/>
        <w:kinsoku/>
        <w:wordWrap w:val="0"/>
        <w:overflowPunct/>
        <w:topLinePunct/>
        <w:autoSpaceDE/>
        <w:autoSpaceDN/>
        <w:bidi w:val="0"/>
        <w:adjustRightInd w:val="0"/>
        <w:snapToGrid w:val="0"/>
        <w:spacing w:line="360" w:lineRule="auto"/>
        <w:ind w:left="719" w:right="84" w:rightChars="40" w:hanging="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节资格评审事项包括：</w:t>
      </w:r>
    </w:p>
    <w:p>
      <w:pPr>
        <w:keepNext w:val="0"/>
        <w:keepLines w:val="0"/>
        <w:pageBreakBefore w:val="0"/>
        <w:widowControl w:val="0"/>
        <w:kinsoku/>
        <w:wordWrap w:val="0"/>
        <w:overflowPunct/>
        <w:topLinePunct/>
        <w:autoSpaceDE/>
        <w:autoSpaceDN/>
        <w:bidi w:val="0"/>
        <w:adjustRightInd w:val="0"/>
        <w:snapToGrid w:val="0"/>
        <w:spacing w:line="360" w:lineRule="auto"/>
        <w:ind w:left="231" w:right="84" w:rightChars="40" w:firstLine="4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（1）投标人是否符合本章第三节第 2.4 条“禁止投标条款”规定。如果“禁止投标条款”包括失信惩戒的，投标人信用信息的获取采用现场实时查询的方式实施。由</w:t>
      </w:r>
      <w:r>
        <w:rPr>
          <w:rFonts w:hint="eastAsia" w:ascii="宋体" w:hAnsi="宋体" w:eastAsia="宋体" w:cs="宋体"/>
          <w:color w:val="auto"/>
          <w:spacing w:val="-4"/>
          <w:sz w:val="24"/>
          <w:szCs w:val="24"/>
          <w:highlight w:val="none"/>
          <w:lang w:val="en-US" w:eastAsia="zh-CN"/>
        </w:rPr>
        <w:t>评标委员会</w:t>
      </w:r>
      <w:r>
        <w:rPr>
          <w:rFonts w:hint="eastAsia" w:ascii="宋体" w:hAnsi="宋体" w:eastAsia="宋体" w:cs="宋体"/>
          <w:color w:val="auto"/>
          <w:spacing w:val="-4"/>
          <w:sz w:val="24"/>
          <w:szCs w:val="24"/>
          <w:highlight w:val="none"/>
        </w:rPr>
        <w:t>登录信用中国网站（https://www.creditchina.gov.cn），在企业查询界面下载和打印《法人和非法人组织公共信用信息报告》。</w:t>
      </w:r>
    </w:p>
    <w:p>
      <w:pPr>
        <w:keepNext w:val="0"/>
        <w:keepLines w:val="0"/>
        <w:pageBreakBefore w:val="0"/>
        <w:widowControl w:val="0"/>
        <w:kinsoku/>
        <w:wordWrap w:val="0"/>
        <w:overflowPunct/>
        <w:topLinePunct/>
        <w:autoSpaceDE/>
        <w:autoSpaceDN/>
        <w:bidi w:val="0"/>
        <w:adjustRightInd w:val="0"/>
        <w:snapToGrid w:val="0"/>
        <w:spacing w:line="360" w:lineRule="auto"/>
        <w:ind w:left="72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（2）投标人名称是否与营业执照、资质证书、安全生产许可证一致。</w:t>
      </w:r>
    </w:p>
    <w:p>
      <w:pPr>
        <w:keepNext w:val="0"/>
        <w:keepLines w:val="0"/>
        <w:pageBreakBefore w:val="0"/>
        <w:widowControl w:val="0"/>
        <w:kinsoku/>
        <w:wordWrap w:val="0"/>
        <w:overflowPunct/>
        <w:topLinePunct/>
        <w:autoSpaceDE/>
        <w:autoSpaceDN/>
        <w:bidi w:val="0"/>
        <w:adjustRightInd w:val="0"/>
        <w:snapToGrid w:val="0"/>
        <w:spacing w:line="360" w:lineRule="auto"/>
        <w:ind w:left="232"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（3）投标人的资质是否符合招标文件规定；其营业执照、资质证书、安全生产许可证（含实时网页查询页，可参考网址 https://zlaq.mohurd.gov.cn/fwmh/bjxcjgl/fwm</w:t>
      </w:r>
      <w:bookmarkStart w:id="88" w:name="bookmark126"/>
      <w:bookmarkEnd w:id="88"/>
      <w:r>
        <w:rPr>
          <w:rFonts w:hint="eastAsia" w:ascii="宋体" w:hAnsi="宋体" w:eastAsia="宋体" w:cs="宋体"/>
          <w:color w:val="auto"/>
          <w:spacing w:val="2"/>
          <w:sz w:val="24"/>
          <w:szCs w:val="24"/>
          <w:highlight w:val="none"/>
        </w:rPr>
        <w:t>h/pages/construction_safety/qyaqscxkz/qyaqscxkz）是否合法、有效、准确</w:t>
      </w:r>
      <w:r>
        <w:rPr>
          <w:rFonts w:hint="eastAsia" w:ascii="宋体" w:hAnsi="宋体" w:eastAsia="宋体" w:cs="宋体"/>
          <w:color w:val="auto"/>
          <w:spacing w:val="-1"/>
          <w:position w:val="3"/>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（4）《项目经理简历表》中拟派项目经理是否与《开标一览表》一致。</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（5）拟派项目经理、项目技术负责人、专职安全员的条件</w:t>
      </w:r>
      <w:r>
        <w:rPr>
          <w:rFonts w:hint="eastAsia" w:ascii="宋体" w:hAnsi="宋体" w:eastAsia="宋体" w:cs="宋体"/>
          <w:color w:val="auto"/>
          <w:spacing w:val="1"/>
          <w:sz w:val="24"/>
          <w:szCs w:val="24"/>
          <w:highlight w:val="none"/>
        </w:rPr>
        <w:t>是否符合招标文件规</w:t>
      </w:r>
      <w:r>
        <w:rPr>
          <w:rFonts w:hint="eastAsia" w:ascii="宋体" w:hAnsi="宋体" w:eastAsia="宋体" w:cs="宋体"/>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（6）联合体投标的，是否提交《联合体协议书》；是否擅</w:t>
      </w:r>
      <w:r>
        <w:rPr>
          <w:rFonts w:hint="eastAsia" w:ascii="宋体" w:hAnsi="宋体" w:eastAsia="宋体" w:cs="宋体"/>
          <w:color w:val="auto"/>
          <w:spacing w:val="1"/>
          <w:sz w:val="24"/>
          <w:szCs w:val="24"/>
          <w:highlight w:val="none"/>
        </w:rPr>
        <w:t>自修改、遗漏《联合</w:t>
      </w:r>
      <w:r>
        <w:rPr>
          <w:rFonts w:hint="eastAsia" w:ascii="宋体" w:hAnsi="宋体" w:eastAsia="宋体" w:cs="宋体"/>
          <w:color w:val="auto"/>
          <w:spacing w:val="-1"/>
          <w:sz w:val="24"/>
          <w:szCs w:val="24"/>
          <w:highlight w:val="none"/>
        </w:rPr>
        <w:t>体协议书》的实质性内容；联合体成员的数量、资质是否符合</w:t>
      </w:r>
      <w:r>
        <w:rPr>
          <w:rFonts w:hint="eastAsia" w:ascii="宋体" w:hAnsi="宋体" w:eastAsia="宋体" w:cs="宋体"/>
          <w:color w:val="auto"/>
          <w:spacing w:val="-2"/>
          <w:sz w:val="24"/>
          <w:szCs w:val="24"/>
          <w:highlight w:val="none"/>
        </w:rPr>
        <w:t>招标文件规定；联合体</w:t>
      </w:r>
      <w:r>
        <w:rPr>
          <w:rFonts w:hint="eastAsia" w:ascii="宋体" w:hAnsi="宋体" w:eastAsia="宋体" w:cs="宋体"/>
          <w:color w:val="auto"/>
          <w:sz w:val="24"/>
          <w:szCs w:val="24"/>
          <w:highlight w:val="none"/>
        </w:rPr>
        <w:t>成员是否以自己名义单独或者参加其他联合</w:t>
      </w:r>
      <w:r>
        <w:rPr>
          <w:rFonts w:hint="eastAsia" w:ascii="宋体" w:hAnsi="宋体" w:eastAsia="宋体" w:cs="宋体"/>
          <w:color w:val="auto"/>
          <w:spacing w:val="-1"/>
          <w:sz w:val="24"/>
          <w:szCs w:val="24"/>
          <w:highlight w:val="none"/>
        </w:rPr>
        <w:t>体参与本招标项目投标。</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（7）投标人为外省建筑企业的，是否按规定在“进粤</w:t>
      </w:r>
      <w:r>
        <w:rPr>
          <w:rFonts w:hint="eastAsia" w:ascii="宋体" w:hAnsi="宋体" w:eastAsia="宋体" w:cs="宋体"/>
          <w:color w:val="auto"/>
          <w:spacing w:val="1"/>
          <w:sz w:val="24"/>
          <w:szCs w:val="24"/>
          <w:highlight w:val="none"/>
        </w:rPr>
        <w:t>企业和人员诚信信息登记</w:t>
      </w:r>
      <w:r>
        <w:rPr>
          <w:rFonts w:hint="eastAsia" w:ascii="宋体" w:hAnsi="宋体" w:eastAsia="宋体" w:cs="宋体"/>
          <w:color w:val="auto"/>
          <w:spacing w:val="-2"/>
          <w:sz w:val="24"/>
          <w:szCs w:val="24"/>
          <w:highlight w:val="none"/>
        </w:rPr>
        <w:t>平台</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2"/>
          <w:sz w:val="24"/>
          <w:szCs w:val="24"/>
          <w:highlight w:val="none"/>
        </w:rPr>
        <w:t>”录入企业及其拟派人员有关信息并通过数据规范检查。</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4" w:firstLineChars="200"/>
        <w:jc w:val="both"/>
        <w:outlineLvl w:val="9"/>
        <w:rPr>
          <w:rFonts w:hint="eastAsia" w:ascii="宋体" w:hAnsi="宋体" w:eastAsia="宋体" w:cs="宋体"/>
          <w:color w:val="auto"/>
          <w:spacing w:val="1"/>
          <w:sz w:val="24"/>
          <w:szCs w:val="24"/>
          <w:highlight w:val="none"/>
        </w:rPr>
      </w:pPr>
      <w:bookmarkStart w:id="89" w:name="_Toc22778"/>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形式评审环节</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90" w:name="_Toc20481"/>
      <w:bookmarkStart w:id="91" w:name="_Toc23632"/>
      <w:bookmarkStart w:id="92" w:name="_Toc4914"/>
      <w:bookmarkStart w:id="93" w:name="_Toc13304"/>
      <w:r>
        <w:rPr>
          <w:rFonts w:hint="eastAsia" w:ascii="宋体" w:hAnsi="宋体" w:eastAsia="宋体" w:cs="宋体"/>
          <w:color w:val="auto"/>
          <w:spacing w:val="-1"/>
          <w:sz w:val="24"/>
          <w:szCs w:val="24"/>
          <w:highlight w:val="none"/>
        </w:rPr>
        <w:t>（1）各分册是否按招标文件规定加盖电子印章。</w:t>
      </w:r>
      <w:bookmarkEnd w:id="90"/>
      <w:bookmarkEnd w:id="91"/>
      <w:bookmarkEnd w:id="92"/>
      <w:bookmarkEnd w:id="93"/>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4" w:firstLineChars="200"/>
        <w:outlineLvl w:val="9"/>
        <w:rPr>
          <w:rFonts w:hint="eastAsia" w:ascii="宋体" w:hAnsi="宋体" w:eastAsia="宋体" w:cs="宋体"/>
          <w:color w:val="auto"/>
          <w:spacing w:val="-1"/>
          <w:sz w:val="24"/>
          <w:szCs w:val="24"/>
          <w:highlight w:val="none"/>
          <w:lang w:eastAsia="zh-CN"/>
        </w:rPr>
      </w:pPr>
      <w:bookmarkStart w:id="94" w:name="_Toc28409"/>
      <w:bookmarkStart w:id="95" w:name="_Toc27432"/>
      <w:bookmarkStart w:id="96" w:name="_Toc10806"/>
      <w:bookmarkStart w:id="97"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10.4.3目中规定</w:t>
      </w:r>
      <w:r>
        <w:rPr>
          <w:rFonts w:hint="eastAsia" w:ascii="宋体" w:hAnsi="宋体" w:eastAsia="宋体" w:cs="宋体"/>
          <w:color w:val="auto"/>
          <w:spacing w:val="-5"/>
          <w:sz w:val="24"/>
          <w:szCs w:val="24"/>
          <w:highlight w:val="none"/>
        </w:rPr>
        <w:t>的“所有投标人均应提</w:t>
      </w:r>
      <w:bookmarkEnd w:id="94"/>
      <w:bookmarkEnd w:id="95"/>
      <w:bookmarkEnd w:id="96"/>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7"/>
      <w:r>
        <w:rPr>
          <w:rFonts w:hint="eastAsia" w:ascii="宋体" w:hAnsi="宋体" w:eastAsia="宋体" w:cs="宋体"/>
          <w:color w:val="auto"/>
          <w:spacing w:val="-1"/>
          <w:sz w:val="24"/>
          <w:szCs w:val="24"/>
          <w:highlight w:val="none"/>
          <w:lang w:eastAsia="zh-CN"/>
        </w:rPr>
        <w:t>。</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4" w:firstLineChars="200"/>
        <w:jc w:val="both"/>
        <w:outlineLvl w:val="9"/>
        <w:rPr>
          <w:rFonts w:hint="eastAsia" w:ascii="宋体" w:hAnsi="宋体" w:eastAsia="宋体" w:cs="宋体"/>
          <w:color w:val="auto"/>
          <w:spacing w:val="2"/>
          <w:sz w:val="24"/>
          <w:szCs w:val="24"/>
          <w:highlight w:val="none"/>
        </w:rPr>
      </w:pPr>
      <w:bookmarkStart w:id="98" w:name="_Toc16645"/>
      <w:bookmarkStart w:id="99" w:name="_Toc22562"/>
      <w:bookmarkStart w:id="100" w:name="_Toc14202"/>
      <w:bookmarkStart w:id="101" w:name="_Toc22642"/>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color w:val="auto"/>
          <w:spacing w:val="2"/>
          <w:sz w:val="24"/>
          <w:szCs w:val="24"/>
          <w:highlight w:val="none"/>
        </w:rPr>
        <w:t xml:space="preserve">响应性评审环节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8"/>
      <w:bookmarkEnd w:id="99"/>
      <w:bookmarkEnd w:id="100"/>
      <w:bookmarkEnd w:id="101"/>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pPr>
        <w:keepNext w:val="0"/>
        <w:keepLines w:val="0"/>
        <w:pageBreakBefore w:val="0"/>
        <w:widowControl w:val="0"/>
        <w:kinsoku/>
        <w:wordWrap w:val="0"/>
        <w:overflowPunct/>
        <w:topLinePunct/>
        <w:autoSpaceDE/>
        <w:autoSpaceDN/>
        <w:bidi w:val="0"/>
        <w:adjustRightInd w:val="0"/>
        <w:snapToGrid w:val="0"/>
        <w:spacing w:line="360" w:lineRule="auto"/>
        <w:ind w:left="23"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（3）投标人委托造价咨询单位编制《投标总价》的，是否在《投标总价扉页》（即扉—3）“投标人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2" w:name="bookmark127"/>
      <w:bookmarkEnd w:id="102"/>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标委员会接受该投标人的投标总价而未否决其投标的，应在评标报告中说明判断理由。投标总价下浮率＝（1－投标总价÷</w:t>
      </w:r>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）×100%。</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05" w:firstLineChars="20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outlineLvl w:val="9"/>
        <w:rPr>
          <w:rFonts w:hint="eastAsia" w:ascii="宋体" w:hAnsi="宋体" w:eastAsia="宋体" w:cs="宋体"/>
          <w:color w:val="auto"/>
          <w:sz w:val="25"/>
          <w:szCs w:val="25"/>
          <w:highlight w:val="none"/>
        </w:rPr>
      </w:pPr>
      <w:bookmarkStart w:id="103" w:name="_Toc18204"/>
      <w:bookmarkStart w:id="104" w:name="_Toc19814"/>
      <w:bookmarkStart w:id="105" w:name="_Toc32114"/>
      <w:bookmarkStart w:id="106" w:name="_Toc15367"/>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3"/>
      <w:bookmarkEnd w:id="104"/>
      <w:bookmarkEnd w:id="105"/>
      <w:bookmarkEnd w:id="106"/>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 xml:space="preserve">4 </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pPr>
        <w:keepNext w:val="0"/>
        <w:keepLines w:val="0"/>
        <w:pageBreakBefore w:val="0"/>
        <w:widowControl w:val="0"/>
        <w:kinsoku/>
        <w:wordWrap w:val="0"/>
        <w:overflowPunct/>
        <w:topLinePunct/>
        <w:autoSpaceDE/>
        <w:autoSpaceDN/>
        <w:bidi w:val="0"/>
        <w:adjustRightInd w:val="0"/>
        <w:snapToGrid w:val="0"/>
        <w:spacing w:line="360" w:lineRule="auto"/>
        <w:ind w:left="577" w:right="84" w:rightChars="40"/>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7"/>
                    <a:stretch>
                      <a:fillRect/>
                    </a:stretch>
                  </pic:blipFill>
                  <pic:spPr>
                    <a:xfrm>
                      <a:off x="0" y="0"/>
                      <a:ext cx="6350" cy="279400"/>
                    </a:xfrm>
                    <a:prstGeom prst="rect">
                      <a:avLst/>
                    </a:prstGeom>
                    <a:noFill/>
                    <a:ln>
                      <a:noFill/>
                    </a:ln>
                  </pic:spPr>
                </pic:pic>
              </a:graphicData>
            </a:graphic>
          </wp:anchor>
        </w:drawing>
      </w:r>
      <w:bookmarkStart w:id="107" w:name="bookmark128"/>
      <w:bookmarkEnd w:id="107"/>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pPr>
        <w:keepNext w:val="0"/>
        <w:keepLines w:val="0"/>
        <w:pageBreakBefore w:val="0"/>
        <w:widowControl w:val="0"/>
        <w:kinsoku/>
        <w:wordWrap w:val="0"/>
        <w:overflowPunct/>
        <w:topLinePunct/>
        <w:autoSpaceDE/>
        <w:autoSpaceDN/>
        <w:bidi w:val="0"/>
        <w:adjustRightInd w:val="0"/>
        <w:snapToGrid w:val="0"/>
        <w:spacing w:line="360" w:lineRule="auto"/>
        <w:ind w:left="498" w:right="84" w:rightChars="40"/>
        <w:outlineLvl w:val="9"/>
        <w:rPr>
          <w:rFonts w:hint="eastAsia" w:ascii="宋体" w:hAnsi="宋体" w:eastAsia="宋体" w:cs="宋体"/>
          <w:color w:val="auto"/>
          <w:sz w:val="25"/>
          <w:szCs w:val="25"/>
          <w:highlight w:val="none"/>
        </w:rPr>
      </w:pPr>
      <w:bookmarkStart w:id="108" w:name="_Toc28572"/>
      <w:bookmarkStart w:id="109" w:name="_Toc10503"/>
      <w:bookmarkStart w:id="110" w:name="_Toc14991"/>
      <w:bookmarkStart w:id="111" w:name="_Toc4119"/>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8"/>
      <w:bookmarkEnd w:id="109"/>
      <w:bookmarkEnd w:id="110"/>
      <w:bookmarkEnd w:id="111"/>
    </w:p>
    <w:p>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pPr>
        <w:keepNext w:val="0"/>
        <w:keepLines w:val="0"/>
        <w:pageBreakBefore w:val="0"/>
        <w:widowControl w:val="0"/>
        <w:kinsoku/>
        <w:wordWrap w:val="0"/>
        <w:overflowPunct/>
        <w:topLinePunct/>
        <w:autoSpaceDE/>
        <w:autoSpaceDN/>
        <w:bidi w:val="0"/>
        <w:adjustRightInd w:val="0"/>
        <w:snapToGrid w:val="0"/>
        <w:spacing w:line="360" w:lineRule="auto"/>
        <w:ind w:left="503" w:right="84" w:rightChars="40"/>
        <w:outlineLvl w:val="9"/>
        <w:rPr>
          <w:rFonts w:hint="eastAsia" w:ascii="宋体" w:hAnsi="宋体" w:eastAsia="宋体" w:cs="宋体"/>
          <w:color w:val="auto"/>
          <w:sz w:val="24"/>
          <w:szCs w:val="24"/>
          <w:highlight w:val="none"/>
        </w:rPr>
      </w:pPr>
      <w:bookmarkStart w:id="112" w:name="_Toc18029"/>
      <w:bookmarkStart w:id="113" w:name="_Toc17510"/>
      <w:bookmarkStart w:id="114" w:name="_Toc10398"/>
      <w:bookmarkStart w:id="115" w:name="_Toc2294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2"/>
      <w:bookmarkEnd w:id="113"/>
      <w:bookmarkEnd w:id="114"/>
      <w:bookmarkEnd w:id="115"/>
    </w:p>
    <w:p>
      <w:pPr>
        <w:keepNext w:val="0"/>
        <w:keepLines w:val="0"/>
        <w:pageBreakBefore w:val="0"/>
        <w:widowControl w:val="0"/>
        <w:kinsoku/>
        <w:wordWrap w:val="0"/>
        <w:overflowPunct/>
        <w:topLinePunct/>
        <w:autoSpaceDE/>
        <w:autoSpaceDN/>
        <w:bidi w:val="0"/>
        <w:adjustRightInd w:val="0"/>
        <w:snapToGrid w:val="0"/>
        <w:spacing w:line="360" w:lineRule="auto"/>
        <w:ind w:left="15" w:right="84" w:rightChars="40"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491" w:right="84" w:rightChars="40"/>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pPr>
        <w:keepNext w:val="0"/>
        <w:keepLines w:val="0"/>
        <w:pageBreakBefore w:val="0"/>
        <w:widowControl w:val="0"/>
        <w:kinsoku/>
        <w:wordWrap w:val="0"/>
        <w:overflowPunct/>
        <w:topLinePunct/>
        <w:autoSpaceDE/>
        <w:autoSpaceDN/>
        <w:bidi w:val="0"/>
        <w:adjustRightInd w:val="0"/>
        <w:snapToGrid w:val="0"/>
        <w:spacing w:line="360" w:lineRule="auto"/>
        <w:ind w:left="503" w:right="84" w:rightChars="40"/>
        <w:outlineLvl w:val="9"/>
        <w:rPr>
          <w:rFonts w:hint="eastAsia" w:ascii="宋体" w:hAnsi="宋体" w:eastAsia="宋体" w:cs="宋体"/>
          <w:color w:val="auto"/>
          <w:sz w:val="24"/>
          <w:szCs w:val="24"/>
          <w:highlight w:val="none"/>
        </w:rPr>
      </w:pPr>
      <w:bookmarkStart w:id="116" w:name="_Toc16136"/>
      <w:bookmarkStart w:id="117" w:name="_Toc27609"/>
      <w:bookmarkStart w:id="118" w:name="_Toc3958"/>
      <w:bookmarkStart w:id="119" w:name="_Toc1405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6"/>
      <w:bookmarkEnd w:id="117"/>
      <w:bookmarkEnd w:id="118"/>
      <w:bookmarkEnd w:id="119"/>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
          <w:sz w:val="24"/>
          <w:szCs w:val="24"/>
          <w:highlight w:val="none"/>
        </w:rPr>
        <w:t>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 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pPr>
        <w:keepNext w:val="0"/>
        <w:keepLines w:val="0"/>
        <w:pageBreakBefore w:val="0"/>
        <w:widowControl w:val="0"/>
        <w:kinsoku/>
        <w:wordWrap w:val="0"/>
        <w:overflowPunct/>
        <w:topLinePunct/>
        <w:autoSpaceDE/>
        <w:autoSpaceDN/>
        <w:bidi w:val="0"/>
        <w:adjustRightInd w:val="0"/>
        <w:snapToGrid w:val="0"/>
        <w:spacing w:line="360" w:lineRule="auto"/>
        <w:ind w:left="241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|Di－D|÷D）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式中：D为评标基准价；Di为某投标人的投标总价；E为扣分因子，当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pacing w:val="-8"/>
          <w:sz w:val="24"/>
          <w:szCs w:val="24"/>
          <w:highlight w:val="none"/>
        </w:rPr>
        <w:t>E＝</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Di＜D时，E</w:t>
      </w:r>
      <w:r>
        <w:rPr>
          <w:rFonts w:hint="eastAsia" w:ascii="宋体" w:hAnsi="宋体" w:eastAsia="宋体" w:cs="宋体"/>
          <w:b/>
          <w:bCs/>
          <w:color w:val="auto"/>
          <w:spacing w:val="-8"/>
          <w:sz w:val="24"/>
          <w:szCs w:val="24"/>
          <w:highlight w:val="none"/>
        </w:rPr>
        <w:t>＝0.5。</w:t>
      </w:r>
    </w:p>
    <w:p>
      <w:pPr>
        <w:keepNext w:val="0"/>
        <w:keepLines w:val="0"/>
        <w:pageBreakBefore w:val="0"/>
        <w:widowControl w:val="0"/>
        <w:kinsoku/>
        <w:wordWrap w:val="0"/>
        <w:overflowPunct/>
        <w:topLinePunct/>
        <w:autoSpaceDE/>
        <w:autoSpaceDN/>
        <w:bidi w:val="0"/>
        <w:adjustRightInd w:val="0"/>
        <w:snapToGrid w:val="0"/>
        <w:spacing w:line="360" w:lineRule="auto"/>
        <w:ind w:left="503" w:right="84" w:rightChars="40"/>
        <w:outlineLvl w:val="9"/>
        <w:rPr>
          <w:rFonts w:hint="eastAsia" w:ascii="宋体" w:hAnsi="宋体" w:eastAsia="宋体" w:cs="宋体"/>
          <w:color w:val="auto"/>
          <w:sz w:val="24"/>
          <w:szCs w:val="24"/>
          <w:highlight w:val="none"/>
        </w:rPr>
      </w:pPr>
      <w:bookmarkStart w:id="120" w:name="_Toc3861"/>
      <w:bookmarkStart w:id="121" w:name="_Toc4990"/>
      <w:bookmarkStart w:id="122" w:name="_Toc7915"/>
      <w:bookmarkStart w:id="123" w:name="_Toc576"/>
      <w:r>
        <w:rPr>
          <w:rFonts w:hint="eastAsia" w:ascii="宋体" w:hAnsi="宋体" w:eastAsia="宋体" w:cs="宋体"/>
          <w:color w:val="auto"/>
          <w:spacing w:val="-3"/>
          <w:sz w:val="24"/>
          <w:szCs w:val="24"/>
          <w:highlight w:val="none"/>
        </w:rPr>
        <w:t>（3）综合得分</w:t>
      </w:r>
      <w:bookmarkEnd w:id="120"/>
      <w:bookmarkEnd w:id="121"/>
      <w:bookmarkEnd w:id="122"/>
      <w:bookmarkEnd w:id="123"/>
    </w:p>
    <w:p>
      <w:pPr>
        <w:keepNext w:val="0"/>
        <w:keepLines w:val="0"/>
        <w:pageBreakBefore w:val="0"/>
        <w:widowControl w:val="0"/>
        <w:kinsoku/>
        <w:wordWrap w:val="0"/>
        <w:overflowPunct/>
        <w:topLinePunct/>
        <w:autoSpaceDE/>
        <w:autoSpaceDN/>
        <w:bidi w:val="0"/>
        <w:adjustRightInd w:val="0"/>
        <w:snapToGrid w:val="0"/>
        <w:spacing w:line="360" w:lineRule="auto"/>
        <w:ind w:left="49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式中：M为商务技术得分，N为投标报价得分。</w:t>
      </w:r>
    </w:p>
    <w:p>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textAlignment w:val="baseline"/>
        <w:outlineLvl w:val="9"/>
        <w:rPr>
          <w:rFonts w:hint="eastAsia" w:ascii="宋体" w:hAnsi="宋体" w:eastAsia="宋体" w:cs="宋体"/>
          <w:color w:val="auto"/>
          <w:sz w:val="24"/>
          <w:szCs w:val="24"/>
          <w:highlight w:val="none"/>
        </w:rPr>
      </w:pPr>
      <w:bookmarkStart w:id="124" w:name="_Toc32384"/>
      <w:bookmarkStart w:id="125" w:name="_Toc2885"/>
      <w:bookmarkStart w:id="126" w:name="_Toc25214"/>
      <w:bookmarkStart w:id="127" w:name="_Toc30671"/>
      <w:r>
        <w:rPr>
          <w:rFonts w:hint="eastAsia" w:ascii="宋体" w:hAnsi="宋体" w:eastAsia="宋体" w:cs="宋体"/>
          <w:color w:val="auto"/>
          <w:spacing w:val="2"/>
          <w:sz w:val="24"/>
          <w:szCs w:val="24"/>
          <w:highlight w:val="none"/>
        </w:rPr>
        <w:t>（4）评标委员会汇总、比较所有投标人的综合得分后，取</w:t>
      </w:r>
      <w:r>
        <w:rPr>
          <w:rFonts w:hint="eastAsia" w:ascii="宋体" w:hAnsi="宋体" w:eastAsia="宋体" w:cs="宋体"/>
          <w:color w:val="auto"/>
          <w:spacing w:val="1"/>
          <w:sz w:val="24"/>
          <w:szCs w:val="24"/>
          <w:highlight w:val="none"/>
        </w:rPr>
        <w:t>综合得分最高的投标</w:t>
      </w:r>
      <w:bookmarkEnd w:id="124"/>
      <w:bookmarkEnd w:id="125"/>
      <w:bookmarkEnd w:id="126"/>
      <w:bookmarkEnd w:id="127"/>
      <w:r>
        <w:rPr>
          <w:rFonts w:hint="eastAsia" w:ascii="宋体" w:hAnsi="宋体" w:eastAsia="宋体" w:cs="宋体"/>
          <w:color w:val="auto"/>
          <w:spacing w:val="-1"/>
          <w:sz w:val="24"/>
          <w:szCs w:val="24"/>
          <w:highlight w:val="none"/>
        </w:rPr>
        <w:t>人为第一中标候选人，取综合得分第二、第三高的投标人</w:t>
      </w:r>
      <w:r>
        <w:rPr>
          <w:rFonts w:hint="eastAsia" w:ascii="宋体" w:hAnsi="宋体" w:eastAsia="宋体" w:cs="宋体"/>
          <w:color w:val="auto"/>
          <w:spacing w:val="-2"/>
          <w:sz w:val="24"/>
          <w:szCs w:val="24"/>
          <w:highlight w:val="none"/>
        </w:rPr>
        <w:t>为第二、第三中标候选人。</w:t>
      </w:r>
      <w:r>
        <w:rPr>
          <w:rFonts w:hint="eastAsia" w:ascii="宋体" w:hAnsi="宋体" w:eastAsia="宋体" w:cs="宋体"/>
          <w:color w:val="auto"/>
          <w:spacing w:val="-1"/>
          <w:sz w:val="24"/>
          <w:szCs w:val="24"/>
          <w:highlight w:val="none"/>
        </w:rPr>
        <w:t>如果最高综合得分相同，取投标总价低者为第一中标</w:t>
      </w:r>
      <w:r>
        <w:rPr>
          <w:rFonts w:hint="eastAsia" w:ascii="宋体" w:hAnsi="宋体" w:eastAsia="宋体" w:cs="宋体"/>
          <w:color w:val="auto"/>
          <w:spacing w:val="-2"/>
          <w:sz w:val="24"/>
          <w:szCs w:val="24"/>
          <w:highlight w:val="none"/>
        </w:rPr>
        <w:t>候选人，并依此确定第二、第三</w:t>
      </w:r>
      <w:r>
        <w:rPr>
          <w:rFonts w:hint="eastAsia" w:ascii="宋体" w:hAnsi="宋体" w:eastAsia="宋体" w:cs="宋体"/>
          <w:color w:val="auto"/>
          <w:sz w:val="24"/>
          <w:szCs w:val="24"/>
          <w:highlight w:val="none"/>
        </w:rPr>
        <w:t xml:space="preserve"> 中标候选人。如果最高综合得分相同，投标总价</w:t>
      </w:r>
      <w:r>
        <w:rPr>
          <w:rFonts w:hint="eastAsia" w:ascii="宋体" w:hAnsi="宋体" w:eastAsia="宋体" w:cs="宋体"/>
          <w:color w:val="auto"/>
          <w:spacing w:val="-1"/>
          <w:sz w:val="24"/>
          <w:szCs w:val="24"/>
          <w:highlight w:val="none"/>
        </w:rPr>
        <w:t>也相同，由评标委员会投票确定。</w:t>
      </w:r>
    </w:p>
    <w:p>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6"/>
          <w:sz w:val="30"/>
          <w:szCs w:val="30"/>
          <w:highlight w:val="none"/>
        </w:rPr>
      </w:pPr>
      <w:bookmarkStart w:id="128" w:name="_Toc16801"/>
      <w:bookmarkStart w:id="129" w:name="_Toc3020"/>
      <w:bookmarkStart w:id="130" w:name="_Toc17375"/>
      <w:r>
        <w:rPr>
          <w:rFonts w:hint="eastAsia" w:ascii="宋体" w:hAnsi="宋体" w:eastAsia="宋体" w:cs="宋体"/>
          <w:b/>
          <w:bCs/>
          <w:color w:val="auto"/>
          <w:spacing w:val="-6"/>
          <w:sz w:val="30"/>
          <w:szCs w:val="30"/>
          <w:highlight w:val="none"/>
        </w:rPr>
        <w:br w:type="page"/>
      </w:r>
    </w:p>
    <w:p>
      <w:pPr>
        <w:keepNext w:val="0"/>
        <w:keepLines w:val="0"/>
        <w:pageBreakBefore w:val="0"/>
        <w:widowControl w:val="0"/>
        <w:kinsoku/>
        <w:wordWrap w:val="0"/>
        <w:overflowPunct/>
        <w:topLinePunct/>
        <w:autoSpaceDE/>
        <w:autoSpaceDN/>
        <w:bidi w:val="0"/>
        <w:adjustRightInd w:val="0"/>
        <w:snapToGrid w:val="0"/>
        <w:spacing w:before="98" w:line="221" w:lineRule="auto"/>
        <w:ind w:left="4248" w:right="84" w:rightChars="40"/>
        <w:outlineLvl w:val="9"/>
        <w:rPr>
          <w:rFonts w:hint="eastAsia" w:ascii="宋体" w:hAnsi="宋体" w:eastAsia="宋体" w:cs="宋体"/>
          <w:color w:val="auto"/>
          <w:sz w:val="30"/>
          <w:szCs w:val="30"/>
          <w:highlight w:val="none"/>
        </w:rPr>
      </w:pPr>
      <w:r>
        <w:rPr>
          <w:rFonts w:hint="eastAsia" w:ascii="宋体" w:hAnsi="宋体" w:eastAsia="宋体" w:cs="宋体"/>
          <w:b/>
          <w:bCs/>
          <w:color w:val="auto"/>
          <w:spacing w:val="-6"/>
          <w:sz w:val="30"/>
          <w:szCs w:val="30"/>
          <w:highlight w:val="none"/>
        </w:rPr>
        <w:t>综合评分表</w:t>
      </w:r>
      <w:bookmarkEnd w:id="128"/>
      <w:bookmarkEnd w:id="129"/>
      <w:bookmarkEnd w:id="130"/>
    </w:p>
    <w:p>
      <w:pPr>
        <w:keepNext w:val="0"/>
        <w:keepLines w:val="0"/>
        <w:pageBreakBefore w:val="0"/>
        <w:widowControl w:val="0"/>
        <w:kinsoku/>
        <w:wordWrap w:val="0"/>
        <w:overflowPunct/>
        <w:topLinePunct/>
        <w:autoSpaceDE/>
        <w:autoSpaceDN/>
        <w:bidi w:val="0"/>
        <w:adjustRightInd w:val="0"/>
        <w:snapToGrid w:val="0"/>
        <w:spacing w:before="5"/>
        <w:ind w:right="84" w:rightChars="40"/>
        <w:rPr>
          <w:rFonts w:hint="eastAsia" w:ascii="宋体" w:hAnsi="宋体" w:eastAsia="宋体" w:cs="宋体"/>
          <w:color w:val="auto"/>
          <w:highlight w:val="none"/>
        </w:rPr>
      </w:pPr>
    </w:p>
    <w:tbl>
      <w:tblPr>
        <w:tblStyle w:val="14"/>
        <w:tblW w:w="10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168"/>
        <w:gridCol w:w="3582"/>
        <w:gridCol w:w="5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10358" w:type="dxa"/>
            <w:gridSpan w:val="4"/>
            <w:shd w:val="clear" w:color="auto" w:fill="D7D7D7"/>
            <w:noWrap w:val="0"/>
            <w:vAlign w:val="center"/>
          </w:tcPr>
          <w:p>
            <w:pPr>
              <w:pStyle w:val="5"/>
              <w:keepNext w:val="0"/>
              <w:keepLines w:val="0"/>
              <w:pageBreakBefore w:val="0"/>
              <w:widowControl/>
              <w:tabs>
                <w:tab w:val="left" w:pos="1354"/>
                <w:tab w:val="left" w:pos="1459"/>
                <w:tab w:val="center" w:pos="3902"/>
                <w:tab w:val="right" w:pos="7805"/>
              </w:tabs>
              <w:kinsoku w:val="0"/>
              <w:wordWrap w:val="0"/>
              <w:overflowPunct/>
              <w:topLinePunct w:val="0"/>
              <w:autoSpaceDE w:val="0"/>
              <w:autoSpaceDN w:val="0"/>
              <w:bidi w:val="0"/>
              <w:adjustRightInd w:val="0"/>
              <w:snapToGrid w:val="0"/>
              <w:spacing w:line="400" w:lineRule="exact"/>
              <w:textAlignment w:val="baseline"/>
              <w:rPr>
                <w:rFonts w:hint="eastAsia" w:hAnsi="宋体" w:cs="宋体"/>
                <w:b/>
                <w:bCs/>
                <w:snapToGrid w:val="0"/>
                <w:color w:val="auto"/>
                <w:kern w:val="0"/>
                <w:sz w:val="24"/>
                <w:szCs w:val="24"/>
                <w:highlight w:val="none"/>
              </w:rPr>
            </w:pPr>
            <w:bookmarkStart w:id="131" w:name="_Toc17436"/>
            <w:bookmarkStart w:id="132" w:name="_Toc5769"/>
            <w:bookmarkStart w:id="133" w:name="_Toc9725"/>
            <w:bookmarkStart w:id="134" w:name="_Toc31744"/>
            <w:r>
              <w:rPr>
                <w:rFonts w:hint="eastAsia" w:hAnsi="宋体" w:cs="宋体"/>
                <w:b/>
                <w:bCs/>
                <w:snapToGrid w:val="0"/>
                <w:color w:val="auto"/>
                <w:kern w:val="0"/>
                <w:sz w:val="24"/>
                <w:szCs w:val="24"/>
                <w:highlight w:val="none"/>
              </w:rPr>
              <w:t>商务部分，满分：</w:t>
            </w:r>
            <w:r>
              <w:rPr>
                <w:rFonts w:hint="eastAsia" w:hAnsi="宋体" w:cs="宋体"/>
                <w:b/>
                <w:bCs/>
                <w:snapToGrid w:val="0"/>
                <w:color w:val="auto"/>
                <w:kern w:val="0"/>
                <w:sz w:val="24"/>
                <w:szCs w:val="24"/>
                <w:highlight w:val="none"/>
                <w:u w:val="single"/>
              </w:rPr>
              <w:t xml:space="preserve"> 80 </w:t>
            </w:r>
            <w:r>
              <w:rPr>
                <w:rFonts w:hint="eastAsia" w:hAnsi="宋体" w:cs="宋体"/>
                <w:b/>
                <w:bCs/>
                <w:snapToGrid w:val="0"/>
                <w:color w:val="auto"/>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1491" w:type="dxa"/>
            <w:noWrap w:val="0"/>
            <w:vAlign w:val="center"/>
          </w:tcPr>
          <w:p>
            <w:pPr>
              <w:pStyle w:val="5"/>
              <w:keepNext w:val="0"/>
              <w:keepLines w:val="0"/>
              <w:pageBreakBefore w:val="0"/>
              <w:widowControl/>
              <w:tabs>
                <w:tab w:val="left" w:pos="1354"/>
                <w:tab w:val="left" w:pos="1459"/>
                <w:tab w:val="center" w:pos="3902"/>
                <w:tab w:val="right" w:pos="7805"/>
              </w:tabs>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评分因素</w:t>
            </w:r>
          </w:p>
        </w:tc>
        <w:tc>
          <w:tcPr>
            <w:tcW w:w="3750" w:type="dxa"/>
            <w:gridSpan w:val="2"/>
            <w:noWrap w:val="0"/>
            <w:vAlign w:val="center"/>
          </w:tcPr>
          <w:p>
            <w:pPr>
              <w:pStyle w:val="5"/>
              <w:keepNext w:val="0"/>
              <w:keepLines w:val="0"/>
              <w:pageBreakBefore w:val="0"/>
              <w:widowControl/>
              <w:tabs>
                <w:tab w:val="left" w:pos="1354"/>
                <w:tab w:val="left" w:pos="1459"/>
                <w:tab w:val="center" w:pos="3902"/>
                <w:tab w:val="right" w:pos="7805"/>
              </w:tabs>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评分标准</w:t>
            </w:r>
          </w:p>
        </w:tc>
        <w:tc>
          <w:tcPr>
            <w:tcW w:w="5117" w:type="dxa"/>
            <w:noWrap w:val="0"/>
            <w:vAlign w:val="center"/>
          </w:tcPr>
          <w:p>
            <w:pPr>
              <w:pStyle w:val="5"/>
              <w:keepNext w:val="0"/>
              <w:keepLines w:val="0"/>
              <w:pageBreakBefore w:val="0"/>
              <w:widowControl/>
              <w:tabs>
                <w:tab w:val="left" w:pos="1354"/>
                <w:tab w:val="left" w:pos="1459"/>
                <w:tab w:val="center" w:pos="3902"/>
                <w:tab w:val="right" w:pos="7805"/>
              </w:tabs>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1" w:hRule="atLeast"/>
          <w:jc w:val="center"/>
        </w:trPr>
        <w:tc>
          <w:tcPr>
            <w:tcW w:w="1491"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Ansi="宋体" w:cs="宋体"/>
                <w:color w:val="auto"/>
                <w:sz w:val="24"/>
                <w:szCs w:val="24"/>
                <w:highlight w:val="none"/>
              </w:rPr>
            </w:pPr>
            <w:r>
              <w:rPr>
                <w:rFonts w:hint="eastAsia" w:hAnsi="宋体" w:cs="宋体"/>
                <w:color w:val="auto"/>
                <w:sz w:val="24"/>
                <w:szCs w:val="24"/>
                <w:highlight w:val="none"/>
              </w:rPr>
              <w:t>企业奖项</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（10分）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b w:val="0"/>
                <w:bCs w:val="0"/>
                <w:color w:val="auto"/>
                <w:sz w:val="24"/>
                <w:szCs w:val="24"/>
                <w:highlight w:val="none"/>
                <w:lang w:val="en-US" w:eastAsia="zh-CN"/>
              </w:rPr>
              <w:t>组成联合体时由联合体任意一方提供</w:t>
            </w:r>
            <w:r>
              <w:rPr>
                <w:rFonts w:hint="eastAsia" w:ascii="宋体" w:hAnsi="宋体" w:eastAsia="宋体" w:cs="宋体"/>
                <w:snapToGrid w:val="0"/>
                <w:color w:val="auto"/>
                <w:kern w:val="0"/>
                <w:sz w:val="24"/>
                <w:szCs w:val="24"/>
                <w:highlight w:val="none"/>
                <w:lang w:eastAsia="zh-CN"/>
              </w:rPr>
              <w:t>）</w:t>
            </w:r>
          </w:p>
        </w:tc>
        <w:tc>
          <w:tcPr>
            <w:tcW w:w="3750" w:type="dxa"/>
            <w:gridSpan w:val="2"/>
            <w:noWrap w:val="0"/>
            <w:vAlign w:val="center"/>
          </w:tcPr>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企业近年来（</w:t>
            </w:r>
            <w:r>
              <w:rPr>
                <w:rFonts w:hint="eastAsia" w:ascii="宋体" w:hAnsi="宋体" w:eastAsia="宋体" w:cs="宋体"/>
                <w:snapToGrid w:val="0"/>
                <w:color w:val="auto"/>
                <w:kern w:val="0"/>
                <w:sz w:val="24"/>
                <w:szCs w:val="24"/>
                <w:highlight w:val="none"/>
                <w:lang w:val="en-US" w:eastAsia="zh-CN"/>
              </w:rPr>
              <w:t>2020</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日至</w:t>
            </w:r>
            <w:r>
              <w:rPr>
                <w:rFonts w:hint="eastAsia" w:ascii="宋体" w:hAnsi="宋体" w:eastAsia="宋体" w:cs="宋体"/>
                <w:snapToGrid w:val="0"/>
                <w:color w:val="auto"/>
                <w:kern w:val="0"/>
                <w:sz w:val="24"/>
                <w:szCs w:val="24"/>
                <w:highlight w:val="none"/>
                <w:lang w:val="en-US" w:eastAsia="zh-CN"/>
              </w:rPr>
              <w:t>今</w:t>
            </w:r>
            <w:r>
              <w:rPr>
                <w:rFonts w:hint="eastAsia" w:ascii="宋体" w:hAnsi="宋体" w:eastAsia="宋体" w:cs="宋体"/>
                <w:snapToGrid w:val="0"/>
                <w:color w:val="auto"/>
                <w:kern w:val="0"/>
                <w:sz w:val="24"/>
                <w:szCs w:val="24"/>
                <w:highlight w:val="none"/>
              </w:rPr>
              <w:t>）获得</w:t>
            </w:r>
            <w:r>
              <w:rPr>
                <w:rFonts w:hint="eastAsia" w:ascii="宋体" w:hAnsi="宋体" w:eastAsia="宋体" w:cs="宋体"/>
                <w:snapToGrid w:val="0"/>
                <w:color w:val="auto"/>
                <w:kern w:val="0"/>
                <w:sz w:val="24"/>
                <w:szCs w:val="24"/>
                <w:highlight w:val="none"/>
                <w:u w:val="single"/>
                <w:lang w:val="en-US" w:eastAsia="zh-CN"/>
              </w:rPr>
              <w:t>房屋建筑</w:t>
            </w:r>
            <w:r>
              <w:rPr>
                <w:rFonts w:hint="eastAsia" w:ascii="宋体" w:hAnsi="宋体" w:eastAsia="宋体" w:cs="宋体"/>
                <w:snapToGrid w:val="0"/>
                <w:color w:val="auto"/>
                <w:kern w:val="0"/>
                <w:sz w:val="24"/>
                <w:szCs w:val="24"/>
                <w:highlight w:val="none"/>
              </w:rPr>
              <w:t>工程类奖项情况：</w:t>
            </w:r>
          </w:p>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1．获得国家级奖项的，每个得</w:t>
            </w:r>
            <w:r>
              <w:rPr>
                <w:rFonts w:hint="eastAsia" w:ascii="宋体" w:hAnsi="宋体" w:eastAsia="宋体" w:cs="宋体"/>
                <w:snapToGrid w:val="0"/>
                <w:color w:val="auto"/>
                <w:kern w:val="0"/>
                <w:sz w:val="24"/>
                <w:szCs w:val="24"/>
                <w:highlight w:val="none"/>
                <w:u w:val="none"/>
                <w:lang w:val="en-US" w:eastAsia="zh-CN"/>
              </w:rPr>
              <w:t>2</w:t>
            </w:r>
            <w:r>
              <w:rPr>
                <w:rFonts w:hint="eastAsia" w:ascii="宋体" w:hAnsi="宋体" w:eastAsia="宋体" w:cs="宋体"/>
                <w:snapToGrid w:val="0"/>
                <w:color w:val="auto"/>
                <w:kern w:val="0"/>
                <w:sz w:val="24"/>
                <w:szCs w:val="24"/>
                <w:highlight w:val="none"/>
              </w:rPr>
              <w:t>分。</w:t>
            </w:r>
          </w:p>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2．获得省级奖项的，每个得</w:t>
            </w:r>
            <w:r>
              <w:rPr>
                <w:rFonts w:hint="eastAsia" w:ascii="宋体" w:hAnsi="宋体" w:eastAsia="宋体" w:cs="宋体"/>
                <w:snapToGrid w:val="0"/>
                <w:color w:val="auto"/>
                <w:kern w:val="0"/>
                <w:sz w:val="24"/>
                <w:szCs w:val="24"/>
                <w:highlight w:val="none"/>
                <w:u w:val="none"/>
                <w:lang w:val="en-US" w:eastAsia="zh-CN"/>
              </w:rPr>
              <w:t>1</w:t>
            </w:r>
            <w:r>
              <w:rPr>
                <w:rFonts w:hint="eastAsia" w:ascii="宋体" w:hAnsi="宋体" w:eastAsia="宋体" w:cs="宋体"/>
                <w:snapToGrid w:val="0"/>
                <w:color w:val="auto"/>
                <w:kern w:val="0"/>
                <w:sz w:val="24"/>
                <w:szCs w:val="24"/>
                <w:highlight w:val="none"/>
              </w:rPr>
              <w:t>分。</w:t>
            </w:r>
          </w:p>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3．获得地市级奖项的，每个得</w:t>
            </w:r>
            <w:r>
              <w:rPr>
                <w:rFonts w:hint="eastAsia" w:ascii="宋体" w:hAnsi="宋体" w:eastAsia="宋体" w:cs="宋体"/>
                <w:snapToGrid w:val="0"/>
                <w:color w:val="auto"/>
                <w:kern w:val="0"/>
                <w:sz w:val="24"/>
                <w:szCs w:val="24"/>
                <w:highlight w:val="none"/>
                <w:u w:val="none"/>
                <w:lang w:val="en-US" w:eastAsia="zh-CN"/>
              </w:rPr>
              <w:t>0.5</w:t>
            </w:r>
            <w:r>
              <w:rPr>
                <w:rFonts w:hint="eastAsia" w:ascii="宋体" w:hAnsi="宋体" w:eastAsia="宋体" w:cs="宋体"/>
                <w:snapToGrid w:val="0"/>
                <w:color w:val="auto"/>
                <w:kern w:val="0"/>
                <w:sz w:val="24"/>
                <w:szCs w:val="24"/>
                <w:highlight w:val="none"/>
              </w:rPr>
              <w:t>分。</w:t>
            </w:r>
          </w:p>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4．以上奖项均未获得的，不予计分。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ascii="宋体" w:hAnsi="宋体" w:eastAsia="宋体" w:cs="宋体"/>
                <w:snapToGrid w:val="0"/>
                <w:color w:val="auto"/>
                <w:kern w:val="0"/>
                <w:sz w:val="24"/>
                <w:szCs w:val="24"/>
                <w:highlight w:val="none"/>
              </w:rPr>
              <w:t>5．本项最高得10分。</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lang w:eastAsia="zh-CN"/>
              </w:rPr>
            </w:pPr>
            <w:r>
              <w:rPr>
                <w:rFonts w:hint="eastAsia" w:hAnsi="宋体" w:cs="宋体"/>
                <w:color w:val="auto"/>
                <w:sz w:val="24"/>
                <w:szCs w:val="24"/>
                <w:highlight w:val="none"/>
              </w:rPr>
              <w:t>1．允许投标人提交多个业绩，但同一业绩只按最高级别奖项计分一次。</w:t>
            </w:r>
            <w:r>
              <w:rPr>
                <w:rFonts w:hint="eastAsia" w:hAnsi="宋体" w:cs="宋体"/>
                <w:color w:val="auto"/>
                <w:sz w:val="24"/>
                <w:szCs w:val="24"/>
                <w:highlight w:val="none"/>
                <w:lang w:eastAsia="zh-CN"/>
              </w:rPr>
              <w:t>仅计算承接项目获奖，参建项目获奖不予以计分。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2．需附有关奖项证明彩色扫描件，同时提供原件供核对。（奖项为电子证书的除外）</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3．颁发机构限定以下范围：</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①国家级奖项：国务院、住建部、</w:t>
            </w:r>
            <w:r>
              <w:rPr>
                <w:rFonts w:hint="eastAsia" w:hAnsi="宋体" w:cs="宋体"/>
                <w:color w:val="auto"/>
                <w:sz w:val="24"/>
                <w:szCs w:val="24"/>
                <w:highlight w:val="none"/>
                <w:lang w:val="en-US" w:eastAsia="zh-CN"/>
              </w:rPr>
              <w:t>国家级行业</w:t>
            </w:r>
            <w:r>
              <w:rPr>
                <w:rFonts w:hint="eastAsia" w:hAnsi="宋体" w:cs="宋体"/>
                <w:color w:val="auto"/>
                <w:sz w:val="24"/>
                <w:szCs w:val="24"/>
                <w:highlight w:val="none"/>
              </w:rPr>
              <w:t>协会；（相关协会需经民政部门备案）</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②省级奖项：省级人民政府、省级建设行政主管部门、省级建筑行业协会；（相关协会需经民政部门备案）</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③地市级奖项：地市级人民政府、市级建设行政主管部门、市级建筑行业协会。</w:t>
            </w:r>
            <w:r>
              <w:rPr>
                <w:rFonts w:hint="eastAsia" w:hAnsi="宋体" w:cs="宋体"/>
                <w:b/>
                <w:bCs/>
                <w:color w:val="auto"/>
                <w:sz w:val="24"/>
                <w:szCs w:val="24"/>
                <w:highlight w:val="none"/>
              </w:rPr>
              <w:t>（相关协会需经民政部门备案）</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4．获奖时间以奖项证明的落款日期为准。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5. 任一奖项有以下情形之一的，该奖项视为无效，不予计分：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①未提供奖项原件的；</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②奖项不属于指定类别的；</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③颁发机构不符合要求的；</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④获奖时间不符合要求的。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1"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Ansi="宋体" w:cs="宋体"/>
                <w:color w:val="auto"/>
                <w:sz w:val="24"/>
                <w:szCs w:val="24"/>
                <w:highlight w:val="none"/>
              </w:rPr>
            </w:pPr>
            <w:r>
              <w:rPr>
                <w:rFonts w:hint="eastAsia" w:hAnsi="宋体" w:cs="宋体"/>
                <w:color w:val="auto"/>
                <w:sz w:val="24"/>
                <w:szCs w:val="24"/>
                <w:highlight w:val="none"/>
              </w:rPr>
              <w:t>项目经理综合素质</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（10分）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（组成联合体投标的由联合体牵头人提供）</w:t>
            </w: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项目经理具备工程类技术职称情况：</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1.具备</w:t>
            </w:r>
            <w:r>
              <w:rPr>
                <w:rFonts w:hint="eastAsia" w:hAnsi="宋体" w:cs="宋体"/>
                <w:color w:val="auto"/>
                <w:sz w:val="24"/>
                <w:szCs w:val="24"/>
                <w:highlight w:val="none"/>
                <w:lang w:val="en-US" w:eastAsia="zh-CN"/>
              </w:rPr>
              <w:t>建筑工程类</w:t>
            </w:r>
            <w:r>
              <w:rPr>
                <w:rFonts w:hint="eastAsia" w:hAnsi="宋体" w:cs="宋体"/>
                <w:color w:val="auto"/>
                <w:sz w:val="24"/>
                <w:szCs w:val="24"/>
                <w:highlight w:val="none"/>
              </w:rPr>
              <w:t>工程师或以上职称的，得10分。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2.具备</w:t>
            </w:r>
            <w:r>
              <w:rPr>
                <w:rFonts w:hint="eastAsia" w:hAnsi="宋体" w:cs="宋体"/>
                <w:color w:val="auto"/>
                <w:sz w:val="24"/>
                <w:szCs w:val="24"/>
                <w:highlight w:val="none"/>
                <w:lang w:val="en-US" w:eastAsia="zh-CN"/>
              </w:rPr>
              <w:t>建筑工程类</w:t>
            </w:r>
            <w:r>
              <w:rPr>
                <w:rFonts w:hint="eastAsia" w:hAnsi="宋体" w:cs="宋体"/>
                <w:color w:val="auto"/>
                <w:sz w:val="24"/>
                <w:szCs w:val="24"/>
                <w:highlight w:val="none"/>
              </w:rPr>
              <w:t>助理工程师职称的，得 5分。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eastAsia="宋体" w:cs="宋体"/>
                <w:color w:val="auto"/>
                <w:sz w:val="24"/>
                <w:szCs w:val="24"/>
                <w:highlight w:val="none"/>
                <w:lang w:val="en-US" w:eastAsia="zh-CN"/>
              </w:rPr>
              <w:t>3.</w:t>
            </w:r>
            <w:r>
              <w:rPr>
                <w:rFonts w:hint="eastAsia" w:hAnsi="宋体" w:cs="宋体"/>
                <w:color w:val="auto"/>
                <w:sz w:val="24"/>
                <w:szCs w:val="24"/>
                <w:highlight w:val="none"/>
              </w:rPr>
              <w:t>不具备以上职称的，或未提供职称证原件的，不予计分。</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需附职称证彩色扫描件，</w:t>
            </w:r>
            <w:r>
              <w:rPr>
                <w:rFonts w:hint="eastAsia" w:hAnsi="宋体" w:cs="宋体"/>
                <w:b/>
                <w:bCs/>
                <w:color w:val="auto"/>
                <w:sz w:val="24"/>
                <w:szCs w:val="24"/>
                <w:highlight w:val="none"/>
              </w:rPr>
              <w:t>同时提供原件供核对</w:t>
            </w:r>
            <w:r>
              <w:rPr>
                <w:rFonts w:hint="eastAsia" w:hAnsi="宋体" w:cs="宋体"/>
                <w:color w:val="auto"/>
                <w:sz w:val="24"/>
                <w:szCs w:val="24"/>
                <w:highlight w:val="none"/>
              </w:rPr>
              <w:t>（职称证为电子证书打印件的除外）。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4" w:hRule="atLeast"/>
          <w:jc w:val="center"/>
        </w:trPr>
        <w:tc>
          <w:tcPr>
            <w:tcW w:w="1491"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Ansi="宋体" w:cs="宋体"/>
                <w:color w:val="auto"/>
                <w:sz w:val="24"/>
                <w:szCs w:val="24"/>
                <w:highlight w:val="none"/>
              </w:rPr>
            </w:pPr>
            <w:r>
              <w:rPr>
                <w:rFonts w:hint="eastAsia" w:hAnsi="宋体" w:cs="宋体"/>
                <w:color w:val="auto"/>
                <w:sz w:val="24"/>
                <w:szCs w:val="24"/>
                <w:highlight w:val="none"/>
              </w:rPr>
              <w:t>企业业绩</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（1</w:t>
            </w:r>
            <w:r>
              <w:rPr>
                <w:rFonts w:hAnsi="宋体" w:cs="宋体"/>
                <w:color w:val="auto"/>
                <w:sz w:val="24"/>
                <w:szCs w:val="24"/>
                <w:highlight w:val="none"/>
              </w:rPr>
              <w:t>0</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b w:val="0"/>
                <w:bCs w:val="0"/>
                <w:color w:val="auto"/>
                <w:sz w:val="24"/>
                <w:szCs w:val="24"/>
                <w:highlight w:val="none"/>
                <w:lang w:val="en-US" w:eastAsia="zh-CN"/>
              </w:rPr>
              <w:t>组成联合体时由联合体任意一方提供</w:t>
            </w:r>
            <w:r>
              <w:rPr>
                <w:rFonts w:hint="eastAsia" w:ascii="宋体" w:hAnsi="宋体" w:eastAsia="宋体" w:cs="宋体"/>
                <w:snapToGrid w:val="0"/>
                <w:color w:val="auto"/>
                <w:kern w:val="0"/>
                <w:sz w:val="24"/>
                <w:szCs w:val="24"/>
                <w:highlight w:val="none"/>
                <w:lang w:eastAsia="zh-CN"/>
              </w:rPr>
              <w:t>）</w:t>
            </w: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企业近年来（2020年1月1日至今）业绩情况：</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1．完成过类似工程的，每个得</w:t>
            </w:r>
            <w:r>
              <w:rPr>
                <w:rFonts w:hint="eastAsia" w:hAnsi="宋体" w:cs="宋体"/>
                <w:color w:val="auto"/>
                <w:sz w:val="24"/>
                <w:szCs w:val="24"/>
                <w:highlight w:val="none"/>
                <w:u w:val="none"/>
                <w:lang w:val="en-US" w:eastAsia="zh-CN"/>
              </w:rPr>
              <w:t>2</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2.未完成过类似工程的，不予计分。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3.本项最高得1</w:t>
            </w:r>
            <w:r>
              <w:rPr>
                <w:rFonts w:hAnsi="宋体" w:cs="宋体"/>
                <w:color w:val="auto"/>
                <w:sz w:val="24"/>
                <w:szCs w:val="24"/>
                <w:highlight w:val="none"/>
              </w:rPr>
              <w:t>0</w:t>
            </w:r>
            <w:r>
              <w:rPr>
                <w:rFonts w:hint="eastAsia" w:hAnsi="宋体" w:cs="宋体"/>
                <w:color w:val="auto"/>
                <w:sz w:val="24"/>
                <w:szCs w:val="24"/>
                <w:highlight w:val="none"/>
              </w:rPr>
              <w:t xml:space="preserve">分。 </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1.类似工程指：单项工程造价≥</w:t>
            </w:r>
            <w:r>
              <w:rPr>
                <w:rFonts w:hint="eastAsia" w:hAnsi="宋体" w:cs="宋体"/>
                <w:color w:val="auto"/>
                <w:sz w:val="24"/>
                <w:szCs w:val="24"/>
                <w:highlight w:val="none"/>
                <w:lang w:val="en-US" w:eastAsia="zh-CN"/>
              </w:rPr>
              <w:t>7</w:t>
            </w:r>
            <w:r>
              <w:rPr>
                <w:rFonts w:hint="eastAsia" w:hAnsi="宋体" w:cs="宋体"/>
                <w:color w:val="auto"/>
                <w:sz w:val="24"/>
                <w:szCs w:val="24"/>
                <w:highlight w:val="none"/>
              </w:rPr>
              <w:t>000万元的</w:t>
            </w:r>
            <w:r>
              <w:rPr>
                <w:rFonts w:hint="eastAsia" w:hAnsi="宋体" w:cs="宋体"/>
                <w:color w:val="auto"/>
                <w:sz w:val="24"/>
                <w:szCs w:val="24"/>
                <w:highlight w:val="none"/>
                <w:u w:val="single"/>
                <w:lang w:val="en-US" w:eastAsia="zh-CN"/>
              </w:rPr>
              <w:t>房屋建筑</w:t>
            </w:r>
            <w:r>
              <w:rPr>
                <w:rFonts w:hint="eastAsia" w:hAnsi="宋体" w:cs="宋体"/>
                <w:color w:val="auto"/>
                <w:sz w:val="24"/>
                <w:szCs w:val="24"/>
                <w:highlight w:val="none"/>
              </w:rPr>
              <w:t>类施工总承包</w:t>
            </w:r>
            <w:r>
              <w:rPr>
                <w:rFonts w:hint="eastAsia" w:hAnsi="宋体" w:cs="宋体"/>
                <w:color w:val="auto"/>
                <w:sz w:val="24"/>
                <w:szCs w:val="24"/>
                <w:highlight w:val="none"/>
                <w:lang w:val="en-US" w:eastAsia="zh-CN"/>
              </w:rPr>
              <w:t>工程</w:t>
            </w:r>
            <w:r>
              <w:rPr>
                <w:rFonts w:hint="eastAsia" w:hAnsi="宋体" w:cs="宋体"/>
                <w:color w:val="auto"/>
                <w:sz w:val="24"/>
                <w:szCs w:val="24"/>
                <w:highlight w:val="none"/>
              </w:rPr>
              <w:t>或</w:t>
            </w:r>
            <w:r>
              <w:rPr>
                <w:rFonts w:hint="eastAsia" w:hAnsi="宋体" w:cs="宋体"/>
                <w:color w:val="auto"/>
                <w:sz w:val="24"/>
                <w:szCs w:val="24"/>
                <w:highlight w:val="none"/>
                <w:lang w:val="en-US" w:eastAsia="zh-CN"/>
              </w:rPr>
              <w:t>工程</w:t>
            </w:r>
            <w:r>
              <w:rPr>
                <w:rFonts w:hint="eastAsia" w:hAnsi="宋体" w:cs="宋体"/>
                <w:color w:val="auto"/>
                <w:sz w:val="24"/>
                <w:szCs w:val="24"/>
                <w:highlight w:val="none"/>
              </w:rPr>
              <w:t>总承包工程。</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2.需附有关业绩（仅限于以施工</w:t>
            </w:r>
            <w:r>
              <w:rPr>
                <w:rFonts w:hint="eastAsia" w:hAnsi="宋体" w:cs="宋体"/>
                <w:b w:val="0"/>
                <w:bCs w:val="0"/>
                <w:color w:val="auto"/>
                <w:sz w:val="24"/>
                <w:szCs w:val="24"/>
                <w:highlight w:val="none"/>
                <w:u w:val="single"/>
              </w:rPr>
              <w:t>总承包单位</w:t>
            </w:r>
            <w:r>
              <w:rPr>
                <w:rFonts w:hint="eastAsia" w:hAnsi="宋体" w:cs="宋体"/>
                <w:color w:val="auto"/>
                <w:sz w:val="24"/>
                <w:szCs w:val="24"/>
                <w:highlight w:val="none"/>
              </w:rPr>
              <w:t>身份参建的项目）合同协议书和竣工验收报告的彩色扫描件，</w:t>
            </w:r>
            <w:r>
              <w:rPr>
                <w:rFonts w:hint="eastAsia" w:hAnsi="宋体" w:cs="宋体"/>
                <w:b/>
                <w:bCs/>
                <w:color w:val="auto"/>
                <w:sz w:val="24"/>
                <w:szCs w:val="24"/>
                <w:highlight w:val="none"/>
              </w:rPr>
              <w:t>同时提供原件供核对</w:t>
            </w:r>
            <w:r>
              <w:rPr>
                <w:rFonts w:hint="eastAsia" w:hAnsi="宋体" w:cs="宋体"/>
                <w:color w:val="auto"/>
                <w:sz w:val="24"/>
                <w:szCs w:val="24"/>
                <w:highlight w:val="none"/>
              </w:rPr>
              <w:t>。</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．业绩时间以竣工验收报告日期为准。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default"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 xml:space="preserve">．任一业绩有以下情形之一的，该业绩视为无效，不予计分： </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①未提供业绩证明材料原件的； </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②业绩不属于类似工程的； </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③不是以指定身份参建的； </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④业绩时间不符合要求的； </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ascii="宋体" w:hAnsi="宋体" w:eastAsia="宋体" w:cs="宋体"/>
                <w:color w:val="auto"/>
                <w:sz w:val="24"/>
                <w:szCs w:val="24"/>
                <w:highlight w:val="none"/>
                <w:lang w:val="en-US" w:eastAsia="zh-CN"/>
              </w:rPr>
              <w:t>⑤业绩未竣工验收的。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jc w:val="center"/>
        </w:trPr>
        <w:tc>
          <w:tcPr>
            <w:tcW w:w="1491"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Ansi="宋体" w:cs="宋体"/>
                <w:color w:val="auto"/>
                <w:sz w:val="24"/>
                <w:szCs w:val="24"/>
                <w:highlight w:val="none"/>
              </w:rPr>
            </w:pPr>
            <w:r>
              <w:rPr>
                <w:rFonts w:hint="eastAsia" w:hAnsi="宋体" w:cs="宋体"/>
                <w:color w:val="auto"/>
                <w:sz w:val="24"/>
                <w:szCs w:val="24"/>
                <w:highlight w:val="none"/>
              </w:rPr>
              <w:t>企业银行资信评级</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（5分）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（组成联合体投标的由联合体牵头人提供）</w:t>
            </w: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1.银行资信评级AAA的，得5分；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2.银行资信评级AA（含AA＋、AA－）的，得</w:t>
            </w:r>
            <w:r>
              <w:rPr>
                <w:rFonts w:hAnsi="宋体" w:cs="宋体"/>
                <w:color w:val="auto"/>
                <w:sz w:val="24"/>
                <w:szCs w:val="24"/>
                <w:highlight w:val="none"/>
              </w:rPr>
              <w:t>4</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3.银行资信评级A（含A＋、A－）的，得</w:t>
            </w:r>
            <w:r>
              <w:rPr>
                <w:rFonts w:hAnsi="宋体" w:cs="宋体"/>
                <w:color w:val="auto"/>
                <w:sz w:val="24"/>
                <w:szCs w:val="24"/>
                <w:highlight w:val="none"/>
              </w:rPr>
              <w:t>2</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eastAsia="宋体" w:cs="宋体"/>
                <w:color w:val="auto"/>
                <w:sz w:val="24"/>
                <w:szCs w:val="24"/>
                <w:highlight w:val="none"/>
                <w:lang w:val="en-US" w:eastAsia="zh-CN"/>
              </w:rPr>
            </w:pPr>
            <w:r>
              <w:rPr>
                <w:rFonts w:hint="eastAsia" w:hAnsi="宋体" w:cs="宋体"/>
                <w:color w:val="auto"/>
                <w:sz w:val="24"/>
                <w:szCs w:val="24"/>
                <w:highlight w:val="none"/>
              </w:rPr>
              <w:t>4.未获得过以上评级的，或评级证书无效的，不予计分。</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1.需附在有效期内的资信评级证书（证明）彩色扫描件，</w:t>
            </w:r>
            <w:r>
              <w:rPr>
                <w:rFonts w:hint="eastAsia" w:hAnsi="宋体" w:cs="宋体"/>
                <w:b/>
                <w:bCs/>
                <w:color w:val="auto"/>
                <w:sz w:val="24"/>
                <w:szCs w:val="24"/>
                <w:highlight w:val="none"/>
              </w:rPr>
              <w:t>同时提供原件供核对</w:t>
            </w:r>
            <w:r>
              <w:rPr>
                <w:rFonts w:hint="eastAsia" w:hAnsi="宋体" w:cs="宋体"/>
                <w:color w:val="auto"/>
                <w:sz w:val="24"/>
                <w:szCs w:val="24"/>
                <w:highlight w:val="none"/>
              </w:rPr>
              <w:t>（证书为电子证书的除外）。</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 xml:space="preserve">2.评级证书（证明）须由 </w:t>
            </w:r>
            <w:r>
              <w:rPr>
                <w:rFonts w:hint="eastAsia" w:hAnsi="宋体" w:cs="宋体"/>
                <w:color w:val="auto"/>
                <w:sz w:val="24"/>
                <w:szCs w:val="24"/>
                <w:highlight w:val="none"/>
                <w:u w:val="single"/>
              </w:rPr>
              <w:t>企业基本账户开户银行</w:t>
            </w:r>
            <w:r>
              <w:rPr>
                <w:rFonts w:hint="eastAsia" w:hAnsi="宋体" w:cs="宋体"/>
                <w:color w:val="auto"/>
                <w:sz w:val="24"/>
                <w:szCs w:val="24"/>
                <w:highlight w:val="none"/>
              </w:rPr>
              <w:t xml:space="preserve"> 出具。</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3.评级证书（证明）有以下情形之一的，视为无效：</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①未提供评级证书（证明）原件的；</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②评级证书（证明）不在有效期内的；</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③出具机构不符合要求的。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491"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Ansi="宋体" w:cs="宋体"/>
                <w:color w:val="auto"/>
                <w:sz w:val="24"/>
                <w:szCs w:val="24"/>
                <w:highlight w:val="none"/>
              </w:rPr>
            </w:pPr>
            <w:r>
              <w:rPr>
                <w:rFonts w:hint="eastAsia" w:hAnsi="宋体" w:cs="宋体"/>
                <w:color w:val="auto"/>
                <w:sz w:val="24"/>
                <w:szCs w:val="24"/>
                <w:highlight w:val="none"/>
              </w:rPr>
              <w:t>企业管理体系认证</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w:t>
            </w:r>
            <w:r>
              <w:rPr>
                <w:rFonts w:hint="eastAsia" w:hAnsi="宋体" w:cs="宋体"/>
                <w:color w:val="auto"/>
                <w:sz w:val="24"/>
                <w:szCs w:val="24"/>
                <w:highlight w:val="none"/>
                <w:lang w:val="en-US" w:eastAsia="zh-CN"/>
              </w:rPr>
              <w:t>12</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（组成联合体投标的由联合体牵头人提供）</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p>
        </w:tc>
        <w:tc>
          <w:tcPr>
            <w:tcW w:w="3750" w:type="dxa"/>
            <w:gridSpan w:val="2"/>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jc w:val="left"/>
              <w:textAlignment w:val="baseline"/>
              <w:rPr>
                <w:rFonts w:hint="eastAsia" w:hAnsi="宋体" w:cs="宋体"/>
                <w:color w:val="auto"/>
                <w:sz w:val="24"/>
                <w:szCs w:val="24"/>
                <w:highlight w:val="none"/>
              </w:rPr>
            </w:pPr>
            <w:r>
              <w:rPr>
                <w:rFonts w:hint="eastAsia" w:hAnsi="宋体" w:cs="宋体"/>
                <w:color w:val="auto"/>
                <w:sz w:val="24"/>
                <w:szCs w:val="24"/>
                <w:highlight w:val="none"/>
              </w:rPr>
              <w:t>质量管理体系认证</w:t>
            </w:r>
            <w:r>
              <w:rPr>
                <w:rFonts w:hint="eastAsia" w:hAnsi="宋体" w:cs="宋体"/>
                <w:color w:val="auto"/>
                <w:kern w:val="0"/>
                <w:sz w:val="24"/>
                <w:szCs w:val="24"/>
                <w:highlight w:val="none"/>
              </w:rPr>
              <w:t>证书</w:t>
            </w:r>
            <w:r>
              <w:rPr>
                <w:rFonts w:hint="eastAsia" w:hAnsi="宋体" w:cs="宋体"/>
                <w:color w:val="auto"/>
                <w:sz w:val="24"/>
                <w:szCs w:val="24"/>
                <w:highlight w:val="none"/>
              </w:rPr>
              <w:t>、职业健康安全管理体系认证</w:t>
            </w:r>
            <w:r>
              <w:rPr>
                <w:rFonts w:hint="eastAsia" w:hAnsi="宋体" w:cs="宋体"/>
                <w:color w:val="auto"/>
                <w:kern w:val="0"/>
                <w:sz w:val="24"/>
                <w:szCs w:val="24"/>
                <w:highlight w:val="none"/>
              </w:rPr>
              <w:t>证书</w:t>
            </w:r>
            <w:r>
              <w:rPr>
                <w:rFonts w:hint="eastAsia" w:hAnsi="宋体" w:cs="宋体"/>
                <w:color w:val="auto"/>
                <w:sz w:val="24"/>
                <w:szCs w:val="24"/>
                <w:highlight w:val="none"/>
              </w:rPr>
              <w:t>、环境管理体系认证</w:t>
            </w:r>
            <w:r>
              <w:rPr>
                <w:rFonts w:hint="eastAsia" w:hAnsi="宋体" w:cs="宋体"/>
                <w:color w:val="auto"/>
                <w:kern w:val="0"/>
                <w:sz w:val="24"/>
                <w:szCs w:val="24"/>
                <w:highlight w:val="none"/>
              </w:rPr>
              <w:t>证书</w:t>
            </w:r>
            <w:r>
              <w:rPr>
                <w:rFonts w:hint="eastAsia" w:hAnsi="宋体" w:cs="宋体"/>
                <w:color w:val="auto"/>
                <w:sz w:val="24"/>
                <w:szCs w:val="24"/>
                <w:highlight w:val="none"/>
              </w:rPr>
              <w:t>、</w:t>
            </w:r>
            <w:r>
              <w:rPr>
                <w:rFonts w:hint="eastAsia" w:hAnsi="宋体" w:cs="宋体"/>
                <w:color w:val="auto"/>
                <w:kern w:val="0"/>
                <w:sz w:val="24"/>
                <w:szCs w:val="24"/>
                <w:highlight w:val="none"/>
              </w:rPr>
              <w:t>合规</w:t>
            </w:r>
            <w:r>
              <w:rPr>
                <w:rFonts w:hAnsi="宋体" w:cs="宋体"/>
                <w:color w:val="auto"/>
                <w:kern w:val="0"/>
                <w:sz w:val="24"/>
                <w:szCs w:val="24"/>
                <w:highlight w:val="none"/>
              </w:rPr>
              <w:t>管理</w:t>
            </w:r>
            <w:r>
              <w:rPr>
                <w:rFonts w:hint="eastAsia" w:hAnsi="宋体" w:cs="宋体"/>
                <w:color w:val="auto"/>
                <w:kern w:val="0"/>
                <w:sz w:val="24"/>
                <w:szCs w:val="24"/>
                <w:highlight w:val="none"/>
              </w:rPr>
              <w:t>体系认证证书、售后服务体系认证证书</w:t>
            </w:r>
            <w:r>
              <w:rPr>
                <w:rFonts w:hint="eastAsia" w:hAnsi="宋体" w:cs="宋体"/>
                <w:color w:val="auto"/>
                <w:sz w:val="24"/>
                <w:szCs w:val="24"/>
                <w:highlight w:val="none"/>
              </w:rPr>
              <w:t>、绿色建筑施工企业认证证书中；</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1.获得上述其中6项证书的得</w:t>
            </w:r>
            <w:r>
              <w:rPr>
                <w:rFonts w:hint="eastAsia" w:hAnsi="宋体" w:cs="宋体"/>
                <w:color w:val="auto"/>
                <w:sz w:val="24"/>
                <w:szCs w:val="24"/>
                <w:highlight w:val="none"/>
                <w:lang w:val="en-US" w:eastAsia="zh-CN"/>
              </w:rPr>
              <w:t>12</w:t>
            </w:r>
            <w:r>
              <w:rPr>
                <w:rFonts w:hint="eastAsia" w:hAnsi="宋体" w:cs="宋体"/>
                <w:color w:val="auto"/>
                <w:sz w:val="24"/>
                <w:szCs w:val="24"/>
                <w:highlight w:val="none"/>
              </w:rPr>
              <w:t>分；</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2.获得上述其中5项证书的得</w:t>
            </w:r>
            <w:r>
              <w:rPr>
                <w:rFonts w:hint="eastAsia" w:hAnsi="宋体" w:cs="宋体"/>
                <w:color w:val="auto"/>
                <w:sz w:val="24"/>
                <w:szCs w:val="24"/>
                <w:highlight w:val="none"/>
                <w:lang w:val="en-US" w:eastAsia="zh-CN"/>
              </w:rPr>
              <w:t>6</w:t>
            </w:r>
            <w:r>
              <w:rPr>
                <w:rFonts w:hint="eastAsia" w:hAnsi="宋体" w:cs="宋体"/>
                <w:color w:val="auto"/>
                <w:sz w:val="24"/>
                <w:szCs w:val="24"/>
                <w:highlight w:val="none"/>
              </w:rPr>
              <w:t>分；</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3.获得上述其中4项证书的得</w:t>
            </w:r>
            <w:r>
              <w:rPr>
                <w:rFonts w:hint="eastAsia" w:hAnsi="宋体" w:cs="宋体"/>
                <w:color w:val="auto"/>
                <w:sz w:val="24"/>
                <w:szCs w:val="24"/>
                <w:highlight w:val="none"/>
                <w:lang w:val="en-US" w:eastAsia="zh-CN"/>
              </w:rPr>
              <w:t>3</w:t>
            </w:r>
            <w:r>
              <w:rPr>
                <w:rFonts w:hint="eastAsia" w:hAnsi="宋体" w:cs="宋体"/>
                <w:color w:val="auto"/>
                <w:sz w:val="24"/>
                <w:szCs w:val="24"/>
                <w:highlight w:val="none"/>
              </w:rPr>
              <w:t>分；</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4.获得上述其中3项证书的得</w:t>
            </w:r>
            <w:r>
              <w:rPr>
                <w:rFonts w:hint="eastAsia" w:hAnsi="宋体" w:cs="宋体"/>
                <w:color w:val="auto"/>
                <w:sz w:val="24"/>
                <w:szCs w:val="24"/>
                <w:highlight w:val="none"/>
                <w:lang w:val="en-US" w:eastAsia="zh-CN"/>
              </w:rPr>
              <w:t>1</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5.其他情形的，不予计分。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6.本项最高得1</w:t>
            </w:r>
            <w:r>
              <w:rPr>
                <w:rFonts w:hint="eastAsia" w:hAnsi="宋体" w:cs="宋体"/>
                <w:color w:val="auto"/>
                <w:sz w:val="24"/>
                <w:szCs w:val="24"/>
                <w:highlight w:val="none"/>
                <w:lang w:val="en-US" w:eastAsia="zh-CN"/>
              </w:rPr>
              <w:t>2</w:t>
            </w:r>
            <w:r>
              <w:rPr>
                <w:rFonts w:hint="eastAsia" w:hAnsi="宋体" w:cs="宋体"/>
                <w:color w:val="auto"/>
                <w:sz w:val="24"/>
                <w:szCs w:val="24"/>
                <w:highlight w:val="none"/>
              </w:rPr>
              <w:t xml:space="preserve">分。 </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1.需附在有效期内的认证证书彩色扫描件，</w:t>
            </w:r>
            <w:r>
              <w:rPr>
                <w:rFonts w:hint="eastAsia" w:hAnsi="宋体" w:cs="宋体"/>
                <w:b/>
                <w:bCs/>
                <w:color w:val="auto"/>
                <w:sz w:val="24"/>
                <w:szCs w:val="24"/>
                <w:highlight w:val="none"/>
              </w:rPr>
              <w:t>同时提供原件供核对</w:t>
            </w:r>
            <w:r>
              <w:rPr>
                <w:rFonts w:hint="eastAsia" w:hAnsi="宋体" w:cs="宋体"/>
                <w:color w:val="auto"/>
                <w:sz w:val="24"/>
                <w:szCs w:val="24"/>
                <w:highlight w:val="none"/>
              </w:rPr>
              <w:t>（证书为电子证书的除外）。</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kern w:val="0"/>
                <w:sz w:val="24"/>
                <w:szCs w:val="24"/>
                <w:highlight w:val="none"/>
              </w:rPr>
            </w:pPr>
            <w:r>
              <w:rPr>
                <w:rFonts w:hint="eastAsia" w:hAnsi="宋体" w:cs="宋体"/>
                <w:color w:val="auto"/>
                <w:kern w:val="0"/>
                <w:sz w:val="24"/>
                <w:szCs w:val="24"/>
                <w:highlight w:val="none"/>
              </w:rPr>
              <w:t>2.该认证证书有以下情形之一的，视为无效，不予计分：</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kern w:val="0"/>
                <w:sz w:val="24"/>
                <w:szCs w:val="24"/>
                <w:highlight w:val="none"/>
              </w:rPr>
            </w:pPr>
            <w:r>
              <w:rPr>
                <w:rFonts w:hint="eastAsia" w:hAnsi="宋体" w:cs="宋体"/>
                <w:color w:val="auto"/>
                <w:kern w:val="0"/>
                <w:sz w:val="24"/>
                <w:szCs w:val="24"/>
                <w:highlight w:val="none"/>
              </w:rPr>
              <w:t>①未提供认证证书原件的；</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kern w:val="0"/>
                <w:sz w:val="24"/>
                <w:szCs w:val="24"/>
                <w:highlight w:val="none"/>
              </w:rPr>
              <w:t>②认证证书不在有效期内的；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491"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企业</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Ansi="宋体" w:cs="宋体"/>
                <w:color w:val="auto"/>
                <w:sz w:val="24"/>
                <w:szCs w:val="24"/>
                <w:highlight w:val="none"/>
                <w:shd w:val="clear" w:color="auto" w:fill="000000"/>
              </w:rPr>
            </w:pPr>
            <w:r>
              <w:rPr>
                <w:rFonts w:hint="eastAsia" w:hAnsi="宋体" w:cs="宋体"/>
                <w:color w:val="auto"/>
                <w:sz w:val="24"/>
                <w:szCs w:val="24"/>
                <w:highlight w:val="none"/>
              </w:rPr>
              <w:t>财务状况</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w:t>
            </w:r>
            <w:r>
              <w:rPr>
                <w:rFonts w:hint="eastAsia" w:hAnsi="宋体" w:cs="宋体"/>
                <w:color w:val="auto"/>
                <w:sz w:val="24"/>
                <w:szCs w:val="24"/>
                <w:highlight w:val="none"/>
                <w:lang w:val="en-US" w:eastAsia="zh-CN"/>
              </w:rPr>
              <w:t>8</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（组成联合体投标的由联合体牵头人提供）</w:t>
            </w:r>
          </w:p>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snapToGrid w:val="0"/>
                <w:color w:val="auto"/>
                <w:kern w:val="0"/>
                <w:sz w:val="24"/>
                <w:szCs w:val="24"/>
                <w:highlight w:val="none"/>
              </w:rPr>
            </w:pP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1.提供不少于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500</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万元银行授信证明的，得</w:t>
            </w:r>
            <w:r>
              <w:rPr>
                <w:rFonts w:hint="eastAsia" w:hAnsi="宋体" w:cs="宋体"/>
                <w:color w:val="auto"/>
                <w:sz w:val="24"/>
                <w:szCs w:val="24"/>
                <w:highlight w:val="none"/>
                <w:lang w:val="en-US" w:eastAsia="zh-CN"/>
              </w:rPr>
              <w:t>4</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2.提供投标人基本账户在本项目招标公告发布之日起至投标截止时间期间出现过至少连续3日不少于</w:t>
            </w:r>
            <w:r>
              <w:rPr>
                <w:rFonts w:hint="eastAsia" w:hAnsi="宋体" w:cs="宋体"/>
                <w:color w:val="auto"/>
                <w:sz w:val="24"/>
                <w:szCs w:val="24"/>
                <w:highlight w:val="none"/>
                <w:u w:val="single"/>
                <w:lang w:val="en-US" w:eastAsia="zh-CN"/>
              </w:rPr>
              <w:t>500</w:t>
            </w:r>
            <w:r>
              <w:rPr>
                <w:rFonts w:hint="eastAsia" w:hAnsi="宋体" w:cs="宋体"/>
                <w:color w:val="auto"/>
                <w:sz w:val="24"/>
                <w:szCs w:val="24"/>
                <w:highlight w:val="none"/>
              </w:rPr>
              <w:t>万元存款余额资金流水证明的，得</w:t>
            </w:r>
            <w:r>
              <w:rPr>
                <w:rFonts w:hint="eastAsia" w:hAnsi="宋体" w:cs="宋体"/>
                <w:color w:val="auto"/>
                <w:sz w:val="24"/>
                <w:szCs w:val="24"/>
                <w:highlight w:val="none"/>
                <w:lang w:val="en-US" w:eastAsia="zh-CN"/>
              </w:rPr>
              <w:t>4</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3.本项最高得</w:t>
            </w:r>
            <w:r>
              <w:rPr>
                <w:rFonts w:hint="eastAsia" w:hAnsi="宋体" w:cs="宋体"/>
                <w:color w:val="auto"/>
                <w:sz w:val="24"/>
                <w:szCs w:val="24"/>
                <w:highlight w:val="none"/>
                <w:lang w:val="en-US" w:eastAsia="zh-CN"/>
              </w:rPr>
              <w:t>8</w:t>
            </w:r>
            <w:r>
              <w:rPr>
                <w:rFonts w:hint="eastAsia" w:hAnsi="宋体" w:cs="宋体"/>
                <w:color w:val="auto"/>
                <w:sz w:val="24"/>
                <w:szCs w:val="24"/>
                <w:highlight w:val="none"/>
              </w:rPr>
              <w:t xml:space="preserve">分。 </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1.需附在有效期内的有关证明电子扫描件</w:t>
            </w:r>
            <w:r>
              <w:rPr>
                <w:rFonts w:hint="eastAsia" w:hAnsi="宋体" w:cs="宋体"/>
                <w:b/>
                <w:bCs/>
                <w:color w:val="auto"/>
                <w:sz w:val="24"/>
                <w:szCs w:val="24"/>
                <w:highlight w:val="none"/>
              </w:rPr>
              <w:t>。</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2.银行授信证明有以下情形之一的，视为无效，不予计分：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①授信证明不在有效期内的；</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②授信额度不符合要求的；</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3.存款余额资金流水证明有以下情形之一的，视为无效，不予计分：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①存款账户不是基本账户的；</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②存款时间不符合要求的；</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③存款额度不符合要求的。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1491" w:type="dxa"/>
            <w:vMerge w:val="restart"/>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Ansi="宋体" w:cs="宋体"/>
                <w:color w:val="auto"/>
                <w:sz w:val="24"/>
                <w:szCs w:val="24"/>
                <w:highlight w:val="none"/>
              </w:rPr>
            </w:pPr>
            <w:r>
              <w:rPr>
                <w:rFonts w:hint="eastAsia" w:hAnsi="宋体" w:cs="宋体"/>
                <w:color w:val="auto"/>
                <w:sz w:val="24"/>
                <w:szCs w:val="24"/>
                <w:highlight w:val="none"/>
              </w:rPr>
              <w:t>招标人</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Ansi="宋体" w:cs="宋体"/>
                <w:color w:val="auto"/>
                <w:sz w:val="24"/>
                <w:szCs w:val="24"/>
                <w:highlight w:val="none"/>
                <w:shd w:val="clear" w:color="auto" w:fill="000000"/>
              </w:rPr>
            </w:pPr>
            <w:r>
              <w:rPr>
                <w:rFonts w:hint="eastAsia" w:hAnsi="宋体" w:cs="宋体"/>
                <w:color w:val="auto"/>
                <w:sz w:val="24"/>
                <w:szCs w:val="24"/>
                <w:highlight w:val="none"/>
              </w:rPr>
              <w:t>自选项</w:t>
            </w:r>
          </w:p>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（25分）</w:t>
            </w:r>
          </w:p>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（组成联合体投标的由联合体牵头人提供）</w:t>
            </w: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default" w:hAnsi="宋体" w:eastAsia="宋体" w:cs="宋体"/>
                <w:color w:val="auto"/>
                <w:sz w:val="24"/>
                <w:szCs w:val="24"/>
                <w:highlight w:val="none"/>
                <w:lang w:val="en-US" w:eastAsia="zh-CN"/>
              </w:rPr>
            </w:pPr>
            <w:r>
              <w:rPr>
                <w:rFonts w:hint="eastAsia" w:hAnsi="宋体" w:cs="宋体"/>
                <w:color w:val="auto"/>
                <w:sz w:val="24"/>
                <w:szCs w:val="24"/>
                <w:highlight w:val="none"/>
              </w:rPr>
              <w:t>企业2020年度至2024年度连续5年获得纳税信用A级纳税人的，得5分。</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其中必须有2024年度）</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1.必须提供企业纳税信用A级纳税人证明材料（或证书）彩色扫描件及国家税务总局（或省级电子税务局）网上查询截图，否则不得分。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2.只计算投标人自身（不计算投标人的分公司、子公司及分支机构）。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jc w:val="center"/>
        </w:trPr>
        <w:tc>
          <w:tcPr>
            <w:tcW w:w="1491" w:type="dxa"/>
            <w:vMerge w:val="continue"/>
            <w:noWrap w:val="0"/>
            <w:vAlign w:val="center"/>
          </w:tcPr>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snapToGrid w:val="0"/>
                <w:color w:val="auto"/>
                <w:kern w:val="0"/>
                <w:sz w:val="24"/>
                <w:szCs w:val="24"/>
                <w:highlight w:val="none"/>
                <w:lang w:bidi="ar"/>
              </w:rPr>
            </w:pP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投标人近年度（202</w:t>
            </w:r>
            <w:r>
              <w:rPr>
                <w:rFonts w:hint="eastAsia" w:hAnsi="宋体" w:eastAsia="宋体" w:cs="宋体"/>
                <w:color w:val="auto"/>
                <w:sz w:val="24"/>
                <w:szCs w:val="24"/>
                <w:highlight w:val="none"/>
                <w:lang w:val="en-US" w:eastAsia="zh-CN"/>
              </w:rPr>
              <w:t>3</w:t>
            </w:r>
            <w:r>
              <w:rPr>
                <w:rFonts w:hint="eastAsia" w:hAnsi="宋体" w:cs="宋体"/>
                <w:color w:val="auto"/>
                <w:sz w:val="24"/>
                <w:szCs w:val="24"/>
                <w:highlight w:val="none"/>
              </w:rPr>
              <w:t>年度~至今）参与了</w:t>
            </w:r>
            <w:r>
              <w:rPr>
                <w:rFonts w:hint="eastAsia" w:hAnsi="宋体" w:cs="宋体"/>
                <w:color w:val="auto"/>
                <w:sz w:val="24"/>
                <w:szCs w:val="24"/>
                <w:highlight w:val="none"/>
                <w:lang w:val="en-US" w:eastAsia="zh-CN"/>
              </w:rPr>
              <w:t>本</w:t>
            </w:r>
            <w:r>
              <w:rPr>
                <w:rFonts w:hint="eastAsia" w:hAnsi="宋体" w:cs="宋体"/>
                <w:color w:val="auto"/>
                <w:sz w:val="24"/>
                <w:szCs w:val="24"/>
                <w:highlight w:val="none"/>
              </w:rPr>
              <w:t xml:space="preserve">项目所在地的结对帮扶“百千万工程”等 典型项目： </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1．纯公益帮扶项目已完工，大于20万元</w:t>
            </w:r>
            <w:r>
              <w:rPr>
                <w:rFonts w:hint="eastAsia" w:hAnsi="宋体" w:eastAsia="宋体" w:cs="宋体"/>
                <w:color w:val="auto"/>
                <w:sz w:val="24"/>
                <w:szCs w:val="24"/>
                <w:highlight w:val="none"/>
                <w:lang w:eastAsia="zh-CN"/>
              </w:rPr>
              <w:t>（</w:t>
            </w:r>
            <w:r>
              <w:rPr>
                <w:rFonts w:hint="eastAsia" w:hAnsi="宋体" w:eastAsia="宋体" w:cs="宋体"/>
                <w:color w:val="auto"/>
                <w:sz w:val="24"/>
                <w:szCs w:val="24"/>
                <w:highlight w:val="none"/>
                <w:lang w:val="en-US" w:eastAsia="zh-CN"/>
              </w:rPr>
              <w:t>含）</w:t>
            </w:r>
            <w:r>
              <w:rPr>
                <w:rFonts w:hint="eastAsia" w:hAnsi="宋体" w:cs="宋体"/>
                <w:color w:val="auto"/>
                <w:sz w:val="24"/>
                <w:szCs w:val="24"/>
                <w:highlight w:val="none"/>
              </w:rPr>
              <w:t>以上的得</w:t>
            </w:r>
            <w:r>
              <w:rPr>
                <w:rFonts w:hint="eastAsia" w:hAnsi="宋体" w:eastAsia="宋体" w:cs="宋体"/>
                <w:color w:val="auto"/>
                <w:sz w:val="24"/>
                <w:szCs w:val="24"/>
                <w:highlight w:val="none"/>
                <w:lang w:val="en-US" w:eastAsia="zh-CN"/>
              </w:rPr>
              <w:t>8</w:t>
            </w:r>
            <w:r>
              <w:rPr>
                <w:rFonts w:hint="eastAsia" w:hAnsi="宋体" w:cs="宋体"/>
                <w:color w:val="auto"/>
                <w:sz w:val="24"/>
                <w:szCs w:val="24"/>
                <w:highlight w:val="none"/>
              </w:rPr>
              <w:t xml:space="preserve">分； </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2．帮扶项目已完工，大于1万元、小于</w:t>
            </w:r>
            <w:r>
              <w:rPr>
                <w:rFonts w:hint="eastAsia" w:hAnsi="宋体" w:eastAsia="宋体" w:cs="宋体"/>
                <w:color w:val="auto"/>
                <w:sz w:val="24"/>
                <w:szCs w:val="24"/>
                <w:highlight w:val="none"/>
                <w:lang w:val="en-US" w:eastAsia="zh-CN"/>
              </w:rPr>
              <w:t>2</w:t>
            </w:r>
            <w:r>
              <w:rPr>
                <w:rFonts w:hint="eastAsia" w:hAnsi="宋体" w:cs="宋体"/>
                <w:color w:val="auto"/>
                <w:sz w:val="24"/>
                <w:szCs w:val="24"/>
                <w:highlight w:val="none"/>
              </w:rPr>
              <w:t>0万元的得</w:t>
            </w:r>
            <w:r>
              <w:rPr>
                <w:rFonts w:hint="eastAsia" w:hAnsi="宋体" w:eastAsia="宋体" w:cs="宋体"/>
                <w:color w:val="auto"/>
                <w:sz w:val="24"/>
                <w:szCs w:val="24"/>
                <w:highlight w:val="none"/>
                <w:lang w:val="en-US" w:eastAsia="zh-CN"/>
              </w:rPr>
              <w:t>3</w:t>
            </w:r>
            <w:r>
              <w:rPr>
                <w:rFonts w:hint="eastAsia" w:hAnsi="宋体" w:cs="宋体"/>
                <w:color w:val="auto"/>
                <w:sz w:val="24"/>
                <w:szCs w:val="24"/>
                <w:highlight w:val="none"/>
              </w:rPr>
              <w:t xml:space="preserve">分； </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3.其他情形的，不予计分。</w:t>
            </w:r>
          </w:p>
        </w:tc>
        <w:tc>
          <w:tcPr>
            <w:tcW w:w="5117" w:type="dxa"/>
            <w:noWrap w:val="0"/>
            <w:vAlign w:val="center"/>
          </w:tcPr>
          <w:p>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1</w:t>
            </w:r>
            <w:r>
              <w:rPr>
                <w:rFonts w:hint="eastAsia" w:hAnsi="宋体" w:eastAsia="宋体" w:cs="宋体"/>
                <w:color w:val="auto"/>
                <w:sz w:val="24"/>
                <w:szCs w:val="24"/>
                <w:highlight w:val="none"/>
                <w:lang w:val="en-US" w:eastAsia="zh-CN"/>
              </w:rPr>
              <w:t>.</w:t>
            </w:r>
            <w:r>
              <w:rPr>
                <w:rFonts w:hint="eastAsia" w:hAnsi="宋体" w:cs="宋体"/>
                <w:color w:val="auto"/>
                <w:sz w:val="24"/>
                <w:szCs w:val="24"/>
                <w:highlight w:val="none"/>
              </w:rPr>
              <w:t>需提交结对帮扶项目已录入“全省百千万工程”建筑业企业与乡镇结对帮扶项目信息库</w:t>
            </w:r>
            <w:r>
              <w:rPr>
                <w:rFonts w:hint="eastAsia" w:hAnsi="宋体" w:cs="宋体"/>
                <w:color w:val="auto"/>
                <w:sz w:val="24"/>
                <w:szCs w:val="24"/>
                <w:highlight w:val="none"/>
                <w:lang w:val="en-US" w:eastAsia="zh-CN"/>
              </w:rPr>
              <w:t>的证明</w:t>
            </w:r>
            <w:r>
              <w:rPr>
                <w:rFonts w:hint="eastAsia" w:hAnsi="宋体" w:cs="宋体"/>
                <w:color w:val="auto"/>
                <w:sz w:val="24"/>
                <w:szCs w:val="24"/>
                <w:highlight w:val="none"/>
              </w:rPr>
              <w:t xml:space="preserve">。 </w:t>
            </w:r>
          </w:p>
          <w:p>
            <w:pPr>
              <w:keepNext w:val="0"/>
              <w:keepLines w:val="0"/>
              <w:pageBreakBefore w:val="0"/>
              <w:widowControl/>
              <w:numPr>
                <w:ilvl w:val="0"/>
                <w:numId w:val="1"/>
              </w:numPr>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需要提供</w:t>
            </w:r>
            <w:r>
              <w:rPr>
                <w:rFonts w:hint="eastAsia" w:hAnsi="宋体" w:cs="宋体"/>
                <w:color w:val="auto"/>
                <w:sz w:val="24"/>
                <w:szCs w:val="24"/>
                <w:highlight w:val="none"/>
                <w:lang w:val="en-US" w:eastAsia="zh-CN"/>
              </w:rPr>
              <w:t>本项目</w:t>
            </w:r>
            <w:r>
              <w:rPr>
                <w:rFonts w:hint="eastAsia" w:hAnsi="宋体" w:cs="宋体"/>
                <w:color w:val="auto"/>
                <w:sz w:val="24"/>
                <w:szCs w:val="24"/>
                <w:highlight w:val="none"/>
              </w:rPr>
              <w:t>乡镇所在的县</w:t>
            </w:r>
            <w:r>
              <w:rPr>
                <w:rFonts w:hint="eastAsia" w:hAnsi="宋体" w:cs="宋体"/>
                <w:color w:val="auto"/>
                <w:sz w:val="24"/>
                <w:szCs w:val="24"/>
                <w:highlight w:val="none"/>
                <w:lang w:val="en-US" w:eastAsia="zh-CN"/>
              </w:rPr>
              <w:t>级</w:t>
            </w:r>
            <w:r>
              <w:rPr>
                <w:rFonts w:hint="eastAsia" w:hAnsi="宋体" w:cs="宋体"/>
                <w:color w:val="auto"/>
                <w:sz w:val="24"/>
                <w:szCs w:val="24"/>
                <w:highlight w:val="none"/>
              </w:rPr>
              <w:t>建设主管部门出具的帮扶证明（需提供原件供核对），且项目已录入“全省百千万工程”建筑业企业与乡镇结对帮扶项目信息库。</w:t>
            </w:r>
          </w:p>
          <w:p>
            <w:pPr>
              <w:keepNext w:val="0"/>
              <w:keepLines w:val="0"/>
              <w:pageBreakBefore w:val="0"/>
              <w:widowControl/>
              <w:numPr>
                <w:ilvl w:val="0"/>
                <w:numId w:val="1"/>
              </w:numPr>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 xml:space="preserve">未提供原件的，颁发机构、时间不符合要求的，按第 </w:t>
            </w:r>
            <w:r>
              <w:rPr>
                <w:rFonts w:hint="eastAsia" w:hAnsi="宋体" w:cs="宋体"/>
                <w:color w:val="auto"/>
                <w:sz w:val="24"/>
                <w:szCs w:val="24"/>
                <w:highlight w:val="none"/>
                <w:lang w:val="en-US" w:eastAsia="zh-CN"/>
              </w:rPr>
              <w:t>3</w:t>
            </w:r>
            <w:r>
              <w:rPr>
                <w:rFonts w:hint="eastAsia" w:hAnsi="宋体" w:cs="宋体"/>
                <w:color w:val="auto"/>
                <w:sz w:val="24"/>
                <w:szCs w:val="24"/>
                <w:highlight w:val="none"/>
              </w:rPr>
              <w:t xml:space="preserve"> 项标准处理</w:t>
            </w:r>
            <w:r>
              <w:rPr>
                <w:rFonts w:hint="eastAsia" w:hAnsi="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491" w:type="dxa"/>
            <w:vMerge w:val="continue"/>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snapToGrid w:val="0"/>
                <w:color w:val="auto"/>
                <w:kern w:val="0"/>
                <w:sz w:val="24"/>
                <w:szCs w:val="24"/>
                <w:highlight w:val="none"/>
              </w:rPr>
            </w:pPr>
          </w:p>
        </w:tc>
        <w:tc>
          <w:tcPr>
            <w:tcW w:w="3750" w:type="dxa"/>
            <w:gridSpan w:val="2"/>
            <w:noWrap w:val="0"/>
            <w:vAlign w:val="center"/>
          </w:tcPr>
          <w:p>
            <w:pPr>
              <w:keepNext w:val="0"/>
              <w:keepLines w:val="0"/>
              <w:pageBreakBefore w:val="0"/>
              <w:widowControl/>
              <w:numPr>
                <w:ilvl w:val="0"/>
                <w:numId w:val="2"/>
              </w:numPr>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投标人从2022年1月1日至今获得过县（市、区）建设主管部门颁发的“百千万工程”工作相关表扬信的，得5分，满分得5分。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Ansi="宋体" w:cs="宋体"/>
                <w:color w:val="auto"/>
                <w:sz w:val="24"/>
                <w:szCs w:val="24"/>
                <w:highlight w:val="none"/>
              </w:rPr>
              <w:t>2</w:t>
            </w:r>
            <w:r>
              <w:rPr>
                <w:rFonts w:hint="eastAsia" w:hAnsi="宋体" w:cs="宋体"/>
                <w:color w:val="auto"/>
                <w:sz w:val="24"/>
                <w:szCs w:val="24"/>
                <w:highlight w:val="none"/>
              </w:rPr>
              <w:t>．其他情形的，不予计分。</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1．须提供有关证书彩色扫描件，</w:t>
            </w:r>
            <w:r>
              <w:rPr>
                <w:rFonts w:hint="eastAsia" w:hAnsi="宋体" w:cs="宋体"/>
                <w:b/>
                <w:bCs/>
                <w:color w:val="auto"/>
                <w:sz w:val="24"/>
                <w:szCs w:val="24"/>
                <w:highlight w:val="none"/>
              </w:rPr>
              <w:t>同时提供原件供核对</w:t>
            </w:r>
            <w:r>
              <w:rPr>
                <w:rFonts w:hint="eastAsia" w:hAnsi="宋体" w:cs="宋体"/>
                <w:color w:val="auto"/>
                <w:sz w:val="24"/>
                <w:szCs w:val="24"/>
                <w:highlight w:val="none"/>
              </w:rPr>
              <w:t>。（证书为电子证书的除外）</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eastAsia="宋体" w:cs="宋体"/>
                <w:color w:val="auto"/>
                <w:sz w:val="24"/>
                <w:szCs w:val="24"/>
                <w:highlight w:val="none"/>
                <w:lang w:eastAsia="zh-CN"/>
              </w:rPr>
            </w:pPr>
            <w:r>
              <w:rPr>
                <w:rFonts w:hint="eastAsia" w:hAnsi="宋体" w:cs="宋体"/>
                <w:color w:val="auto"/>
                <w:sz w:val="24"/>
                <w:szCs w:val="24"/>
                <w:highlight w:val="none"/>
              </w:rPr>
              <w:t>2．未提供原件的，颁发机构、时间不符合要求的，按第 2 项标准处理</w:t>
            </w:r>
            <w:r>
              <w:rPr>
                <w:rFonts w:hint="eastAsia"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1491" w:type="dxa"/>
            <w:vMerge w:val="continue"/>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snapToGrid w:val="0"/>
                <w:color w:val="auto"/>
                <w:kern w:val="0"/>
                <w:sz w:val="24"/>
                <w:szCs w:val="24"/>
                <w:highlight w:val="none"/>
              </w:rPr>
            </w:pP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Ansi="宋体" w:cs="宋体"/>
                <w:color w:val="auto"/>
                <w:sz w:val="24"/>
                <w:szCs w:val="24"/>
                <w:highlight w:val="none"/>
              </w:rPr>
              <w:t>1</w:t>
            </w:r>
            <w:r>
              <w:rPr>
                <w:rFonts w:hint="eastAsia" w:hAnsi="宋体" w:cs="宋体"/>
                <w:color w:val="auto"/>
                <w:sz w:val="24"/>
                <w:szCs w:val="24"/>
                <w:highlight w:val="none"/>
              </w:rPr>
              <w:t>．企业近年度（2023年度</w:t>
            </w:r>
            <w:r>
              <w:rPr>
                <w:rFonts w:hAnsi="宋体" w:cs="宋体"/>
                <w:color w:val="auto"/>
                <w:sz w:val="24"/>
                <w:szCs w:val="24"/>
                <w:highlight w:val="none"/>
              </w:rPr>
              <w:t>~</w:t>
            </w:r>
            <w:r>
              <w:rPr>
                <w:rFonts w:hint="eastAsia" w:hAnsi="宋体" w:cs="宋体"/>
                <w:color w:val="auto"/>
                <w:sz w:val="24"/>
                <w:szCs w:val="24"/>
                <w:highlight w:val="none"/>
              </w:rPr>
              <w:t>至今）获得过县（市、区）级行政主管部门或以上人民政府、人民武装部颁发的“民兵建设先进单位（或企业）”证书的得</w:t>
            </w:r>
            <w:r>
              <w:rPr>
                <w:rFonts w:hint="eastAsia" w:hAnsi="宋体" w:eastAsia="宋体" w:cs="宋体"/>
                <w:color w:val="auto"/>
                <w:sz w:val="24"/>
                <w:szCs w:val="24"/>
                <w:highlight w:val="none"/>
                <w:lang w:val="en-US" w:eastAsia="zh-CN"/>
              </w:rPr>
              <w:t>5</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Ansi="宋体" w:cs="宋体"/>
                <w:color w:val="auto"/>
                <w:sz w:val="24"/>
                <w:szCs w:val="24"/>
                <w:highlight w:val="none"/>
              </w:rPr>
              <w:t>2</w:t>
            </w:r>
            <w:r>
              <w:rPr>
                <w:rFonts w:hint="eastAsia" w:hAnsi="宋体" w:cs="宋体"/>
                <w:color w:val="auto"/>
                <w:sz w:val="24"/>
                <w:szCs w:val="24"/>
                <w:highlight w:val="none"/>
              </w:rPr>
              <w:t>．其他情形的，不予计分。</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Ansi="宋体" w:cs="宋体"/>
                <w:color w:val="auto"/>
                <w:sz w:val="24"/>
                <w:szCs w:val="24"/>
                <w:highlight w:val="none"/>
              </w:rPr>
              <w:t>1</w:t>
            </w:r>
            <w:r>
              <w:rPr>
                <w:rFonts w:hint="eastAsia" w:hAnsi="宋体" w:cs="宋体"/>
                <w:color w:val="auto"/>
                <w:sz w:val="24"/>
                <w:szCs w:val="24"/>
                <w:highlight w:val="none"/>
              </w:rPr>
              <w:t>．须提供有关证书彩色扫描件，</w:t>
            </w:r>
            <w:r>
              <w:rPr>
                <w:rFonts w:hint="eastAsia" w:hAnsi="宋体" w:cs="宋体"/>
                <w:b/>
                <w:bCs/>
                <w:color w:val="auto"/>
                <w:sz w:val="24"/>
                <w:szCs w:val="24"/>
                <w:highlight w:val="none"/>
              </w:rPr>
              <w:t>同时提供原件供核对</w:t>
            </w:r>
            <w:r>
              <w:rPr>
                <w:rFonts w:hint="eastAsia" w:hAnsi="宋体" w:cs="宋体"/>
                <w:color w:val="auto"/>
                <w:sz w:val="24"/>
                <w:szCs w:val="24"/>
                <w:highlight w:val="none"/>
              </w:rPr>
              <w:t xml:space="preserve">。（证书为电子证书的除外） </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Ansi="宋体" w:cs="宋体"/>
                <w:color w:val="auto"/>
                <w:sz w:val="24"/>
                <w:szCs w:val="24"/>
                <w:highlight w:val="none"/>
              </w:rPr>
              <w:t>2</w:t>
            </w:r>
            <w:r>
              <w:rPr>
                <w:rFonts w:hint="eastAsia" w:hAnsi="宋体" w:cs="宋体"/>
                <w:color w:val="auto"/>
                <w:sz w:val="24"/>
                <w:szCs w:val="24"/>
                <w:highlight w:val="none"/>
              </w:rPr>
              <w:t xml:space="preserve">．未提供原件的，颁发机构、时间不符合要求的，按第 </w:t>
            </w:r>
            <w:r>
              <w:rPr>
                <w:rFonts w:hAnsi="宋体" w:cs="宋体"/>
                <w:color w:val="auto"/>
                <w:sz w:val="24"/>
                <w:szCs w:val="24"/>
                <w:highlight w:val="none"/>
              </w:rPr>
              <w:t xml:space="preserve">2 </w:t>
            </w:r>
            <w:r>
              <w:rPr>
                <w:rFonts w:hint="eastAsia" w:hAnsi="宋体" w:cs="宋体"/>
                <w:color w:val="auto"/>
                <w:sz w:val="24"/>
                <w:szCs w:val="24"/>
                <w:highlight w:val="none"/>
              </w:rPr>
              <w:t>项标准处理。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jc w:val="center"/>
        </w:trPr>
        <w:tc>
          <w:tcPr>
            <w:tcW w:w="1491" w:type="dxa"/>
            <w:vMerge w:val="continue"/>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1.投标人从2023年1月1日至今获得过“省级或以上</w:t>
            </w:r>
            <w:r>
              <w:rPr>
                <w:rFonts w:hint="eastAsia" w:hAnsi="宋体" w:cs="宋体"/>
                <w:color w:val="auto"/>
                <w:sz w:val="24"/>
                <w:szCs w:val="24"/>
                <w:highlight w:val="none"/>
                <w:lang w:val="en-US" w:eastAsia="zh-CN"/>
              </w:rPr>
              <w:t>建筑业</w:t>
            </w:r>
            <w:r>
              <w:rPr>
                <w:rFonts w:hint="eastAsia" w:hAnsi="宋体" w:cs="宋体"/>
                <w:color w:val="auto"/>
                <w:sz w:val="24"/>
                <w:szCs w:val="24"/>
                <w:highlight w:val="none"/>
              </w:rPr>
              <w:t>行业协会”颁发的企业信用等级</w:t>
            </w:r>
            <w:r>
              <w:rPr>
                <w:rFonts w:hint="eastAsia" w:hAnsi="宋体" w:cs="宋体"/>
                <w:color w:val="auto"/>
                <w:sz w:val="24"/>
                <w:szCs w:val="24"/>
                <w:highlight w:val="none"/>
                <w:lang w:val="en-US" w:eastAsia="zh-CN"/>
              </w:rPr>
              <w:t>证书</w:t>
            </w:r>
            <w:r>
              <w:rPr>
                <w:rFonts w:hint="eastAsia" w:hAnsi="宋体" w:cs="宋体"/>
                <w:color w:val="auto"/>
                <w:sz w:val="24"/>
                <w:szCs w:val="24"/>
                <w:highlight w:val="none"/>
              </w:rPr>
              <w:t>AA级或以上的，得</w:t>
            </w:r>
            <w:r>
              <w:rPr>
                <w:rFonts w:hint="eastAsia" w:hAnsi="宋体" w:eastAsia="宋体" w:cs="宋体"/>
                <w:color w:val="auto"/>
                <w:sz w:val="24"/>
                <w:szCs w:val="24"/>
                <w:highlight w:val="none"/>
                <w:lang w:val="en-US" w:eastAsia="zh-CN"/>
              </w:rPr>
              <w:t>2</w:t>
            </w:r>
            <w:r>
              <w:rPr>
                <w:rFonts w:hint="eastAsia" w:hAnsi="宋体" w:cs="宋体"/>
                <w:color w:val="auto"/>
                <w:sz w:val="24"/>
                <w:szCs w:val="24"/>
                <w:highlight w:val="none"/>
              </w:rPr>
              <w:t>分；</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2.其他情形的，不予计分。</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1.需附省级或以上</w:t>
            </w:r>
            <w:r>
              <w:rPr>
                <w:rFonts w:hint="eastAsia" w:hAnsi="宋体" w:cs="宋体"/>
                <w:color w:val="auto"/>
                <w:sz w:val="24"/>
                <w:szCs w:val="24"/>
                <w:highlight w:val="none"/>
                <w:lang w:val="en-US" w:eastAsia="zh-CN"/>
              </w:rPr>
              <w:t>建筑业</w:t>
            </w:r>
            <w:r>
              <w:rPr>
                <w:rFonts w:hint="eastAsia" w:hAnsi="宋体" w:cs="宋体"/>
                <w:color w:val="auto"/>
                <w:sz w:val="24"/>
                <w:szCs w:val="24"/>
                <w:highlight w:val="none"/>
              </w:rPr>
              <w:t>行业协会颁发的证书彩色扫描件，</w:t>
            </w:r>
            <w:r>
              <w:rPr>
                <w:rFonts w:hint="eastAsia" w:hAnsi="宋体" w:cs="宋体"/>
                <w:b/>
                <w:bCs/>
                <w:color w:val="auto"/>
                <w:sz w:val="24"/>
                <w:szCs w:val="24"/>
                <w:highlight w:val="none"/>
              </w:rPr>
              <w:t>同时提供原件供核对</w:t>
            </w:r>
            <w:r>
              <w:rPr>
                <w:rFonts w:hint="eastAsia" w:hAnsi="宋体" w:cs="宋体"/>
                <w:color w:val="auto"/>
                <w:sz w:val="24"/>
                <w:szCs w:val="24"/>
                <w:highlight w:val="none"/>
              </w:rPr>
              <w:t>。</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 xml:space="preserve">2.未提供原件的、颁发机构、获奖时间不符合评分标准和备注规定的，按第 </w:t>
            </w:r>
            <w:r>
              <w:rPr>
                <w:rFonts w:hAnsi="宋体" w:cs="宋体"/>
                <w:color w:val="auto"/>
                <w:sz w:val="24"/>
                <w:szCs w:val="24"/>
                <w:highlight w:val="none"/>
              </w:rPr>
              <w:t xml:space="preserve">2 </w:t>
            </w:r>
            <w:r>
              <w:rPr>
                <w:rFonts w:hint="eastAsia" w:hAnsi="宋体" w:cs="宋体"/>
                <w:color w:val="auto"/>
                <w:sz w:val="24"/>
                <w:szCs w:val="24"/>
                <w:highlight w:val="none"/>
              </w:rPr>
              <w:t>项标准处理。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10358" w:type="dxa"/>
            <w:gridSpan w:val="4"/>
            <w:shd w:val="clear" w:color="auto" w:fill="D9D9D9"/>
            <w:noWrap w:val="0"/>
            <w:vAlign w:val="center"/>
          </w:tcPr>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jc w:val="left"/>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技术部分（施工组织设计），满分：</w:t>
            </w:r>
            <w:r>
              <w:rPr>
                <w:rFonts w:hint="eastAsia" w:hAnsi="宋体" w:cs="宋体"/>
                <w:b/>
                <w:bCs/>
                <w:snapToGrid w:val="0"/>
                <w:color w:val="auto"/>
                <w:kern w:val="0"/>
                <w:sz w:val="24"/>
                <w:szCs w:val="24"/>
                <w:highlight w:val="none"/>
                <w:u w:val="single"/>
              </w:rPr>
              <w:t xml:space="preserve">  20  </w:t>
            </w:r>
            <w:r>
              <w:rPr>
                <w:rFonts w:hint="eastAsia" w:hAnsi="宋体" w:cs="宋体"/>
                <w:b/>
                <w:bCs/>
                <w:snapToGrid w:val="0"/>
                <w:color w:val="auto"/>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1491" w:type="dxa"/>
            <w:noWrap w:val="0"/>
            <w:vAlign w:val="center"/>
          </w:tcPr>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评分因素</w:t>
            </w:r>
          </w:p>
        </w:tc>
        <w:tc>
          <w:tcPr>
            <w:tcW w:w="3750" w:type="dxa"/>
            <w:gridSpan w:val="2"/>
            <w:noWrap w:val="0"/>
            <w:vAlign w:val="center"/>
          </w:tcPr>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评分标准</w:t>
            </w:r>
          </w:p>
        </w:tc>
        <w:tc>
          <w:tcPr>
            <w:tcW w:w="5117" w:type="dxa"/>
            <w:noWrap w:val="0"/>
            <w:vAlign w:val="center"/>
          </w:tcPr>
          <w:p>
            <w:pPr>
              <w:pStyle w:val="5"/>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1"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总体概述</w:t>
            </w:r>
          </w:p>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（3分）</w:t>
            </w:r>
          </w:p>
        </w:tc>
        <w:tc>
          <w:tcPr>
            <w:tcW w:w="3750" w:type="dxa"/>
            <w:gridSpan w:val="2"/>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【优】得该项评分因素分值的90%～100%（含90%）。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【良】得该项评分因素分值的80%～90%（含80%）。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【中】得该项评分因素分值的70%～80%（含70%）。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【差】得该项评分因素分值的60～70%（含60%）。</w:t>
            </w:r>
          </w:p>
        </w:tc>
        <w:tc>
          <w:tcPr>
            <w:tcW w:w="5117"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【优】对项目总体有深刻认识，表述清晰、完整、严谨、合理，措施先进、具体、有效、成熟，采用了新技术、新工艺、新材料、新设备；施工段划分呼应总体表述，划分清晰、合理，符合规范要求。</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【良】对项目总体有一定认识，表述清晰、完整，措施具体有效；施工段划分呼应总体表述，划分清晰，符合规范要求。</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【中】对项目总体有认识，有一定的措施但部分不具体；施工段划分较合理，符合规范要求。</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【差】对项目认识不足，表述不清晰，措施不具体；施工段划分不合理。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491"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施工总进度计划及保证措施</w:t>
            </w:r>
          </w:p>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（3分）</w:t>
            </w:r>
          </w:p>
        </w:tc>
        <w:tc>
          <w:tcPr>
            <w:tcW w:w="3750" w:type="dxa"/>
            <w:gridSpan w:val="2"/>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【优】得该项评分因素分值的90%～100%（含90%）。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【良】得该项评分因素分值的80%～90%（含80%）。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【中】得该项评分因素分值的70%～80%（含70%）。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【差】得该项评分因素分值的60～70%（含60%）。</w:t>
            </w:r>
          </w:p>
        </w:tc>
        <w:tc>
          <w:tcPr>
            <w:tcW w:w="5117"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【差】关键线路不准确，计划编制不合理。关键节点的控制不可行。人、材、机需求和进场计划与进度计划不相呼应，不能满足施工需要。没有违约责任承诺。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jc w:val="center"/>
        </w:trPr>
        <w:tc>
          <w:tcPr>
            <w:tcW w:w="1491"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质量保证措施</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（4分）</w:t>
            </w: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【优】得该项评分因素分值的90%～100%（含90%）。</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【良】得该项评分因素分值的80%～90%（含80%）。</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【中】得该项评分因素分值的70%～80%（含70%）。</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【差】得该项评分因素分值的60～70%（含60%）。</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【优】应用新技术、新工艺、新材料、新设备，针对项目实际提出先进、可行、具体的保证措施。超过招标文件的质量要求。</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【良】针对项目实际提出先进、可行、具体的保证措施。满足招标文件的质量要求。</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【中】具体措施可行。满足招标文件的质量要求。</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【差】措施不可行，没有质量违约责任承诺。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1"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施工技术措施</w:t>
            </w:r>
          </w:p>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（2分）</w:t>
            </w:r>
          </w:p>
        </w:tc>
        <w:tc>
          <w:tcPr>
            <w:tcW w:w="3750" w:type="dxa"/>
            <w:gridSpan w:val="2"/>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【优】得该项评分因素分值的90%～100%（含90%）。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【良】得该项评分因素分值的80%～90%（含80%）。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【中】得该项评分因素分值的70%～80%（含70%）。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【差】得该项评分因素分值的60～70%（含60%）。</w:t>
            </w:r>
          </w:p>
        </w:tc>
        <w:tc>
          <w:tcPr>
            <w:tcW w:w="5117"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【差】对项目关键技术有表述，对重点、难点有建议，解决方案不可行。采用的新技术针对性不强或验证材料不可靠，对节约投资、工期没有具体收益。无违约责任承诺。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1491"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绿色施工、安全防护、文明施工措施计划</w:t>
            </w:r>
          </w:p>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（3分）</w:t>
            </w:r>
          </w:p>
        </w:tc>
        <w:tc>
          <w:tcPr>
            <w:tcW w:w="3750" w:type="dxa"/>
            <w:gridSpan w:val="2"/>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【优】得该项评分因素分值的90%～100%（含90%）。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【良】得该项评分因素分值的80%～90%（含80%）。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【中】得该项评分因素分值的70%～80%（含70%）。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【差】得该项评分因素分值的60～70%（含60%）。</w:t>
            </w:r>
          </w:p>
        </w:tc>
        <w:tc>
          <w:tcPr>
            <w:tcW w:w="5117"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【优】针对项目实际情况，有先进、具体、完整、可行的措施，采用规范准确、清晰。</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【良】针对项目实际情况，有合理的措施且具体、完整，采用规范准确。</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【中】有基本合理的措施，采用规范准确。</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【差】措施不力，采用规范不正确。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6" w:hRule="atLeast"/>
          <w:jc w:val="center"/>
        </w:trPr>
        <w:tc>
          <w:tcPr>
            <w:tcW w:w="1491"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施工平面布置和临时设施布置</w:t>
            </w:r>
          </w:p>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（2分）</w:t>
            </w:r>
          </w:p>
        </w:tc>
        <w:tc>
          <w:tcPr>
            <w:tcW w:w="3750" w:type="dxa"/>
            <w:gridSpan w:val="2"/>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【优】得该项评分因素分值的90%～100%（含90%）。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【良】得该项评分因素分值的80%～90%（含80%）。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【中】得该项评分因素分值的70%～80%（含70%）。</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【差】得该项评分因素分值的60～70%（含60%）。</w:t>
            </w:r>
          </w:p>
        </w:tc>
        <w:tc>
          <w:tcPr>
            <w:tcW w:w="5117" w:type="dxa"/>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【优】总体布置有针对性、合理，较好满足施工需要，符合绿色施工、安全防护、文明施工要求。</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【良】总体布置合理，能满足施工需要，基本符合绿色施工、安全防护、文明施工要求。</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【中】总体布置基本合理，基本满足施工需要。</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【差】总体布置不合理，不符合绿色施工、安全防护、文明施工要求。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jc w:val="center"/>
        </w:trPr>
        <w:tc>
          <w:tcPr>
            <w:tcW w:w="1491"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项目管理机构</w:t>
            </w:r>
          </w:p>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（3分）</w:t>
            </w:r>
          </w:p>
        </w:tc>
        <w:tc>
          <w:tcPr>
            <w:tcW w:w="3750"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【优】得该项评分因素分值的90%～100%（含90%）。</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【良】得该项评分因素分值的80%～90%（含80%）。</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【中】得该项评分因素分值的70%～80%（含70%）。</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【差】得该项评分因素分值的60～70%（含60%）。</w:t>
            </w:r>
          </w:p>
        </w:tc>
        <w:tc>
          <w:tcPr>
            <w:tcW w:w="5117" w:type="dxa"/>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优】组织机构形式合理，有完善的指挥系统，生产及质量、绿色施工、安全、文明施工、创优达标监控系统、联络协调系统，项目管理人员内高级职称人员20%（含20%）以上、中级职称人员及以上职称60%（含60%）以上。</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良】组织机构形式合理，指挥系统，生产及质量、绿色施工、安全、文明施工、创优达标监控系统、联络协调系统齐全，项目管理人员内高级职称人员15%～20%（含15%）、中级职称及以上职称人员50%～60%（含50%）。</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Ansi="宋体" w:cs="宋体"/>
                <w:color w:val="auto"/>
                <w:sz w:val="24"/>
                <w:szCs w:val="24"/>
                <w:highlight w:val="none"/>
              </w:rPr>
            </w:pPr>
            <w:r>
              <w:rPr>
                <w:rFonts w:hint="eastAsia" w:hAnsi="宋体" w:cs="宋体"/>
                <w:color w:val="auto"/>
                <w:sz w:val="24"/>
                <w:szCs w:val="24"/>
                <w:highlight w:val="none"/>
              </w:rPr>
              <w:t>【中】组织机构形式基本合理，有指挥系统，生产及质量、绿色施工、安全、文明施工、创优达标监控系统、联络协调系统，项目管理人员内高级职称人员10%～15%（含10%）、中级职称人员及以上职称40%～50%（含40%）。</w:t>
            </w:r>
          </w:p>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color w:val="auto"/>
                <w:sz w:val="24"/>
                <w:szCs w:val="24"/>
                <w:highlight w:val="none"/>
              </w:rPr>
            </w:pPr>
            <w:r>
              <w:rPr>
                <w:rFonts w:hint="eastAsia" w:hAnsi="宋体" w:cs="宋体"/>
                <w:color w:val="auto"/>
                <w:sz w:val="24"/>
                <w:szCs w:val="24"/>
                <w:highlight w:val="none"/>
              </w:rPr>
              <w:t>【差】组织机构形式合理，指挥系统，生产及质量、绿色施工、安全、文明施工、创优达标监控系统、联络协调系统不齐全，项目管理人员内高级职称人员10%以下、中级职称人员及以上职称40%以下。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10358" w:type="dxa"/>
            <w:gridSpan w:val="4"/>
            <w:shd w:val="clear" w:color="auto" w:fill="D9D9D9"/>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投标报价部分，满分：100分。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jc w:val="center"/>
        </w:trPr>
        <w:tc>
          <w:tcPr>
            <w:tcW w:w="1659"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评分事项</w:t>
            </w:r>
          </w:p>
        </w:tc>
        <w:tc>
          <w:tcPr>
            <w:tcW w:w="8699"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评分方法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7" w:hRule="atLeast"/>
          <w:jc w:val="center"/>
        </w:trPr>
        <w:tc>
          <w:tcPr>
            <w:tcW w:w="1659" w:type="dxa"/>
            <w:gridSpan w:val="2"/>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snapToGrid w:val="0"/>
                <w:color w:val="auto"/>
                <w:kern w:val="0"/>
                <w:sz w:val="24"/>
                <w:szCs w:val="24"/>
                <w:highlight w:val="none"/>
              </w:rPr>
            </w:pPr>
            <w:r>
              <w:rPr>
                <w:rFonts w:hint="eastAsia" w:hAnsi="宋体" w:cs="宋体"/>
                <w:color w:val="auto"/>
                <w:sz w:val="24"/>
                <w:szCs w:val="24"/>
                <w:highlight w:val="none"/>
              </w:rPr>
              <w:t>评标基准价D</w:t>
            </w:r>
          </w:p>
        </w:tc>
        <w:tc>
          <w:tcPr>
            <w:tcW w:w="8699" w:type="dxa"/>
            <w:gridSpan w:val="2"/>
            <w:noWrap w:val="0"/>
            <w:vAlign w:val="center"/>
          </w:tcPr>
          <w:p>
            <w:pPr>
              <w:keepNext w:val="0"/>
              <w:keepLines w:val="0"/>
              <w:pageBreakBefore w:val="0"/>
              <w:widowControl/>
              <w:numPr>
                <w:ilvl w:val="0"/>
                <w:numId w:val="3"/>
              </w:numPr>
              <w:kinsoku w:val="0"/>
              <w:wordWrap w:val="0"/>
              <w:overflowPunct/>
              <w:topLinePunct w:val="0"/>
              <w:autoSpaceDE w:val="0"/>
              <w:autoSpaceDN w:val="0"/>
              <w:bidi w:val="0"/>
              <w:adjustRightInd w:val="0"/>
              <w:snapToGrid w:val="0"/>
              <w:spacing w:line="400" w:lineRule="exact"/>
              <w:ind w:firstLine="480" w:firstLineChars="200"/>
              <w:jc w:val="left"/>
              <w:textAlignment w:val="baseline"/>
              <w:rPr>
                <w:rFonts w:hint="eastAsia" w:hAnsi="宋体" w:cs="宋体"/>
                <w:color w:val="auto"/>
                <w:sz w:val="24"/>
                <w:szCs w:val="24"/>
                <w:highlight w:val="none"/>
              </w:rPr>
            </w:pPr>
            <w:r>
              <w:rPr>
                <w:rFonts w:hint="eastAsia" w:hAnsi="宋体" w:cs="宋体"/>
                <w:snapToGrid w:val="0"/>
                <w:color w:val="auto"/>
                <w:kern w:val="0"/>
                <w:sz w:val="24"/>
                <w:szCs w:val="24"/>
                <w:highlight w:val="none"/>
              </w:rPr>
              <w:t>确定最高投标限价下浮系数n：用1～2</w:t>
            </w: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号球分别代表一个下浮系数，由评委代表从这2</w:t>
            </w:r>
            <w:r>
              <w:rPr>
                <w:rFonts w:hint="eastAsia" w:hAnsi="宋体" w:eastAsia="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个号码中随机抽取</w:t>
            </w:r>
            <w:r>
              <w:rPr>
                <w:rFonts w:hint="eastAsia" w:hAnsi="宋体" w:cs="宋体"/>
                <w:snapToGrid w:val="0"/>
                <w:color w:val="auto"/>
                <w:kern w:val="0"/>
                <w:sz w:val="24"/>
                <w:szCs w:val="24"/>
                <w:highlight w:val="none"/>
                <w:u w:val="single"/>
              </w:rPr>
              <w:t xml:space="preserve"> 3 </w:t>
            </w:r>
            <w:r>
              <w:rPr>
                <w:rFonts w:hint="eastAsia" w:hAnsi="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854"/>
              <w:gridCol w:w="794"/>
              <w:gridCol w:w="830"/>
              <w:gridCol w:w="864"/>
              <w:gridCol w:w="848"/>
              <w:gridCol w:w="882"/>
              <w:gridCol w:w="829"/>
              <w:gridCol w:w="819"/>
            </w:tblGrid>
            <w:tr>
              <w:tblPrEx>
                <w:tblCellMar>
                  <w:top w:w="0" w:type="dxa"/>
                  <w:left w:w="108" w:type="dxa"/>
                  <w:bottom w:w="0" w:type="dxa"/>
                  <w:right w:w="108" w:type="dxa"/>
                </w:tblCellMar>
              </w:tblPrEx>
              <w:trPr>
                <w:trHeight w:val="248" w:hRule="atLeast"/>
                <w:jc w:val="center"/>
              </w:trPr>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7</w:t>
                  </w:r>
                </w:p>
              </w:tc>
            </w:tr>
            <w:tr>
              <w:tblPrEx>
                <w:tblCellMar>
                  <w:top w:w="0" w:type="dxa"/>
                  <w:left w:w="108" w:type="dxa"/>
                  <w:bottom w:w="0" w:type="dxa"/>
                  <w:right w:w="108" w:type="dxa"/>
                </w:tblCellMar>
              </w:tblPrEx>
              <w:trPr>
                <w:trHeight w:val="475" w:hRule="atLeast"/>
                <w:jc w:val="center"/>
              </w:trPr>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snapToGrid w:val="0"/>
                      <w:color w:val="auto"/>
                      <w:kern w:val="0"/>
                      <w:sz w:val="24"/>
                      <w:szCs w:val="24"/>
                      <w:highlight w:val="none"/>
                    </w:rPr>
                  </w:pPr>
                  <w:r>
                    <w:rPr>
                      <w:rFonts w:hint="eastAsia" w:hAnsi="宋体" w:cs="宋体"/>
                      <w:snapToGrid w:val="0"/>
                      <w:color w:val="auto"/>
                      <w:kern w:val="0"/>
                      <w:sz w:val="24"/>
                      <w:szCs w:val="24"/>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default" w:hAnsi="宋体" w:eastAsia="宋体" w:cs="宋体"/>
                      <w:snapToGrid w:val="0"/>
                      <w:color w:val="auto"/>
                      <w:kern w:val="0"/>
                      <w:sz w:val="24"/>
                      <w:szCs w:val="24"/>
                      <w:highlight w:val="none"/>
                      <w:lang w:val="en-US" w:eastAsia="zh-CN"/>
                    </w:rPr>
                  </w:pPr>
                  <w:r>
                    <w:rPr>
                      <w:rFonts w:hint="eastAsia" w:hAnsi="宋体" w:eastAsia="宋体" w:cs="宋体"/>
                      <w:snapToGrid w:val="0"/>
                      <w:color w:val="auto"/>
                      <w:kern w:val="0"/>
                      <w:sz w:val="24"/>
                      <w:szCs w:val="24"/>
                      <w:highlight w:val="none"/>
                      <w:lang w:val="en-US" w:eastAsia="zh-CN"/>
                    </w:rPr>
                    <w:t>0.0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val="en-US" w:eastAsia="zh-CN"/>
                    </w:rPr>
                    <w:t>0</w:t>
                  </w:r>
                  <w:r>
                    <w:rPr>
                      <w:rFonts w:hint="eastAsia" w:hAnsi="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val="en-US" w:eastAsia="zh-CN"/>
                    </w:rPr>
                    <w:t>0</w:t>
                  </w:r>
                  <w:r>
                    <w:rPr>
                      <w:rFonts w:hint="eastAsia" w:hAnsi="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val="en-US" w:eastAsia="zh-CN"/>
                    </w:rPr>
                    <w:t>0</w:t>
                  </w:r>
                  <w:r>
                    <w:rPr>
                      <w:rFonts w:hint="eastAsia" w:hAnsi="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val="en-US" w:eastAsia="zh-CN"/>
                    </w:rPr>
                    <w:t>0</w:t>
                  </w:r>
                  <w:r>
                    <w:rPr>
                      <w:rFonts w:hint="eastAsia" w:hAnsi="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val="en-US" w:eastAsia="zh-CN"/>
                    </w:rPr>
                    <w:t>0</w:t>
                  </w:r>
                  <w:r>
                    <w:rPr>
                      <w:rFonts w:hint="eastAsia" w:hAnsi="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val="en-US" w:eastAsia="zh-CN"/>
                    </w:rPr>
                    <w:t>0</w:t>
                  </w:r>
                  <w:r>
                    <w:rPr>
                      <w:rFonts w:hint="eastAsia" w:hAnsi="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6</w:t>
                  </w:r>
                </w:p>
              </w:tc>
            </w:tr>
            <w:tr>
              <w:tblPrEx>
                <w:tblCellMar>
                  <w:top w:w="0" w:type="dxa"/>
                  <w:left w:w="108" w:type="dxa"/>
                  <w:bottom w:w="0" w:type="dxa"/>
                  <w:right w:w="108" w:type="dxa"/>
                </w:tblCellMar>
              </w:tblPrEx>
              <w:trPr>
                <w:trHeight w:val="515" w:hRule="atLeast"/>
                <w:jc w:val="center"/>
              </w:trPr>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14</w:t>
                  </w:r>
                </w:p>
              </w:tc>
            </w:tr>
            <w:tr>
              <w:tblPrEx>
                <w:tblCellMar>
                  <w:top w:w="0" w:type="dxa"/>
                  <w:left w:w="108" w:type="dxa"/>
                  <w:bottom w:w="0" w:type="dxa"/>
                  <w:right w:w="108" w:type="dxa"/>
                </w:tblCellMar>
              </w:tblPrEx>
              <w:trPr>
                <w:trHeight w:val="430" w:hRule="atLeast"/>
                <w:jc w:val="center"/>
              </w:trPr>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snapToGrid w:val="0"/>
                      <w:color w:val="auto"/>
                      <w:kern w:val="0"/>
                      <w:sz w:val="24"/>
                      <w:szCs w:val="24"/>
                      <w:highlight w:val="none"/>
                    </w:rPr>
                  </w:pPr>
                  <w:r>
                    <w:rPr>
                      <w:rFonts w:hint="eastAsia" w:hAnsi="宋体" w:cs="宋体"/>
                      <w:snapToGrid w:val="0"/>
                      <w:color w:val="auto"/>
                      <w:kern w:val="0"/>
                      <w:sz w:val="24"/>
                      <w:szCs w:val="24"/>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0</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val="en-US" w:eastAsia="zh-CN"/>
                    </w:rPr>
                    <w:t>0</w:t>
                  </w:r>
                  <w:r>
                    <w:rPr>
                      <w:rFonts w:hint="eastAsia" w:hAnsi="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default"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0.9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3</w:t>
                  </w:r>
                </w:p>
              </w:tc>
            </w:tr>
            <w:tr>
              <w:tblPrEx>
                <w:tblCellMar>
                  <w:top w:w="0" w:type="dxa"/>
                  <w:left w:w="108" w:type="dxa"/>
                  <w:bottom w:w="0" w:type="dxa"/>
                  <w:right w:w="108" w:type="dxa"/>
                </w:tblCellMar>
              </w:tblPrEx>
              <w:trPr>
                <w:trHeight w:val="470" w:hRule="atLeast"/>
                <w:jc w:val="center"/>
              </w:trPr>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b/>
                      <w:bCs/>
                      <w:snapToGrid w:val="0"/>
                      <w:color w:val="auto"/>
                      <w:kern w:val="0"/>
                      <w:sz w:val="24"/>
                      <w:szCs w:val="24"/>
                      <w:highlight w:val="none"/>
                    </w:rPr>
                  </w:pPr>
                  <w:r>
                    <w:rPr>
                      <w:rFonts w:hint="eastAsia" w:hAnsi="宋体" w:cs="宋体"/>
                      <w:b/>
                      <w:bCs/>
                      <w:snapToGrid w:val="0"/>
                      <w:color w:val="auto"/>
                      <w:kern w:val="0"/>
                      <w:sz w:val="24"/>
                      <w:szCs w:val="24"/>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default" w:hAnsi="宋体" w:eastAsia="宋体" w:cs="宋体"/>
                      <w:b/>
                      <w:bCs/>
                      <w:snapToGrid w:val="0"/>
                      <w:color w:val="auto"/>
                      <w:kern w:val="0"/>
                      <w:sz w:val="24"/>
                      <w:szCs w:val="24"/>
                      <w:highlight w:val="none"/>
                      <w:lang w:val="en-US" w:eastAsia="zh-CN"/>
                    </w:rPr>
                  </w:pPr>
                  <w:r>
                    <w:rPr>
                      <w:rFonts w:hint="eastAsia" w:hAnsi="宋体" w:eastAsia="宋体" w:cs="宋体"/>
                      <w:b/>
                      <w:bCs/>
                      <w:snapToGrid w:val="0"/>
                      <w:color w:val="auto"/>
                      <w:kern w:val="0"/>
                      <w:sz w:val="24"/>
                      <w:szCs w:val="24"/>
                      <w:highlight w:val="none"/>
                      <w:lang w:val="en-US" w:eastAsia="zh-CN"/>
                    </w:rPr>
                    <w:t>21</w:t>
                  </w:r>
                </w:p>
              </w:tc>
            </w:tr>
            <w:tr>
              <w:tblPrEx>
                <w:tblCellMar>
                  <w:top w:w="0" w:type="dxa"/>
                  <w:left w:w="108" w:type="dxa"/>
                  <w:bottom w:w="0" w:type="dxa"/>
                  <w:right w:w="108" w:type="dxa"/>
                </w:tblCellMar>
              </w:tblPrEx>
              <w:trPr>
                <w:trHeight w:val="510" w:hRule="atLeast"/>
                <w:jc w:val="center"/>
              </w:trPr>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cs="宋体"/>
                      <w:snapToGrid w:val="0"/>
                      <w:color w:val="auto"/>
                      <w:kern w:val="0"/>
                      <w:sz w:val="24"/>
                      <w:szCs w:val="24"/>
                      <w:highlight w:val="none"/>
                    </w:rPr>
                  </w:pPr>
                  <w:r>
                    <w:rPr>
                      <w:rFonts w:hint="eastAsia" w:hAnsi="宋体" w:cs="宋体"/>
                      <w:snapToGrid w:val="0"/>
                      <w:color w:val="auto"/>
                      <w:kern w:val="0"/>
                      <w:sz w:val="24"/>
                      <w:szCs w:val="24"/>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default" w:hAnsi="宋体" w:cs="宋体"/>
                      <w:snapToGrid w:val="0"/>
                      <w:color w:val="auto"/>
                      <w:kern w:val="0"/>
                      <w:sz w:val="24"/>
                      <w:szCs w:val="24"/>
                      <w:highlight w:val="none"/>
                      <w:lang w:val="en-US"/>
                    </w:rPr>
                  </w:pPr>
                  <w:r>
                    <w:rPr>
                      <w:rFonts w:hint="eastAsia" w:hAnsi="宋体" w:cs="宋体"/>
                      <w:snapToGrid w:val="0"/>
                      <w:color w:val="auto"/>
                      <w:kern w:val="0"/>
                      <w:sz w:val="24"/>
                      <w:szCs w:val="24"/>
                      <w:highlight w:val="none"/>
                      <w:lang w:val="en-US" w:eastAsia="zh-CN"/>
                    </w:rPr>
                    <w:t>1.9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default" w:hAnsi="宋体" w:eastAsia="宋体" w:cs="宋体"/>
                      <w:snapToGrid w:val="0"/>
                      <w:color w:val="auto"/>
                      <w:kern w:val="0"/>
                      <w:sz w:val="24"/>
                      <w:szCs w:val="24"/>
                      <w:highlight w:val="none"/>
                      <w:lang w:val="en-US" w:eastAsia="zh-CN"/>
                    </w:rPr>
                  </w:pPr>
                  <w:r>
                    <w:rPr>
                      <w:rFonts w:hint="eastAsia" w:hAnsi="宋体" w:eastAsia="宋体" w:cs="宋体"/>
                      <w:snapToGrid w:val="0"/>
                      <w:color w:val="auto"/>
                      <w:kern w:val="0"/>
                      <w:sz w:val="24"/>
                      <w:szCs w:val="24"/>
                      <w:highlight w:val="none"/>
                      <w:lang w:val="en-US" w:eastAsia="zh-CN"/>
                    </w:rPr>
                    <w:t>2.0</w:t>
                  </w:r>
                </w:p>
              </w:tc>
            </w:tr>
          </w:tbl>
          <w:p>
            <w:pPr>
              <w:keepNext w:val="0"/>
              <w:keepLines w:val="0"/>
              <w:pageBreakBefore w:val="0"/>
              <w:widowControl/>
              <w:kinsoku w:val="0"/>
              <w:wordWrap w:val="0"/>
              <w:overflowPunct/>
              <w:topLinePunct w:val="0"/>
              <w:autoSpaceDE w:val="0"/>
              <w:autoSpaceDN w:val="0"/>
              <w:bidi w:val="0"/>
              <w:adjustRightInd w:val="0"/>
              <w:snapToGrid w:val="0"/>
              <w:spacing w:line="400" w:lineRule="exact"/>
              <w:jc w:val="left"/>
              <w:textAlignment w:val="baseline"/>
              <w:rPr>
                <w:rFonts w:hint="eastAsia" w:hAnsi="宋体" w:cs="宋体"/>
                <w:snapToGrid w:val="0"/>
                <w:color w:val="auto"/>
                <w:kern w:val="0"/>
                <w:sz w:val="24"/>
                <w:szCs w:val="24"/>
                <w:highlight w:val="none"/>
              </w:rPr>
            </w:pPr>
            <w:r>
              <w:rPr>
                <w:rFonts w:hint="eastAsia" w:hAnsi="宋体" w:cs="宋体"/>
                <w:snapToGrid w:val="0"/>
                <w:color w:val="auto"/>
                <w:kern w:val="0"/>
                <w:sz w:val="24"/>
                <w:szCs w:val="24"/>
                <w:highlight w:val="none"/>
              </w:rPr>
              <w:t>（2）评标基准价D＝最高投标限价×（1－n）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1659" w:type="dxa"/>
            <w:gridSpan w:val="2"/>
            <w:noWrap w:val="0"/>
            <w:vAlign w:val="center"/>
          </w:tcPr>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投标报价</w:t>
            </w:r>
          </w:p>
          <w:p>
            <w:pPr>
              <w:keepNext w:val="0"/>
              <w:keepLines w:val="0"/>
              <w:pageBreakBefore w:val="0"/>
              <w:widowControl/>
              <w:kinsoku w:val="0"/>
              <w:overflowPunct/>
              <w:topLinePunct w:val="0"/>
              <w:autoSpaceDE w:val="0"/>
              <w:autoSpaceDN w:val="0"/>
              <w:bidi w:val="0"/>
              <w:adjustRightInd w:val="0"/>
              <w:snapToGrid w:val="0"/>
              <w:spacing w:line="400" w:lineRule="exact"/>
              <w:jc w:val="center"/>
              <w:textAlignment w:val="baseline"/>
              <w:rPr>
                <w:rFonts w:hint="eastAsia" w:hAnsi="宋体" w:cs="宋体"/>
                <w:snapToGrid w:val="0"/>
                <w:color w:val="auto"/>
                <w:kern w:val="0"/>
                <w:sz w:val="24"/>
                <w:szCs w:val="24"/>
                <w:highlight w:val="none"/>
              </w:rPr>
            </w:pPr>
            <w:r>
              <w:rPr>
                <w:rFonts w:hint="eastAsia" w:hAnsi="宋体" w:cs="宋体"/>
                <w:color w:val="auto"/>
                <w:sz w:val="24"/>
                <w:szCs w:val="24"/>
                <w:highlight w:val="none"/>
              </w:rPr>
              <w:t>得分N</w:t>
            </w:r>
          </w:p>
        </w:tc>
        <w:tc>
          <w:tcPr>
            <w:tcW w:w="8699" w:type="dxa"/>
            <w:gridSpan w:val="2"/>
            <w:noWrap w:val="0"/>
            <w:vAlign w:val="center"/>
          </w:tcPr>
          <w:p>
            <w:pPr>
              <w:keepNext w:val="0"/>
              <w:keepLines w:val="0"/>
              <w:pageBreakBefore w:val="0"/>
              <w:widowControl/>
              <w:kinsoku w:val="0"/>
              <w:wordWrap w:val="0"/>
              <w:overflowPunct/>
              <w:topLinePunct w:val="0"/>
              <w:autoSpaceDE w:val="0"/>
              <w:autoSpaceDN w:val="0"/>
              <w:bidi w:val="0"/>
              <w:adjustRightInd w:val="0"/>
              <w:snapToGrid w:val="0"/>
              <w:spacing w:line="400" w:lineRule="exact"/>
              <w:ind w:firstLine="480" w:firstLineChars="200"/>
              <w:jc w:val="left"/>
              <w:textAlignment w:val="baseline"/>
              <w:rPr>
                <w:rFonts w:hint="eastAsia" w:hAnsi="宋体" w:cs="宋体"/>
                <w:snapToGrid w:val="0"/>
                <w:color w:val="auto"/>
                <w:kern w:val="0"/>
                <w:sz w:val="24"/>
                <w:szCs w:val="24"/>
                <w:highlight w:val="none"/>
              </w:rPr>
            </w:pPr>
            <w:r>
              <w:rPr>
                <w:rFonts w:hint="eastAsia" w:hAnsi="宋体" w:cs="宋体"/>
                <w:snapToGrid w:val="0"/>
                <w:color w:val="auto"/>
                <w:kern w:val="0"/>
                <w:sz w:val="24"/>
                <w:szCs w:val="24"/>
                <w:highlight w:val="none"/>
              </w:rPr>
              <w:t>采用内插法计算某投标人的投标报价得分N，即当投标人的投标总价等于评标基准价时得100分，每高于评标基准价一个百分点扣1分，每低于评标基准价一个百分点扣0.5分，扣完为止。公式如下：</w:t>
            </w:r>
          </w:p>
          <w:p>
            <w:pPr>
              <w:keepNext w:val="0"/>
              <w:keepLines w:val="0"/>
              <w:pageBreakBefore w:val="0"/>
              <w:widowControl/>
              <w:kinsoku w:val="0"/>
              <w:wordWrap w:val="0"/>
              <w:overflowPunct/>
              <w:topLinePunct w:val="0"/>
              <w:autoSpaceDE w:val="0"/>
              <w:autoSpaceDN w:val="0"/>
              <w:bidi w:val="0"/>
              <w:adjustRightInd w:val="0"/>
              <w:snapToGrid w:val="0"/>
              <w:spacing w:line="400" w:lineRule="exact"/>
              <w:ind w:firstLine="480" w:firstLineChars="200"/>
              <w:jc w:val="left"/>
              <w:textAlignment w:val="baseline"/>
              <w:rPr>
                <w:rFonts w:hint="eastAsia" w:hAnsi="宋体" w:cs="宋体"/>
                <w:snapToGrid w:val="0"/>
                <w:color w:val="auto"/>
                <w:kern w:val="0"/>
                <w:sz w:val="24"/>
                <w:szCs w:val="24"/>
                <w:highlight w:val="none"/>
              </w:rPr>
            </w:pPr>
            <w:r>
              <w:rPr>
                <w:rFonts w:hint="eastAsia" w:hAnsi="宋体" w:cs="宋体"/>
                <w:snapToGrid w:val="0"/>
                <w:color w:val="auto"/>
                <w:kern w:val="0"/>
                <w:sz w:val="24"/>
                <w:szCs w:val="24"/>
                <w:highlight w:val="none"/>
              </w:rPr>
              <w:t>N＝100－（| Di－D | ÷D）×100×E</w:t>
            </w:r>
          </w:p>
          <w:p>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hAnsi="宋体" w:cs="宋体"/>
                <w:snapToGrid w:val="0"/>
                <w:color w:val="auto"/>
                <w:kern w:val="0"/>
                <w:sz w:val="24"/>
                <w:szCs w:val="24"/>
                <w:highlight w:val="none"/>
              </w:rPr>
            </w:pPr>
            <w:r>
              <w:rPr>
                <w:rFonts w:hint="eastAsia" w:hAnsi="宋体" w:cs="宋体"/>
                <w:snapToGrid w:val="0"/>
                <w:color w:val="auto"/>
                <w:kern w:val="0"/>
                <w:sz w:val="24"/>
                <w:szCs w:val="24"/>
                <w:highlight w:val="none"/>
              </w:rPr>
              <w:t>式中：D为评标基准价；Di为某投标人的投标总价；E为扣分因子，当Di＞D时，E＝1 ；当Di＜D时，E＝0.5。</w:t>
            </w:r>
          </w:p>
        </w:tc>
      </w:tr>
    </w:tbl>
    <w:p>
      <w:pPr>
        <w:rPr>
          <w:rFonts w:hint="eastAsia" w:ascii="宋体" w:hAnsi="宋体" w:eastAsia="宋体" w:cs="宋体"/>
          <w:b/>
          <w:bCs/>
          <w:color w:val="auto"/>
          <w:spacing w:val="-3"/>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textAlignment w:val="baseline"/>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1"/>
      <w:bookmarkEnd w:id="132"/>
      <w:bookmarkEnd w:id="133"/>
      <w:bookmarkEnd w:id="134"/>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564"/>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outlineLvl w:val="2"/>
        <w:rPr>
          <w:rFonts w:hint="eastAsia" w:ascii="宋体" w:hAnsi="宋体" w:eastAsia="宋体" w:cs="宋体"/>
          <w:color w:val="auto"/>
          <w:sz w:val="24"/>
          <w:szCs w:val="24"/>
          <w:highlight w:val="none"/>
        </w:rPr>
      </w:pPr>
      <w:bookmarkStart w:id="135" w:name="bookmark137"/>
      <w:bookmarkEnd w:id="135"/>
      <w:bookmarkStart w:id="136" w:name="_Toc16384"/>
      <w:bookmarkStart w:id="137" w:name="_Toc19536"/>
      <w:r>
        <w:rPr>
          <w:rFonts w:hint="eastAsia" w:ascii="宋体" w:hAnsi="宋体" w:eastAsia="宋体" w:cs="宋体"/>
          <w:b/>
          <w:bCs/>
          <w:color w:val="auto"/>
          <w:spacing w:val="-7"/>
          <w:sz w:val="24"/>
          <w:szCs w:val="24"/>
          <w:highlight w:val="none"/>
        </w:rPr>
        <w:t>16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7"/>
          <w:sz w:val="24"/>
          <w:szCs w:val="24"/>
          <w:highlight w:val="none"/>
        </w:rPr>
        <w:t>．中标候选人公示</w:t>
      </w:r>
      <w:bookmarkEnd w:id="136"/>
      <w:bookmarkEnd w:id="137"/>
    </w:p>
    <w:p>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93"/>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1"/>
          <w:sz w:val="24"/>
          <w:szCs w:val="24"/>
          <w:highlight w:val="none"/>
        </w:rPr>
        <w:t xml:space="preserve">16.1  </w:t>
      </w:r>
      <w:r>
        <w:rPr>
          <w:rFonts w:hint="eastAsia" w:ascii="宋体" w:hAnsi="宋体" w:eastAsia="宋体" w:cs="宋体"/>
          <w:color w:val="auto"/>
          <w:spacing w:val="-5"/>
          <w:sz w:val="24"/>
          <w:szCs w:val="24"/>
          <w:highlight w:val="none"/>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zbtb.gd.gov.c n）、全国公共资源交易平台（广东省·韶关市）（https://ygp.gdzwfw.gov.cn/ggzy-porta l/#/440200/index）进行公示，公示期不得少于3天。</w:t>
      </w:r>
    </w:p>
    <w:p>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93"/>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2"/>
          <w:sz w:val="24"/>
          <w:szCs w:val="24"/>
          <w:highlight w:val="none"/>
        </w:rPr>
        <w:t xml:space="preserve">16.2 </w:t>
      </w:r>
      <w:r>
        <w:rPr>
          <w:rFonts w:hint="eastAsia" w:ascii="宋体" w:hAnsi="宋体" w:eastAsia="宋体" w:cs="宋体"/>
          <w:color w:val="auto"/>
          <w:spacing w:val="-5"/>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交易服务平台提出异议，投标人必须上传提交异议书扫描件（作为附件），异议书格式内容按照《韶关市工程建设项目招标投标活动异议和投诉处理办法》（韶法审〔2020〕19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16.3</w:t>
      </w:r>
      <w:r>
        <w:rPr>
          <w:rFonts w:hint="eastAsia" w:ascii="宋体" w:hAnsi="宋体" w:eastAsia="宋体" w:cs="宋体"/>
          <w:b/>
          <w:bCs/>
          <w:color w:val="auto"/>
          <w:spacing w:val="24"/>
          <w:w w:val="101"/>
          <w:sz w:val="24"/>
          <w:szCs w:val="24"/>
          <w:highlight w:val="none"/>
        </w:rPr>
        <w:t xml:space="preserve"> </w:t>
      </w:r>
      <w:r>
        <w:rPr>
          <w:rFonts w:hint="eastAsia" w:ascii="宋体" w:hAnsi="宋体" w:eastAsia="宋体" w:cs="宋体"/>
          <w:color w:val="auto"/>
          <w:spacing w:val="-5"/>
          <w:sz w:val="24"/>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pPr>
        <w:keepNext w:val="0"/>
        <w:keepLines w:val="0"/>
        <w:pageBreakBefore w:val="0"/>
        <w:widowControl w:val="0"/>
        <w:kinsoku/>
        <w:wordWrap w:val="0"/>
        <w:overflowPunct/>
        <w:topLinePunct/>
        <w:autoSpaceDE/>
        <w:autoSpaceDN/>
        <w:bidi w:val="0"/>
        <w:adjustRightInd w:val="0"/>
        <w:snapToGrid w:val="0"/>
        <w:spacing w:line="309" w:lineRule="auto"/>
        <w:ind w:right="84" w:rightChars="40"/>
        <w:rPr>
          <w:rFonts w:hint="eastAsia" w:ascii="宋体" w:hAnsi="宋体" w:eastAsia="宋体" w:cs="宋体"/>
          <w:color w:val="auto"/>
          <w:sz w:val="24"/>
          <w:szCs w:val="24"/>
          <w:highlight w:val="none"/>
        </w:rPr>
        <w:sectPr>
          <w:headerReference r:id="rId8" w:type="default"/>
          <w:footerReference r:id="rId9" w:type="default"/>
          <w:pgSz w:w="11906" w:h="16839"/>
          <w:pgMar w:top="1134" w:right="1193" w:bottom="1134" w:left="1253" w:header="0" w:footer="850" w:gutter="0"/>
          <w:pgBorders>
            <w:top w:val="none" w:sz="0" w:space="0"/>
            <w:left w:val="none" w:sz="0" w:space="0"/>
            <w:bottom w:val="none" w:sz="0" w:space="0"/>
            <w:right w:val="none" w:sz="0" w:space="0"/>
          </w:pgBorders>
          <w:cols w:space="720" w:num="1"/>
          <w:rtlGutter w:val="0"/>
          <w:docGrid w:linePitch="0" w:charSpace="0"/>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left="9" w:right="84" w:rightChars="40"/>
        <w:jc w:val="center"/>
        <w:outlineLvl w:val="1"/>
        <w:rPr>
          <w:rFonts w:hint="eastAsia" w:ascii="宋体" w:hAnsi="宋体" w:eastAsia="宋体" w:cs="宋体"/>
          <w:color w:val="auto"/>
          <w:sz w:val="24"/>
          <w:szCs w:val="24"/>
          <w:highlight w:val="none"/>
        </w:rPr>
      </w:pPr>
      <w:bookmarkStart w:id="138" w:name="bookmark138"/>
      <w:bookmarkEnd w:id="138"/>
      <w:bookmarkStart w:id="139" w:name="_Toc11892"/>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39"/>
    </w:p>
    <w:p>
      <w:pPr>
        <w:pStyle w:val="5"/>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pPr>
        <w:keepNext w:val="0"/>
        <w:keepLines w:val="0"/>
        <w:pageBreakBefore w:val="0"/>
        <w:widowControl w:val="0"/>
        <w:kinsoku/>
        <w:wordWrap w:val="0"/>
        <w:overflowPunct/>
        <w:topLinePunct/>
        <w:autoSpaceDE/>
        <w:autoSpaceDN/>
        <w:bidi w:val="0"/>
        <w:adjustRightInd w:val="0"/>
        <w:snapToGrid w:val="0"/>
        <w:spacing w:line="360" w:lineRule="auto"/>
        <w:ind w:left="495" w:right="84" w:rightChars="40"/>
        <w:textAlignment w:val="baseline"/>
        <w:outlineLvl w:val="2"/>
        <w:rPr>
          <w:rFonts w:hint="eastAsia" w:ascii="宋体" w:hAnsi="宋体" w:eastAsia="宋体" w:cs="宋体"/>
          <w:color w:val="auto"/>
          <w:sz w:val="24"/>
          <w:szCs w:val="24"/>
          <w:highlight w:val="none"/>
        </w:rPr>
      </w:pPr>
      <w:bookmarkStart w:id="140" w:name="_Toc255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0"/>
    </w:p>
    <w:p>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pPr>
        <w:keepNext w:val="0"/>
        <w:keepLines w:val="0"/>
        <w:pageBreakBefore w:val="0"/>
        <w:widowControl w:val="0"/>
        <w:kinsoku/>
        <w:wordWrap w:val="0"/>
        <w:overflowPunct/>
        <w:topLinePunct/>
        <w:autoSpaceDE/>
        <w:autoSpaceDN/>
        <w:bidi w:val="0"/>
        <w:adjustRightInd w:val="0"/>
        <w:snapToGrid w:val="0"/>
        <w:spacing w:line="360" w:lineRule="auto"/>
        <w:ind w:left="50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（1）有本章第三节第</w:t>
      </w:r>
      <w:r>
        <w:rPr>
          <w:rFonts w:hint="eastAsia" w:ascii="宋体" w:hAnsi="宋体" w:eastAsia="宋体" w:cs="宋体"/>
          <w:color w:val="auto"/>
          <w:spacing w:val="-48"/>
          <w:sz w:val="24"/>
          <w:szCs w:val="24"/>
          <w:highlight w:val="none"/>
        </w:rPr>
        <w:t xml:space="preserve"> </w:t>
      </w:r>
      <w:r>
        <w:rPr>
          <w:rFonts w:hint="eastAsia" w:ascii="宋体" w:hAnsi="宋体" w:eastAsia="宋体" w:cs="宋体"/>
          <w:b/>
          <w:bCs/>
          <w:color w:val="auto"/>
          <w:spacing w:val="-2"/>
          <w:sz w:val="24"/>
          <w:szCs w:val="24"/>
          <w:highlight w:val="none"/>
        </w:rPr>
        <w:t xml:space="preserve">2.4 </w:t>
      </w:r>
      <w:r>
        <w:rPr>
          <w:rFonts w:hint="eastAsia" w:ascii="宋体" w:hAnsi="宋体" w:eastAsia="宋体" w:cs="宋体"/>
          <w:color w:val="auto"/>
          <w:spacing w:val="-2"/>
          <w:sz w:val="24"/>
          <w:szCs w:val="24"/>
          <w:highlight w:val="none"/>
        </w:rPr>
        <w:t>条“禁止投标条款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”规定的任何一种情形；</w:t>
      </w:r>
    </w:p>
    <w:p>
      <w:pPr>
        <w:keepNext w:val="0"/>
        <w:keepLines w:val="0"/>
        <w:pageBreakBefore w:val="0"/>
        <w:widowControl w:val="0"/>
        <w:kinsoku/>
        <w:wordWrap w:val="0"/>
        <w:overflowPunct/>
        <w:topLinePunct/>
        <w:autoSpaceDE/>
        <w:autoSpaceDN/>
        <w:bidi w:val="0"/>
        <w:adjustRightInd w:val="0"/>
        <w:snapToGrid w:val="0"/>
        <w:spacing w:line="360" w:lineRule="auto"/>
        <w:ind w:left="50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（2）投标人资质不符合规定的；</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注：投标人已经工商变更，但其企业资质证书、安全生产许可证</w:t>
      </w:r>
      <w:r>
        <w:rPr>
          <w:rFonts w:hint="eastAsia" w:ascii="宋体" w:hAnsi="宋体" w:eastAsia="宋体" w:cs="宋体"/>
          <w:b/>
          <w:bCs/>
          <w:color w:val="auto"/>
          <w:spacing w:val="-5"/>
          <w:sz w:val="24"/>
          <w:szCs w:val="24"/>
          <w:highlight w:val="none"/>
        </w:rPr>
        <w:t>的企业名称未完成</w:t>
      </w:r>
      <w:r>
        <w:rPr>
          <w:rFonts w:hint="eastAsia" w:ascii="宋体" w:hAnsi="宋体" w:eastAsia="宋体" w:cs="宋体"/>
          <w:b/>
          <w:bCs/>
          <w:color w:val="auto"/>
          <w:spacing w:val="-4"/>
          <w:sz w:val="24"/>
          <w:szCs w:val="24"/>
          <w:highlight w:val="none"/>
        </w:rPr>
        <w:t>变更的，不得否决其投标；投标人营业执照、资质证书、安全生产许可证之间登</w:t>
      </w:r>
      <w:r>
        <w:rPr>
          <w:rFonts w:hint="eastAsia" w:ascii="宋体" w:hAnsi="宋体" w:eastAsia="宋体" w:cs="宋体"/>
          <w:b/>
          <w:bCs/>
          <w:color w:val="auto"/>
          <w:spacing w:val="-5"/>
          <w:sz w:val="24"/>
          <w:szCs w:val="24"/>
          <w:highlight w:val="none"/>
        </w:rPr>
        <w:t>记的信</w:t>
      </w:r>
      <w:r>
        <w:rPr>
          <w:rFonts w:hint="eastAsia" w:ascii="宋体" w:hAnsi="宋体" w:eastAsia="宋体" w:cs="宋体"/>
          <w:b/>
          <w:bCs/>
          <w:color w:val="auto"/>
          <w:spacing w:val="-2"/>
          <w:sz w:val="24"/>
          <w:szCs w:val="24"/>
          <w:highlight w:val="none"/>
        </w:rPr>
        <w:t>息不一致，应当允许投标人澄清，不得直接否决其投</w:t>
      </w:r>
      <w:r>
        <w:rPr>
          <w:rFonts w:hint="eastAsia" w:ascii="宋体" w:hAnsi="宋体" w:eastAsia="宋体" w:cs="宋体"/>
          <w:b/>
          <w:bCs/>
          <w:color w:val="auto"/>
          <w:spacing w:val="-3"/>
          <w:sz w:val="24"/>
          <w:szCs w:val="24"/>
          <w:highlight w:val="none"/>
        </w:rPr>
        <w:t>标。</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90"/>
        <w:textAlignment w:val="baseline"/>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（4）拟派项目经理、项目技术负责人、专职安全员的条件不符合规定的；拟派专</w:t>
      </w:r>
      <w:r>
        <w:rPr>
          <w:rFonts w:hint="eastAsia" w:ascii="宋体" w:hAnsi="宋体" w:eastAsia="宋体" w:cs="宋体"/>
          <w:color w:val="auto"/>
          <w:spacing w:val="-2"/>
          <w:sz w:val="24"/>
          <w:szCs w:val="24"/>
          <w:highlight w:val="none"/>
        </w:rPr>
        <w:t>职安全员数量不符合规</w:t>
      </w:r>
      <w:r>
        <w:rPr>
          <w:rFonts w:hint="eastAsia" w:ascii="宋体" w:hAnsi="宋体" w:eastAsia="宋体" w:cs="宋体"/>
          <w:color w:val="auto"/>
          <w:spacing w:val="1"/>
          <w:sz w:val="24"/>
          <w:szCs w:val="24"/>
          <w:highlight w:val="none"/>
        </w:rPr>
        <w:t>定的；项目技术负责人未在投标文件《项目技术负责人简历表》中签</w:t>
      </w:r>
      <w:r>
        <w:rPr>
          <w:rFonts w:hint="eastAsia" w:ascii="宋体" w:hAnsi="宋体" w:eastAsia="宋体" w:cs="宋体"/>
          <w:color w:val="auto"/>
          <w:spacing w:val="1"/>
          <w:sz w:val="24"/>
          <w:szCs w:val="24"/>
          <w:highlight w:val="none"/>
          <w:lang w:eastAsia="zh-CN"/>
        </w:rPr>
        <w:t>字确认。</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92"/>
        <w:jc w:val="both"/>
        <w:textAlignment w:val="baseline"/>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rPr>
        <w:t>温馨提示：建造师打印电子证书后，应在个人签名处手写本人签名，未手写签名或与签名图像笔迹不一致的，该电子证书无效。</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（5）《项目经理简历表》中拟派项目经理与</w:t>
      </w:r>
      <w:r>
        <w:rPr>
          <w:rFonts w:hint="eastAsia" w:ascii="宋体" w:hAnsi="宋体" w:eastAsia="宋体" w:cs="宋体"/>
          <w:color w:val="auto"/>
          <w:spacing w:val="-2"/>
          <w:sz w:val="24"/>
          <w:szCs w:val="24"/>
          <w:highlight w:val="none"/>
        </w:rPr>
        <w:t>《开标一览表》不一致的；拟派的项目经理未在投标文件《项目经理简历表》中签字确认；一级建造师的注册证书不是国家住建部颁发的；二级建造师的电子注册证书不是省级住建厅颁发的；建造师的注册单位</w:t>
      </w:r>
      <w:r>
        <w:rPr>
          <w:rFonts w:hint="eastAsia" w:ascii="宋体" w:hAnsi="宋体" w:eastAsia="宋体" w:cs="宋体"/>
          <w:color w:val="auto"/>
          <w:spacing w:val="-8"/>
          <w:sz w:val="24"/>
          <w:szCs w:val="24"/>
          <w:highlight w:val="none"/>
        </w:rPr>
        <w:t>与投标人不一致的；项目管理班子组成人员的各类证书、证件、证明不在有效期内的（</w:t>
      </w:r>
      <w:r>
        <w:rPr>
          <w:rFonts w:hint="eastAsia" w:ascii="宋体" w:hAnsi="宋体" w:eastAsia="宋体" w:cs="宋体"/>
          <w:b/>
          <w:bCs/>
          <w:color w:val="auto"/>
          <w:spacing w:val="-8"/>
          <w:sz w:val="24"/>
          <w:szCs w:val="24"/>
          <w:highlight w:val="none"/>
        </w:rPr>
        <w:t>建造师注册证书不在使用有效期内的</w:t>
      </w:r>
      <w:r>
        <w:rPr>
          <w:rFonts w:hint="eastAsia" w:ascii="宋体" w:hAnsi="宋体" w:eastAsia="宋体" w:cs="宋体"/>
          <w:color w:val="auto"/>
          <w:spacing w:val="-8"/>
          <w:sz w:val="24"/>
          <w:szCs w:val="24"/>
          <w:highlight w:val="none"/>
        </w:rPr>
        <w:t>）；擅</w:t>
      </w:r>
      <w:r>
        <w:rPr>
          <w:rFonts w:hint="eastAsia" w:ascii="宋体" w:hAnsi="宋体" w:eastAsia="宋体" w:cs="宋体"/>
          <w:color w:val="auto"/>
          <w:spacing w:val="-2"/>
          <w:sz w:val="24"/>
          <w:szCs w:val="24"/>
          <w:highlight w:val="none"/>
        </w:rPr>
        <w:t>自修改、遗漏《项</w:t>
      </w:r>
      <w:r>
        <w:rPr>
          <w:rFonts w:hint="eastAsia" w:ascii="宋体" w:hAnsi="宋体" w:eastAsia="宋体" w:cs="宋体"/>
          <w:color w:val="auto"/>
          <w:spacing w:val="-3"/>
          <w:sz w:val="24"/>
          <w:szCs w:val="24"/>
          <w:highlight w:val="none"/>
        </w:rPr>
        <w:t>目经理任职声明》实质性内容的；</w:t>
      </w:r>
    </w:p>
    <w:p>
      <w:pPr>
        <w:keepNext w:val="0"/>
        <w:keepLines w:val="0"/>
        <w:pageBreakBefore w:val="0"/>
        <w:widowControl w:val="0"/>
        <w:kinsoku/>
        <w:wordWrap w:val="0"/>
        <w:overflowPunct/>
        <w:topLinePunct/>
        <w:autoSpaceDE/>
        <w:autoSpaceDN/>
        <w:bidi w:val="0"/>
        <w:adjustRightInd w:val="0"/>
        <w:snapToGrid w:val="0"/>
        <w:spacing w:line="360" w:lineRule="auto"/>
        <w:ind w:left="28" w:right="84" w:rightChars="40" w:firstLine="46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注：投标人已经工商变更，但其员工执业资格注册证书的注册单</w:t>
      </w:r>
      <w:r>
        <w:rPr>
          <w:rFonts w:hint="eastAsia" w:ascii="宋体" w:hAnsi="宋体" w:eastAsia="宋体" w:cs="宋体"/>
          <w:b/>
          <w:bCs/>
          <w:color w:val="auto"/>
          <w:spacing w:val="-5"/>
          <w:sz w:val="24"/>
          <w:szCs w:val="24"/>
          <w:highlight w:val="none"/>
        </w:rPr>
        <w:t>位名称未完成变更的，不得否决其投标。</w:t>
      </w:r>
    </w:p>
    <w:p>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22" w:firstLineChars="181"/>
        <w:textAlignment w:val="baseline"/>
        <w:rPr>
          <w:rFonts w:hint="eastAsia" w:ascii="宋体" w:hAnsi="宋体" w:eastAsia="宋体" w:cs="宋体"/>
          <w:color w:val="auto"/>
          <w:sz w:val="24"/>
          <w:szCs w:val="24"/>
          <w:highlight w:val="none"/>
        </w:rPr>
      </w:pPr>
      <w:bookmarkStart w:id="141" w:name="OLE_LINK27"/>
      <w:r>
        <w:rPr>
          <w:rFonts w:hint="eastAsia" w:ascii="宋体" w:hAnsi="宋体" w:eastAsia="宋体" w:cs="宋体"/>
          <w:b/>
          <w:bCs/>
          <w:color w:val="auto"/>
          <w:spacing w:val="-4"/>
          <w:sz w:val="24"/>
          <w:szCs w:val="24"/>
          <w:highlight w:val="none"/>
        </w:rPr>
        <w:t>鉴于目前继续教育开展的实际情况，建筑和市政工程施工现场专</w:t>
      </w:r>
      <w:r>
        <w:rPr>
          <w:rFonts w:hint="eastAsia" w:ascii="宋体" w:hAnsi="宋体" w:eastAsia="宋体" w:cs="宋体"/>
          <w:b/>
          <w:bCs/>
          <w:color w:val="auto"/>
          <w:spacing w:val="-5"/>
          <w:sz w:val="24"/>
          <w:szCs w:val="24"/>
          <w:highlight w:val="none"/>
        </w:rPr>
        <w:t>业人员（例如：施</w:t>
      </w:r>
      <w:bookmarkStart w:id="142" w:name="bookmark139"/>
      <w:bookmarkEnd w:id="142"/>
      <w:r>
        <w:rPr>
          <w:rFonts w:hint="eastAsia" w:ascii="宋体" w:hAnsi="宋体" w:eastAsia="宋体" w:cs="宋体"/>
          <w:b/>
          <w:bCs/>
          <w:color w:val="auto"/>
          <w:spacing w:val="-2"/>
          <w:sz w:val="24"/>
          <w:szCs w:val="24"/>
          <w:highlight w:val="none"/>
        </w:rPr>
        <w:t>工员、质量员、材料员、资料员）的岗位证书或培训证书不审查其证书的有效期。</w:t>
      </w:r>
      <w:bookmarkEnd w:id="141"/>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6</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联合体投标，未提交《联合体协议书》的；擅自修改、遗漏《联合体协议书》</w:t>
      </w:r>
      <w:r>
        <w:rPr>
          <w:rFonts w:hint="eastAsia" w:ascii="宋体" w:hAnsi="宋体" w:eastAsia="宋体" w:cs="宋体"/>
          <w:color w:val="auto"/>
          <w:spacing w:val="-8"/>
          <w:sz w:val="24"/>
          <w:szCs w:val="24"/>
          <w:highlight w:val="none"/>
        </w:rPr>
        <w:t>实质性</w:t>
      </w:r>
      <w:r>
        <w:rPr>
          <w:rFonts w:hint="eastAsia" w:ascii="宋体" w:hAnsi="宋体" w:eastAsia="宋体" w:cs="宋体"/>
          <w:color w:val="auto"/>
          <w:sz w:val="24"/>
          <w:szCs w:val="24"/>
          <w:highlight w:val="none"/>
        </w:rPr>
        <w:t>内容的；联合体成员的数量、资质不符合规定的；联合体成员同时以自己名义单独投标或者参加其他联合体投标的；</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7</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投标人为外省建筑企业，但未提供“进粤企业和人员诚信信息登记平台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”企</w:t>
      </w:r>
      <w:r>
        <w:rPr>
          <w:rFonts w:hint="eastAsia" w:ascii="宋体" w:hAnsi="宋体" w:eastAsia="宋体" w:cs="宋体"/>
          <w:color w:val="auto"/>
          <w:spacing w:val="-1"/>
          <w:sz w:val="24"/>
          <w:szCs w:val="24"/>
          <w:highlight w:val="none"/>
        </w:rPr>
        <w:t>业和拟派人员信息情况打印页或网页截图的。</w:t>
      </w:r>
    </w:p>
    <w:p>
      <w:pPr>
        <w:keepNext w:val="0"/>
        <w:keepLines w:val="0"/>
        <w:pageBreakBefore w:val="0"/>
        <w:widowControl w:val="0"/>
        <w:kinsoku/>
        <w:wordWrap w:val="0"/>
        <w:overflowPunct/>
        <w:topLinePunct/>
        <w:autoSpaceDE/>
        <w:autoSpaceDN/>
        <w:bidi w:val="0"/>
        <w:adjustRightInd w:val="0"/>
        <w:snapToGrid w:val="0"/>
        <w:spacing w:line="360" w:lineRule="auto"/>
        <w:ind w:left="477" w:right="84" w:rightChars="40"/>
        <w:textAlignment w:val="baseline"/>
        <w:outlineLvl w:val="2"/>
        <w:rPr>
          <w:rFonts w:hint="eastAsia" w:ascii="宋体" w:hAnsi="宋体" w:eastAsia="宋体" w:cs="宋体"/>
          <w:color w:val="auto"/>
          <w:sz w:val="24"/>
          <w:szCs w:val="24"/>
          <w:highlight w:val="none"/>
        </w:rPr>
      </w:pPr>
      <w:bookmarkStart w:id="143" w:name="_Toc12351"/>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3"/>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w:t>
      </w:r>
      <w:r>
        <w:rPr>
          <w:rFonts w:hint="eastAsia" w:ascii="宋体" w:hAnsi="宋体" w:eastAsia="宋体" w:cs="宋体"/>
          <w:color w:val="auto"/>
          <w:spacing w:val="-8"/>
          <w:sz w:val="24"/>
          <w:szCs w:val="24"/>
          <w:highlight w:val="none"/>
        </w:rPr>
        <w:t>评审</w:t>
      </w:r>
      <w:r>
        <w:rPr>
          <w:rFonts w:hint="eastAsia" w:ascii="宋体" w:hAnsi="宋体" w:eastAsia="宋体" w:cs="宋体"/>
          <w:color w:val="auto"/>
          <w:spacing w:val="-2"/>
          <w:sz w:val="24"/>
          <w:szCs w:val="24"/>
          <w:highlight w:val="none"/>
        </w:rPr>
        <w:t>环节。</w:t>
      </w:r>
    </w:p>
    <w:p>
      <w:pPr>
        <w:keepNext w:val="0"/>
        <w:keepLines w:val="0"/>
        <w:pageBreakBefore w:val="0"/>
        <w:widowControl w:val="0"/>
        <w:kinsoku/>
        <w:wordWrap w:val="0"/>
        <w:overflowPunct/>
        <w:topLinePunct/>
        <w:autoSpaceDE/>
        <w:autoSpaceDN/>
        <w:bidi w:val="0"/>
        <w:adjustRightInd w:val="0"/>
        <w:snapToGrid w:val="0"/>
        <w:spacing w:line="360" w:lineRule="auto"/>
        <w:ind w:left="49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目、第</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目、第</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pPr>
        <w:keepNext w:val="0"/>
        <w:keepLines w:val="0"/>
        <w:pageBreakBefore w:val="0"/>
        <w:widowControl w:val="0"/>
        <w:kinsoku/>
        <w:wordWrap w:val="0"/>
        <w:overflowPunct/>
        <w:topLinePunct/>
        <w:autoSpaceDE/>
        <w:autoSpaceDN/>
        <w:bidi w:val="0"/>
        <w:adjustRightInd w:val="0"/>
        <w:snapToGrid w:val="0"/>
        <w:spacing w:line="360" w:lineRule="auto"/>
        <w:ind w:left="434"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pPr>
        <w:keepNext w:val="0"/>
        <w:keepLines w:val="0"/>
        <w:pageBreakBefore w:val="0"/>
        <w:widowControl w:val="0"/>
        <w:kinsoku/>
        <w:wordWrap w:val="0"/>
        <w:overflowPunct/>
        <w:topLinePunct/>
        <w:autoSpaceDE/>
        <w:autoSpaceDN/>
        <w:bidi w:val="0"/>
        <w:adjustRightInd w:val="0"/>
        <w:snapToGrid w:val="0"/>
        <w:spacing w:line="360" w:lineRule="auto"/>
        <w:ind w:left="475" w:right="84" w:rightChars="40"/>
        <w:textAlignment w:val="baseline"/>
        <w:outlineLvl w:val="2"/>
        <w:rPr>
          <w:rFonts w:hint="eastAsia" w:ascii="宋体" w:hAnsi="宋体" w:eastAsia="宋体" w:cs="宋体"/>
          <w:color w:val="auto"/>
          <w:sz w:val="24"/>
          <w:szCs w:val="24"/>
          <w:highlight w:val="none"/>
        </w:rPr>
      </w:pPr>
      <w:bookmarkStart w:id="144" w:name="_Toc17341"/>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4"/>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册证书的注册单位名称未完成变更的，不得否决其投标。此条与10.3.1中的造价工程师执业（含二级造价工程师）指引相一致。</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（3）投标人委托造价咨询单位编制《投标总价》，但未在《投标总价扉页》（即扉—3）“投标人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val="en-US"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color w:val="auto"/>
          <w:spacing w:val="-2"/>
          <w:sz w:val="24"/>
          <w:szCs w:val="24"/>
          <w:highlight w:val="none"/>
          <w:lang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476" w:right="84" w:rightChars="40"/>
        <w:textAlignment w:val="baseline"/>
        <w:outlineLvl w:val="2"/>
        <w:rPr>
          <w:rFonts w:hint="eastAsia" w:ascii="宋体" w:hAnsi="宋体" w:eastAsia="宋体" w:cs="宋体"/>
          <w:color w:val="auto"/>
          <w:sz w:val="24"/>
          <w:szCs w:val="24"/>
          <w:highlight w:val="none"/>
        </w:rPr>
      </w:pPr>
      <w:bookmarkStart w:id="145" w:name="_Toc9185"/>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5"/>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pacing w:val="-1"/>
          <w:sz w:val="24"/>
          <w:szCs w:val="24"/>
          <w:highlight w:val="none"/>
        </w:rPr>
        <w:t>被否决的投标人，不进入下一环节（或阶段）。</w:t>
      </w:r>
    </w:p>
    <w:p>
      <w:pPr>
        <w:keepNext w:val="0"/>
        <w:keepLines w:val="0"/>
        <w:pageBreakBefore w:val="0"/>
        <w:widowControl w:val="0"/>
        <w:kinsoku/>
        <w:wordWrap w:val="0"/>
        <w:overflowPunct/>
        <w:topLinePunct/>
        <w:autoSpaceDE/>
        <w:autoSpaceDN/>
        <w:bidi w:val="0"/>
        <w:adjustRightInd w:val="0"/>
        <w:snapToGrid w:val="0"/>
        <w:spacing w:line="360" w:lineRule="auto"/>
        <w:ind w:left="49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pPr>
        <w:keepNext w:val="0"/>
        <w:keepLines w:val="0"/>
        <w:pageBreakBefore w:val="0"/>
        <w:widowControl w:val="0"/>
        <w:kinsoku/>
        <w:wordWrap w:val="0"/>
        <w:overflowPunct/>
        <w:topLinePunct/>
        <w:autoSpaceDE/>
        <w:autoSpaceDN/>
        <w:bidi w:val="0"/>
        <w:adjustRightInd w:val="0"/>
        <w:snapToGrid w:val="0"/>
        <w:spacing w:line="360" w:lineRule="auto"/>
        <w:ind w:left="49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pPr>
        <w:keepNext w:val="0"/>
        <w:keepLines w:val="0"/>
        <w:pageBreakBefore w:val="0"/>
        <w:widowControl w:val="0"/>
        <w:kinsoku/>
        <w:wordWrap w:val="0"/>
        <w:overflowPunct/>
        <w:topLinePunct/>
        <w:autoSpaceDE/>
        <w:autoSpaceDN/>
        <w:bidi w:val="0"/>
        <w:adjustRightInd w:val="0"/>
        <w:snapToGrid w:val="0"/>
        <w:spacing w:line="360" w:lineRule="auto"/>
        <w:ind w:left="479"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pPr>
        <w:keepNext w:val="0"/>
        <w:keepLines w:val="0"/>
        <w:pageBreakBefore w:val="0"/>
        <w:widowControl w:val="0"/>
        <w:kinsoku/>
        <w:wordWrap w:val="0"/>
        <w:overflowPunct/>
        <w:topLinePunct/>
        <w:autoSpaceDE/>
        <w:autoSpaceDN/>
        <w:bidi w:val="0"/>
        <w:adjustRightInd w:val="0"/>
        <w:snapToGrid w:val="0"/>
        <w:spacing w:line="360" w:lineRule="auto"/>
        <w:ind w:left="3"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sz w:val="24"/>
          <w:szCs w:val="24"/>
          <w:highlight w:val="none"/>
        </w:rPr>
        <w:sectPr>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line="360" w:lineRule="auto"/>
        <w:ind w:left="3525" w:right="84" w:rightChars="40"/>
        <w:textAlignment w:val="baseline"/>
        <w:outlineLvl w:val="0"/>
        <w:rPr>
          <w:rFonts w:hint="eastAsia" w:ascii="宋体" w:hAnsi="宋体" w:eastAsia="宋体" w:cs="宋体"/>
          <w:color w:val="auto"/>
          <w:sz w:val="24"/>
          <w:szCs w:val="24"/>
          <w:highlight w:val="none"/>
        </w:rPr>
      </w:pPr>
      <w:bookmarkStart w:id="146" w:name="bookmark57"/>
      <w:bookmarkEnd w:id="146"/>
      <w:bookmarkStart w:id="147" w:name="_Toc26569"/>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47"/>
    </w:p>
    <w:p>
      <w:pPr>
        <w:keepNext w:val="0"/>
        <w:keepLines w:val="0"/>
        <w:pageBreakBefore w:val="0"/>
        <w:widowControl w:val="0"/>
        <w:kinsoku/>
        <w:wordWrap w:val="0"/>
        <w:overflowPunct/>
        <w:topLinePunct/>
        <w:autoSpaceDE/>
        <w:autoSpaceDN/>
        <w:bidi w:val="0"/>
        <w:adjustRightInd w:val="0"/>
        <w:snapToGrid w:val="0"/>
        <w:spacing w:line="360" w:lineRule="auto"/>
        <w:ind w:left="582" w:right="84" w:rightChars="40"/>
        <w:textAlignment w:val="baseline"/>
        <w:outlineLvl w:val="2"/>
        <w:rPr>
          <w:rFonts w:hint="eastAsia" w:ascii="宋体" w:hAnsi="宋体" w:eastAsia="宋体" w:cs="宋体"/>
          <w:color w:val="auto"/>
          <w:sz w:val="24"/>
          <w:szCs w:val="24"/>
          <w:highlight w:val="none"/>
        </w:rPr>
      </w:pPr>
      <w:bookmarkStart w:id="148" w:name="_Toc4746"/>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48"/>
    </w:p>
    <w:p>
      <w:pPr>
        <w:keepNext w:val="0"/>
        <w:keepLines w:val="0"/>
        <w:pageBreakBefore w:val="0"/>
        <w:widowControl w:val="0"/>
        <w:kinsoku/>
        <w:wordWrap w:val="0"/>
        <w:overflowPunct/>
        <w:topLinePunct/>
        <w:autoSpaceDE/>
        <w:autoSpaceDN/>
        <w:bidi w:val="0"/>
        <w:adjustRightInd w:val="0"/>
        <w:snapToGrid w:val="0"/>
        <w:spacing w:line="360" w:lineRule="auto"/>
        <w:ind w:left="17" w:right="84" w:rightChars="40" w:firstLine="55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pPr>
        <w:pStyle w:val="5"/>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572" w:right="84" w:rightChars="40"/>
        <w:textAlignment w:val="baseline"/>
        <w:outlineLvl w:val="2"/>
        <w:rPr>
          <w:rFonts w:hint="eastAsia" w:ascii="宋体" w:hAnsi="宋体" w:eastAsia="宋体" w:cs="宋体"/>
          <w:color w:val="auto"/>
          <w:sz w:val="24"/>
          <w:szCs w:val="24"/>
          <w:highlight w:val="none"/>
        </w:rPr>
      </w:pPr>
      <w:bookmarkStart w:id="149" w:name="_Toc1161"/>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49"/>
    </w:p>
    <w:p>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 xml:space="preserve">监管网（http: </w:t>
      </w:r>
      <w:r>
        <w:rPr>
          <w:rFonts w:hint="eastAsia" w:ascii="宋体" w:hAnsi="宋体" w:eastAsia="宋体" w:cs="宋体"/>
          <w:color w:val="auto"/>
          <w:spacing w:val="-2"/>
          <w:sz w:val="24"/>
          <w:szCs w:val="24"/>
          <w:highlight w:val="none"/>
        </w:rPr>
        <w:t>//zbtb.gd.gov.cn）、全国公共资源交易平台（广东省·韶关市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pPr>
        <w:pStyle w:val="5"/>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570" w:right="84" w:rightChars="40"/>
        <w:textAlignment w:val="baseline"/>
        <w:outlineLvl w:val="2"/>
        <w:rPr>
          <w:rFonts w:hint="eastAsia" w:ascii="宋体" w:hAnsi="宋体" w:eastAsia="宋体" w:cs="宋体"/>
          <w:color w:val="auto"/>
          <w:sz w:val="24"/>
          <w:szCs w:val="24"/>
          <w:highlight w:val="none"/>
        </w:rPr>
      </w:pPr>
      <w:bookmarkStart w:id="150" w:name="_Toc5812"/>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0"/>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w:t>
      </w:r>
      <w:r>
        <w:rPr>
          <w:rFonts w:hint="eastAsia" w:ascii="宋体" w:hAnsi="宋体" w:eastAsia="宋体" w:cs="宋体"/>
          <w:color w:val="auto"/>
          <w:spacing w:val="-3"/>
          <w:sz w:val="24"/>
          <w:szCs w:val="24"/>
          <w:highlight w:val="none"/>
        </w:rPr>
        <w:t>保证金</w:t>
      </w:r>
      <w:r>
        <w:rPr>
          <w:rFonts w:hint="eastAsia" w:ascii="宋体" w:hAnsi="宋体" w:eastAsia="宋体" w:cs="宋体"/>
          <w:color w:val="auto"/>
          <w:spacing w:val="-1"/>
          <w:position w:val="2"/>
          <w:sz w:val="24"/>
          <w:szCs w:val="24"/>
          <w:highlight w:val="none"/>
        </w:rPr>
        <w:t>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
          <w:sz w:val="24"/>
          <w:szCs w:val="24"/>
          <w:highlight w:val="none"/>
        </w:rPr>
        <w:t>有效期应当自</w:t>
      </w:r>
      <w:r>
        <w:rPr>
          <w:rFonts w:hint="eastAsia" w:ascii="宋体" w:hAnsi="宋体" w:eastAsia="宋体" w:cs="宋体"/>
          <w:color w:val="auto"/>
          <w:spacing w:val="-3"/>
          <w:sz w:val="24"/>
          <w:szCs w:val="24"/>
          <w:highlight w:val="none"/>
        </w:rPr>
        <w:t>合同</w:t>
      </w:r>
      <w:r>
        <w:rPr>
          <w:rFonts w:hint="eastAsia" w:ascii="宋体" w:hAnsi="宋体" w:eastAsia="宋体" w:cs="宋体"/>
          <w:color w:val="auto"/>
          <w:spacing w:val="-1"/>
          <w:sz w:val="24"/>
          <w:szCs w:val="24"/>
          <w:highlight w:val="none"/>
        </w:rPr>
        <w:t>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28天止。</w:t>
      </w:r>
    </w:p>
    <w:p>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w:t>
      </w:r>
      <w:r>
        <w:rPr>
          <w:rFonts w:hint="eastAsia" w:ascii="宋体" w:hAnsi="宋体" w:eastAsia="宋体" w:cs="宋体"/>
          <w:color w:val="auto"/>
          <w:spacing w:val="-3"/>
          <w:sz w:val="24"/>
          <w:szCs w:val="24"/>
          <w:highlight w:val="none"/>
          <w:lang w:eastAsia="zh-CN"/>
        </w:rPr>
        <w:t>项目</w:t>
      </w:r>
      <w:r>
        <w:rPr>
          <w:rFonts w:hint="eastAsia" w:ascii="宋体" w:hAnsi="宋体" w:eastAsia="宋体" w:cs="宋体"/>
          <w:color w:val="auto"/>
          <w:spacing w:val="-1"/>
          <w:position w:val="2"/>
          <w:sz w:val="24"/>
          <w:szCs w:val="24"/>
          <w:highlight w:val="none"/>
          <w:lang w:eastAsia="zh-CN"/>
        </w:rPr>
        <w:t>工期；由中标人在建设工程交易系统中自主选择一种进行缴交。项目竣工后，由招标人发起退保。）</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中标人在领取中标通知书之日起10个工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出第一次提醒函；在领取中标通知书之日起15个工作日内仍未提交的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pPr>
        <w:keepNext w:val="0"/>
        <w:keepLines w:val="0"/>
        <w:pageBreakBefore w:val="0"/>
        <w:widowControl w:val="0"/>
        <w:kinsoku/>
        <w:wordWrap w:val="0"/>
        <w:overflowPunct/>
        <w:topLinePunct/>
        <w:autoSpaceDE/>
        <w:autoSpaceDN/>
        <w:bidi w:val="0"/>
        <w:adjustRightInd w:val="0"/>
        <w:snapToGrid w:val="0"/>
        <w:spacing w:line="360" w:lineRule="auto"/>
        <w:ind w:left="48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28天内，发包人将履</w:t>
      </w:r>
      <w:r>
        <w:rPr>
          <w:rFonts w:hint="eastAsia" w:ascii="宋体" w:hAnsi="宋体" w:eastAsia="宋体" w:cs="宋体"/>
          <w:color w:val="auto"/>
          <w:spacing w:val="-1"/>
          <w:sz w:val="24"/>
          <w:szCs w:val="24"/>
          <w:highlight w:val="none"/>
        </w:rPr>
        <w:t>约保证退还给承包人。</w:t>
      </w:r>
    </w:p>
    <w:p>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outlineLvl w:val="2"/>
        <w:rPr>
          <w:rFonts w:hint="eastAsia" w:ascii="宋体" w:hAnsi="宋体" w:eastAsia="宋体" w:cs="宋体"/>
          <w:color w:val="auto"/>
          <w:sz w:val="24"/>
          <w:szCs w:val="24"/>
          <w:highlight w:val="none"/>
        </w:rPr>
      </w:pPr>
      <w:bookmarkStart w:id="151" w:name="_Toc10991"/>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51"/>
    </w:p>
    <w:p>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的造价咨询单位实施。</w:t>
      </w:r>
    </w:p>
    <w:p>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val="en-US" w:eastAsia="zh-CN"/>
        </w:rPr>
        <w:t>最高投标限价</w:t>
      </w:r>
      <w:r>
        <w:rPr>
          <w:rFonts w:hint="eastAsia" w:ascii="宋体" w:hAnsi="宋体" w:eastAsia="宋体" w:cs="宋体"/>
          <w:color w:val="auto"/>
          <w:spacing w:val="2"/>
          <w:sz w:val="24"/>
          <w:szCs w:val="24"/>
          <w:highlight w:val="none"/>
          <w:u w:val="single"/>
        </w:rPr>
        <w:t>《</w:t>
      </w:r>
      <w:r>
        <w:rPr>
          <w:rFonts w:hint="eastAsia" w:ascii="宋体" w:hAnsi="宋体" w:eastAsia="宋体" w:cs="宋体"/>
          <w:color w:val="auto"/>
          <w:spacing w:val="2"/>
          <w:sz w:val="24"/>
          <w:szCs w:val="24"/>
          <w:highlight w:val="none"/>
          <w:u w:val="single"/>
          <w:lang w:eastAsia="zh-CN"/>
        </w:rPr>
        <w:t>分部分项工程项目清单计价表</w:t>
      </w:r>
      <w:r>
        <w:rPr>
          <w:rFonts w:hint="eastAsia" w:ascii="宋体" w:hAnsi="宋体" w:eastAsia="宋体" w:cs="宋体"/>
          <w:color w:val="auto"/>
          <w:spacing w:val="2"/>
          <w:sz w:val="24"/>
          <w:szCs w:val="24"/>
          <w:highlight w:val="none"/>
          <w:u w:val="single"/>
        </w:rPr>
        <w:t xml:space="preserve">》中对应综合单价的偏差大于±15%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8"/>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3个工作日内，将投标保证金（或银行保函）退还给中标人和其他中标候选人。</w:t>
      </w:r>
    </w:p>
    <w:p>
      <w:pPr>
        <w:keepNext w:val="0"/>
        <w:keepLines w:val="0"/>
        <w:pageBreakBefore w:val="0"/>
        <w:widowControl w:val="0"/>
        <w:kinsoku/>
        <w:wordWrap w:val="0"/>
        <w:overflowPunct/>
        <w:topLinePunct/>
        <w:autoSpaceDE/>
        <w:autoSpaceDN/>
        <w:bidi w:val="0"/>
        <w:adjustRightInd w:val="0"/>
        <w:snapToGrid w:val="0"/>
        <w:spacing w:line="360" w:lineRule="auto"/>
        <w:ind w:left="489" w:right="84" w:rightChars="40"/>
        <w:textAlignment w:val="baseline"/>
        <w:outlineLvl w:val="2"/>
        <w:rPr>
          <w:rFonts w:hint="eastAsia" w:ascii="宋体" w:hAnsi="宋体" w:eastAsia="宋体" w:cs="宋体"/>
          <w:color w:val="auto"/>
          <w:sz w:val="24"/>
          <w:szCs w:val="24"/>
          <w:highlight w:val="none"/>
        </w:rPr>
      </w:pPr>
      <w:bookmarkStart w:id="152" w:name="_Toc17531"/>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52"/>
    </w:p>
    <w:p>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w:t>
      </w:r>
      <w:r>
        <w:rPr>
          <w:rFonts w:hint="eastAsia" w:ascii="宋体" w:hAnsi="宋体" w:eastAsia="宋体" w:cs="宋体"/>
          <w:b w:val="0"/>
          <w:bCs w:val="0"/>
          <w:color w:val="auto"/>
          <w:spacing w:val="-3"/>
          <w:sz w:val="24"/>
          <w:szCs w:val="24"/>
          <w:highlight w:val="none"/>
        </w:rPr>
        <w:t>招标</w:t>
      </w:r>
      <w:r>
        <w:rPr>
          <w:rFonts w:hint="eastAsia" w:ascii="宋体" w:hAnsi="宋体" w:eastAsia="宋体" w:cs="宋体"/>
          <w:b w:val="0"/>
          <w:bCs w:val="0"/>
          <w:color w:val="auto"/>
          <w:spacing w:val="-2"/>
          <w:sz w:val="24"/>
          <w:szCs w:val="24"/>
          <w:highlight w:val="none"/>
        </w:rPr>
        <w:t>人</w:t>
      </w:r>
      <w:r>
        <w:rPr>
          <w:rFonts w:hint="eastAsia" w:ascii="宋体" w:hAnsi="宋体" w:eastAsia="宋体" w:cs="宋体"/>
          <w:color w:val="auto"/>
          <w:spacing w:val="-2"/>
          <w:sz w:val="24"/>
          <w:szCs w:val="24"/>
          <w:highlight w:val="none"/>
        </w:rPr>
        <w:t>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53" w:name="bookmark84"/>
      <w:bookmarkEnd w:id="153"/>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19" w:lineRule="auto"/>
        <w:ind w:left="2923" w:right="84" w:rightChars="40"/>
        <w:outlineLvl w:val="0"/>
        <w:rPr>
          <w:rFonts w:hint="eastAsia" w:ascii="宋体" w:hAnsi="宋体" w:eastAsia="宋体" w:cs="宋体"/>
          <w:color w:val="auto"/>
          <w:sz w:val="24"/>
          <w:szCs w:val="24"/>
          <w:highlight w:val="none"/>
        </w:rPr>
      </w:pPr>
      <w:bookmarkStart w:id="154" w:name="bookmark86"/>
      <w:bookmarkEnd w:id="154"/>
      <w:bookmarkStart w:id="155" w:name="_Toc4553"/>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55"/>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498" w:right="84" w:rightChars="40"/>
        <w:textAlignment w:val="baseline"/>
        <w:outlineLvl w:val="2"/>
        <w:rPr>
          <w:rFonts w:hint="eastAsia" w:ascii="宋体" w:hAnsi="宋体" w:eastAsia="宋体" w:cs="宋体"/>
          <w:color w:val="auto"/>
          <w:sz w:val="24"/>
          <w:szCs w:val="24"/>
          <w:highlight w:val="none"/>
        </w:rPr>
      </w:pPr>
      <w:bookmarkStart w:id="156" w:name="_Toc17914"/>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56"/>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pPr>
        <w:pStyle w:val="5"/>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outlineLvl w:val="2"/>
        <w:rPr>
          <w:rFonts w:hint="eastAsia" w:ascii="宋体" w:hAnsi="宋体" w:eastAsia="宋体" w:cs="宋体"/>
          <w:color w:val="auto"/>
          <w:sz w:val="24"/>
          <w:szCs w:val="24"/>
          <w:highlight w:val="none"/>
        </w:rPr>
      </w:pPr>
      <w:bookmarkStart w:id="157" w:name="bookmark88"/>
      <w:bookmarkEnd w:id="157"/>
      <w:bookmarkStart w:id="158" w:name="_Toc22342"/>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58"/>
    </w:p>
    <w:p>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59" w:name="OLE_LINK28"/>
      <w:r>
        <w:rPr>
          <w:rFonts w:hint="eastAsia" w:ascii="宋体" w:hAnsi="宋体" w:eastAsia="宋体" w:cs="宋体"/>
          <w:color w:val="auto"/>
          <w:spacing w:val="-5"/>
          <w:sz w:val="24"/>
          <w:szCs w:val="24"/>
          <w:highlight w:val="none"/>
          <w:lang w:eastAsia="zh-CN"/>
        </w:rPr>
        <w:t>《建设工程工程量清单计价标准》（GB/T50500-2024）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59"/>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28天。</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.3.1.1</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合同履行期间，当应予计算的实际工程量与招标工程量清单出现偏差或因工程变更引起已标价工程量清单项目的工程数量发生变化时，工程量偏差或变化在15%以</w:t>
      </w:r>
      <w:r>
        <w:rPr>
          <w:rFonts w:hint="eastAsia" w:ascii="宋体" w:hAnsi="宋体" w:eastAsia="宋体" w:cs="宋体"/>
          <w:color w:val="auto"/>
          <w:spacing w:val="-4"/>
          <w:sz w:val="24"/>
          <w:szCs w:val="24"/>
          <w:highlight w:val="none"/>
        </w:rPr>
        <w:t>内（含15%）的，其综合单价不予调整；工程量偏差或变化超过15%的，按照以下规定</w:t>
      </w:r>
      <w:r>
        <w:rPr>
          <w:rFonts w:hint="eastAsia" w:ascii="宋体" w:hAnsi="宋体" w:eastAsia="宋体" w:cs="宋体"/>
          <w:color w:val="auto"/>
          <w:spacing w:val="-3"/>
          <w:sz w:val="24"/>
          <w:szCs w:val="24"/>
          <w:highlight w:val="none"/>
        </w:rPr>
        <w:t>调整：</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bookmarkStart w:id="160" w:name="bookmark142"/>
      <w:bookmarkEnd w:id="160"/>
      <w:r>
        <w:rPr>
          <w:rFonts w:hint="eastAsia" w:ascii="宋体" w:hAnsi="宋体" w:eastAsia="宋体" w:cs="宋体"/>
          <w:color w:val="auto"/>
          <w:spacing w:val="-3"/>
          <w:sz w:val="24"/>
          <w:szCs w:val="24"/>
          <w:highlight w:val="none"/>
        </w:rPr>
        <w:t>对于合理报价的清单项目，当工程量增加超过15%时，增加部分的工程量的综合单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w:t>
      </w:r>
      <w:r>
        <w:rPr>
          <w:rFonts w:hint="eastAsia" w:ascii="宋体" w:hAnsi="宋体" w:eastAsia="宋体" w:cs="宋体"/>
          <w:color w:val="auto"/>
          <w:spacing w:val="-3"/>
          <w:sz w:val="24"/>
          <w:szCs w:val="24"/>
          <w:highlight w:val="none"/>
          <w:lang w:eastAsia="zh-CN"/>
        </w:rPr>
        <w:t>分部分项工程项目清单计价表</w:t>
      </w:r>
      <w:r>
        <w:rPr>
          <w:rFonts w:hint="eastAsia" w:ascii="宋体" w:hAnsi="宋体" w:eastAsia="宋体" w:cs="宋体"/>
          <w:color w:val="auto"/>
          <w:spacing w:val="-3"/>
          <w:sz w:val="24"/>
          <w:szCs w:val="24"/>
          <w:highlight w:val="none"/>
        </w:rPr>
        <w:t>》中综合单价为基价调低</w:t>
      </w:r>
      <w:r>
        <w:rPr>
          <w:rFonts w:hint="eastAsia" w:ascii="宋体" w:hAnsi="宋体" w:eastAsia="宋体" w:cs="宋体"/>
          <w:color w:val="auto"/>
          <w:spacing w:val="-3"/>
          <w:sz w:val="24"/>
          <w:szCs w:val="24"/>
          <w:highlight w:val="none"/>
          <w:u w:val="single"/>
        </w:rPr>
        <w:t xml:space="preserve"> 3</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%；当工程量减少超过15%时，减少后剩余部分的工程量的综合单价以投标报价《</w:t>
      </w:r>
      <w:r>
        <w:rPr>
          <w:rFonts w:hint="eastAsia" w:ascii="宋体" w:hAnsi="宋体" w:eastAsia="宋体" w:cs="宋体"/>
          <w:color w:val="auto"/>
          <w:spacing w:val="-3"/>
          <w:sz w:val="24"/>
          <w:szCs w:val="24"/>
          <w:highlight w:val="none"/>
          <w:lang w:eastAsia="zh-CN"/>
        </w:rPr>
        <w:t>分部分项工程项目清单计价表</w:t>
      </w:r>
      <w:r>
        <w:rPr>
          <w:rFonts w:hint="eastAsia" w:ascii="宋体" w:hAnsi="宋体" w:eastAsia="宋体" w:cs="宋体"/>
          <w:color w:val="auto"/>
          <w:spacing w:val="-3"/>
          <w:sz w:val="24"/>
          <w:szCs w:val="24"/>
          <w:highlight w:val="none"/>
        </w:rPr>
        <w:t>》中综合单价为基价调高</w:t>
      </w:r>
      <w:r>
        <w:rPr>
          <w:rFonts w:hint="eastAsia" w:ascii="宋体" w:hAnsi="宋体" w:eastAsia="宋体" w:cs="宋体"/>
          <w:color w:val="auto"/>
          <w:spacing w:val="-3"/>
          <w:sz w:val="24"/>
          <w:szCs w:val="24"/>
          <w:highlight w:val="none"/>
          <w:u w:val="single"/>
        </w:rPr>
        <w:t xml:space="preserve"> 3</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w:t>
      </w:r>
      <w:r>
        <w:rPr>
          <w:rFonts w:hint="eastAsia" w:ascii="宋体" w:hAnsi="宋体" w:eastAsia="宋体" w:cs="宋体"/>
          <w:color w:val="auto"/>
          <w:spacing w:val="-3"/>
          <w:sz w:val="24"/>
          <w:szCs w:val="24"/>
          <w:highlight w:val="none"/>
        </w:rPr>
        <w:t>按照</w:t>
      </w:r>
      <w:r>
        <w:rPr>
          <w:rFonts w:hint="eastAsia" w:ascii="宋体" w:hAnsi="宋体" w:eastAsia="宋体" w:cs="宋体"/>
          <w:b/>
          <w:bCs/>
          <w:color w:val="auto"/>
          <w:spacing w:val="-3"/>
          <w:sz w:val="24"/>
          <w:szCs w:val="24"/>
          <w:highlight w:val="none"/>
        </w:rPr>
        <w:t>以下方法调整：</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中《</w:t>
      </w:r>
      <w:r>
        <w:rPr>
          <w:rFonts w:hint="eastAsia" w:ascii="宋体" w:hAnsi="宋体" w:eastAsia="宋体" w:cs="宋体"/>
          <w:b/>
          <w:bCs/>
          <w:color w:val="auto"/>
          <w:spacing w:val="-4"/>
          <w:sz w:val="24"/>
          <w:szCs w:val="24"/>
          <w:highlight w:val="none"/>
          <w:lang w:eastAsia="zh-CN"/>
        </w:rPr>
        <w:t>分部分项工程项目清单计价表</w:t>
      </w:r>
      <w:r>
        <w:rPr>
          <w:rFonts w:hint="eastAsia" w:ascii="宋体" w:hAnsi="宋体" w:eastAsia="宋体" w:cs="宋体"/>
          <w:b/>
          <w:bCs/>
          <w:color w:val="auto"/>
          <w:spacing w:val="-4"/>
          <w:sz w:val="24"/>
          <w:szCs w:val="24"/>
          <w:highlight w:val="none"/>
        </w:rPr>
        <w:t>》子目相对应综合单价×（1-中标下浮率）。</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bCs/>
          <w:color w:val="auto"/>
          <w:spacing w:val="-4"/>
          <w:sz w:val="24"/>
          <w:szCs w:val="24"/>
          <w:highlight w:val="none"/>
        </w:rPr>
      </w:pPr>
      <w:bookmarkStart w:id="161" w:name="_Toc12035"/>
      <w:bookmarkStart w:id="162" w:name="_Toc18478"/>
      <w:bookmarkStart w:id="163" w:name="_Toc30068"/>
      <w:r>
        <w:rPr>
          <w:rFonts w:hint="eastAsia" w:ascii="宋体" w:hAnsi="宋体" w:eastAsia="宋体" w:cs="宋体"/>
          <w:b/>
          <w:bCs/>
          <w:color w:val="auto"/>
          <w:spacing w:val="-4"/>
          <w:sz w:val="24"/>
          <w:szCs w:val="24"/>
          <w:highlight w:val="none"/>
        </w:rPr>
        <w:t>中标下浮率=[1-（中标价-中标</w:t>
      </w:r>
      <w:r>
        <w:rPr>
          <w:rFonts w:hint="eastAsia" w:ascii="宋体" w:hAnsi="宋体" w:eastAsia="宋体" w:cs="宋体"/>
          <w:b/>
          <w:bCs/>
          <w:color w:val="auto"/>
          <w:spacing w:val="-4"/>
          <w:sz w:val="24"/>
          <w:szCs w:val="24"/>
          <w:highlight w:val="none"/>
          <w:lang w:eastAsia="zh-CN"/>
        </w:rPr>
        <w:t>安全生产措施费</w:t>
      </w:r>
      <w:r>
        <w:rPr>
          <w:rFonts w:hint="eastAsia" w:ascii="宋体" w:hAnsi="宋体" w:eastAsia="宋体" w:cs="宋体"/>
          <w:b/>
          <w:bCs/>
          <w:color w:val="auto"/>
          <w:spacing w:val="-4"/>
          <w:sz w:val="24"/>
          <w:szCs w:val="24"/>
          <w:highlight w:val="none"/>
        </w:rPr>
        <w:t>-暂列金额-暂估价）/（</w:t>
      </w:r>
      <w:bookmarkEnd w:id="161"/>
      <w:bookmarkEnd w:id="162"/>
      <w:bookmarkStart w:id="164" w:name="_Toc13602"/>
      <w:bookmarkStart w:id="165" w:name="_Toc15512"/>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w:t>
      </w:r>
      <w:r>
        <w:rPr>
          <w:rFonts w:hint="eastAsia" w:ascii="宋体" w:hAnsi="宋体" w:eastAsia="宋体" w:cs="宋体"/>
          <w:b/>
          <w:bCs/>
          <w:color w:val="auto"/>
          <w:spacing w:val="-3"/>
          <w:sz w:val="24"/>
          <w:szCs w:val="24"/>
          <w:highlight w:val="none"/>
          <w:lang w:val="en-US" w:eastAsia="zh-CN"/>
        </w:rPr>
        <w:t>投标</w:t>
      </w:r>
      <w:r>
        <w:rPr>
          <w:rFonts w:hint="eastAsia" w:ascii="宋体" w:hAnsi="宋体" w:eastAsia="宋体" w:cs="宋体"/>
          <w:b/>
          <w:bCs/>
          <w:color w:val="auto"/>
          <w:spacing w:val="-4"/>
          <w:sz w:val="24"/>
          <w:szCs w:val="24"/>
          <w:highlight w:val="none"/>
          <w:lang w:val="en-US" w:eastAsia="zh-CN"/>
        </w:rPr>
        <w:t>限价</w:t>
      </w:r>
      <w:r>
        <w:rPr>
          <w:rFonts w:hint="eastAsia" w:ascii="宋体" w:hAnsi="宋体" w:eastAsia="宋体" w:cs="宋体"/>
          <w:b/>
          <w:bCs/>
          <w:color w:val="auto"/>
          <w:spacing w:val="-4"/>
          <w:sz w:val="24"/>
          <w:szCs w:val="24"/>
          <w:highlight w:val="none"/>
          <w:lang w:eastAsia="zh-CN"/>
        </w:rPr>
        <w:t>安全生产措施费</w:t>
      </w:r>
      <w:r>
        <w:rPr>
          <w:rFonts w:hint="eastAsia" w:ascii="宋体" w:hAnsi="宋体" w:eastAsia="宋体" w:cs="宋体"/>
          <w:b/>
          <w:bCs/>
          <w:color w:val="auto"/>
          <w:spacing w:val="-4"/>
          <w:sz w:val="24"/>
          <w:szCs w:val="24"/>
          <w:highlight w:val="none"/>
        </w:rPr>
        <w:t>-暂列金额-暂估价）]×100%</w:t>
      </w:r>
      <w:bookmarkEnd w:id="163"/>
      <w:bookmarkEnd w:id="164"/>
      <w:bookmarkEnd w:id="165"/>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w:t>
      </w:r>
      <w:r>
        <w:rPr>
          <w:rFonts w:hint="eastAsia" w:ascii="宋体" w:hAnsi="宋体" w:eastAsia="宋体" w:cs="宋体"/>
          <w:color w:val="auto"/>
          <w:spacing w:val="-2"/>
          <w:sz w:val="24"/>
          <w:szCs w:val="24"/>
          <w:highlight w:val="none"/>
          <w:lang w:eastAsia="zh-CN"/>
        </w:rPr>
        <w:t>分部分项工程项目清单计价表</w:t>
      </w:r>
      <w:r>
        <w:rPr>
          <w:rFonts w:hint="eastAsia" w:ascii="宋体" w:hAnsi="宋体" w:eastAsia="宋体" w:cs="宋体"/>
          <w:color w:val="auto"/>
          <w:spacing w:val="-2"/>
          <w:sz w:val="24"/>
          <w:szCs w:val="24"/>
          <w:highlight w:val="none"/>
        </w:rPr>
        <w:t>》总金额大于原投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w:t>
      </w:r>
      <w:r>
        <w:rPr>
          <w:rFonts w:hint="eastAsia" w:ascii="宋体" w:hAnsi="宋体" w:eastAsia="宋体" w:cs="宋体"/>
          <w:color w:val="auto"/>
          <w:spacing w:val="-2"/>
          <w:sz w:val="24"/>
          <w:szCs w:val="24"/>
          <w:highlight w:val="none"/>
          <w:lang w:eastAsia="zh-CN"/>
        </w:rPr>
        <w:t>分部分项工程项目清单计价表</w:t>
      </w:r>
      <w:r>
        <w:rPr>
          <w:rFonts w:hint="eastAsia" w:ascii="宋体" w:hAnsi="宋体" w:eastAsia="宋体" w:cs="宋体"/>
          <w:color w:val="auto"/>
          <w:spacing w:val="-1"/>
          <w:sz w:val="24"/>
          <w:szCs w:val="24"/>
          <w:highlight w:val="none"/>
        </w:rPr>
        <w:t>》总金额与原投标报价中的该部分总</w:t>
      </w:r>
      <w:r>
        <w:rPr>
          <w:rFonts w:hint="eastAsia" w:ascii="宋体" w:hAnsi="宋体" w:eastAsia="宋体" w:cs="宋体"/>
          <w:color w:val="auto"/>
          <w:spacing w:val="-2"/>
          <w:sz w:val="24"/>
          <w:szCs w:val="24"/>
          <w:highlight w:val="none"/>
        </w:rPr>
        <w:t>金额一致；若修正后的该部分《</w:t>
      </w:r>
      <w:r>
        <w:rPr>
          <w:rFonts w:hint="eastAsia" w:ascii="宋体" w:hAnsi="宋体" w:eastAsia="宋体" w:cs="宋体"/>
          <w:color w:val="auto"/>
          <w:spacing w:val="-2"/>
          <w:sz w:val="24"/>
          <w:szCs w:val="24"/>
          <w:highlight w:val="none"/>
          <w:lang w:eastAsia="zh-CN"/>
        </w:rPr>
        <w:t>分部分项工程项目清单计价表</w:t>
      </w:r>
      <w:r>
        <w:rPr>
          <w:rFonts w:hint="eastAsia" w:ascii="宋体" w:hAnsi="宋体" w:eastAsia="宋体" w:cs="宋体"/>
          <w:color w:val="auto"/>
          <w:spacing w:val="-1"/>
          <w:sz w:val="24"/>
          <w:szCs w:val="24"/>
          <w:highlight w:val="none"/>
        </w:rPr>
        <w:t>》总金额小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w:t>
      </w:r>
      <w:r>
        <w:rPr>
          <w:rFonts w:hint="eastAsia" w:ascii="宋体" w:hAnsi="宋体" w:eastAsia="宋体" w:cs="宋体"/>
          <w:color w:val="auto"/>
          <w:spacing w:val="-1"/>
          <w:sz w:val="24"/>
          <w:szCs w:val="24"/>
          <w:highlight w:val="none"/>
          <w:lang w:eastAsia="zh-CN"/>
        </w:rPr>
        <w:t>分部分项工程项目清单计价表</w:t>
      </w:r>
      <w:r>
        <w:rPr>
          <w:rFonts w:hint="eastAsia" w:ascii="宋体" w:hAnsi="宋体" w:eastAsia="宋体" w:cs="宋体"/>
          <w:color w:val="auto"/>
          <w:spacing w:val="-2"/>
          <w:sz w:val="24"/>
          <w:szCs w:val="24"/>
          <w:highlight w:val="none"/>
        </w:rPr>
        <w:t>》总金额与原投标报价中的该</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2.3.2.1</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pPr>
        <w:keepNext w:val="0"/>
        <w:keepLines w:val="0"/>
        <w:pageBreakBefore w:val="0"/>
        <w:widowControl w:val="0"/>
        <w:kinsoku/>
        <w:wordWrap w:val="0"/>
        <w:overflowPunct/>
        <w:topLinePunct/>
        <w:autoSpaceDE/>
        <w:autoSpaceDN/>
        <w:bidi w:val="0"/>
        <w:adjustRightInd w:val="0"/>
        <w:snapToGrid w:val="0"/>
        <w:spacing w:line="360" w:lineRule="auto"/>
        <w:ind w:left="19" w:right="84" w:rightChars="40" w:firstLine="46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pPr>
        <w:keepNext w:val="0"/>
        <w:keepLines w:val="0"/>
        <w:pageBreakBefore w:val="0"/>
        <w:widowControl w:val="0"/>
        <w:numPr>
          <w:ilvl w:val="0"/>
          <w:numId w:val="4"/>
        </w:numPr>
        <w:kinsoku/>
        <w:wordWrap w:val="0"/>
        <w:overflowPunct/>
        <w:topLinePunct/>
        <w:autoSpaceDE/>
        <w:autoSpaceDN/>
        <w:bidi w:val="0"/>
        <w:adjustRightInd w:val="0"/>
        <w:snapToGrid w:val="0"/>
        <w:spacing w:line="360" w:lineRule="auto"/>
        <w:ind w:right="84" w:rightChars="40" w:firstLine="242" w:firstLineChars="100"/>
        <w:textAlignment w:val="baseline"/>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66" w:name="bookmark143"/>
      <w:bookmarkEnd w:id="166"/>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4.2条被认定为不平衡报价的清单项目，</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本章2.3.2.1的</w:t>
      </w:r>
      <w:r>
        <w:rPr>
          <w:rFonts w:hint="eastAsia" w:ascii="宋体" w:hAnsi="宋体" w:eastAsia="宋体" w:cs="宋体"/>
          <w:b/>
          <w:bCs/>
          <w:color w:val="auto"/>
          <w:spacing w:val="-2"/>
          <w:sz w:val="24"/>
          <w:szCs w:val="24"/>
          <w:highlight w:val="none"/>
        </w:rPr>
        <w:t>方法调整。】</w:t>
      </w:r>
    </w:p>
    <w:p>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ind w:right="84" w:rightChars="40" w:firstLine="237"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4.2条被认定为不平衡报价的清单项目，变更工程项目的单价按照本章2.3.2.1的方法调整。</w:t>
      </w:r>
    </w:p>
    <w:p>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ind w:right="84" w:rightChars="40" w:firstLine="242" w:firstLineChars="1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pPr>
        <w:keepNext w:val="0"/>
        <w:keepLines w:val="0"/>
        <w:pageBreakBefore w:val="0"/>
        <w:widowControl w:val="0"/>
        <w:kinsoku/>
        <w:wordWrap w:val="0"/>
        <w:overflowPunct/>
        <w:topLinePunct/>
        <w:autoSpaceDE/>
        <w:autoSpaceDN/>
        <w:bidi w:val="0"/>
        <w:adjustRightInd w:val="0"/>
        <w:snapToGrid w:val="0"/>
        <w:spacing w:line="360" w:lineRule="auto"/>
        <w:ind w:left="28" w:right="84" w:rightChars="40" w:firstLine="50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val="en-US" w:eastAsia="zh-CN"/>
        </w:rPr>
        <w:t>最高投标限价</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投标限价</w:t>
      </w:r>
      <w:r>
        <w:rPr>
          <w:rFonts w:hint="eastAsia" w:ascii="宋体" w:hAnsi="宋体" w:eastAsia="宋体" w:cs="宋体"/>
          <w:b/>
          <w:bCs/>
          <w:color w:val="auto"/>
          <w:spacing w:val="-3"/>
          <w:sz w:val="24"/>
          <w:szCs w:val="24"/>
          <w:highlight w:val="none"/>
          <w:lang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242" w:firstLineChars="1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pPr>
        <w:keepNext w:val="0"/>
        <w:keepLines w:val="0"/>
        <w:pageBreakBefore w:val="0"/>
        <w:widowControl w:val="0"/>
        <w:kinsoku/>
        <w:wordWrap w:val="0"/>
        <w:overflowPunct/>
        <w:topLinePunct/>
        <w:autoSpaceDE/>
        <w:autoSpaceDN/>
        <w:bidi w:val="0"/>
        <w:adjustRightInd w:val="0"/>
        <w:snapToGrid w:val="0"/>
        <w:spacing w:line="360" w:lineRule="auto"/>
        <w:ind w:left="499"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安全生产措施费</w:t>
      </w:r>
      <w:r>
        <w:rPr>
          <w:rFonts w:hint="eastAsia" w:ascii="宋体" w:hAnsi="宋体" w:eastAsia="宋体" w:cs="宋体"/>
          <w:color w:val="auto"/>
          <w:spacing w:val="-1"/>
          <w:sz w:val="24"/>
          <w:szCs w:val="24"/>
          <w:highlight w:val="none"/>
        </w:rPr>
        <w:t>应按照实际发生变化的措施项目计算。</w:t>
      </w:r>
    </w:p>
    <w:p>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77"/>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采用单价计算的措施项目费，应按照实际发生变化的措施项目，按本章第2.3.3.1子目的规定确定单价。</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9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考虑中标下浮率因素，即调整金额＝按照实际变化调整后的金额×（1-中标下浮率）。</w:t>
      </w:r>
    </w:p>
    <w:p>
      <w:pPr>
        <w:keepNext w:val="0"/>
        <w:keepLines w:val="0"/>
        <w:pageBreakBefore w:val="0"/>
        <w:widowControl w:val="0"/>
        <w:kinsoku/>
        <w:wordWrap w:val="0"/>
        <w:overflowPunct/>
        <w:topLinePunct/>
        <w:autoSpaceDE/>
        <w:autoSpaceDN/>
        <w:bidi w:val="0"/>
        <w:adjustRightInd w:val="0"/>
        <w:snapToGrid w:val="0"/>
        <w:spacing w:line="360" w:lineRule="auto"/>
        <w:ind w:left="21" w:right="84" w:rightChars="40" w:firstLine="47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pPr>
        <w:keepNext w:val="0"/>
        <w:keepLines w:val="0"/>
        <w:pageBreakBefore w:val="0"/>
        <w:widowControl w:val="0"/>
        <w:kinsoku/>
        <w:wordWrap w:val="0"/>
        <w:overflowPunct/>
        <w:topLinePunct/>
        <w:autoSpaceDE/>
        <w:autoSpaceDN/>
        <w:bidi w:val="0"/>
        <w:adjustRightInd w:val="0"/>
        <w:snapToGrid w:val="0"/>
        <w:spacing w:line="360" w:lineRule="auto"/>
        <w:ind w:left="484"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0"/>
        <w:jc w:val="both"/>
        <w:textAlignment w:val="baseline"/>
        <w:rPr>
          <w:rFonts w:hint="eastAsia" w:ascii="宋体" w:hAnsi="宋体" w:eastAsia="宋体" w:cs="宋体"/>
          <w:color w:val="auto"/>
          <w:sz w:val="24"/>
          <w:szCs w:val="24"/>
          <w:highlight w:val="none"/>
        </w:rPr>
      </w:pPr>
      <w:bookmarkStart w:id="167" w:name="bookmark144"/>
      <w:bookmarkEnd w:id="167"/>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2.3.3</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pPr>
        <w:keepNext w:val="0"/>
        <w:keepLines w:val="0"/>
        <w:pageBreakBefore w:val="0"/>
        <w:widowControl w:val="0"/>
        <w:kinsoku/>
        <w:wordWrap w:val="0"/>
        <w:overflowPunct/>
        <w:topLinePunct/>
        <w:autoSpaceDE/>
        <w:autoSpaceDN/>
        <w:bidi w:val="0"/>
        <w:adjustRightInd w:val="0"/>
        <w:snapToGrid w:val="0"/>
        <w:spacing w:line="360" w:lineRule="auto"/>
        <w:ind w:left="485"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子目的规定确定单价，并调整合同价款。</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3.3.2</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71"/>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2.3.3.2</w:t>
      </w:r>
      <w:r>
        <w:rPr>
          <w:rFonts w:hint="eastAsia" w:ascii="宋体" w:hAnsi="宋体" w:eastAsia="宋体" w:cs="宋体"/>
          <w:color w:val="auto"/>
          <w:spacing w:val="-1"/>
          <w:sz w:val="24"/>
          <w:szCs w:val="24"/>
          <w:highlight w:val="none"/>
        </w:rPr>
        <w:t>子目的规定调整合同价款。</w:t>
      </w:r>
    </w:p>
    <w:p>
      <w:pPr>
        <w:keepNext w:val="0"/>
        <w:keepLines w:val="0"/>
        <w:pageBreakBefore w:val="0"/>
        <w:widowControl w:val="0"/>
        <w:kinsoku/>
        <w:wordWrap w:val="0"/>
        <w:overflowPunct/>
        <w:topLinePunct/>
        <w:autoSpaceDE/>
        <w:autoSpaceDN/>
        <w:bidi w:val="0"/>
        <w:adjustRightInd w:val="0"/>
        <w:snapToGrid w:val="0"/>
        <w:spacing w:line="360" w:lineRule="auto"/>
        <w:ind w:left="485"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pPr>
        <w:keepNext w:val="0"/>
        <w:keepLines w:val="0"/>
        <w:pageBreakBefore w:val="0"/>
        <w:widowControl w:val="0"/>
        <w:kinsoku/>
        <w:wordWrap w:val="0"/>
        <w:overflowPunct/>
        <w:topLinePunct/>
        <w:autoSpaceDE/>
        <w:autoSpaceDN/>
        <w:bidi w:val="0"/>
        <w:adjustRightInd w:val="0"/>
        <w:snapToGrid w:val="0"/>
        <w:spacing w:line="360" w:lineRule="auto"/>
        <w:ind w:left="494" w:right="84" w:rightChars="40"/>
        <w:textAlignment w:val="baseline"/>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pPr>
        <w:keepNext w:val="0"/>
        <w:keepLines w:val="0"/>
        <w:pageBreakBefore w:val="0"/>
        <w:widowControl w:val="0"/>
        <w:kinsoku/>
        <w:wordWrap w:val="0"/>
        <w:overflowPunct/>
        <w:topLinePunct/>
        <w:autoSpaceDE/>
        <w:autoSpaceDN/>
        <w:bidi w:val="0"/>
        <w:adjustRightInd w:val="0"/>
        <w:snapToGrid w:val="0"/>
        <w:spacing w:line="360" w:lineRule="auto"/>
        <w:ind w:left="1" w:right="84" w:rightChars="40" w:firstLine="48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A为</w:t>
      </w:r>
      <w:r>
        <w:rPr>
          <w:rFonts w:hint="eastAsia" w:ascii="宋体" w:hAnsi="宋体" w:eastAsia="宋体" w:cs="宋体"/>
          <w:color w:val="auto"/>
          <w:spacing w:val="-2"/>
          <w:sz w:val="24"/>
          <w:szCs w:val="24"/>
          <w:highlight w:val="none"/>
          <w:u w:val="single"/>
        </w:rPr>
        <w:t>5%</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A值时，该材料、工程设备单价不予调整；超过</w:t>
      </w:r>
      <w:r>
        <w:rPr>
          <w:rFonts w:hint="eastAsia" w:ascii="宋体" w:hAnsi="宋体" w:eastAsia="宋体" w:cs="宋体"/>
          <w:color w:val="auto"/>
          <w:sz w:val="24"/>
          <w:szCs w:val="24"/>
          <w:highlight w:val="none"/>
        </w:rPr>
        <w:t>A值时，其超过部分可以调整。相关费用按有关规定进行相</w:t>
      </w:r>
      <w:r>
        <w:rPr>
          <w:rFonts w:hint="eastAsia" w:ascii="宋体" w:hAnsi="宋体" w:eastAsia="宋体" w:cs="宋体"/>
          <w:color w:val="auto"/>
          <w:spacing w:val="-1"/>
          <w:sz w:val="24"/>
          <w:szCs w:val="24"/>
          <w:highlight w:val="none"/>
        </w:rPr>
        <w:t>应调整。</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中标单价”）低于基准日当月项目所在地工程造价管理机构发布的对应材料、工程设备单价（以下简称“基准单价”），该材料、工程设备的结算单价调整公式为：</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29" embosscolor="#FFFFFF" o:title=""/>
            <o:lock v:ext="edit" grouping="f" rotation="f" text="f" aspectratio="t"/>
            <w10:wrap type="none"/>
            <w10:anchorlock/>
          </v:shape>
          <o:OLEObject Type="Embed" ProgID="Equation.KSEE3" ShapeID="_x0000_i1025" DrawAspect="Content" ObjectID="_1468075725" r:id="rId28">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6" DrawAspect="Content" ObjectID="_1468075726" r:id="rId30">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lang w:eastAsia="zh-CN"/>
        </w:rPr>
        <w:t>．如果中标单价高于基准单价，该材料、工程设备的结算单价调整公式为：</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7" DrawAspect="Content" ObjectID="_1468075727" r:id="rId32">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8" DrawAspect="Content" ObjectID="_1468075728" r:id="rId34">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kern w:val="0"/>
          <w:sz w:val="24"/>
          <w:szCs w:val="24"/>
          <w:highlight w:val="none"/>
          <w:lang w:eastAsia="zh-CN"/>
        </w: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．如果中标单价等于基准单价，该材料、工程设备的结算单价调整公式为：</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9" DrawAspect="Content" ObjectID="_1468075729" r:id="rId36">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0" DrawAspect="Content" ObjectID="_1468075730" r:id="rId38">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50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为</w:t>
      </w:r>
      <w:r>
        <w:rPr>
          <w:rFonts w:hint="eastAsia" w:ascii="宋体" w:hAnsi="宋体" w:eastAsia="宋体" w:cs="宋体"/>
          <w:color w:val="auto"/>
          <w:spacing w:val="-4"/>
          <w:sz w:val="24"/>
          <w:szCs w:val="24"/>
          <w:highlight w:val="none"/>
          <w:u w:val="single"/>
        </w:rPr>
        <w:t>10%</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B值时，其超过部分可以调整。相关费</w:t>
      </w:r>
      <w:r>
        <w:rPr>
          <w:rFonts w:hint="eastAsia" w:ascii="宋体" w:hAnsi="宋体" w:eastAsia="宋体" w:cs="宋体"/>
          <w:color w:val="auto"/>
          <w:spacing w:val="-1"/>
          <w:sz w:val="24"/>
          <w:szCs w:val="24"/>
          <w:highlight w:val="none"/>
        </w:rPr>
        <w:t>用按有关规定进行相应调整。</w:t>
      </w:r>
    </w:p>
    <w:p>
      <w:pPr>
        <w:keepNext w:val="0"/>
        <w:keepLines w:val="0"/>
        <w:pageBreakBefore w:val="0"/>
        <w:widowControl w:val="0"/>
        <w:kinsoku/>
        <w:wordWrap w:val="0"/>
        <w:overflowPunct/>
        <w:topLinePunct/>
        <w:autoSpaceDE/>
        <w:autoSpaceDN/>
        <w:bidi w:val="0"/>
        <w:adjustRightInd w:val="0"/>
        <w:snapToGrid w:val="0"/>
        <w:spacing w:line="360" w:lineRule="auto"/>
        <w:ind w:left="42" w:right="84" w:rightChars="40" w:firstLine="4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1" DrawAspect="Content" ObjectID="_1468075731" r:id="rId40">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2" DrawAspect="Content" ObjectID="_1468075732" r:id="rId42">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3" DrawAspect="Content" ObjectID="_1468075733" r:id="rId44">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4" DrawAspect="Content" ObjectID="_1468075734" r:id="rId46">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5" DrawAspect="Content" ObjectID="_1468075735" r:id="rId48">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04"/>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6" DrawAspect="Content" ObjectID="_1468075736" r:id="rId50">
            <o:LockedField>false</o:LockedField>
          </o:OLEObject>
        </w:objec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0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pPr>
        <w:keepNext w:val="0"/>
        <w:keepLines w:val="0"/>
        <w:pageBreakBefore w:val="0"/>
        <w:widowControl w:val="0"/>
        <w:kinsoku/>
        <w:wordWrap w:val="0"/>
        <w:overflowPunct/>
        <w:topLinePunct/>
        <w:autoSpaceDE/>
        <w:autoSpaceDN/>
        <w:bidi w:val="0"/>
        <w:adjustRightInd w:val="0"/>
        <w:snapToGrid w:val="0"/>
        <w:spacing w:line="360" w:lineRule="auto"/>
        <w:ind w:left="484"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暂估价项目按第一章第三节“投标人须知正文”第</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条的规定确定专业工程承包人（或材料供应商、工程设备供应商）后，将专业工程合同价款（或材料单价、工程设备单价）取代相应暂估价，并调整合同价款。</w:t>
      </w:r>
    </w:p>
    <w:p>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按照分部分项的人工费与施工机具费之和及投标费率计取。本招标项目的预算包干内容包括：施工雨水、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地上(地下)设施，建筑物的临时保护设施费和二次加工基地设施费；雨季施工增加费；己完工程及设备保护等。</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w:t>
      </w:r>
      <w:r>
        <w:rPr>
          <w:rFonts w:hint="eastAsia" w:ascii="宋体" w:hAnsi="宋体" w:eastAsia="宋体" w:cs="宋体"/>
          <w:color w:val="auto"/>
          <w:spacing w:val="-8"/>
          <w:sz w:val="24"/>
          <w:szCs w:val="24"/>
          <w:highlight w:val="none"/>
          <w:lang w:eastAsia="zh-CN"/>
        </w:rPr>
        <w:t>《建设工程工程量清单</w:t>
      </w:r>
      <w:r>
        <w:rPr>
          <w:rFonts w:hint="eastAsia" w:ascii="宋体" w:hAnsi="宋体" w:eastAsia="宋体" w:cs="宋体"/>
          <w:snapToGrid w:val="0"/>
          <w:color w:val="auto"/>
          <w:kern w:val="0"/>
          <w:sz w:val="24"/>
          <w:szCs w:val="24"/>
          <w:highlight w:val="none"/>
          <w:lang w:eastAsia="zh-CN"/>
        </w:rPr>
        <w:t>计价</w:t>
      </w:r>
      <w:r>
        <w:rPr>
          <w:rFonts w:hint="eastAsia" w:ascii="宋体" w:hAnsi="宋体" w:eastAsia="宋体" w:cs="宋体"/>
          <w:color w:val="auto"/>
          <w:spacing w:val="-8"/>
          <w:sz w:val="24"/>
          <w:szCs w:val="24"/>
          <w:highlight w:val="none"/>
          <w:lang w:eastAsia="zh-CN"/>
        </w:rPr>
        <w:t>标准》（GB/T50500-2024）</w:t>
      </w:r>
      <w:r>
        <w:rPr>
          <w:rFonts w:hint="eastAsia" w:ascii="宋体" w:hAnsi="宋体" w:eastAsia="宋体" w:cs="宋体"/>
          <w:color w:val="auto"/>
          <w:spacing w:val="-8"/>
          <w:sz w:val="24"/>
          <w:szCs w:val="24"/>
          <w:highlight w:val="none"/>
        </w:rPr>
        <w:t>有关规定执行。</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凡将引起合同价款调增的事项，承包人必须于拟实施14天前，将详细的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w:t>
      </w:r>
      <w:r>
        <w:rPr>
          <w:rFonts w:hint="eastAsia" w:ascii="宋体" w:hAnsi="宋体" w:eastAsia="宋体" w:cs="宋体"/>
          <w:snapToGrid w:val="0"/>
          <w:color w:val="auto"/>
          <w:kern w:val="0"/>
          <w:sz w:val="24"/>
          <w:szCs w:val="24"/>
          <w:highlight w:val="none"/>
          <w:lang w:eastAsia="zh-CN"/>
        </w:rPr>
        <w:t>结算</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pacing w:val="-1"/>
          <w:sz w:val="24"/>
          <w:szCs w:val="24"/>
          <w:highlight w:val="none"/>
        </w:rPr>
        <w:t>加的费用和（或）工期延误由承包人承担。</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电商平台价格（优先从京东、国美、苏宁等大型电商平台查询取其平均价）；若以上方式均无法确定材料价格的，则采用厂商报价或市场询价等方式取得有合法依据的市场价格，报发包人确认。</w:t>
      </w:r>
    </w:p>
    <w:p>
      <w:pPr>
        <w:pStyle w:val="27"/>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jc w:val="both"/>
        <w:outlineLvl w:val="2"/>
        <w:rPr>
          <w:rStyle w:val="18"/>
          <w:rFonts w:hint="eastAsia" w:ascii="宋体" w:hAnsi="宋体" w:eastAsia="宋体" w:cs="宋体"/>
          <w:b/>
          <w:bCs/>
          <w:color w:val="auto"/>
          <w:sz w:val="24"/>
          <w:szCs w:val="24"/>
          <w:highlight w:val="none"/>
        </w:rPr>
      </w:pPr>
      <w:bookmarkStart w:id="168" w:name="_Toc21301"/>
      <w:bookmarkStart w:id="169" w:name="_Toc1816"/>
      <w:r>
        <w:rPr>
          <w:rStyle w:val="18"/>
          <w:rFonts w:hint="eastAsia" w:ascii="宋体" w:hAnsi="宋体" w:eastAsia="宋体" w:cs="宋体"/>
          <w:b/>
          <w:bCs/>
          <w:color w:val="auto"/>
          <w:sz w:val="24"/>
          <w:szCs w:val="24"/>
          <w:highlight w:val="none"/>
        </w:rPr>
        <w:t>3. 工程付款办法</w:t>
      </w:r>
      <w:bookmarkEnd w:id="168"/>
      <w:bookmarkEnd w:id="169"/>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施工预付款支付比例为：按施工合同价（暂列金额、专业工程暂估价、安全生产措施费除外）的 </w:t>
      </w:r>
      <w:r>
        <w:rPr>
          <w:rFonts w:hint="eastAsia" w:ascii="宋体" w:hAnsi="宋体" w:eastAsia="宋体" w:cs="宋体"/>
          <w:snapToGrid w:val="0"/>
          <w:color w:val="auto"/>
          <w:kern w:val="0"/>
          <w:sz w:val="24"/>
          <w:szCs w:val="20"/>
          <w:highlight w:val="none"/>
          <w:u w:val="single"/>
          <w:lang w:eastAsia="zh-CN"/>
        </w:rPr>
        <w:t>30%</w:t>
      </w:r>
      <w:r>
        <w:rPr>
          <w:rFonts w:hint="eastAsia" w:ascii="宋体" w:hAnsi="宋体" w:eastAsia="宋体" w:cs="宋体"/>
          <w:snapToGrid w:val="0"/>
          <w:color w:val="auto"/>
          <w:kern w:val="0"/>
          <w:sz w:val="24"/>
          <w:szCs w:val="20"/>
          <w:highlight w:val="none"/>
          <w:lang w:eastAsia="zh-CN"/>
        </w:rPr>
        <w:t xml:space="preserve"> 支付。</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w:t>
      </w:r>
      <w:r>
        <w:rPr>
          <w:rFonts w:hint="eastAsia" w:ascii="宋体" w:hAnsi="宋体" w:eastAsia="宋体" w:cs="宋体"/>
          <w:b/>
          <w:bCs/>
          <w:snapToGrid w:val="0"/>
          <w:color w:val="auto"/>
          <w:kern w:val="0"/>
          <w:sz w:val="24"/>
          <w:szCs w:val="20"/>
          <w:highlight w:val="none"/>
          <w:u w:val="single"/>
          <w:lang w:val="en-US" w:eastAsia="zh-CN"/>
        </w:rPr>
        <w:t>不</w:t>
      </w:r>
      <w:r>
        <w:rPr>
          <w:rFonts w:hint="eastAsia" w:ascii="宋体" w:hAnsi="宋体" w:eastAsia="宋体" w:cs="宋体"/>
          <w:b/>
          <w:bCs/>
          <w:snapToGrid w:val="0"/>
          <w:color w:val="auto"/>
          <w:kern w:val="0"/>
          <w:sz w:val="24"/>
          <w:szCs w:val="20"/>
          <w:highlight w:val="none"/>
          <w:u w:val="single"/>
          <w:lang w:eastAsia="zh-CN"/>
        </w:rPr>
        <w:t xml:space="preserve">要求 </w:t>
      </w:r>
      <w:r>
        <w:rPr>
          <w:rFonts w:hint="eastAsia" w:ascii="宋体" w:hAnsi="宋体" w:eastAsia="宋体" w:cs="宋体"/>
          <w:snapToGrid w:val="0"/>
          <w:color w:val="auto"/>
          <w:kern w:val="0"/>
          <w:sz w:val="24"/>
          <w:szCs w:val="20"/>
          <w:highlight w:val="none"/>
          <w:lang w:eastAsia="zh-CN"/>
        </w:rPr>
        <w:t>承包人提供与预付款等额的预付款保函。</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并承担违约责任。</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w:t>
      </w:r>
      <w:r>
        <w:rPr>
          <w:rFonts w:hint="eastAsia" w:ascii="宋体" w:hAnsi="宋体" w:eastAsia="宋体" w:cs="宋体"/>
          <w:snapToGrid w:val="0"/>
          <w:color w:val="auto"/>
          <w:kern w:val="0"/>
          <w:sz w:val="24"/>
          <w:szCs w:val="20"/>
          <w:highlight w:val="none"/>
          <w:u w:val="single"/>
          <w:lang w:eastAsia="zh-CN"/>
        </w:rPr>
        <w:t>80%</w:t>
      </w:r>
      <w:r>
        <w:rPr>
          <w:rFonts w:hint="eastAsia" w:ascii="宋体" w:hAnsi="宋体" w:eastAsia="宋体" w:cs="宋体"/>
          <w:snapToGrid w:val="0"/>
          <w:color w:val="auto"/>
          <w:kern w:val="0"/>
          <w:sz w:val="24"/>
          <w:szCs w:val="20"/>
          <w:highlight w:val="none"/>
          <w:lang w:eastAsia="zh-CN"/>
        </w:rPr>
        <w:t>申请支付，工程进度款中的作业工人工资款项由发包人单独足额拨付到承包人的工资专户。</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安全生产措施费”拨付按照《建设工程工程量清单计价标准》（GB/T50500-2024）执行，按照项目所在地的建设行政主管部门有关规定支付。发生一般事故及以上等级重大安全事故的，发包人可扣除承包人金额相当于所有“安全生产措施费”的工程管理费。</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变更工程造价必须经监理单位、第三方造价咨询单位核实，并经发包人核定后方可支付。</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w:t>
      </w:r>
      <w:r>
        <w:rPr>
          <w:rFonts w:hint="eastAsia" w:ascii="宋体" w:hAnsi="宋体" w:eastAsia="宋体" w:cs="宋体"/>
          <w:snapToGrid w:val="0"/>
          <w:color w:val="auto"/>
          <w:kern w:val="0"/>
          <w:sz w:val="24"/>
          <w:szCs w:val="20"/>
          <w:highlight w:val="none"/>
          <w:u w:val="single"/>
          <w:lang w:eastAsia="zh-CN"/>
        </w:rPr>
        <w:t>97</w:t>
      </w:r>
      <w:r>
        <w:rPr>
          <w:rFonts w:hint="eastAsia" w:ascii="宋体" w:hAnsi="宋体" w:eastAsia="宋体" w:cs="宋体"/>
          <w:snapToGrid w:val="0"/>
          <w:color w:val="auto"/>
          <w:kern w:val="0"/>
          <w:sz w:val="24"/>
          <w:szCs w:val="20"/>
          <w:highlight w:val="none"/>
          <w:lang w:eastAsia="zh-CN"/>
        </w:rPr>
        <w:t>%，剩余</w:t>
      </w:r>
      <w:r>
        <w:rPr>
          <w:rFonts w:hint="eastAsia" w:ascii="宋体" w:hAnsi="宋体" w:eastAsia="宋体" w:cs="宋体"/>
          <w:snapToGrid w:val="0"/>
          <w:color w:val="auto"/>
          <w:kern w:val="0"/>
          <w:sz w:val="24"/>
          <w:szCs w:val="20"/>
          <w:highlight w:val="none"/>
          <w:u w:val="single"/>
          <w:lang w:eastAsia="zh-CN"/>
        </w:rPr>
        <w:t>3</w:t>
      </w:r>
      <w:r>
        <w:rPr>
          <w:rFonts w:hint="eastAsia" w:ascii="宋体" w:hAnsi="宋体" w:eastAsia="宋体" w:cs="宋体"/>
          <w:snapToGrid w:val="0"/>
          <w:color w:val="auto"/>
          <w:kern w:val="0"/>
          <w:sz w:val="24"/>
          <w:szCs w:val="20"/>
          <w:highlight w:val="none"/>
          <w:lang w:eastAsia="zh-CN"/>
        </w:rPr>
        <w:t>%转为质量保证金；承包人提交了等额质量保证担保或质量保证保险的，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pPr>
        <w:keepNext w:val="0"/>
        <w:keepLines w:val="0"/>
        <w:pageBreakBefore w:val="0"/>
        <w:widowControl w:val="0"/>
        <w:kinsoku/>
        <w:wordWrap w:val="0"/>
        <w:overflowPunct/>
        <w:topLinePunct/>
        <w:autoSpaceDE/>
        <w:autoSpaceDN/>
        <w:bidi w:val="0"/>
        <w:adjustRightInd w:val="0"/>
        <w:snapToGrid w:val="0"/>
        <w:spacing w:line="360" w:lineRule="auto"/>
        <w:ind w:left="486" w:right="84" w:rightChars="40"/>
        <w:outlineLvl w:val="2"/>
        <w:rPr>
          <w:rFonts w:hint="eastAsia" w:ascii="宋体" w:hAnsi="宋体" w:eastAsia="宋体" w:cs="宋体"/>
          <w:b/>
          <w:bCs/>
          <w:color w:val="auto"/>
          <w:spacing w:val="-7"/>
          <w:sz w:val="24"/>
          <w:szCs w:val="24"/>
          <w:highlight w:val="none"/>
        </w:rPr>
      </w:pPr>
      <w:bookmarkStart w:id="170" w:name="_Toc2550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0"/>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承包人应在工资专户开立后2个工作日内，将开户银行及其账号、开户协议等资料提交给发包人。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（2）用人单位应当在用工之日起15日内为每一位工人办理个人银行账户。</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w:t>
      </w:r>
      <w:r>
        <w:rPr>
          <w:rFonts w:hint="eastAsia" w:ascii="宋体" w:hAnsi="宋体" w:eastAsia="宋体" w:cs="宋体"/>
          <w:color w:val="auto"/>
          <w:spacing w:val="-1"/>
          <w:sz w:val="24"/>
          <w:szCs w:val="24"/>
          <w:highlight w:val="none"/>
          <w:lang w:val="en-US" w:eastAsia="zh-CN"/>
        </w:rPr>
        <w:t>工人 工资</w:t>
      </w:r>
      <w:r>
        <w:rPr>
          <w:rFonts w:hint="eastAsia" w:ascii="宋体" w:hAnsi="宋体" w:eastAsia="宋体" w:cs="宋体"/>
          <w:b w:val="0"/>
          <w:bCs/>
          <w:snapToGrid w:val="0"/>
          <w:color w:val="auto"/>
          <w:kern w:val="0"/>
          <w:sz w:val="24"/>
          <w:szCs w:val="24"/>
          <w:highlight w:val="none"/>
          <w:lang w:val="en-US" w:eastAsia="zh-CN"/>
        </w:rPr>
        <w:t>支付专用账户将工人工资直接支付到工人的个人银行账户，并按月将工人工资</w:t>
      </w:r>
      <w:r>
        <w:rPr>
          <w:rFonts w:hint="eastAsia" w:ascii="宋体" w:hAnsi="宋体" w:eastAsia="宋体" w:cs="宋体"/>
          <w:color w:val="auto"/>
          <w:spacing w:val="-1"/>
          <w:sz w:val="24"/>
          <w:szCs w:val="24"/>
          <w:highlight w:val="none"/>
          <w:lang w:val="en-US" w:eastAsia="zh-CN"/>
        </w:rPr>
        <w:t>支付明细表</w:t>
      </w:r>
      <w:r>
        <w:rPr>
          <w:rFonts w:hint="eastAsia" w:ascii="宋体" w:hAnsi="宋体" w:eastAsia="宋体" w:cs="宋体"/>
          <w:b w:val="0"/>
          <w:bCs/>
          <w:snapToGrid w:val="0"/>
          <w:color w:val="auto"/>
          <w:kern w:val="0"/>
          <w:sz w:val="24"/>
          <w:szCs w:val="24"/>
          <w:highlight w:val="none"/>
          <w:lang w:val="en-US" w:eastAsia="zh-CN"/>
        </w:rPr>
        <w:t>报施工总承包单位和建设单位备案。</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用人单位未建立、保存用工管理台账，或者伪造相关台账的，按照《广东省劳动保障监察条例》第五十条的规定，由人力资源社会保障部门责令改正，并可处以二千元以上二万元以下的人民币罚款。</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i w:val="0"/>
          <w:iCs w:val="0"/>
          <w:snapToGrid w:val="0"/>
          <w:color w:val="auto"/>
          <w:kern w:val="0"/>
          <w:sz w:val="24"/>
          <w:szCs w:val="24"/>
          <w:highlight w:val="none"/>
          <w:lang w:val="en-US" w:eastAsia="zh-CN"/>
        </w:rPr>
        <w:t>4.4.1</w:t>
      </w:r>
      <w:r>
        <w:rPr>
          <w:rFonts w:hint="eastAsia" w:ascii="宋体" w:hAnsi="宋体" w:eastAsia="宋体" w:cs="宋体"/>
          <w:bCs/>
          <w:i w:val="0"/>
          <w:iCs w:val="0"/>
          <w:snapToGrid w:val="0"/>
          <w:color w:val="auto"/>
          <w:kern w:val="0"/>
          <w:sz w:val="24"/>
          <w:szCs w:val="24"/>
          <w:highlight w:val="none"/>
          <w:lang w:val="en-US" w:eastAsia="zh-CN"/>
        </w:rPr>
        <w:t xml:space="preserve"> 本招标项目施工标准工期为</w:t>
      </w:r>
      <w:r>
        <w:rPr>
          <w:rFonts w:hint="eastAsia" w:ascii="宋体" w:hAnsi="宋体" w:eastAsia="宋体" w:cs="宋体"/>
          <w:bCs/>
          <w:i w:val="0"/>
          <w:iCs w:val="0"/>
          <w:snapToGrid w:val="0"/>
          <w:color w:val="auto"/>
          <w:kern w:val="0"/>
          <w:sz w:val="24"/>
          <w:szCs w:val="24"/>
          <w:highlight w:val="none"/>
          <w:u w:val="single"/>
          <w:lang w:val="en-US" w:eastAsia="zh-CN"/>
        </w:rPr>
        <w:t>364</w:t>
      </w:r>
      <w:r>
        <w:rPr>
          <w:rFonts w:hint="eastAsia" w:ascii="宋体" w:hAnsi="宋体" w:eastAsia="宋体" w:cs="宋体"/>
          <w:bCs/>
          <w:i w:val="0"/>
          <w:iCs w:val="0"/>
          <w:snapToGrid w:val="0"/>
          <w:color w:val="auto"/>
          <w:kern w:val="0"/>
          <w:sz w:val="24"/>
          <w:szCs w:val="24"/>
          <w:highlight w:val="none"/>
          <w:lang w:val="en-US" w:eastAsia="zh-CN"/>
        </w:rPr>
        <w:t>个日历天，招标工期为</w:t>
      </w:r>
      <w:r>
        <w:rPr>
          <w:rFonts w:hint="eastAsia" w:ascii="宋体" w:hAnsi="宋体" w:eastAsia="宋体" w:cs="宋体"/>
          <w:bCs/>
          <w:i w:val="0"/>
          <w:iCs w:val="0"/>
          <w:snapToGrid w:val="0"/>
          <w:color w:val="auto"/>
          <w:kern w:val="0"/>
          <w:sz w:val="24"/>
          <w:szCs w:val="24"/>
          <w:highlight w:val="none"/>
          <w:u w:val="single"/>
          <w:lang w:val="en-US" w:eastAsia="zh-CN"/>
        </w:rPr>
        <w:t>300</w:t>
      </w:r>
      <w:r>
        <w:rPr>
          <w:rFonts w:hint="eastAsia" w:ascii="宋体" w:hAnsi="宋体" w:eastAsia="宋体" w:cs="宋体"/>
          <w:bCs/>
          <w:i w:val="0"/>
          <w:iCs w:val="0"/>
          <w:snapToGrid w:val="0"/>
          <w:color w:val="auto"/>
          <w:kern w:val="0"/>
          <w:sz w:val="24"/>
          <w:szCs w:val="24"/>
          <w:highlight w:val="none"/>
          <w:lang w:val="en-US" w:eastAsia="zh-CN"/>
        </w:rPr>
        <w:t>个日历天，承包人必须在招标工期内完成招标范围内的全部内容</w:t>
      </w:r>
      <w:r>
        <w:rPr>
          <w:rFonts w:hint="eastAsia" w:ascii="宋体" w:hAnsi="宋体" w:eastAsia="宋体" w:cs="宋体"/>
          <w:bCs/>
          <w:snapToGrid w:val="0"/>
          <w:color w:val="auto"/>
          <w:kern w:val="0"/>
          <w:sz w:val="24"/>
          <w:szCs w:val="24"/>
          <w:highlight w:val="none"/>
          <w:lang w:val="en-US" w:eastAsia="zh-CN"/>
        </w:rPr>
        <w:t xml:space="preserve">。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☑其它说明：（1）因承包人原因，工程没有按期竣工时，承包人须在逾期第壹天起每天按合同价的1‰向发包人返纳逾期竣工违约金。逾期竣工违约金的最高限额为合同价款的3%。</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2）采用质量保证担保或质量保证保险的，承包人应在竣工验收时向发包人提交有效的商业保函、银行保函或保险合同（或保险单）原件，商业保函、银行保函或保险合同（或保险单）的有效期不得短于缺陷责任期。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 广东省住房和城乡建设厅关于&lt;严格落实危险性较大的分部分项工程“六不施工”要求的通知&gt;》（粤安办〔2020〕151号）等有关危险性较大的分部分项工程的法规规定通知，履行建设工程安全生产管理职责。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承包人须按照《韶关市建筑垃圾管理条例》（2021年5月1日起施行），将弃土运至发包人指定的场所，否则发包人有权要求承包人无条件将弃土从违约弃土点运至发包人指定的场所并扣除违约金人民币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none"/>
          <w:shd w:val="clear" w:color="auto" w:fill="FFFFFF"/>
          <w:lang w:val="en-US" w:eastAsia="zh-CN" w:bidi="ar-SA"/>
        </w:rPr>
        <w:t>1</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年5月1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15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材料违约处理：若发现材料不符合国家标准或发包人在技术规范中规定的标准，视为承包人违约，按现行《建设工程质量管理条例》处理。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成品采购项目在采购前，承包人必须先行书面征求监理人、发包人的同意并一起看样定版后方能实施。未经监理人、发包人同意擅自先行采购和实施的，否则因不符合设计要求返工造成的费用由承包人承担。</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在施工过程中经监理单位日常巡查或抽检发现未达到合格标准，责令承包人进行整改，如未按规定时间进行整改或整改不到位的，每次按5000元缴纳违约金给发包人，在进度款或结算款中一并扣除。</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工程质量标准须达到国家验收合格标准。如未达到合格标准，除无偿返工至合格外，还要按合同价款的</w:t>
      </w:r>
      <w:r>
        <w:rPr>
          <w:rFonts w:hint="eastAsia" w:ascii="宋体" w:hAnsi="宋体" w:eastAsia="宋体" w:cs="宋体"/>
          <w:b w:val="0"/>
          <w:bCs/>
          <w:snapToGrid w:val="0"/>
          <w:color w:val="auto"/>
          <w:kern w:val="0"/>
          <w:sz w:val="24"/>
          <w:szCs w:val="24"/>
          <w:highlight w:val="none"/>
          <w:u w:val="single"/>
          <w:lang w:val="en-US" w:eastAsia="zh-CN"/>
        </w:rPr>
        <w:t xml:space="preserve"> 1 </w:t>
      </w:r>
      <w:r>
        <w:rPr>
          <w:rFonts w:hint="eastAsia" w:ascii="宋体" w:hAnsi="宋体" w:eastAsia="宋体" w:cs="宋体"/>
          <w:b w:val="0"/>
          <w:bCs/>
          <w:snapToGrid w:val="0"/>
          <w:color w:val="auto"/>
          <w:kern w:val="0"/>
          <w:sz w:val="24"/>
          <w:szCs w:val="24"/>
          <w:highlight w:val="none"/>
          <w:lang w:val="en-US" w:eastAsia="zh-CN"/>
        </w:rPr>
        <w:t xml:space="preserve">%向招标人支付质量违约金，工期不予顺延。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w:t>
      </w:r>
    </w:p>
    <w:p>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伤、死亡等重大责任事故,则承包人应承担全部损失,并按相关法规接受行政处罚；如造成发包人及对第三人利益的损害,该等损害赔偿责任均由承包人承担。同时,每出现一次重大责任事故,按人民币50万元缴纳惩罚性违约金。</w:t>
      </w:r>
    </w:p>
    <w:p>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4.25.2</w:t>
      </w:r>
      <w:r>
        <w:rPr>
          <w:rFonts w:hint="eastAsia" w:ascii="宋体" w:hAnsi="宋体" w:eastAsia="宋体" w:cs="宋体"/>
          <w:b w:val="0"/>
          <w:bCs/>
          <w:snapToGrid w:val="0"/>
          <w:color w:val="auto"/>
          <w:kern w:val="0"/>
          <w:sz w:val="24"/>
          <w:szCs w:val="24"/>
          <w:highlight w:val="none"/>
          <w:lang w:val="en-US" w:eastAsia="zh-CN"/>
        </w:rPr>
        <w:t xml:space="preserve"> 因施工造成的道路交通中断、通讯中断、管线漏水漏气等责任事故，由承包人承担全部损失。同时，缴纳违约金</w:t>
      </w:r>
      <w:r>
        <w:rPr>
          <w:rFonts w:hint="eastAsia" w:ascii="宋体" w:hAnsi="宋体" w:eastAsia="宋体" w:cs="宋体"/>
          <w:b w:val="0"/>
          <w:bCs/>
          <w:snapToGrid w:val="0"/>
          <w:color w:val="auto"/>
          <w:kern w:val="0"/>
          <w:sz w:val="24"/>
          <w:szCs w:val="24"/>
          <w:highlight w:val="none"/>
          <w:u w:val="none"/>
          <w:lang w:val="en-US" w:eastAsia="zh-CN"/>
        </w:rPr>
        <w:t>1</w:t>
      </w:r>
      <w:r>
        <w:rPr>
          <w:rFonts w:hint="eastAsia" w:ascii="宋体" w:hAnsi="宋体" w:eastAsia="宋体" w:cs="宋体"/>
          <w:b w:val="0"/>
          <w:bCs/>
          <w:snapToGrid w:val="0"/>
          <w:color w:val="auto"/>
          <w:kern w:val="0"/>
          <w:sz w:val="24"/>
          <w:szCs w:val="24"/>
          <w:highlight w:val="none"/>
          <w:lang w:val="en-US" w:eastAsia="zh-CN"/>
        </w:rPr>
        <w:t>万元/次。</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扣农民工工资总金额2倍的标准向发包人缴纳惩罚性违约金，同时发包人将有关情况报告相关行政主管部门。（若因承包人原因，在工程完工后的第一笔进度款支付完成后，仍申请工人工资的，视为承包人拖欠工人工资）</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如承包人违反国家、广东省、发包人及合同关于安全文明施工的规定，但尚未造成安全责任事故，承包人应及时改正行为并赔偿相关方的损失，如未及时整改，针对每一违约行为每持续一天应缴纳违约金1000元。</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承包人必须接受发包人及监理单位组织的安全、文明施工的检查，检查中的不合格项目、安全隐患必须在规定的时间内整改完成，否则每拖延一天处以2000元人民币违约金，直至整改合格。</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rPr>
          <w:rFonts w:hint="eastAsia"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4 </w:t>
      </w:r>
      <w:r>
        <w:rPr>
          <w:rFonts w:hint="default" w:ascii="宋体" w:hAnsi="宋体" w:eastAsia="宋体" w:cs="宋体"/>
          <w:b w:val="0"/>
          <w:bCs/>
          <w:snapToGrid w:val="0"/>
          <w:color w:val="auto"/>
          <w:kern w:val="0"/>
          <w:sz w:val="24"/>
          <w:szCs w:val="24"/>
          <w:highlight w:val="none"/>
          <w:lang w:val="en-US" w:eastAsia="zh-CN"/>
        </w:rPr>
        <w:t>承包人现场施工人员存在野蛮施工行为，经现场发包人（含监理单位）管理人员确认后，承包人须按</w:t>
      </w:r>
      <w:r>
        <w:rPr>
          <w:rFonts w:hint="default" w:ascii="宋体" w:hAnsi="宋体" w:eastAsia="宋体" w:cs="宋体"/>
          <w:b w:val="0"/>
          <w:bCs/>
          <w:snapToGrid w:val="0"/>
          <w:color w:val="auto"/>
          <w:kern w:val="0"/>
          <w:sz w:val="24"/>
          <w:szCs w:val="24"/>
          <w:highlight w:val="none"/>
          <w:u w:val="none"/>
          <w:lang w:val="en-US" w:eastAsia="zh-CN"/>
        </w:rPr>
        <w:t>2万</w:t>
      </w:r>
      <w:r>
        <w:rPr>
          <w:rFonts w:hint="default" w:ascii="宋体" w:hAnsi="宋体" w:eastAsia="宋体" w:cs="宋体"/>
          <w:b w:val="0"/>
          <w:bCs/>
          <w:snapToGrid w:val="0"/>
          <w:color w:val="auto"/>
          <w:kern w:val="0"/>
          <w:sz w:val="24"/>
          <w:szCs w:val="24"/>
          <w:highlight w:val="none"/>
          <w:lang w:val="en-US" w:eastAsia="zh-CN"/>
        </w:rPr>
        <w:t>元/次缴纳违约金；如因野蛮施工或未取得夜间施工许可施工并引起投诉或网络问政的，承包人须按</w:t>
      </w:r>
      <w:r>
        <w:rPr>
          <w:rFonts w:hint="default" w:ascii="宋体" w:hAnsi="宋体" w:eastAsia="宋体" w:cs="宋体"/>
          <w:b w:val="0"/>
          <w:bCs/>
          <w:snapToGrid w:val="0"/>
          <w:color w:val="auto"/>
          <w:kern w:val="0"/>
          <w:sz w:val="24"/>
          <w:szCs w:val="24"/>
          <w:highlight w:val="none"/>
          <w:u w:val="none"/>
          <w:lang w:val="en-US" w:eastAsia="zh-CN"/>
        </w:rPr>
        <w:t>0.5</w:t>
      </w:r>
      <w:r>
        <w:rPr>
          <w:rFonts w:hint="default" w:ascii="宋体" w:hAnsi="宋体" w:eastAsia="宋体" w:cs="宋体"/>
          <w:b w:val="0"/>
          <w:bCs/>
          <w:snapToGrid w:val="0"/>
          <w:color w:val="auto"/>
          <w:kern w:val="0"/>
          <w:sz w:val="24"/>
          <w:szCs w:val="24"/>
          <w:highlight w:val="none"/>
          <w:lang w:val="en-US" w:eastAsia="zh-CN"/>
        </w:rPr>
        <w:t>万元/次缴纳违约金；并承担因上述行为所造成的全部责任。</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在日常检查及相关会议中主要管理人员不到岗，按500元/人/次缴纳违约金给发包人。</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中标人施工资料必须与形象进度同步，如发包人在日常检查中发现不同步的现象的，视为违约并扣除违约金2000元/每次</w:t>
      </w:r>
      <w:r>
        <w:rPr>
          <w:rFonts w:hint="eastAsia" w:ascii="宋体" w:hAnsi="宋体" w:eastAsia="宋体" w:cs="宋体"/>
          <w:b w:val="0"/>
          <w:bCs/>
          <w:snapToGrid w:val="0"/>
          <w:color w:val="auto"/>
          <w:kern w:val="0"/>
          <w:sz w:val="24"/>
          <w:szCs w:val="24"/>
          <w:highlight w:val="none"/>
          <w:lang w:val="en-US" w:eastAsia="zh-CN"/>
        </w:rPr>
        <w:t>。</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承包人没有正当合理的理由中途退场，可扣除承包人已递交的所有履约风险保证金。承包人因上述违约行为而须缴纳的违约金在工程进度款中或结算时一并扣除。</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w:t>
      </w:r>
      <w:r>
        <w:rPr>
          <w:rFonts w:hint="eastAsia" w:ascii="宋体" w:hAnsi="宋体" w:eastAsia="宋体" w:cs="宋体"/>
          <w:b w:val="0"/>
          <w:bCs/>
          <w:snapToGrid w:val="0"/>
          <w:color w:val="auto"/>
          <w:kern w:val="0"/>
          <w:sz w:val="24"/>
          <w:szCs w:val="24"/>
          <w:highlight w:val="none"/>
          <w:lang w:val="en-US" w:eastAsia="zh-CN"/>
        </w:rPr>
        <w:t>其他未尽事宜可由招标人与中标人自行协商在施工合同中约定。</w:t>
      </w: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outlineLvl w:val="9"/>
        <w:rPr>
          <w:rFonts w:hint="eastAsia" w:ascii="宋体" w:hAnsi="宋体" w:eastAsia="宋体" w:cs="宋体"/>
          <w:b/>
          <w:bCs/>
          <w:color w:val="auto"/>
          <w:spacing w:val="-3"/>
          <w:sz w:val="24"/>
          <w:szCs w:val="24"/>
          <w:highlight w:val="none"/>
        </w:rPr>
      </w:pPr>
      <w:bookmarkStart w:id="171" w:name="bookmark96"/>
      <w:bookmarkEnd w:id="171"/>
    </w:p>
    <w:p>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pPr>
        <w:keepNext w:val="0"/>
        <w:keepLines w:val="0"/>
        <w:pageBreakBefore w:val="0"/>
        <w:widowControl w:val="0"/>
        <w:kinsoku/>
        <w:wordWrap w:val="0"/>
        <w:overflowPunct/>
        <w:topLinePunct/>
        <w:autoSpaceDE/>
        <w:autoSpaceDN/>
        <w:bidi w:val="0"/>
        <w:adjustRightInd w:val="0"/>
        <w:snapToGrid w:val="0"/>
        <w:spacing w:before="78" w:line="219" w:lineRule="auto"/>
        <w:ind w:left="3273" w:right="84" w:rightChars="40"/>
        <w:outlineLvl w:val="0"/>
        <w:rPr>
          <w:rFonts w:hint="eastAsia" w:ascii="宋体" w:hAnsi="宋体" w:eastAsia="宋体" w:cs="宋体"/>
          <w:color w:val="auto"/>
          <w:highlight w:val="none"/>
        </w:rPr>
      </w:pPr>
      <w:bookmarkStart w:id="172" w:name="_Toc10893"/>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72"/>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125" w:right="84" w:rightChars="40"/>
        <w:textAlignment w:val="baseline"/>
        <w:outlineLvl w:val="2"/>
        <w:rPr>
          <w:rFonts w:hint="eastAsia" w:ascii="宋体" w:hAnsi="宋体" w:eastAsia="宋体" w:cs="宋体"/>
          <w:color w:val="auto"/>
          <w:sz w:val="24"/>
          <w:szCs w:val="24"/>
          <w:highlight w:val="none"/>
        </w:rPr>
      </w:pPr>
      <w:bookmarkStart w:id="173" w:name="_Toc10155"/>
      <w:bookmarkStart w:id="174" w:name="_Toc7766"/>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1"/>
          <w:sz w:val="24"/>
          <w:szCs w:val="24"/>
          <w:highlight w:val="none"/>
        </w:rPr>
        <w:t>房屋建筑工程建设项目</w:t>
      </w:r>
      <w:bookmarkEnd w:id="173"/>
      <w:bookmarkEnd w:id="174"/>
    </w:p>
    <w:p>
      <w:pPr>
        <w:keepNext w:val="0"/>
        <w:keepLines w:val="0"/>
        <w:pageBreakBefore w:val="0"/>
        <w:widowControl w:val="0"/>
        <w:kinsoku/>
        <w:wordWrap w:val="0"/>
        <w:overflowPunct/>
        <w:topLinePunct/>
        <w:autoSpaceDE/>
        <w:autoSpaceDN/>
        <w:bidi w:val="0"/>
        <w:adjustRightInd w:val="0"/>
        <w:snapToGrid w:val="0"/>
        <w:spacing w:line="360" w:lineRule="auto"/>
        <w:ind w:left="12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55015-2021）；</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bookmarkStart w:id="175" w:name="_Toc12084"/>
      <w:bookmarkStart w:id="176" w:name="_Toc16294"/>
      <w:r>
        <w:rPr>
          <w:rFonts w:hint="eastAsia" w:ascii="宋体" w:hAnsi="宋体" w:eastAsia="宋体" w:cs="宋体"/>
          <w:color w:val="auto"/>
          <w:spacing w:val="-1"/>
          <w:sz w:val="24"/>
          <w:szCs w:val="24"/>
          <w:highlight w:val="none"/>
        </w:rPr>
        <w:t>（14）《建筑与市政工程无障碍通用规范》GB 55019-2021；</w:t>
      </w:r>
      <w:bookmarkEnd w:id="175"/>
      <w:bookmarkEnd w:id="176"/>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bookmarkStart w:id="177" w:name="_Toc15158"/>
      <w:bookmarkStart w:id="178" w:name="_Toc1177"/>
      <w:r>
        <w:rPr>
          <w:rFonts w:hint="eastAsia" w:ascii="宋体" w:hAnsi="宋体" w:eastAsia="宋体" w:cs="宋体"/>
          <w:color w:val="auto"/>
          <w:spacing w:val="-1"/>
          <w:sz w:val="24"/>
          <w:szCs w:val="24"/>
          <w:highlight w:val="none"/>
        </w:rPr>
        <w:t>（15）《建筑防火通用规范》GB 55037-2022;</w:t>
      </w:r>
      <w:bookmarkEnd w:id="177"/>
      <w:bookmarkEnd w:id="178"/>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bookmarkStart w:id="179" w:name="_Toc2461"/>
      <w:bookmarkStart w:id="180" w:name="_Toc24233"/>
      <w:r>
        <w:rPr>
          <w:rFonts w:hint="eastAsia" w:ascii="宋体" w:hAnsi="宋体" w:eastAsia="宋体" w:cs="宋体"/>
          <w:color w:val="auto"/>
          <w:spacing w:val="-1"/>
          <w:sz w:val="24"/>
          <w:szCs w:val="24"/>
          <w:highlight w:val="none"/>
        </w:rPr>
        <w:t>（16）《建筑与市政工程抗震通用规范》GB55002-2001;</w:t>
      </w:r>
      <w:bookmarkEnd w:id="179"/>
      <w:bookmarkEnd w:id="180"/>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bookmarkStart w:id="181" w:name="_Toc8109"/>
      <w:bookmarkStart w:id="182" w:name="_Toc5777"/>
      <w:r>
        <w:rPr>
          <w:rFonts w:hint="eastAsia" w:ascii="宋体" w:hAnsi="宋体" w:eastAsia="宋体" w:cs="宋体"/>
          <w:color w:val="auto"/>
          <w:spacing w:val="-1"/>
          <w:sz w:val="24"/>
          <w:szCs w:val="24"/>
          <w:highlight w:val="none"/>
        </w:rPr>
        <w:t>（17）《建筑与市政地基基础通用规范》GB55003-2001;</w:t>
      </w:r>
      <w:bookmarkEnd w:id="181"/>
      <w:bookmarkEnd w:id="182"/>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pPr>
        <w:pStyle w:val="5"/>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115" w:right="84" w:rightChars="40"/>
        <w:textAlignment w:val="baseline"/>
        <w:outlineLvl w:val="2"/>
        <w:rPr>
          <w:rFonts w:hint="eastAsia" w:ascii="宋体" w:hAnsi="宋体" w:eastAsia="宋体" w:cs="宋体"/>
          <w:color w:val="auto"/>
          <w:sz w:val="24"/>
          <w:szCs w:val="24"/>
          <w:highlight w:val="none"/>
        </w:rPr>
      </w:pPr>
      <w:bookmarkStart w:id="183" w:name="_Toc5612"/>
      <w:bookmarkStart w:id="184"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83"/>
      <w:bookmarkEnd w:id="184"/>
    </w:p>
    <w:p>
      <w:pPr>
        <w:keepNext w:val="0"/>
        <w:keepLines w:val="0"/>
        <w:pageBreakBefore w:val="0"/>
        <w:widowControl w:val="0"/>
        <w:kinsoku/>
        <w:wordWrap w:val="0"/>
        <w:overflowPunct/>
        <w:topLinePunct/>
        <w:autoSpaceDE/>
        <w:autoSpaceDN/>
        <w:bidi w:val="0"/>
        <w:adjustRightInd w:val="0"/>
        <w:snapToGrid w:val="0"/>
        <w:spacing w:line="360" w:lineRule="auto"/>
        <w:ind w:left="125"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pPr>
        <w:keepNext w:val="0"/>
        <w:keepLines w:val="0"/>
        <w:pageBreakBefore w:val="0"/>
        <w:widowControl w:val="0"/>
        <w:kinsoku/>
        <w:wordWrap w:val="0"/>
        <w:overflowPunct/>
        <w:topLinePunct/>
        <w:autoSpaceDE/>
        <w:autoSpaceDN/>
        <w:bidi w:val="0"/>
        <w:adjustRightInd w:val="0"/>
        <w:snapToGrid w:val="0"/>
        <w:spacing w:line="360" w:lineRule="auto"/>
        <w:ind w:left="130" w:right="84" w:rightChars="4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bookmarkStart w:id="185" w:name="_Toc8494"/>
      <w:bookmarkStart w:id="186" w:name="_Toc30781"/>
      <w:r>
        <w:rPr>
          <w:rFonts w:hint="eastAsia" w:ascii="宋体" w:hAnsi="宋体" w:eastAsia="宋体" w:cs="宋体"/>
          <w:color w:val="auto"/>
          <w:spacing w:val="-2"/>
          <w:sz w:val="24"/>
          <w:szCs w:val="24"/>
          <w:highlight w:val="none"/>
        </w:rPr>
        <w:t>（11）《建筑与市政工程无障碍通用规范》GB 55019-2021；</w:t>
      </w:r>
      <w:bookmarkEnd w:id="185"/>
      <w:bookmarkEnd w:id="186"/>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bookmarkStart w:id="187" w:name="_Toc17383"/>
      <w:bookmarkStart w:id="188" w:name="_Toc31143"/>
      <w:r>
        <w:rPr>
          <w:rFonts w:hint="eastAsia" w:ascii="宋体" w:hAnsi="宋体" w:eastAsia="宋体" w:cs="宋体"/>
          <w:color w:val="auto"/>
          <w:spacing w:val="-2"/>
          <w:sz w:val="24"/>
          <w:szCs w:val="24"/>
          <w:highlight w:val="none"/>
        </w:rPr>
        <w:t>（12）《建筑防火通用规范》GB 55037-2022;</w:t>
      </w:r>
      <w:bookmarkEnd w:id="187"/>
      <w:bookmarkEnd w:id="188"/>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bookmarkStart w:id="189" w:name="_Toc954"/>
      <w:bookmarkStart w:id="190" w:name="_Toc32476"/>
      <w:r>
        <w:rPr>
          <w:rFonts w:hint="eastAsia" w:ascii="宋体" w:hAnsi="宋体" w:eastAsia="宋体" w:cs="宋体"/>
          <w:color w:val="auto"/>
          <w:spacing w:val="-2"/>
          <w:sz w:val="24"/>
          <w:szCs w:val="24"/>
          <w:highlight w:val="none"/>
        </w:rPr>
        <w:t>（13）《建筑与市政工程抗震通用规范》GB55002-2001;</w:t>
      </w:r>
      <w:bookmarkEnd w:id="189"/>
      <w:bookmarkEnd w:id="190"/>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bookmarkStart w:id="191" w:name="_Toc7185"/>
      <w:bookmarkStart w:id="192" w:name="_Toc27898"/>
      <w:r>
        <w:rPr>
          <w:rFonts w:hint="eastAsia" w:ascii="宋体" w:hAnsi="宋体" w:eastAsia="宋体" w:cs="宋体"/>
          <w:color w:val="auto"/>
          <w:spacing w:val="-2"/>
          <w:sz w:val="24"/>
          <w:szCs w:val="24"/>
          <w:highlight w:val="none"/>
        </w:rPr>
        <w:t>（14）《建筑与市政地基基础通用规范》GB55003-2001;</w:t>
      </w:r>
      <w:bookmarkEnd w:id="191"/>
      <w:bookmarkEnd w:id="192"/>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bookmarkStart w:id="193" w:name="_Toc29669"/>
      <w:bookmarkStart w:id="194" w:name="_Toc17281"/>
      <w:r>
        <w:rPr>
          <w:rFonts w:hint="eastAsia" w:ascii="宋体" w:hAnsi="宋体" w:eastAsia="宋体" w:cs="宋体"/>
          <w:color w:val="auto"/>
          <w:spacing w:val="-2"/>
          <w:sz w:val="24"/>
          <w:szCs w:val="24"/>
          <w:highlight w:val="none"/>
        </w:rPr>
        <w:t>（15）《城市道路照明设计标准》（CJJ45-2015）；</w:t>
      </w:r>
      <w:bookmarkEnd w:id="193"/>
      <w:bookmarkEnd w:id="194"/>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bookmarkStart w:id="195" w:name="_Toc9161"/>
      <w:bookmarkStart w:id="196" w:name="_Toc31812"/>
      <w:r>
        <w:rPr>
          <w:rFonts w:hint="eastAsia" w:ascii="宋体" w:hAnsi="宋体" w:eastAsia="宋体" w:cs="宋体"/>
          <w:color w:val="auto"/>
          <w:spacing w:val="-2"/>
          <w:sz w:val="24"/>
          <w:szCs w:val="24"/>
          <w:highlight w:val="none"/>
        </w:rPr>
        <w:t>（16）《低压配电设计规范》（GB50054-2011）；</w:t>
      </w:r>
      <w:bookmarkEnd w:id="195"/>
      <w:bookmarkEnd w:id="196"/>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bookmarkStart w:id="197" w:name="_Toc6405"/>
      <w:bookmarkStart w:id="198" w:name="_Toc18255"/>
      <w:r>
        <w:rPr>
          <w:rFonts w:hint="eastAsia" w:ascii="宋体" w:hAnsi="宋体" w:eastAsia="宋体" w:cs="宋体"/>
          <w:color w:val="auto"/>
          <w:spacing w:val="-2"/>
          <w:sz w:val="24"/>
          <w:szCs w:val="24"/>
          <w:highlight w:val="none"/>
        </w:rPr>
        <w:t>（17）《城市道路照明工程施工及验收规程》（CJJ89-2012）；</w:t>
      </w:r>
      <w:bookmarkEnd w:id="197"/>
      <w:bookmarkEnd w:id="198"/>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pPr>
        <w:keepNext w:val="0"/>
        <w:keepLines w:val="0"/>
        <w:pageBreakBefore w:val="0"/>
        <w:widowControl w:val="0"/>
        <w:kinsoku/>
        <w:wordWrap w:val="0"/>
        <w:overflowPunct/>
        <w:topLinePunct/>
        <w:autoSpaceDE/>
        <w:autoSpaceDN/>
        <w:bidi w:val="0"/>
        <w:adjustRightInd w:val="0"/>
        <w:snapToGrid w:val="0"/>
        <w:spacing w:line="360" w:lineRule="auto"/>
        <w:ind w:left="216" w:leftChars="103" w:right="84" w:rightChars="40"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pPr>
        <w:pStyle w:val="5"/>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556" w:right="84" w:rightChars="40"/>
        <w:textAlignment w:val="baseline"/>
        <w:outlineLvl w:val="2"/>
        <w:rPr>
          <w:rFonts w:hint="eastAsia" w:ascii="宋体" w:hAnsi="宋体" w:eastAsia="宋体" w:cs="宋体"/>
          <w:color w:val="auto"/>
          <w:sz w:val="24"/>
          <w:szCs w:val="24"/>
          <w:highlight w:val="none"/>
        </w:rPr>
      </w:pPr>
      <w:bookmarkStart w:id="199" w:name="_Toc28940"/>
      <w:bookmarkStart w:id="200"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199"/>
      <w:bookmarkEnd w:id="200"/>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561"/>
        <w:jc w:val="both"/>
        <w:textAlignment w:val="baseline"/>
        <w:rPr>
          <w:rFonts w:hint="eastAsia"/>
          <w:color w:val="auto"/>
          <w:highlight w:val="none"/>
        </w:rPr>
        <w:sectPr>
          <w:footerReference r:id="rId12" w:type="default"/>
          <w:pgSz w:w="11906" w:h="16839"/>
          <w:pgMar w:top="1440" w:right="116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center"/>
        <w:outlineLvl w:val="0"/>
        <w:rPr>
          <w:rFonts w:hint="eastAsia" w:ascii="宋体" w:hAnsi="宋体" w:eastAsia="宋体" w:cs="宋体"/>
          <w:color w:val="auto"/>
          <w:sz w:val="24"/>
          <w:szCs w:val="24"/>
          <w:highlight w:val="none"/>
        </w:rPr>
      </w:pPr>
      <w:bookmarkStart w:id="201" w:name="bookmark146"/>
      <w:bookmarkEnd w:id="201"/>
      <w:bookmarkStart w:id="202" w:name="bookmark100"/>
      <w:bookmarkEnd w:id="202"/>
      <w:bookmarkStart w:id="203" w:name="_Toc10737"/>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03"/>
    </w:p>
    <w:p>
      <w:pPr>
        <w:pStyle w:val="5"/>
        <w:keepNext w:val="0"/>
        <w:keepLines w:val="0"/>
        <w:pageBreakBefore w:val="0"/>
        <w:widowControl w:val="0"/>
        <w:kinsoku/>
        <w:wordWrap w:val="0"/>
        <w:overflowPunct/>
        <w:topLinePunct/>
        <w:autoSpaceDE/>
        <w:autoSpaceDN/>
        <w:bidi w:val="0"/>
        <w:adjustRightInd w:val="0"/>
        <w:snapToGrid w:val="0"/>
        <w:spacing w:line="283"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84"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left="10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pPr>
        <w:pStyle w:val="5"/>
        <w:keepNext w:val="0"/>
        <w:keepLines w:val="0"/>
        <w:pageBreakBefore w:val="0"/>
        <w:widowControl w:val="0"/>
        <w:kinsoku/>
        <w:wordWrap w:val="0"/>
        <w:overflowPunct/>
        <w:topLinePunct/>
        <w:autoSpaceDE/>
        <w:autoSpaceDN/>
        <w:bidi w:val="0"/>
        <w:adjustRightInd w:val="0"/>
        <w:snapToGrid w:val="0"/>
        <w:spacing w:line="265"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715" w:right="84" w:rightChars="40"/>
        <w:textAlignment w:val="baseline"/>
        <w:outlineLvl w:val="2"/>
        <w:rPr>
          <w:rFonts w:hint="eastAsia" w:ascii="宋体" w:hAnsi="宋体" w:eastAsia="宋体" w:cs="宋体"/>
          <w:color w:val="auto"/>
          <w:sz w:val="24"/>
          <w:szCs w:val="24"/>
          <w:highlight w:val="none"/>
        </w:rPr>
      </w:pPr>
      <w:bookmarkStart w:id="204" w:name="_Toc12447"/>
      <w:bookmarkStart w:id="205"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04"/>
      <w:bookmarkEnd w:id="205"/>
    </w:p>
    <w:p>
      <w:pPr>
        <w:keepNext w:val="0"/>
        <w:keepLines w:val="0"/>
        <w:pageBreakBefore w:val="0"/>
        <w:widowControl w:val="0"/>
        <w:kinsoku/>
        <w:wordWrap w:val="0"/>
        <w:overflowPunct/>
        <w:topLinePunct/>
        <w:autoSpaceDE/>
        <w:autoSpaceDN/>
        <w:bidi w:val="0"/>
        <w:adjustRightInd w:val="0"/>
        <w:snapToGrid w:val="0"/>
        <w:spacing w:line="360" w:lineRule="auto"/>
        <w:ind w:left="230" w:right="84" w:rightChars="4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pPr>
        <w:pStyle w:val="5"/>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360" w:lineRule="auto"/>
        <w:ind w:left="705" w:right="84" w:rightChars="40"/>
        <w:textAlignment w:val="baseline"/>
        <w:outlineLvl w:val="2"/>
        <w:rPr>
          <w:rFonts w:hint="eastAsia" w:ascii="宋体" w:hAnsi="宋体" w:eastAsia="宋体" w:cs="宋体"/>
          <w:color w:val="auto"/>
          <w:sz w:val="24"/>
          <w:szCs w:val="24"/>
          <w:highlight w:val="none"/>
        </w:rPr>
      </w:pPr>
      <w:bookmarkStart w:id="206" w:name="_Toc9064"/>
      <w:bookmarkStart w:id="207" w:name="_Toc6127"/>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06"/>
      <w:bookmarkEnd w:id="207"/>
    </w:p>
    <w:p>
      <w:pPr>
        <w:keepNext w:val="0"/>
        <w:keepLines w:val="0"/>
        <w:pageBreakBefore w:val="0"/>
        <w:widowControl w:val="0"/>
        <w:kinsoku/>
        <w:wordWrap w:val="0"/>
        <w:overflowPunct/>
        <w:topLinePunct/>
        <w:autoSpaceDE/>
        <w:autoSpaceDN/>
        <w:bidi w:val="0"/>
        <w:adjustRightInd w:val="0"/>
        <w:snapToGrid w:val="0"/>
        <w:spacing w:line="360" w:lineRule="auto"/>
        <w:ind w:left="231"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08" w:name="OLE_LINK33"/>
      <w:r>
        <w:rPr>
          <w:rFonts w:hint="eastAsia" w:ascii="宋体" w:hAnsi="宋体" w:eastAsia="宋体" w:cs="宋体"/>
          <w:color w:val="auto"/>
          <w:spacing w:val="-3"/>
          <w:sz w:val="24"/>
          <w:szCs w:val="24"/>
          <w:highlight w:val="none"/>
          <w:u w:val="single"/>
        </w:rPr>
        <w:t>招标工程量清单  EXCEL 版</w:t>
      </w:r>
      <w:bookmarkEnd w:id="208"/>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firstLine="239" w:firstLineChars="100"/>
        <w:textAlignment w:val="baseline"/>
        <w:rPr>
          <w:rFonts w:hint="eastAsia" w:ascii="宋体" w:hAnsi="宋体" w:eastAsia="宋体" w:cs="宋体"/>
          <w:color w:val="auto"/>
          <w:sz w:val="24"/>
          <w:szCs w:val="24"/>
          <w:highlight w:val="none"/>
        </w:rPr>
      </w:pPr>
      <w:bookmarkStart w:id="209" w:name="bookmark147"/>
      <w:bookmarkEnd w:id="209"/>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4"/>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8"/>
          <w:sz w:val="24"/>
          <w:szCs w:val="24"/>
          <w:highlight w:val="none"/>
          <w:u w:val="single"/>
          <w:lang w:val="en-US"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pPr>
        <w:keepNext w:val="0"/>
        <w:keepLines w:val="0"/>
        <w:pageBreakBefore w:val="0"/>
        <w:widowControl w:val="0"/>
        <w:kinsoku/>
        <w:wordWrap w:val="0"/>
        <w:overflowPunct/>
        <w:topLinePunct/>
        <w:autoSpaceDE/>
        <w:autoSpaceDN/>
        <w:bidi w:val="0"/>
        <w:adjustRightInd w:val="0"/>
        <w:snapToGrid w:val="0"/>
        <w:spacing w:line="360" w:lineRule="auto"/>
        <w:ind w:left="2"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0"/>
          <w:sz w:val="24"/>
          <w:szCs w:val="24"/>
          <w:highlight w:val="none"/>
        </w:rPr>
        <w:t>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（5）《广东省建设工程计价依据（2018）》。具体包括：《广东省房屋建筑与装</w:t>
      </w:r>
      <w:r>
        <w:rPr>
          <w:rFonts w:hint="eastAsia" w:ascii="宋体" w:hAnsi="宋体" w:eastAsia="宋体" w:cs="宋体"/>
          <w:color w:val="auto"/>
          <w:spacing w:val="-1"/>
          <w:sz w:val="24"/>
          <w:szCs w:val="24"/>
          <w:highlight w:val="none"/>
        </w:rPr>
        <w:t>饰工程综合定额（2018）》《广东省市政工程综合定额</w:t>
      </w:r>
      <w:r>
        <w:rPr>
          <w:rFonts w:hint="eastAsia" w:ascii="宋体" w:hAnsi="宋体" w:eastAsia="宋体" w:cs="宋体"/>
          <w:color w:val="auto"/>
          <w:spacing w:val="-2"/>
          <w:sz w:val="24"/>
          <w:szCs w:val="24"/>
          <w:highlight w:val="none"/>
        </w:rPr>
        <w:t>（2018）》《广东省通用安装工</w:t>
      </w:r>
      <w:r>
        <w:rPr>
          <w:rFonts w:hint="eastAsia" w:ascii="宋体" w:hAnsi="宋体" w:eastAsia="宋体" w:cs="宋体"/>
          <w:color w:val="auto"/>
          <w:spacing w:val="-1"/>
          <w:sz w:val="24"/>
          <w:szCs w:val="24"/>
          <w:highlight w:val="none"/>
        </w:rPr>
        <w:t>程综合定额（</w:t>
      </w:r>
      <w:r>
        <w:rPr>
          <w:rFonts w:hint="eastAsia" w:ascii="宋体" w:hAnsi="宋体" w:eastAsia="宋体" w:cs="宋体"/>
          <w:color w:val="auto"/>
          <w:spacing w:val="0"/>
          <w:sz w:val="24"/>
          <w:szCs w:val="24"/>
          <w:highlight w:val="none"/>
        </w:rPr>
        <w:t>2018</w:t>
      </w:r>
      <w:r>
        <w:rPr>
          <w:rFonts w:hint="eastAsia" w:ascii="宋体" w:hAnsi="宋体" w:eastAsia="宋体" w:cs="宋体"/>
          <w:color w:val="auto"/>
          <w:spacing w:val="-1"/>
          <w:sz w:val="24"/>
          <w:szCs w:val="24"/>
          <w:highlight w:val="none"/>
        </w:rPr>
        <w:t>）》《广东省园林绿化工程综合定额</w:t>
      </w:r>
      <w:r>
        <w:rPr>
          <w:rFonts w:hint="eastAsia" w:ascii="宋体" w:hAnsi="宋体" w:eastAsia="宋体" w:cs="宋体"/>
          <w:color w:val="auto"/>
          <w:spacing w:val="-2"/>
          <w:sz w:val="24"/>
          <w:szCs w:val="24"/>
          <w:highlight w:val="none"/>
        </w:rPr>
        <w:t>（2018）》《广东省建设工程施</w:t>
      </w:r>
      <w:r>
        <w:rPr>
          <w:rFonts w:hint="eastAsia" w:ascii="宋体" w:hAnsi="宋体" w:eastAsia="宋体" w:cs="宋体"/>
          <w:color w:val="auto"/>
          <w:spacing w:val="-1"/>
          <w:sz w:val="24"/>
          <w:szCs w:val="24"/>
          <w:highlight w:val="none"/>
        </w:rPr>
        <w:t>工机具台班费用编制规则（2018）》等；</w:t>
      </w:r>
    </w:p>
    <w:p>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219" w:lineRule="auto"/>
        <w:ind w:right="84" w:rightChars="40"/>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pStyle w:val="5"/>
        <w:keepNext w:val="0"/>
        <w:keepLines w:val="0"/>
        <w:pageBreakBefore w:val="0"/>
        <w:widowControl w:val="0"/>
        <w:kinsoku/>
        <w:wordWrap w:val="0"/>
        <w:overflowPunct/>
        <w:topLinePunct/>
        <w:autoSpaceDE/>
        <w:autoSpaceDN/>
        <w:bidi w:val="0"/>
        <w:adjustRightInd w:val="0"/>
        <w:snapToGrid w:val="0"/>
        <w:spacing w:line="304"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left="3357" w:right="84" w:rightChars="40"/>
        <w:outlineLvl w:val="0"/>
        <w:rPr>
          <w:rFonts w:hint="eastAsia" w:ascii="宋体" w:hAnsi="宋体" w:eastAsia="宋体" w:cs="宋体"/>
          <w:color w:val="auto"/>
          <w:sz w:val="24"/>
          <w:szCs w:val="24"/>
          <w:highlight w:val="none"/>
        </w:rPr>
      </w:pPr>
      <w:bookmarkStart w:id="210" w:name="_Toc423"/>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0"/>
    </w:p>
    <w:p>
      <w:pPr>
        <w:pStyle w:val="5"/>
        <w:keepNext w:val="0"/>
        <w:keepLines w:val="0"/>
        <w:pageBreakBefore w:val="0"/>
        <w:widowControl w:val="0"/>
        <w:kinsoku/>
        <w:wordWrap w:val="0"/>
        <w:overflowPunct/>
        <w:topLinePunct/>
        <w:autoSpaceDE/>
        <w:autoSpaceDN/>
        <w:bidi w:val="0"/>
        <w:adjustRightInd w:val="0"/>
        <w:snapToGrid w:val="0"/>
        <w:spacing w:line="302" w:lineRule="auto"/>
        <w:ind w:right="84" w:rightChars="40"/>
        <w:jc w:val="right"/>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color w:val="auto"/>
          <w:sz w:val="24"/>
          <w:szCs w:val="24"/>
          <w:highlight w:val="none"/>
        </w:rPr>
      </w:pPr>
      <w:bookmarkStart w:id="211" w:name="_Toc28797"/>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1"/>
    </w:p>
    <w:p>
      <w:pPr>
        <w:pStyle w:val="5"/>
        <w:keepNext w:val="0"/>
        <w:keepLines w:val="0"/>
        <w:pageBreakBefore w:val="0"/>
        <w:widowControl w:val="0"/>
        <w:kinsoku/>
        <w:wordWrap w:val="0"/>
        <w:overflowPunct/>
        <w:topLinePunct/>
        <w:autoSpaceDE/>
        <w:autoSpaceDN/>
        <w:bidi w:val="0"/>
        <w:adjustRightInd w:val="0"/>
        <w:snapToGrid w:val="0"/>
        <w:spacing w:line="258"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9"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9"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153" w:line="225" w:lineRule="auto"/>
        <w:ind w:left="-1" w:leftChars="0" w:right="84" w:rightChars="4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32"/>
          <w:sz w:val="47"/>
          <w:szCs w:val="47"/>
          <w:highlight w:val="none"/>
          <w:u w:val="none"/>
          <w:lang w:val="en-US" w:eastAsia="zh-CN"/>
        </w:rPr>
        <w:t>施工</w:t>
      </w:r>
      <w:r>
        <w:rPr>
          <w:rFonts w:hint="eastAsia" w:ascii="宋体" w:hAnsi="宋体" w:eastAsia="宋体" w:cs="宋体"/>
          <w:b/>
          <w:bCs/>
          <w:color w:val="auto"/>
          <w:spacing w:val="8"/>
          <w:sz w:val="47"/>
          <w:szCs w:val="47"/>
          <w:highlight w:val="none"/>
        </w:rPr>
        <w:t>招标</w:t>
      </w:r>
    </w:p>
    <w:p>
      <w:pPr>
        <w:pStyle w:val="5"/>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48"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231" w:line="223" w:lineRule="auto"/>
        <w:ind w:right="84" w:rightChars="40"/>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pPr>
        <w:pStyle w:val="5"/>
        <w:keepNext w:val="0"/>
        <w:keepLines w:val="0"/>
        <w:pageBreakBefore w:val="0"/>
        <w:widowControl w:val="0"/>
        <w:kinsoku/>
        <w:wordWrap w:val="0"/>
        <w:overflowPunct/>
        <w:topLinePunct/>
        <w:autoSpaceDE/>
        <w:autoSpaceDN/>
        <w:bidi w:val="0"/>
        <w:adjustRightInd w:val="0"/>
        <w:snapToGrid w:val="0"/>
        <w:spacing w:line="293"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93"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152" w:line="223" w:lineRule="auto"/>
        <w:ind w:right="84" w:rightChars="40"/>
        <w:jc w:val="center"/>
        <w:rPr>
          <w:rFonts w:hint="eastAsia" w:ascii="宋体" w:hAnsi="宋体" w:eastAsia="宋体" w:cs="宋体"/>
          <w:b/>
          <w:bCs/>
          <w:color w:val="auto"/>
          <w:spacing w:val="2"/>
          <w:sz w:val="47"/>
          <w:szCs w:val="47"/>
          <w:highlight w:val="none"/>
        </w:rPr>
      </w:pPr>
      <w:bookmarkStart w:id="212" w:name="bookmark105"/>
      <w:bookmarkEnd w:id="212"/>
      <w:r>
        <w:rPr>
          <w:rFonts w:hint="eastAsia" w:ascii="宋体" w:hAnsi="宋体" w:eastAsia="宋体" w:cs="宋体"/>
          <w:b/>
          <w:bCs/>
          <w:color w:val="auto"/>
          <w:spacing w:val="2"/>
          <w:sz w:val="47"/>
          <w:szCs w:val="47"/>
          <w:highlight w:val="none"/>
        </w:rPr>
        <w:t>（商务标书／经济标书／施工组织设计）</w:t>
      </w:r>
    </w:p>
    <w:p>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pPr>
        <w:pStyle w:val="37"/>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pPr>
        <w:pStyle w:val="37"/>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p>
    <w:p>
      <w:pPr>
        <w:pStyle w:val="37"/>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p>
    <w:p>
      <w:pPr>
        <w:pStyle w:val="37"/>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pPr>
        <w:pStyle w:val="37"/>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p>
    <w:p>
      <w:pPr>
        <w:pStyle w:val="37"/>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u w:val="single"/>
        </w:rPr>
      </w:pPr>
    </w:p>
    <w:p>
      <w:pPr>
        <w:pStyle w:val="37"/>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outlineLvl w:val="9"/>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223" w:lineRule="auto"/>
        <w:ind w:right="84" w:rightChars="40"/>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13" w:name="_Toc16176"/>
      <w:r>
        <w:rPr>
          <w:rFonts w:hint="eastAsia" w:ascii="宋体" w:hAnsi="宋体" w:eastAsia="宋体" w:cs="宋体"/>
          <w:b/>
          <w:bCs/>
          <w:color w:val="auto"/>
          <w:spacing w:val="-4"/>
          <w:sz w:val="24"/>
          <w:szCs w:val="24"/>
          <w:highlight w:val="none"/>
        </w:rPr>
        <w:t>格式二 投标函</w:t>
      </w:r>
      <w:bookmarkEnd w:id="213"/>
    </w:p>
    <w:p>
      <w:pPr>
        <w:pStyle w:val="5"/>
        <w:keepNext w:val="0"/>
        <w:keepLines w:val="0"/>
        <w:pageBreakBefore w:val="0"/>
        <w:widowControl w:val="0"/>
        <w:kinsoku/>
        <w:wordWrap w:val="0"/>
        <w:overflowPunct/>
        <w:topLinePunct/>
        <w:autoSpaceDE/>
        <w:autoSpaceDN/>
        <w:bidi w:val="0"/>
        <w:adjustRightInd w:val="0"/>
        <w:snapToGrid w:val="0"/>
        <w:spacing w:line="261"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97" w:line="221" w:lineRule="auto"/>
        <w:ind w:left="3799" w:right="84" w:rightChars="40"/>
        <w:outlineLvl w:val="9"/>
        <w:rPr>
          <w:rFonts w:hint="eastAsia" w:ascii="宋体" w:hAnsi="宋体" w:eastAsia="宋体" w:cs="宋体"/>
          <w:color w:val="auto"/>
          <w:sz w:val="30"/>
          <w:szCs w:val="30"/>
          <w:highlight w:val="none"/>
        </w:rPr>
      </w:pPr>
      <w:bookmarkStart w:id="214" w:name="bookmark148"/>
      <w:bookmarkEnd w:id="214"/>
      <w:bookmarkStart w:id="215" w:name="_Toc317"/>
      <w:bookmarkStart w:id="216" w:name="_Toc297"/>
      <w:bookmarkStart w:id="217" w:name="_Toc273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15"/>
      <w:bookmarkEnd w:id="216"/>
      <w:bookmarkEnd w:id="217"/>
    </w:p>
    <w:p>
      <w:pPr>
        <w:pStyle w:val="5"/>
        <w:keepNext w:val="0"/>
        <w:keepLines w:val="0"/>
        <w:pageBreakBefore w:val="0"/>
        <w:widowControl w:val="0"/>
        <w:kinsoku/>
        <w:wordWrap w:val="0"/>
        <w:overflowPunct/>
        <w:topLinePunct/>
        <w:autoSpaceDE/>
        <w:autoSpaceDN/>
        <w:bidi w:val="0"/>
        <w:adjustRightInd w:val="0"/>
        <w:snapToGrid w:val="0"/>
        <w:spacing w:line="249"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21" w:lineRule="auto"/>
        <w:ind w:left="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pPr>
        <w:pStyle w:val="5"/>
        <w:keepNext w:val="0"/>
        <w:keepLines w:val="0"/>
        <w:pageBreakBefore w:val="0"/>
        <w:widowControl w:val="0"/>
        <w:kinsoku/>
        <w:wordWrap w:val="0"/>
        <w:overflowPunct/>
        <w:topLinePunct/>
        <w:autoSpaceDE/>
        <w:autoSpaceDN/>
        <w:bidi w:val="0"/>
        <w:adjustRightInd w:val="0"/>
        <w:snapToGrid w:val="0"/>
        <w:spacing w:before="156" w:line="328" w:lineRule="auto"/>
        <w:ind w:left="9" w:right="84" w:rightChars="40"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”）施工招标文件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pPr>
        <w:keepNext w:val="0"/>
        <w:keepLines w:val="0"/>
        <w:pageBreakBefore w:val="0"/>
        <w:widowControl w:val="0"/>
        <w:kinsoku/>
        <w:wordWrap w:val="0"/>
        <w:overflowPunct/>
        <w:topLinePunct/>
        <w:autoSpaceDE/>
        <w:autoSpaceDN/>
        <w:bidi w:val="0"/>
        <w:adjustRightInd w:val="0"/>
        <w:snapToGrid w:val="0"/>
        <w:spacing w:before="39" w:line="323" w:lineRule="auto"/>
        <w:ind w:right="84" w:rightChars="40"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before="38" w:line="280" w:lineRule="auto"/>
        <w:ind w:left="13" w:right="84" w:rightChars="40"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18" w:name="OLE_LINK34"/>
      <w:r>
        <w:rPr>
          <w:rFonts w:hint="eastAsia" w:ascii="宋体" w:hAnsi="宋体" w:eastAsia="宋体" w:cs="宋体"/>
          <w:color w:val="auto"/>
          <w:sz w:val="24"/>
          <w:szCs w:val="24"/>
          <w:highlight w:val="none"/>
          <w:u w:val="single"/>
          <w:lang w:val="en-US" w:eastAsia="zh-CN"/>
        </w:rPr>
        <w:t xml:space="preserve">     </w:t>
      </w:r>
      <w:bookmarkEnd w:id="218"/>
      <w:r>
        <w:rPr>
          <w:rFonts w:hint="eastAsia" w:ascii="宋体" w:hAnsi="宋体" w:eastAsia="宋体" w:cs="宋体"/>
          <w:color w:val="auto"/>
          <w:sz w:val="24"/>
          <w:szCs w:val="24"/>
          <w:highlight w:val="none"/>
        </w:rPr>
        <w:t xml:space="preserve">个日历 </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pPr>
        <w:keepNext w:val="0"/>
        <w:keepLines w:val="0"/>
        <w:pageBreakBefore w:val="0"/>
        <w:widowControl w:val="0"/>
        <w:kinsoku/>
        <w:wordWrap w:val="0"/>
        <w:overflowPunct/>
        <w:topLinePunct/>
        <w:autoSpaceDE/>
        <w:autoSpaceDN/>
        <w:bidi w:val="0"/>
        <w:adjustRightInd w:val="0"/>
        <w:snapToGrid w:val="0"/>
        <w:spacing w:before="152" w:line="279" w:lineRule="auto"/>
        <w:ind w:left="11" w:right="84" w:rightChars="40"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pPr>
        <w:keepNext w:val="0"/>
        <w:keepLines w:val="0"/>
        <w:pageBreakBefore w:val="0"/>
        <w:widowControl w:val="0"/>
        <w:kinsoku/>
        <w:wordWrap w:val="0"/>
        <w:overflowPunct/>
        <w:topLinePunct/>
        <w:autoSpaceDE/>
        <w:autoSpaceDN/>
        <w:bidi w:val="0"/>
        <w:adjustRightInd w:val="0"/>
        <w:snapToGrid w:val="0"/>
        <w:spacing w:before="156" w:line="279" w:lineRule="auto"/>
        <w:ind w:left="11" w:right="84" w:rightChars="40"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pPr>
        <w:keepNext w:val="0"/>
        <w:keepLines w:val="0"/>
        <w:pageBreakBefore w:val="0"/>
        <w:widowControl w:val="0"/>
        <w:kinsoku/>
        <w:wordWrap w:val="0"/>
        <w:overflowPunct/>
        <w:topLinePunct/>
        <w:autoSpaceDE/>
        <w:autoSpaceDN/>
        <w:bidi w:val="0"/>
        <w:adjustRightInd w:val="0"/>
        <w:snapToGrid w:val="0"/>
        <w:spacing w:before="153" w:line="280" w:lineRule="auto"/>
        <w:ind w:left="9" w:right="84" w:rightChars="40"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5．我方在此承诺，所递交投标文件的全部内容均为真实、有效、准确的，并愿意承担因我方就此弄虚作假所引起的一切法律后果，同时理解和同意有可能被要求提供更</w:t>
      </w:r>
    </w:p>
    <w:p>
      <w:pPr>
        <w:keepNext w:val="0"/>
        <w:keepLines w:val="0"/>
        <w:pageBreakBefore w:val="0"/>
        <w:widowControl w:val="0"/>
        <w:kinsoku/>
        <w:wordWrap w:val="0"/>
        <w:overflowPunct/>
        <w:topLinePunct/>
        <w:autoSpaceDE/>
        <w:autoSpaceDN/>
        <w:bidi w:val="0"/>
        <w:adjustRightInd w:val="0"/>
        <w:snapToGrid w:val="0"/>
        <w:spacing w:before="153" w:line="221" w:lineRule="auto"/>
        <w:ind w:left="2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pPr>
        <w:keepNext w:val="0"/>
        <w:keepLines w:val="0"/>
        <w:pageBreakBefore w:val="0"/>
        <w:widowControl w:val="0"/>
        <w:kinsoku/>
        <w:wordWrap w:val="0"/>
        <w:overflowPunct/>
        <w:topLinePunct/>
        <w:autoSpaceDE/>
        <w:autoSpaceDN/>
        <w:bidi w:val="0"/>
        <w:adjustRightInd w:val="0"/>
        <w:snapToGrid w:val="0"/>
        <w:spacing w:before="153" w:line="326" w:lineRule="auto"/>
        <w:ind w:left="13" w:right="84" w:rightChars="40"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pPr>
        <w:pStyle w:val="5"/>
        <w:keepNext w:val="0"/>
        <w:keepLines w:val="0"/>
        <w:pageBreakBefore w:val="0"/>
        <w:widowControl w:val="0"/>
        <w:kinsoku/>
        <w:wordWrap w:val="0"/>
        <w:overflowPunct/>
        <w:topLinePunct/>
        <w:autoSpaceDE/>
        <w:autoSpaceDN/>
        <w:bidi w:val="0"/>
        <w:adjustRightInd w:val="0"/>
        <w:snapToGrid w:val="0"/>
        <w:spacing w:line="276"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9" w:line="219" w:lineRule="auto"/>
        <w:ind w:right="84" w:rightChars="40"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pPr>
        <w:pStyle w:val="5"/>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left="3922"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9" w:line="220" w:lineRule="auto"/>
        <w:ind w:left="697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pPr>
        <w:keepNext w:val="0"/>
        <w:keepLines w:val="0"/>
        <w:pageBreakBefore w:val="0"/>
        <w:widowControl w:val="0"/>
        <w:kinsoku/>
        <w:wordWrap w:val="0"/>
        <w:overflowPunct/>
        <w:topLinePunct/>
        <w:autoSpaceDE/>
        <w:autoSpaceDN/>
        <w:bidi w:val="0"/>
        <w:adjustRightInd w:val="0"/>
        <w:snapToGrid w:val="0"/>
        <w:spacing w:line="220" w:lineRule="auto"/>
        <w:ind w:right="84" w:rightChars="40"/>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19" w:name="_Toc25573"/>
      <w:r>
        <w:rPr>
          <w:rFonts w:hint="eastAsia" w:ascii="宋体" w:hAnsi="宋体" w:eastAsia="宋体" w:cs="宋体"/>
          <w:b/>
          <w:bCs/>
          <w:color w:val="auto"/>
          <w:spacing w:val="-4"/>
          <w:sz w:val="24"/>
          <w:szCs w:val="24"/>
          <w:highlight w:val="none"/>
        </w:rPr>
        <w:t>格式三 各项承诺一览表</w:t>
      </w:r>
      <w:bookmarkEnd w:id="219"/>
    </w:p>
    <w:p>
      <w:pPr>
        <w:pStyle w:val="5"/>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98" w:line="220" w:lineRule="auto"/>
        <w:ind w:left="3581" w:right="84" w:rightChars="40"/>
        <w:outlineLvl w:val="9"/>
        <w:rPr>
          <w:rFonts w:hint="eastAsia" w:ascii="宋体" w:hAnsi="宋体" w:eastAsia="宋体" w:cs="宋体"/>
          <w:color w:val="auto"/>
          <w:sz w:val="30"/>
          <w:szCs w:val="30"/>
          <w:highlight w:val="none"/>
        </w:rPr>
      </w:pPr>
      <w:bookmarkStart w:id="220" w:name="bookmark149"/>
      <w:bookmarkEnd w:id="220"/>
      <w:bookmarkStart w:id="221" w:name="_Toc4767"/>
      <w:bookmarkStart w:id="222" w:name="_Toc10326"/>
      <w:bookmarkStart w:id="223" w:name="_Toc2936"/>
      <w:r>
        <w:rPr>
          <w:rFonts w:hint="eastAsia" w:ascii="宋体" w:hAnsi="宋体" w:eastAsia="宋体" w:cs="宋体"/>
          <w:b/>
          <w:bCs/>
          <w:color w:val="auto"/>
          <w:spacing w:val="-5"/>
          <w:sz w:val="30"/>
          <w:szCs w:val="30"/>
          <w:highlight w:val="none"/>
        </w:rPr>
        <w:t>各项承诺一览表</w:t>
      </w:r>
      <w:bookmarkEnd w:id="221"/>
      <w:bookmarkEnd w:id="222"/>
      <w:bookmarkEnd w:id="223"/>
    </w:p>
    <w:p>
      <w:pPr>
        <w:keepNext w:val="0"/>
        <w:keepLines w:val="0"/>
        <w:pageBreakBefore w:val="0"/>
        <w:widowControl w:val="0"/>
        <w:kinsoku/>
        <w:wordWrap w:val="0"/>
        <w:overflowPunct/>
        <w:topLinePunct/>
        <w:autoSpaceDE/>
        <w:autoSpaceDN/>
        <w:bidi w:val="0"/>
        <w:adjustRightInd w:val="0"/>
        <w:snapToGrid w:val="0"/>
        <w:spacing w:before="6"/>
        <w:ind w:right="84" w:rightChars="40"/>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pPr>
              <w:keepNext w:val="0"/>
              <w:keepLines w:val="0"/>
              <w:pageBreakBefore w:val="0"/>
              <w:widowControl w:val="0"/>
              <w:kinsoku/>
              <w:wordWrap w:val="0"/>
              <w:overflowPunct/>
              <w:topLinePunct/>
              <w:autoSpaceDE/>
              <w:autoSpaceDN/>
              <w:bidi w:val="0"/>
              <w:adjustRightInd w:val="0"/>
              <w:snapToGrid w:val="0"/>
              <w:spacing w:before="209" w:line="288" w:lineRule="auto"/>
              <w:ind w:left="12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pPr>
              <w:keepNext w:val="0"/>
              <w:keepLines w:val="0"/>
              <w:pageBreakBefore w:val="0"/>
              <w:widowControl w:val="0"/>
              <w:kinsoku/>
              <w:wordWrap w:val="0"/>
              <w:overflowPunct/>
              <w:topLinePunct/>
              <w:autoSpaceDE/>
              <w:autoSpaceDN/>
              <w:bidi w:val="0"/>
              <w:adjustRightInd w:val="0"/>
              <w:snapToGrid w:val="0"/>
              <w:spacing w:before="208" w:line="288" w:lineRule="auto"/>
              <w:ind w:left="31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pPr>
              <w:keepNext w:val="0"/>
              <w:keepLines w:val="0"/>
              <w:pageBreakBefore w:val="0"/>
              <w:widowControl w:val="0"/>
              <w:kinsoku/>
              <w:wordWrap w:val="0"/>
              <w:overflowPunct/>
              <w:topLinePunct/>
              <w:autoSpaceDE/>
              <w:autoSpaceDN/>
              <w:bidi w:val="0"/>
              <w:adjustRightInd w:val="0"/>
              <w:snapToGrid w:val="0"/>
              <w:spacing w:before="209" w:line="288" w:lineRule="auto"/>
              <w:ind w:left="9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pPr>
              <w:keepNext w:val="0"/>
              <w:keepLines w:val="0"/>
              <w:pageBreakBefore w:val="0"/>
              <w:widowControl w:val="0"/>
              <w:kinsoku/>
              <w:wordWrap w:val="0"/>
              <w:overflowPunct/>
              <w:topLinePunct/>
              <w:autoSpaceDE/>
              <w:autoSpaceDN/>
              <w:bidi w:val="0"/>
              <w:adjustRightInd w:val="0"/>
              <w:snapToGrid w:val="0"/>
              <w:spacing w:before="209" w:line="288" w:lineRule="auto"/>
              <w:ind w:left="153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8" w:line="288" w:lineRule="auto"/>
              <w:ind w:left="32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57" w:right="84" w:rightChars="40" w:firstLine="135"/>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自愿接受招标文件条款的承诺</w:t>
            </w:r>
          </w:p>
        </w:tc>
        <w:tc>
          <w:tcPr>
            <w:tcW w:w="3107"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pPr>
              <w:keepNext w:val="0"/>
              <w:keepLines w:val="0"/>
              <w:pageBreakBefore w:val="0"/>
              <w:widowControl w:val="0"/>
              <w:kinsoku/>
              <w:wordWrap w:val="0"/>
              <w:overflowPunct/>
              <w:topLinePunct/>
              <w:autoSpaceDE/>
              <w:autoSpaceDN/>
              <w:bidi w:val="0"/>
              <w:adjustRightInd w:val="0"/>
              <w:snapToGrid w:val="0"/>
              <w:spacing w:before="122" w:line="288" w:lineRule="auto"/>
              <w:ind w:left="14"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8" w:line="288" w:lineRule="auto"/>
              <w:ind w:left="30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262" w:right="84" w:rightChars="40" w:firstLine="3"/>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无禁止投标情形的承诺</w:t>
            </w:r>
          </w:p>
        </w:tc>
        <w:tc>
          <w:tcPr>
            <w:tcW w:w="3107"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pPr>
              <w:keepNext w:val="0"/>
              <w:keepLines w:val="0"/>
              <w:pageBreakBefore w:val="0"/>
              <w:widowControl w:val="0"/>
              <w:kinsoku/>
              <w:wordWrap w:val="0"/>
              <w:overflowPunct/>
              <w:topLinePunct/>
              <w:autoSpaceDE/>
              <w:autoSpaceDN/>
              <w:bidi w:val="0"/>
              <w:adjustRightInd w:val="0"/>
              <w:snapToGrid w:val="0"/>
              <w:spacing w:before="122" w:line="288" w:lineRule="auto"/>
              <w:ind w:left="9" w:right="84" w:rightChars="40"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pacing w:val="8"/>
                <w:sz w:val="24"/>
                <w:szCs w:val="24"/>
                <w:highlight w:val="none"/>
              </w:rPr>
              <w:t>我方接受招标人或其授权的招标代理机构或其组建的评标委员会依据招标文件作出的相应处理以及有关监督部门作出的行政处罚，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7" w:line="288" w:lineRule="auto"/>
              <w:ind w:left="31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jc w:val="center"/>
              <w:rPr>
                <w:rFonts w:hint="eastAsia" w:ascii="宋体" w:hAnsi="宋体" w:eastAsia="宋体" w:cs="宋体"/>
                <w:color w:val="auto"/>
                <w:sz w:val="24"/>
                <w:szCs w:val="24"/>
                <w:highlight w:val="none"/>
              </w:rPr>
            </w:pPr>
            <w:r>
              <w:rPr>
                <w:rFonts w:hint="eastAsia"/>
                <w:color w:val="auto"/>
                <w:sz w:val="24"/>
                <w:szCs w:val="24"/>
                <w:highlight w:val="none"/>
              </w:rPr>
              <w:t>自觉抵制围标串标和弄虚作假行为的承诺</w:t>
            </w:r>
          </w:p>
        </w:tc>
        <w:tc>
          <w:tcPr>
            <w:tcW w:w="3107"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11"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6"/>
                <w:sz w:val="24"/>
                <w:szCs w:val="24"/>
                <w:highlight w:val="none"/>
              </w:rPr>
              <w:t>行为骗取中标。</w:t>
            </w:r>
          </w:p>
        </w:tc>
        <w:tc>
          <w:tcPr>
            <w:tcW w:w="4272" w:type="dxa"/>
            <w:vAlign w:val="top"/>
          </w:tcPr>
          <w:p>
            <w:pPr>
              <w:keepNext w:val="0"/>
              <w:keepLines w:val="0"/>
              <w:pageBreakBefore w:val="0"/>
              <w:widowControl w:val="0"/>
              <w:kinsoku/>
              <w:wordWrap w:val="0"/>
              <w:overflowPunct/>
              <w:topLinePunct/>
              <w:autoSpaceDE/>
              <w:autoSpaceDN/>
              <w:bidi w:val="0"/>
              <w:adjustRightInd w:val="0"/>
              <w:snapToGrid w:val="0"/>
              <w:spacing w:before="129" w:line="288" w:lineRule="auto"/>
              <w:ind w:left="13"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8" w:line="288" w:lineRule="auto"/>
              <w:ind w:left="30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jc w:val="center"/>
              <w:rPr>
                <w:rFonts w:hint="eastAsia"/>
                <w:color w:val="auto"/>
                <w:sz w:val="24"/>
                <w:szCs w:val="24"/>
                <w:highlight w:val="none"/>
              </w:rPr>
            </w:pPr>
          </w:p>
          <w:p>
            <w:pPr>
              <w:jc w:val="center"/>
              <w:rPr>
                <w:rFonts w:hint="eastAsia" w:ascii="宋体" w:hAnsi="宋体" w:eastAsia="宋体" w:cs="宋体"/>
                <w:color w:val="auto"/>
                <w:sz w:val="24"/>
                <w:szCs w:val="24"/>
                <w:highlight w:val="none"/>
              </w:rPr>
            </w:pPr>
            <w:r>
              <w:rPr>
                <w:rFonts w:hint="eastAsia"/>
                <w:color w:val="auto"/>
                <w:sz w:val="24"/>
                <w:szCs w:val="24"/>
                <w:highlight w:val="none"/>
              </w:rPr>
              <w:t>项目经理任职承诺</w:t>
            </w:r>
          </w:p>
        </w:tc>
        <w:tc>
          <w:tcPr>
            <w:tcW w:w="3107"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9"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没有担任任何在施（包括已中标未开工、已开工未竣工）建设工程项目的项目经理。</w:t>
            </w:r>
          </w:p>
        </w:tc>
        <w:tc>
          <w:tcPr>
            <w:tcW w:w="4272" w:type="dxa"/>
            <w:vAlign w:val="top"/>
          </w:tcPr>
          <w:p>
            <w:pPr>
              <w:keepNext w:val="0"/>
              <w:keepLines w:val="0"/>
              <w:pageBreakBefore w:val="0"/>
              <w:widowControl w:val="0"/>
              <w:kinsoku/>
              <w:wordWrap w:val="0"/>
              <w:overflowPunct/>
              <w:topLinePunct/>
              <w:autoSpaceDE/>
              <w:autoSpaceDN/>
              <w:bidi w:val="0"/>
              <w:adjustRightInd w:val="0"/>
              <w:snapToGrid w:val="0"/>
              <w:spacing w:before="128" w:line="288" w:lineRule="auto"/>
              <w:ind w:left="11"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w:t>
            </w:r>
            <w:r>
              <w:rPr>
                <w:rFonts w:hint="eastAsia" w:ascii="宋体" w:hAnsi="宋体" w:eastAsia="宋体" w:cs="宋体"/>
                <w:color w:val="auto"/>
                <w:sz w:val="24"/>
                <w:szCs w:val="24"/>
                <w:highlight w:val="none"/>
              </w:rPr>
              <w:t>行政处罚，并承担由此引起的一切法律后果。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8" w:line="288" w:lineRule="auto"/>
              <w:ind w:left="314"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267" w:right="84" w:rightChars="40" w:firstLine="105"/>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投标文件真实性承诺</w:t>
            </w:r>
          </w:p>
        </w:tc>
        <w:tc>
          <w:tcPr>
            <w:tcW w:w="3107"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12" w:right="84" w:rightChars="40"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pPr>
              <w:keepNext w:val="0"/>
              <w:keepLines w:val="0"/>
              <w:pageBreakBefore w:val="0"/>
              <w:widowControl w:val="0"/>
              <w:kinsoku/>
              <w:wordWrap w:val="0"/>
              <w:overflowPunct/>
              <w:topLinePunct/>
              <w:autoSpaceDE/>
              <w:autoSpaceDN/>
              <w:bidi w:val="0"/>
              <w:adjustRightInd w:val="0"/>
              <w:snapToGrid w:val="0"/>
              <w:spacing w:before="127" w:line="288" w:lineRule="auto"/>
              <w:ind w:left="11" w:right="84" w:rightChars="40"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8" w:line="288" w:lineRule="auto"/>
              <w:ind w:left="31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2"/>
                          <a:stretch>
                            <a:fillRect/>
                          </a:stretch>
                        </pic:blipFill>
                        <pic:spPr>
                          <a:xfrm>
                            <a:off x="0" y="0"/>
                            <a:ext cx="6350" cy="241300"/>
                          </a:xfrm>
                          <a:prstGeom prst="rect">
                            <a:avLst/>
                          </a:prstGeom>
                          <a:noFill/>
                          <a:ln>
                            <a:noFill/>
                          </a:ln>
                        </pic:spPr>
                      </pic:pic>
                    </a:graphicData>
                  </a:graphic>
                </wp:anchor>
              </w:drawing>
            </w:r>
          </w:p>
        </w:tc>
        <w:tc>
          <w:tcPr>
            <w:tcW w:w="1675"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jc w:val="center"/>
              <w:rPr>
                <w:rFonts w:hint="eastAsia"/>
                <w:color w:val="auto"/>
                <w:sz w:val="24"/>
                <w:szCs w:val="24"/>
                <w:highlight w:val="none"/>
              </w:rPr>
            </w:pPr>
            <w:r>
              <w:rPr>
                <w:rFonts w:hint="eastAsia"/>
                <w:color w:val="auto"/>
                <w:sz w:val="24"/>
                <w:szCs w:val="24"/>
                <w:highlight w:val="none"/>
              </w:rPr>
              <w:t>投标文件</w:t>
            </w:r>
          </w:p>
          <w:p>
            <w:pPr>
              <w:jc w:val="center"/>
              <w:rPr>
                <w:rFonts w:hint="eastAsia" w:ascii="宋体" w:hAnsi="宋体" w:eastAsia="宋体" w:cs="宋体"/>
                <w:color w:val="auto"/>
                <w:sz w:val="24"/>
                <w:szCs w:val="24"/>
                <w:highlight w:val="none"/>
              </w:rPr>
            </w:pPr>
            <w:r>
              <w:rPr>
                <w:rFonts w:hint="eastAsia"/>
                <w:color w:val="auto"/>
                <w:sz w:val="24"/>
                <w:szCs w:val="24"/>
                <w:highlight w:val="none"/>
              </w:rPr>
              <w:t>信息公开承诺</w:t>
            </w:r>
          </w:p>
        </w:tc>
        <w:tc>
          <w:tcPr>
            <w:tcW w:w="3107" w:type="dxa"/>
            <w:vAlign w:val="top"/>
          </w:tcPr>
          <w:p>
            <w:pPr>
              <w:keepNext w:val="0"/>
              <w:keepLines w:val="0"/>
              <w:pageBreakBefore w:val="0"/>
              <w:widowControl w:val="0"/>
              <w:kinsoku/>
              <w:wordWrap w:val="0"/>
              <w:overflowPunct/>
              <w:topLinePunct/>
              <w:autoSpaceDE/>
              <w:autoSpaceDN/>
              <w:bidi w:val="0"/>
              <w:adjustRightInd w:val="0"/>
              <w:snapToGrid w:val="0"/>
              <w:spacing w:before="130" w:line="288" w:lineRule="auto"/>
              <w:ind w:left="10"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8" w:line="288" w:lineRule="auto"/>
              <w:ind w:left="1979" w:right="84" w:rightChars="40"/>
              <w:textAlignment w:val="baseline"/>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7" w:line="288" w:lineRule="auto"/>
              <w:ind w:left="31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281" w:right="84" w:rightChars="40" w:hanging="123"/>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对不正常报价的确认承诺</w:t>
            </w:r>
          </w:p>
        </w:tc>
        <w:tc>
          <w:tcPr>
            <w:tcW w:w="3107" w:type="dxa"/>
            <w:vAlign w:val="top"/>
          </w:tcPr>
          <w:p>
            <w:pPr>
              <w:keepNext w:val="0"/>
              <w:keepLines w:val="0"/>
              <w:pageBreakBefore w:val="0"/>
              <w:widowControl w:val="0"/>
              <w:kinsoku/>
              <w:wordWrap w:val="0"/>
              <w:overflowPunct/>
              <w:topLinePunct/>
              <w:autoSpaceDE/>
              <w:autoSpaceDN/>
              <w:bidi w:val="0"/>
              <w:adjustRightInd w:val="0"/>
              <w:snapToGrid w:val="0"/>
              <w:spacing w:before="121" w:line="288" w:lineRule="auto"/>
              <w:ind w:left="10" w:right="84" w:rightChars="40"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7" w:line="288" w:lineRule="auto"/>
              <w:ind w:left="1979" w:right="84" w:rightChars="40"/>
              <w:textAlignment w:val="baseline"/>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8" w:line="288" w:lineRule="auto"/>
              <w:ind w:left="31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264" w:right="84" w:rightChars="40" w:hanging="104"/>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按时提交履约保证的承诺</w:t>
            </w:r>
          </w:p>
        </w:tc>
        <w:tc>
          <w:tcPr>
            <w:tcW w:w="3107"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pPr>
              <w:keepNext w:val="0"/>
              <w:keepLines w:val="0"/>
              <w:pageBreakBefore w:val="0"/>
              <w:widowControl w:val="0"/>
              <w:kinsoku/>
              <w:wordWrap w:val="0"/>
              <w:overflowPunct/>
              <w:topLinePunct/>
              <w:autoSpaceDE/>
              <w:autoSpaceDN/>
              <w:bidi w:val="0"/>
              <w:adjustRightInd w:val="0"/>
              <w:snapToGrid w:val="0"/>
              <w:spacing w:before="128" w:line="288" w:lineRule="auto"/>
              <w:ind w:left="12" w:right="84" w:rightChars="40"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如果我方未在招标文件规定的时限内全额提交履约保证，我方接受招标人依据招标文件作出的相应处理以及有关监督部门作出的行政处罚，并承担由此引起的一切法律后</w:t>
            </w:r>
            <w:r>
              <w:rPr>
                <w:rFonts w:hint="eastAsia" w:ascii="宋体" w:hAnsi="宋体" w:eastAsia="宋体" w:cs="宋体"/>
                <w:color w:val="auto"/>
                <w:sz w:val="24"/>
                <w:szCs w:val="24"/>
                <w:highlight w:val="none"/>
              </w:rPr>
              <w:t>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58" w:line="288" w:lineRule="auto"/>
              <w:ind w:left="31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492" w:right="84" w:rightChars="40" w:hanging="332"/>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按时签订合同的承诺</w:t>
            </w:r>
          </w:p>
        </w:tc>
        <w:tc>
          <w:tcPr>
            <w:tcW w:w="3107" w:type="dxa"/>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pPr>
              <w:keepNext w:val="0"/>
              <w:keepLines w:val="0"/>
              <w:pageBreakBefore w:val="0"/>
              <w:widowControl w:val="0"/>
              <w:kinsoku/>
              <w:wordWrap w:val="0"/>
              <w:overflowPunct/>
              <w:topLinePunct/>
              <w:autoSpaceDE/>
              <w:autoSpaceDN/>
              <w:bidi w:val="0"/>
              <w:adjustRightInd w:val="0"/>
              <w:snapToGrid w:val="0"/>
              <w:spacing w:before="126" w:line="288" w:lineRule="auto"/>
              <w:ind w:left="13" w:right="84" w:rightChars="40"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7"/>
                <w:sz w:val="24"/>
                <w:szCs w:val="24"/>
                <w:highlight w:val="none"/>
              </w:rPr>
              <w:t>我方接受招标人依据招标文件作出的相应处理以及有关监督部门作出的行政处罚，并承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firstLine="6832" w:firstLineChars="2800"/>
        <w:jc w:val="both"/>
        <w:rPr>
          <w:rFonts w:hint="eastAsia" w:ascii="宋体" w:hAnsi="宋体" w:eastAsia="宋体" w:cs="宋体"/>
          <w:color w:val="auto"/>
          <w:spacing w:val="2"/>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pPr>
        <w:pStyle w:val="5"/>
        <w:keepNext w:val="0"/>
        <w:keepLines w:val="0"/>
        <w:pageBreakBefore w:val="0"/>
        <w:widowControl w:val="0"/>
        <w:kinsoku/>
        <w:wordWrap w:val="0"/>
        <w:overflowPunct/>
        <w:topLinePunct/>
        <w:autoSpaceDE/>
        <w:autoSpaceDN/>
        <w:bidi w:val="0"/>
        <w:adjustRightInd w:val="0"/>
        <w:snapToGrid w:val="0"/>
        <w:spacing w:line="297" w:lineRule="auto"/>
        <w:ind w:right="84" w:rightChars="40"/>
        <w:jc w:val="right"/>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left="4366" w:right="84" w:rightChars="40"/>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pPr>
        <w:keepNext w:val="0"/>
        <w:keepLines w:val="0"/>
        <w:pageBreakBefore w:val="0"/>
        <w:widowControl w:val="0"/>
        <w:kinsoku/>
        <w:wordWrap w:val="0"/>
        <w:overflowPunct/>
        <w:topLinePunct/>
        <w:autoSpaceDE/>
        <w:autoSpaceDN/>
        <w:bidi w:val="0"/>
        <w:adjustRightInd w:val="0"/>
        <w:snapToGrid w:val="0"/>
        <w:ind w:right="84" w:rightChars="40"/>
        <w:outlineLvl w:val="9"/>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pPr>
        <w:keepNext w:val="0"/>
        <w:keepLines w:val="0"/>
        <w:pageBreakBefore w:val="0"/>
        <w:widowControl w:val="0"/>
        <w:kinsoku/>
        <w:wordWrap w:val="0"/>
        <w:overflowPunct/>
        <w:topLinePunct/>
        <w:autoSpaceDE/>
        <w:autoSpaceDN/>
        <w:bidi w:val="0"/>
        <w:adjustRightInd w:val="0"/>
        <w:snapToGrid w:val="0"/>
        <w:spacing w:line="220" w:lineRule="auto"/>
        <w:ind w:right="84" w:rightChars="40"/>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24" w:name="_Toc23563"/>
      <w:r>
        <w:rPr>
          <w:rFonts w:hint="eastAsia" w:ascii="宋体" w:hAnsi="宋体" w:eastAsia="宋体" w:cs="宋体"/>
          <w:b/>
          <w:bCs/>
          <w:color w:val="auto"/>
          <w:spacing w:val="-4"/>
          <w:sz w:val="24"/>
          <w:szCs w:val="24"/>
          <w:highlight w:val="none"/>
        </w:rPr>
        <w:t>格式四 授权委托书</w:t>
      </w:r>
      <w:bookmarkEnd w:id="224"/>
    </w:p>
    <w:p>
      <w:pPr>
        <w:pStyle w:val="5"/>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97" w:line="219" w:lineRule="auto"/>
        <w:ind w:left="3786" w:right="84" w:rightChars="40"/>
        <w:rPr>
          <w:rFonts w:hint="eastAsia" w:ascii="宋体" w:hAnsi="宋体" w:eastAsia="宋体" w:cs="宋体"/>
          <w:color w:val="auto"/>
          <w:sz w:val="30"/>
          <w:szCs w:val="30"/>
          <w:highlight w:val="none"/>
        </w:rPr>
      </w:pPr>
      <w:bookmarkStart w:id="225" w:name="bookmark151"/>
      <w:bookmarkEnd w:id="225"/>
      <w:r>
        <w:rPr>
          <w:rFonts w:hint="eastAsia" w:ascii="宋体" w:hAnsi="宋体" w:eastAsia="宋体" w:cs="宋体"/>
          <w:b/>
          <w:bCs/>
          <w:color w:val="auto"/>
          <w:spacing w:val="-5"/>
          <w:sz w:val="30"/>
          <w:szCs w:val="30"/>
          <w:highlight w:val="none"/>
        </w:rPr>
        <w:t>授权委托书</w:t>
      </w:r>
    </w:p>
    <w:p>
      <w:pPr>
        <w:pStyle w:val="5"/>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1"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332" w:lineRule="auto"/>
        <w:ind w:right="84" w:rightChars="40"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 w:val="24"/>
          <w:szCs w:val="28"/>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施工投标文件、签订合同和处理有关事宜，其法律后果由我方承担。</w:t>
      </w:r>
    </w:p>
    <w:p>
      <w:pPr>
        <w:keepNext w:val="0"/>
        <w:keepLines w:val="0"/>
        <w:pageBreakBefore w:val="0"/>
        <w:widowControl w:val="0"/>
        <w:kinsoku/>
        <w:wordWrap w:val="0"/>
        <w:overflowPunct/>
        <w:topLinePunct/>
        <w:autoSpaceDE/>
        <w:autoSpaceDN/>
        <w:bidi w:val="0"/>
        <w:adjustRightInd w:val="0"/>
        <w:snapToGrid w:val="0"/>
        <w:spacing w:before="32" w:line="320" w:lineRule="auto"/>
        <w:ind w:left="480" w:right="84" w:rightChars="40"/>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pPr>
        <w:keepNext w:val="0"/>
        <w:keepLines w:val="0"/>
        <w:pageBreakBefore w:val="0"/>
        <w:widowControl w:val="0"/>
        <w:kinsoku/>
        <w:wordWrap w:val="0"/>
        <w:overflowPunct/>
        <w:topLinePunct/>
        <w:autoSpaceDE/>
        <w:autoSpaceDN/>
        <w:bidi w:val="0"/>
        <w:adjustRightInd w:val="0"/>
        <w:snapToGrid w:val="0"/>
        <w:spacing w:before="32" w:line="320" w:lineRule="auto"/>
        <w:ind w:left="4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pPr>
        <w:pStyle w:val="5"/>
        <w:keepNext w:val="0"/>
        <w:keepLines w:val="0"/>
        <w:pageBreakBefore w:val="0"/>
        <w:widowControl w:val="0"/>
        <w:kinsoku/>
        <w:wordWrap w:val="0"/>
        <w:overflowPunct/>
        <w:topLinePunct/>
        <w:autoSpaceDE/>
        <w:autoSpaceDN/>
        <w:bidi w:val="0"/>
        <w:adjustRightInd w:val="0"/>
        <w:snapToGrid w:val="0"/>
        <w:spacing w:line="276"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left="3123"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9" w:line="219" w:lineRule="auto"/>
        <w:ind w:left="3121"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left="2880"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pPr>
        <w:pStyle w:val="5"/>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pPr>
        <w:keepNext w:val="0"/>
        <w:keepLines w:val="0"/>
        <w:pageBreakBefore w:val="0"/>
        <w:widowControl w:val="0"/>
        <w:kinsoku/>
        <w:wordWrap w:val="0"/>
        <w:overflowPunct/>
        <w:topLinePunct/>
        <w:autoSpaceDE/>
        <w:autoSpaceDN/>
        <w:bidi w:val="0"/>
        <w:adjustRightInd w:val="0"/>
        <w:snapToGrid w:val="0"/>
        <w:spacing w:before="78" w:line="220" w:lineRule="auto"/>
        <w:ind w:left="4201" w:right="84" w:rightChars="40"/>
        <w:jc w:val="right"/>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9"/>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69"/>
        <w:ind w:right="84" w:rightChars="40"/>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pPr>
              <w:pStyle w:val="19"/>
              <w:keepNext w:val="0"/>
              <w:keepLines w:val="0"/>
              <w:pageBreakBefore w:val="0"/>
              <w:widowControl w:val="0"/>
              <w:kinsoku/>
              <w:wordWrap w:val="0"/>
              <w:overflowPunct/>
              <w:topLinePunct/>
              <w:autoSpaceDE/>
              <w:autoSpaceDN/>
              <w:bidi w:val="0"/>
              <w:adjustRightInd w:val="0"/>
              <w:snapToGrid w:val="0"/>
              <w:spacing w:line="245" w:lineRule="auto"/>
              <w:ind w:right="84" w:rightChars="40"/>
              <w:rPr>
                <w:rFonts w:hint="eastAsia" w:ascii="宋体" w:hAnsi="宋体" w:eastAsia="宋体" w:cs="宋体"/>
                <w:color w:val="auto"/>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45" w:lineRule="auto"/>
              <w:ind w:right="84" w:rightChars="40"/>
              <w:rPr>
                <w:rFonts w:hint="eastAsia" w:ascii="宋体" w:hAnsi="宋体" w:eastAsia="宋体" w:cs="宋体"/>
                <w:color w:val="auto"/>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45" w:lineRule="auto"/>
              <w:ind w:right="84" w:rightChars="40"/>
              <w:rPr>
                <w:rFonts w:hint="eastAsia" w:ascii="宋体" w:hAnsi="宋体" w:eastAsia="宋体" w:cs="宋体"/>
                <w:color w:val="auto"/>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46"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20" w:lineRule="auto"/>
              <w:ind w:left="71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pPr>
        <w:pStyle w:val="5"/>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26" w:name="_Toc14011"/>
      <w:r>
        <w:rPr>
          <w:rFonts w:hint="eastAsia" w:ascii="宋体" w:hAnsi="宋体" w:eastAsia="宋体" w:cs="宋体"/>
          <w:b/>
          <w:bCs/>
          <w:color w:val="auto"/>
          <w:spacing w:val="-4"/>
          <w:sz w:val="24"/>
          <w:szCs w:val="24"/>
          <w:highlight w:val="none"/>
        </w:rPr>
        <w:t>格式五 法定代表人身份证明</w:t>
      </w:r>
      <w:bookmarkEnd w:id="226"/>
    </w:p>
    <w:p>
      <w:pPr>
        <w:pStyle w:val="5"/>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98" w:line="220" w:lineRule="auto"/>
        <w:ind w:left="3183" w:right="84" w:rightChars="40"/>
        <w:rPr>
          <w:rFonts w:hint="eastAsia" w:ascii="宋体" w:hAnsi="宋体" w:eastAsia="宋体" w:cs="宋体"/>
          <w:color w:val="auto"/>
          <w:sz w:val="30"/>
          <w:szCs w:val="30"/>
          <w:highlight w:val="none"/>
        </w:rPr>
      </w:pPr>
      <w:bookmarkStart w:id="227" w:name="bookmark152"/>
      <w:bookmarkEnd w:id="227"/>
      <w:r>
        <w:rPr>
          <w:rFonts w:hint="eastAsia" w:ascii="宋体" w:hAnsi="宋体" w:eastAsia="宋体" w:cs="宋体"/>
          <w:b/>
          <w:bCs/>
          <w:color w:val="auto"/>
          <w:spacing w:val="-4"/>
          <w:sz w:val="30"/>
          <w:szCs w:val="30"/>
          <w:highlight w:val="none"/>
        </w:rPr>
        <w:t>法定代表人身份证明</w:t>
      </w:r>
    </w:p>
    <w:p>
      <w:pPr>
        <w:pStyle w:val="5"/>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1"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440" w:lineRule="exact"/>
        <w:ind w:right="84" w:rightChars="4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pPr>
        <w:keepNext w:val="0"/>
        <w:keepLines w:val="0"/>
        <w:pageBreakBefore w:val="0"/>
        <w:widowControl w:val="0"/>
        <w:kinsoku/>
        <w:wordWrap w:val="0"/>
        <w:overflowPunct/>
        <w:topLinePunct/>
        <w:autoSpaceDE/>
        <w:autoSpaceDN/>
        <w:bidi w:val="0"/>
        <w:adjustRightInd w:val="0"/>
        <w:snapToGrid w:val="0"/>
        <w:spacing w:line="440" w:lineRule="exact"/>
        <w:ind w:right="84" w:rightChars="4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pPr>
        <w:keepNext w:val="0"/>
        <w:keepLines w:val="0"/>
        <w:pageBreakBefore w:val="0"/>
        <w:widowControl w:val="0"/>
        <w:kinsoku/>
        <w:wordWrap w:val="0"/>
        <w:overflowPunct/>
        <w:topLinePunct/>
        <w:autoSpaceDE/>
        <w:autoSpaceDN/>
        <w:bidi w:val="0"/>
        <w:adjustRightInd w:val="0"/>
        <w:snapToGrid w:val="0"/>
        <w:spacing w:line="440" w:lineRule="exact"/>
        <w:ind w:right="84" w:rightChars="4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pPr>
        <w:pStyle w:val="5"/>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78"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9"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jc w:val="right"/>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pPr>
        <w:pStyle w:val="5"/>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5"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5"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before="1" w:line="2510" w:lineRule="exact"/>
        <w:ind w:right="84" w:rightChars="40"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3"/>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pPr>
                                <w:spacing w:line="249" w:lineRule="auto"/>
                              </w:pPr>
                            </w:p>
                            <w:p>
                              <w:pPr>
                                <w:spacing w:line="249" w:lineRule="auto"/>
                              </w:pPr>
                            </w:p>
                            <w:p>
                              <w:pPr>
                                <w:spacing w:line="249" w:lineRule="auto"/>
                              </w:pPr>
                            </w:p>
                            <w:p>
                              <w:pPr>
                                <w:spacing w:line="249" w:lineRule="auto"/>
                              </w:pPr>
                            </w:p>
                            <w:p>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3"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49" w:lineRule="auto"/>
                        </w:pPr>
                      </w:p>
                      <w:p>
                        <w:pPr>
                          <w:spacing w:line="249" w:lineRule="auto"/>
                        </w:pPr>
                      </w:p>
                      <w:p>
                        <w:pPr>
                          <w:spacing w:line="249" w:lineRule="auto"/>
                        </w:pPr>
                      </w:p>
                      <w:p>
                        <w:pPr>
                          <w:spacing w:line="249" w:lineRule="auto"/>
                        </w:pPr>
                      </w:p>
                      <w:p>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pPr>
        <w:keepNext w:val="0"/>
        <w:keepLines w:val="0"/>
        <w:pageBreakBefore w:val="0"/>
        <w:widowControl w:val="0"/>
        <w:kinsoku/>
        <w:wordWrap w:val="0"/>
        <w:overflowPunct/>
        <w:topLinePunct/>
        <w:autoSpaceDE/>
        <w:autoSpaceDN/>
        <w:bidi w:val="0"/>
        <w:adjustRightInd w:val="0"/>
        <w:snapToGrid w:val="0"/>
        <w:spacing w:line="2510" w:lineRule="exact"/>
        <w:ind w:right="84" w:rightChars="40"/>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28" w:name="_Toc15221"/>
      <w:r>
        <w:rPr>
          <w:rFonts w:hint="eastAsia" w:ascii="宋体" w:hAnsi="宋体" w:eastAsia="宋体" w:cs="宋体"/>
          <w:b/>
          <w:bCs/>
          <w:color w:val="auto"/>
          <w:spacing w:val="-4"/>
          <w:sz w:val="24"/>
          <w:szCs w:val="24"/>
          <w:highlight w:val="none"/>
        </w:rPr>
        <w:t>格式六 联合体协议书</w:t>
      </w:r>
      <w:bookmarkEnd w:id="228"/>
    </w:p>
    <w:p>
      <w:pPr>
        <w:keepNext w:val="0"/>
        <w:keepLines w:val="0"/>
        <w:pageBreakBefore w:val="0"/>
        <w:widowControl w:val="0"/>
        <w:kinsoku/>
        <w:wordWrap w:val="0"/>
        <w:overflowPunct/>
        <w:topLinePunct/>
        <w:autoSpaceDE/>
        <w:autoSpaceDN/>
        <w:bidi w:val="0"/>
        <w:adjustRightInd w:val="0"/>
        <w:snapToGrid w:val="0"/>
        <w:spacing w:before="98" w:line="219" w:lineRule="auto"/>
        <w:ind w:left="3638" w:right="84" w:rightChars="40"/>
        <w:rPr>
          <w:rFonts w:hint="eastAsia" w:ascii="宋体" w:hAnsi="宋体" w:eastAsia="宋体" w:cs="宋体"/>
          <w:color w:val="auto"/>
          <w:sz w:val="30"/>
          <w:szCs w:val="30"/>
          <w:highlight w:val="none"/>
        </w:rPr>
      </w:pPr>
      <w:bookmarkStart w:id="229" w:name="bookmark153"/>
      <w:bookmarkEnd w:id="229"/>
      <w:r>
        <w:rPr>
          <w:rFonts w:hint="eastAsia" w:ascii="宋体" w:hAnsi="宋体" w:eastAsia="宋体" w:cs="宋体"/>
          <w:b/>
          <w:bCs/>
          <w:color w:val="auto"/>
          <w:spacing w:val="-5"/>
          <w:sz w:val="30"/>
          <w:szCs w:val="30"/>
          <w:highlight w:val="none"/>
        </w:rPr>
        <w:t>联合体协议书</w:t>
      </w:r>
    </w:p>
    <w:p>
      <w:pPr>
        <w:pStyle w:val="5"/>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textAlignment w:val="baseline"/>
        <w:outlineLvl w:val="9"/>
        <w:rPr>
          <w:rFonts w:hint="eastAsia"/>
          <w:color w:val="auto"/>
          <w:highlight w:val="none"/>
        </w:rPr>
      </w:pPr>
    </w:p>
    <w:p>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pPr>
        <w:keepNext w:val="0"/>
        <w:keepLines w:val="0"/>
        <w:pageBreakBefore w:val="0"/>
        <w:widowControl w:val="0"/>
        <w:kinsoku/>
        <w:wordWrap w:val="0"/>
        <w:overflowPunct/>
        <w:topLinePunct/>
        <w:autoSpaceDE/>
        <w:autoSpaceDN/>
        <w:bidi w:val="0"/>
        <w:adjustRightInd w:val="0"/>
        <w:snapToGrid w:val="0"/>
        <w:spacing w:line="400" w:lineRule="exact"/>
        <w:ind w:left="43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pacing w:val="-1"/>
          <w:sz w:val="24"/>
          <w:szCs w:val="24"/>
          <w:highlight w:val="none"/>
        </w:rPr>
        <w:t>合体投标事宜订立如下协议：</w:t>
      </w:r>
    </w:p>
    <w:p>
      <w:pPr>
        <w:keepNext w:val="0"/>
        <w:keepLines w:val="0"/>
        <w:pageBreakBefore w:val="0"/>
        <w:widowControl w:val="0"/>
        <w:kinsoku/>
        <w:wordWrap w:val="0"/>
        <w:overflowPunct/>
        <w:topLinePunct/>
        <w:autoSpaceDE/>
        <w:autoSpaceDN/>
        <w:bidi w:val="0"/>
        <w:adjustRightInd w:val="0"/>
        <w:snapToGrid w:val="0"/>
        <w:spacing w:line="400" w:lineRule="exact"/>
        <w:ind w:left="499"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pPr>
        <w:keepNext w:val="0"/>
        <w:keepLines w:val="0"/>
        <w:pageBreakBefore w:val="0"/>
        <w:widowControl w:val="0"/>
        <w:kinsoku/>
        <w:wordWrap w:val="0"/>
        <w:overflowPunct/>
        <w:topLinePunct/>
        <w:autoSpaceDE/>
        <w:autoSpaceDN/>
        <w:bidi w:val="0"/>
        <w:adjustRightInd w:val="0"/>
        <w:snapToGrid w:val="0"/>
        <w:spacing w:line="400" w:lineRule="exact"/>
        <w:ind w:left="1"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文件编制活动，代表联合体提交和接收相关的资料、信息及指示，并处理与投标和中标有关的一切事务；联合体中标后，联合体牵头人负责合同订立和合同实施阶段的主办、组织和协调工作。</w:t>
      </w:r>
    </w:p>
    <w:p>
      <w:pPr>
        <w:keepNext w:val="0"/>
        <w:keepLines w:val="0"/>
        <w:pageBreakBefore w:val="0"/>
        <w:widowControl w:val="0"/>
        <w:kinsoku/>
        <w:wordWrap w:val="0"/>
        <w:overflowPunct/>
        <w:topLinePunct/>
        <w:autoSpaceDE/>
        <w:autoSpaceDN/>
        <w:bidi w:val="0"/>
        <w:adjustRightInd w:val="0"/>
        <w:snapToGrid w:val="0"/>
        <w:spacing w:line="400" w:lineRule="exact"/>
        <w:ind w:left="2" w:right="84" w:rightChars="40"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
          <w:sz w:val="24"/>
          <w:szCs w:val="24"/>
          <w:highlight w:val="none"/>
        </w:rPr>
        <w:t>分，承担各自所负的责任和风险，并向招标人承担连带责任。</w:t>
      </w:r>
    </w:p>
    <w:p>
      <w:pPr>
        <w:keepNext w:val="0"/>
        <w:keepLines w:val="0"/>
        <w:pageBreakBefore w:val="0"/>
        <w:widowControl w:val="0"/>
        <w:kinsoku/>
        <w:wordWrap w:val="0"/>
        <w:overflowPunct/>
        <w:topLinePunct/>
        <w:autoSpaceDE/>
        <w:autoSpaceDN/>
        <w:bidi w:val="0"/>
        <w:adjustRightInd w:val="0"/>
        <w:snapToGrid w:val="0"/>
        <w:spacing w:line="400" w:lineRule="exact"/>
        <w:ind w:left="475" w:right="84" w:rightChars="40"/>
        <w:textAlignment w:val="baseline"/>
        <w:outlineLvl w:val="9"/>
        <w:rPr>
          <w:rFonts w:hint="eastAsia" w:ascii="宋体" w:hAnsi="宋体" w:eastAsia="宋体" w:cs="宋体"/>
          <w:color w:val="auto"/>
          <w:sz w:val="24"/>
          <w:szCs w:val="24"/>
          <w:highlight w:val="none"/>
        </w:rPr>
      </w:pPr>
      <w:bookmarkStart w:id="230" w:name="_Toc32149"/>
      <w:bookmarkStart w:id="231"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w:t>
      </w:r>
      <w:bookmarkEnd w:id="230"/>
      <w:bookmarkEnd w:id="231"/>
    </w:p>
    <w:p>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pPr>
        <w:keepNext w:val="0"/>
        <w:keepLines w:val="0"/>
        <w:pageBreakBefore w:val="0"/>
        <w:widowControl w:val="0"/>
        <w:kinsoku/>
        <w:wordWrap w:val="0"/>
        <w:overflowPunct/>
        <w:topLinePunct/>
        <w:autoSpaceDE/>
        <w:autoSpaceDN/>
        <w:bidi w:val="0"/>
        <w:adjustRightInd w:val="0"/>
        <w:snapToGrid w:val="0"/>
        <w:spacing w:line="400" w:lineRule="exact"/>
        <w:ind w:left="4"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pPr>
        <w:keepNext w:val="0"/>
        <w:keepLines w:val="0"/>
        <w:pageBreakBefore w:val="0"/>
        <w:widowControl w:val="0"/>
        <w:kinsoku/>
        <w:wordWrap w:val="0"/>
        <w:overflowPunct/>
        <w:topLinePunct/>
        <w:autoSpaceDE/>
        <w:autoSpaceDN/>
        <w:bidi w:val="0"/>
        <w:adjustRightInd w:val="0"/>
        <w:snapToGrid w:val="0"/>
        <w:spacing w:line="400" w:lineRule="exact"/>
        <w:ind w:left="6" w:right="84" w:rightChars="40"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pPr>
        <w:keepNext w:val="0"/>
        <w:keepLines w:val="0"/>
        <w:pageBreakBefore w:val="0"/>
        <w:widowControl w:val="0"/>
        <w:kinsoku/>
        <w:wordWrap w:val="0"/>
        <w:overflowPunct/>
        <w:topLinePunct/>
        <w:autoSpaceDE/>
        <w:autoSpaceDN/>
        <w:bidi w:val="0"/>
        <w:adjustRightInd w:val="0"/>
        <w:snapToGrid w:val="0"/>
        <w:spacing w:line="400" w:lineRule="exact"/>
        <w:ind w:left="486" w:right="84" w:rightChars="40"/>
        <w:textAlignment w:val="baseline"/>
        <w:outlineLvl w:val="9"/>
        <w:rPr>
          <w:rFonts w:hint="eastAsia" w:ascii="宋体" w:hAnsi="宋体" w:eastAsia="宋体" w:cs="宋体"/>
          <w:color w:val="auto"/>
          <w:sz w:val="24"/>
          <w:szCs w:val="24"/>
          <w:highlight w:val="none"/>
        </w:rPr>
      </w:pPr>
      <w:bookmarkStart w:id="232" w:name="_Toc22612"/>
      <w:bookmarkStart w:id="233" w:name="_Toc26708"/>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份，联合体成员和招标人各执</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份。</w:t>
      </w:r>
      <w:bookmarkEnd w:id="232"/>
      <w:bookmarkEnd w:id="233"/>
    </w:p>
    <w:p>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bookmarkStart w:id="234" w:name="bookmark154"/>
      <w:bookmarkEnd w:id="234"/>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pPr>
        <w:pStyle w:val="5"/>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pPr>
        <w:pStyle w:val="5"/>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pPr>
        <w:keepNext w:val="0"/>
        <w:keepLines w:val="0"/>
        <w:pageBreakBefore w:val="0"/>
        <w:widowControl w:val="0"/>
        <w:kinsoku/>
        <w:wordWrap w:val="0"/>
        <w:overflowPunct/>
        <w:topLinePunct/>
        <w:autoSpaceDE/>
        <w:autoSpaceDN/>
        <w:bidi w:val="0"/>
        <w:adjustRightInd w:val="0"/>
        <w:snapToGrid w:val="0"/>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pPr>
        <w:pStyle w:val="5"/>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65" w:line="264" w:lineRule="auto"/>
        <w:ind w:right="84" w:rightChars="40"/>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pPr>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35" w:name="_Toc5206"/>
      <w:r>
        <w:rPr>
          <w:rFonts w:hint="eastAsia" w:ascii="宋体" w:hAnsi="宋体" w:eastAsia="宋体" w:cs="宋体"/>
          <w:b/>
          <w:bCs/>
          <w:color w:val="auto"/>
          <w:spacing w:val="-4"/>
          <w:sz w:val="24"/>
          <w:szCs w:val="24"/>
          <w:highlight w:val="none"/>
        </w:rPr>
        <w:t>格式七 投标人基本情况表</w:t>
      </w:r>
      <w:bookmarkEnd w:id="235"/>
    </w:p>
    <w:p>
      <w:pPr>
        <w:keepNext w:val="0"/>
        <w:keepLines w:val="0"/>
        <w:pageBreakBefore w:val="0"/>
        <w:widowControl w:val="0"/>
        <w:kinsoku/>
        <w:wordWrap w:val="0"/>
        <w:overflowPunct/>
        <w:topLinePunct/>
        <w:autoSpaceDE/>
        <w:autoSpaceDN/>
        <w:bidi w:val="0"/>
        <w:adjustRightInd w:val="0"/>
        <w:snapToGrid w:val="0"/>
        <w:spacing w:before="333" w:line="219" w:lineRule="auto"/>
        <w:ind w:left="3350" w:right="84" w:rightChars="4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pPr>
        <w:keepNext w:val="0"/>
        <w:keepLines w:val="0"/>
        <w:pageBreakBefore w:val="0"/>
        <w:widowControl w:val="0"/>
        <w:kinsoku/>
        <w:wordWrap w:val="0"/>
        <w:overflowPunct/>
        <w:topLinePunct/>
        <w:autoSpaceDE/>
        <w:autoSpaceDN/>
        <w:bidi w:val="0"/>
        <w:adjustRightInd w:val="0"/>
        <w:snapToGrid w:val="0"/>
        <w:spacing w:line="239" w:lineRule="exact"/>
        <w:ind w:right="84" w:rightChars="40"/>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1123"/>
        <w:gridCol w:w="1689"/>
        <w:gridCol w:w="872"/>
        <w:gridCol w:w="424"/>
        <w:gridCol w:w="930"/>
        <w:gridCol w:w="283"/>
        <w:gridCol w:w="770"/>
        <w:gridCol w:w="15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pPr>
              <w:keepNext w:val="0"/>
              <w:keepLines w:val="0"/>
              <w:pageBreakBefore w:val="0"/>
              <w:widowControl w:val="0"/>
              <w:kinsoku/>
              <w:wordWrap w:val="0"/>
              <w:overflowPunct/>
              <w:topLinePunct/>
              <w:autoSpaceDE/>
              <w:autoSpaceDN/>
              <w:bidi w:val="0"/>
              <w:adjustRightInd w:val="0"/>
              <w:snapToGrid w:val="0"/>
              <w:spacing w:before="149" w:line="229" w:lineRule="auto"/>
              <w:ind w:left="228" w:right="84" w:rightChars="40"/>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144" w:line="230" w:lineRule="auto"/>
              <w:ind w:left="3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44" w:line="228" w:lineRule="auto"/>
              <w:ind w:left="22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pPr>
              <w:pStyle w:val="19"/>
              <w:keepNext w:val="0"/>
              <w:keepLines w:val="0"/>
              <w:pageBreakBefore w:val="0"/>
              <w:widowControl w:val="0"/>
              <w:kinsoku/>
              <w:wordWrap w:val="0"/>
              <w:overflowPunct/>
              <w:topLinePunct/>
              <w:autoSpaceDE/>
              <w:autoSpaceDN/>
              <w:bidi w:val="0"/>
              <w:adjustRightInd w:val="0"/>
              <w:snapToGrid w:val="0"/>
              <w:spacing w:line="332"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30" w:lineRule="auto"/>
              <w:ind w:left="32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1123" w:type="dxa"/>
            <w:vAlign w:val="top"/>
          </w:tcPr>
          <w:p>
            <w:pPr>
              <w:keepNext w:val="0"/>
              <w:keepLines w:val="0"/>
              <w:pageBreakBefore w:val="0"/>
              <w:widowControl w:val="0"/>
              <w:kinsoku/>
              <w:wordWrap w:val="0"/>
              <w:overflowPunct/>
              <w:topLinePunct/>
              <w:autoSpaceDE/>
              <w:autoSpaceDN/>
              <w:bidi w:val="0"/>
              <w:adjustRightInd w:val="0"/>
              <w:snapToGrid w:val="0"/>
              <w:spacing w:before="145" w:line="231" w:lineRule="auto"/>
              <w:ind w:left="13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w:t>
            </w:r>
            <w:r>
              <w:rPr>
                <w:rFonts w:hint="eastAsia" w:ascii="宋体" w:hAnsi="宋体" w:eastAsia="宋体" w:cs="宋体"/>
                <w:color w:val="auto"/>
                <w:spacing w:val="6"/>
                <w:sz w:val="24"/>
                <w:szCs w:val="24"/>
                <w:highlight w:val="none"/>
                <w:lang w:eastAsia="zh-CN"/>
              </w:rPr>
              <w:t>人</w:t>
            </w:r>
          </w:p>
        </w:tc>
        <w:tc>
          <w:tcPr>
            <w:tcW w:w="256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45" w:line="231" w:lineRule="auto"/>
              <w:ind w:left="3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123" w:type="dxa"/>
            <w:vAlign w:val="top"/>
          </w:tcPr>
          <w:p>
            <w:pPr>
              <w:keepNext w:val="0"/>
              <w:keepLines w:val="0"/>
              <w:pageBreakBefore w:val="0"/>
              <w:widowControl w:val="0"/>
              <w:kinsoku/>
              <w:wordWrap w:val="0"/>
              <w:overflowPunct/>
              <w:topLinePunct/>
              <w:autoSpaceDE/>
              <w:autoSpaceDN/>
              <w:bidi w:val="0"/>
              <w:adjustRightInd w:val="0"/>
              <w:snapToGrid w:val="0"/>
              <w:spacing w:before="143" w:line="228" w:lineRule="auto"/>
              <w:ind w:left="13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56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44" w:line="229" w:lineRule="auto"/>
              <w:ind w:left="23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145" w:line="229"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144" w:line="228" w:lineRule="auto"/>
              <w:ind w:left="22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1123" w:type="dxa"/>
            <w:vAlign w:val="top"/>
          </w:tcPr>
          <w:p>
            <w:pPr>
              <w:keepNext w:val="0"/>
              <w:keepLines w:val="0"/>
              <w:pageBreakBefore w:val="0"/>
              <w:widowControl w:val="0"/>
              <w:kinsoku/>
              <w:wordWrap w:val="0"/>
              <w:overflowPunct/>
              <w:topLinePunct/>
              <w:autoSpaceDE/>
              <w:autoSpaceDN/>
              <w:bidi w:val="0"/>
              <w:adjustRightInd w:val="0"/>
              <w:snapToGrid w:val="0"/>
              <w:spacing w:before="144" w:line="228" w:lineRule="auto"/>
              <w:ind w:left="2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689"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44" w:line="228" w:lineRule="auto"/>
              <w:ind w:left="1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213"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770" w:type="dxa"/>
            <w:vAlign w:val="top"/>
          </w:tcPr>
          <w:p>
            <w:pPr>
              <w:keepNext w:val="0"/>
              <w:keepLines w:val="0"/>
              <w:pageBreakBefore w:val="0"/>
              <w:widowControl w:val="0"/>
              <w:kinsoku/>
              <w:wordWrap w:val="0"/>
              <w:overflowPunct/>
              <w:topLinePunct/>
              <w:autoSpaceDE/>
              <w:autoSpaceDN/>
              <w:bidi w:val="0"/>
              <w:adjustRightInd w:val="0"/>
              <w:snapToGrid w:val="0"/>
              <w:spacing w:before="143" w:line="231" w:lineRule="auto"/>
              <w:ind w:left="17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145" w:line="230"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4827" w:type="dxa"/>
            <w:gridSpan w:val="6"/>
            <w:vAlign w:val="top"/>
          </w:tcPr>
          <w:p>
            <w:pPr>
              <w:keepNext w:val="0"/>
              <w:keepLines w:val="0"/>
              <w:pageBreakBefore w:val="0"/>
              <w:widowControl w:val="0"/>
              <w:kinsoku/>
              <w:wordWrap w:val="0"/>
              <w:overflowPunct/>
              <w:topLinePunct/>
              <w:autoSpaceDE/>
              <w:autoSpaceDN/>
              <w:bidi w:val="0"/>
              <w:adjustRightInd w:val="0"/>
              <w:snapToGrid w:val="0"/>
              <w:spacing w:before="145" w:line="228" w:lineRule="auto"/>
              <w:ind w:left="128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61" w:line="262"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pacing w:val="7"/>
                <w:sz w:val="24"/>
                <w:szCs w:val="24"/>
                <w:highlight w:val="none"/>
              </w:rPr>
              <w:t>类型和等级</w:t>
            </w:r>
          </w:p>
        </w:tc>
        <w:tc>
          <w:tcPr>
            <w:tcW w:w="2812"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restart"/>
            <w:tcBorders>
              <w:bottom w:val="nil"/>
            </w:tcBorders>
            <w:vAlign w:val="top"/>
          </w:tcPr>
          <w:p>
            <w:pPr>
              <w:pStyle w:val="19"/>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55"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29" w:lineRule="auto"/>
              <w:ind w:left="3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1983" w:type="dxa"/>
            <w:gridSpan w:val="3"/>
            <w:vAlign w:val="top"/>
          </w:tcPr>
          <w:p>
            <w:pPr>
              <w:keepNext w:val="0"/>
              <w:keepLines w:val="0"/>
              <w:pageBreakBefore w:val="0"/>
              <w:widowControl w:val="0"/>
              <w:kinsoku/>
              <w:wordWrap w:val="0"/>
              <w:overflowPunct/>
              <w:topLinePunct/>
              <w:autoSpaceDE/>
              <w:autoSpaceDN/>
              <w:bidi w:val="0"/>
              <w:adjustRightInd w:val="0"/>
              <w:snapToGrid w:val="0"/>
              <w:spacing w:before="214" w:line="229" w:lineRule="auto"/>
              <w:ind w:left="55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146" w:line="228" w:lineRule="auto"/>
              <w:ind w:left="23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pPr>
              <w:keepNext w:val="0"/>
              <w:keepLines w:val="0"/>
              <w:pageBreakBefore w:val="0"/>
              <w:widowControl w:val="0"/>
              <w:kinsoku/>
              <w:wordWrap w:val="0"/>
              <w:overflowPunct/>
              <w:topLinePunct/>
              <w:autoSpaceDE/>
              <w:autoSpaceDN/>
              <w:bidi w:val="0"/>
              <w:adjustRightInd w:val="0"/>
              <w:snapToGrid w:val="0"/>
              <w:spacing w:before="146" w:line="228" w:lineRule="auto"/>
              <w:ind w:left="34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146" w:line="230" w:lineRule="auto"/>
              <w:ind w:left="3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pPr>
              <w:keepNext w:val="0"/>
              <w:keepLines w:val="0"/>
              <w:pageBreakBefore w:val="0"/>
              <w:widowControl w:val="0"/>
              <w:kinsoku/>
              <w:wordWrap w:val="0"/>
              <w:overflowPunct/>
              <w:topLinePunct/>
              <w:autoSpaceDE/>
              <w:autoSpaceDN/>
              <w:bidi w:val="0"/>
              <w:adjustRightInd w:val="0"/>
              <w:snapToGrid w:val="0"/>
              <w:spacing w:before="147"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62" w:line="241"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基本账户开户银行</w:t>
            </w:r>
          </w:p>
        </w:tc>
        <w:tc>
          <w:tcPr>
            <w:tcW w:w="2812"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pPr>
              <w:keepNext w:val="0"/>
              <w:keepLines w:val="0"/>
              <w:pageBreakBefore w:val="0"/>
              <w:widowControl w:val="0"/>
              <w:kinsoku/>
              <w:wordWrap w:val="0"/>
              <w:overflowPunct/>
              <w:topLinePunct/>
              <w:autoSpaceDE/>
              <w:autoSpaceDN/>
              <w:bidi w:val="0"/>
              <w:adjustRightInd w:val="0"/>
              <w:snapToGrid w:val="0"/>
              <w:spacing w:before="191" w:line="230" w:lineRule="auto"/>
              <w:ind w:left="3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62" w:line="259"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基本账户银行账号</w:t>
            </w:r>
          </w:p>
        </w:tc>
        <w:tc>
          <w:tcPr>
            <w:tcW w:w="2812"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tcBorders>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pPr>
              <w:keepNext w:val="0"/>
              <w:keepLines w:val="0"/>
              <w:pageBreakBefore w:val="0"/>
              <w:widowControl w:val="0"/>
              <w:kinsoku/>
              <w:wordWrap w:val="0"/>
              <w:overflowPunct/>
              <w:topLinePunct/>
              <w:autoSpaceDE/>
              <w:autoSpaceDN/>
              <w:bidi w:val="0"/>
              <w:adjustRightInd w:val="0"/>
              <w:snapToGrid w:val="0"/>
              <w:spacing w:before="211" w:line="228" w:lineRule="auto"/>
              <w:ind w:left="6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65" w:line="229"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pPr>
              <w:pStyle w:val="19"/>
              <w:keepNext w:val="0"/>
              <w:keepLines w:val="0"/>
              <w:pageBreakBefore w:val="0"/>
              <w:widowControl w:val="0"/>
              <w:kinsoku/>
              <w:wordWrap w:val="0"/>
              <w:overflowPunct/>
              <w:topLinePunct/>
              <w:autoSpaceDE/>
              <w:autoSpaceDN/>
              <w:bidi w:val="0"/>
              <w:adjustRightInd w:val="0"/>
              <w:snapToGrid w:val="0"/>
              <w:spacing w:line="295" w:lineRule="auto"/>
              <w:ind w:right="84" w:rightChars="40"/>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96"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5" w:line="229"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pPr>
              <w:keepNext w:val="0"/>
              <w:keepLines w:val="0"/>
              <w:pageBreakBefore w:val="0"/>
              <w:widowControl w:val="0"/>
              <w:kinsoku/>
              <w:wordWrap w:val="0"/>
              <w:overflowPunct/>
              <w:topLinePunct/>
              <w:autoSpaceDE/>
              <w:autoSpaceDN/>
              <w:bidi w:val="0"/>
              <w:adjustRightInd w:val="0"/>
              <w:snapToGrid w:val="0"/>
              <w:spacing w:before="168" w:line="228" w:lineRule="auto"/>
              <w:ind w:left="11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pPr>
              <w:keepNext w:val="0"/>
              <w:keepLines w:val="0"/>
              <w:pageBreakBefore w:val="0"/>
              <w:widowControl w:val="0"/>
              <w:kinsoku/>
              <w:wordWrap w:val="0"/>
              <w:overflowPunct/>
              <w:topLinePunct/>
              <w:autoSpaceDE/>
              <w:autoSpaceDN/>
              <w:bidi w:val="0"/>
              <w:adjustRightInd w:val="0"/>
              <w:snapToGrid w:val="0"/>
              <w:spacing w:before="81" w:line="228" w:lineRule="auto"/>
              <w:ind w:left="1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pPr>
              <w:keepNext w:val="0"/>
              <w:keepLines w:val="0"/>
              <w:pageBreakBefore w:val="0"/>
              <w:widowControl w:val="0"/>
              <w:kinsoku/>
              <w:wordWrap w:val="0"/>
              <w:overflowPunct/>
              <w:topLinePunct/>
              <w:autoSpaceDE/>
              <w:autoSpaceDN/>
              <w:bidi w:val="0"/>
              <w:adjustRightInd w:val="0"/>
              <w:snapToGrid w:val="0"/>
              <w:spacing w:before="81" w:line="228" w:lineRule="auto"/>
              <w:ind w:left="10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pPr>
              <w:keepNext w:val="0"/>
              <w:keepLines w:val="0"/>
              <w:pageBreakBefore w:val="0"/>
              <w:widowControl w:val="0"/>
              <w:kinsoku/>
              <w:wordWrap w:val="0"/>
              <w:overflowPunct/>
              <w:topLinePunct/>
              <w:autoSpaceDE/>
              <w:autoSpaceDN/>
              <w:bidi w:val="0"/>
              <w:adjustRightInd w:val="0"/>
              <w:snapToGrid w:val="0"/>
              <w:spacing w:before="81" w:line="228" w:lineRule="auto"/>
              <w:ind w:left="11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pPr>
              <w:keepNext w:val="0"/>
              <w:keepLines w:val="0"/>
              <w:pageBreakBefore w:val="0"/>
              <w:widowControl w:val="0"/>
              <w:kinsoku/>
              <w:wordWrap w:val="0"/>
              <w:overflowPunct/>
              <w:topLinePunct/>
              <w:autoSpaceDE/>
              <w:autoSpaceDN/>
              <w:bidi w:val="0"/>
              <w:adjustRightInd w:val="0"/>
              <w:snapToGrid w:val="0"/>
              <w:spacing w:before="235" w:line="230" w:lineRule="auto"/>
              <w:ind w:left="54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pPr>
        <w:keepNext w:val="0"/>
        <w:keepLines w:val="0"/>
        <w:pageBreakBefore w:val="0"/>
        <w:widowControl w:val="0"/>
        <w:kinsoku/>
        <w:wordWrap w:val="0"/>
        <w:overflowPunct/>
        <w:topLinePunct/>
        <w:autoSpaceDE/>
        <w:autoSpaceDN/>
        <w:bidi w:val="0"/>
        <w:adjustRightInd w:val="0"/>
        <w:snapToGrid w:val="0"/>
        <w:spacing w:before="140" w:line="228" w:lineRule="auto"/>
        <w:ind w:right="84" w:rightChars="40"/>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pPr>
        <w:keepNext w:val="0"/>
        <w:keepLines w:val="0"/>
        <w:pageBreakBefore w:val="0"/>
        <w:widowControl w:val="0"/>
        <w:kinsoku/>
        <w:wordWrap w:val="0"/>
        <w:overflowPunct/>
        <w:topLinePunct/>
        <w:autoSpaceDE/>
        <w:autoSpaceDN/>
        <w:bidi w:val="0"/>
        <w:adjustRightInd w:val="0"/>
        <w:snapToGrid w:val="0"/>
        <w:spacing w:before="81" w:line="288" w:lineRule="auto"/>
        <w:ind w:right="84" w:rightChars="40"/>
        <w:textAlignment w:val="baseline"/>
        <w:outlineLvl w:val="9"/>
        <w:rPr>
          <w:rFonts w:hint="eastAsia" w:ascii="宋体" w:hAnsi="宋体" w:eastAsia="宋体" w:cs="宋体"/>
          <w:color w:val="auto"/>
          <w:spacing w:val="4"/>
          <w:sz w:val="18"/>
          <w:szCs w:val="18"/>
          <w:highlight w:val="none"/>
        </w:rPr>
      </w:pPr>
      <w:bookmarkStart w:id="236" w:name="_Toc14048"/>
      <w:bookmarkStart w:id="237" w:name="_Toc5131"/>
      <w:r>
        <w:rPr>
          <w:rFonts w:hint="eastAsia" w:ascii="宋体" w:hAnsi="宋体" w:eastAsia="宋体" w:cs="宋体"/>
          <w:color w:val="auto"/>
          <w:spacing w:val="4"/>
          <w:sz w:val="18"/>
          <w:szCs w:val="18"/>
          <w:highlight w:val="none"/>
        </w:rPr>
        <w:t>1 ．《投标人基本情况表》后应附以下资料：</w:t>
      </w:r>
      <w:bookmarkEnd w:id="236"/>
      <w:bookmarkEnd w:id="237"/>
    </w:p>
    <w:p>
      <w:pPr>
        <w:keepNext w:val="0"/>
        <w:keepLines w:val="0"/>
        <w:pageBreakBefore w:val="0"/>
        <w:widowControl w:val="0"/>
        <w:kinsoku/>
        <w:wordWrap w:val="0"/>
        <w:overflowPunct/>
        <w:topLinePunct/>
        <w:autoSpaceDE/>
        <w:autoSpaceDN/>
        <w:bidi w:val="0"/>
        <w:adjustRightInd w:val="0"/>
        <w:snapToGrid w:val="0"/>
        <w:spacing w:before="153" w:line="288" w:lineRule="auto"/>
        <w:ind w:right="84" w:rightChars="40"/>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pPr>
        <w:keepNext w:val="0"/>
        <w:keepLines w:val="0"/>
        <w:pageBreakBefore w:val="0"/>
        <w:widowControl w:val="0"/>
        <w:kinsoku/>
        <w:wordWrap w:val="0"/>
        <w:overflowPunct/>
        <w:topLinePunct/>
        <w:autoSpaceDE/>
        <w:autoSpaceDN/>
        <w:bidi w:val="0"/>
        <w:adjustRightInd w:val="0"/>
        <w:snapToGrid w:val="0"/>
        <w:spacing w:before="153" w:line="288" w:lineRule="auto"/>
        <w:ind w:right="84" w:rightChars="40"/>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pPr>
        <w:keepNext w:val="0"/>
        <w:keepLines w:val="0"/>
        <w:pageBreakBefore w:val="0"/>
        <w:widowControl w:val="0"/>
        <w:kinsoku/>
        <w:wordWrap w:val="0"/>
        <w:overflowPunct/>
        <w:topLinePunct/>
        <w:autoSpaceDE/>
        <w:autoSpaceDN/>
        <w:bidi w:val="0"/>
        <w:adjustRightInd w:val="0"/>
        <w:snapToGrid w:val="0"/>
        <w:spacing w:before="153" w:line="288" w:lineRule="auto"/>
        <w:ind w:right="84" w:rightChars="40"/>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pPr>
        <w:keepNext w:val="0"/>
        <w:keepLines w:val="0"/>
        <w:pageBreakBefore w:val="0"/>
        <w:widowControl w:val="0"/>
        <w:kinsoku/>
        <w:wordWrap w:val="0"/>
        <w:overflowPunct/>
        <w:topLinePunct/>
        <w:autoSpaceDE/>
        <w:autoSpaceDN/>
        <w:bidi w:val="0"/>
        <w:adjustRightInd w:val="0"/>
        <w:snapToGrid w:val="0"/>
        <w:spacing w:before="81" w:line="288" w:lineRule="auto"/>
        <w:ind w:right="84" w:rightChars="40"/>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38" w:name="_Toc9266"/>
      <w:r>
        <w:rPr>
          <w:rFonts w:hint="eastAsia" w:ascii="宋体" w:hAnsi="宋体" w:eastAsia="宋体" w:cs="宋体"/>
          <w:b/>
          <w:bCs/>
          <w:color w:val="auto"/>
          <w:spacing w:val="-4"/>
          <w:sz w:val="24"/>
          <w:szCs w:val="24"/>
          <w:highlight w:val="none"/>
        </w:rPr>
        <w:t>格式八 项目经理简历表</w:t>
      </w:r>
      <w:bookmarkEnd w:id="238"/>
    </w:p>
    <w:p>
      <w:pPr>
        <w:pStyle w:val="5"/>
        <w:keepNext w:val="0"/>
        <w:keepLines w:val="0"/>
        <w:pageBreakBefore w:val="0"/>
        <w:widowControl w:val="0"/>
        <w:kinsoku/>
        <w:wordWrap w:val="0"/>
        <w:overflowPunct/>
        <w:topLinePunct/>
        <w:autoSpaceDE/>
        <w:autoSpaceDN/>
        <w:bidi w:val="0"/>
        <w:adjustRightInd w:val="0"/>
        <w:snapToGrid w:val="0"/>
        <w:spacing w:line="444"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97" w:line="219" w:lineRule="auto"/>
        <w:ind w:left="3538" w:right="84" w:rightChars="40"/>
        <w:outlineLvl w:val="9"/>
        <w:rPr>
          <w:rFonts w:hint="eastAsia" w:ascii="宋体" w:hAnsi="宋体" w:eastAsia="宋体" w:cs="宋体"/>
          <w:color w:val="auto"/>
          <w:sz w:val="30"/>
          <w:szCs w:val="30"/>
          <w:highlight w:val="none"/>
        </w:rPr>
      </w:pPr>
      <w:bookmarkStart w:id="239" w:name="bookmark89"/>
      <w:bookmarkEnd w:id="239"/>
      <w:bookmarkStart w:id="240" w:name="bookmark156"/>
      <w:bookmarkEnd w:id="240"/>
      <w:bookmarkStart w:id="241" w:name="_Toc24489"/>
      <w:bookmarkStart w:id="242" w:name="_Toc31533"/>
      <w:r>
        <w:rPr>
          <w:rFonts w:hint="eastAsia" w:ascii="宋体" w:hAnsi="宋体" w:eastAsia="宋体" w:cs="宋体"/>
          <w:b/>
          <w:bCs/>
          <w:color w:val="auto"/>
          <w:spacing w:val="-5"/>
          <w:sz w:val="30"/>
          <w:szCs w:val="30"/>
          <w:highlight w:val="none"/>
        </w:rPr>
        <w:t>项目经理简历表</w:t>
      </w:r>
      <w:bookmarkEnd w:id="241"/>
      <w:bookmarkEnd w:id="242"/>
    </w:p>
    <w:p>
      <w:pPr>
        <w:keepNext w:val="0"/>
        <w:keepLines w:val="0"/>
        <w:pageBreakBefore w:val="0"/>
        <w:widowControl w:val="0"/>
        <w:kinsoku/>
        <w:wordWrap w:val="0"/>
        <w:overflowPunct/>
        <w:topLinePunct/>
        <w:autoSpaceDE/>
        <w:autoSpaceDN/>
        <w:bidi w:val="0"/>
        <w:adjustRightInd w:val="0"/>
        <w:snapToGrid w:val="0"/>
        <w:spacing w:line="240" w:lineRule="exact"/>
        <w:ind w:right="84" w:rightChars="40"/>
        <w:rPr>
          <w:rFonts w:hint="eastAsia" w:ascii="宋体" w:hAnsi="宋体" w:eastAsia="宋体" w:cs="宋体"/>
          <w:color w:val="auto"/>
          <w:highlight w:val="none"/>
        </w:rPr>
      </w:pPr>
    </w:p>
    <w:tbl>
      <w:tblPr>
        <w:tblStyle w:val="14"/>
        <w:tblW w:w="99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98"/>
        <w:gridCol w:w="526"/>
        <w:gridCol w:w="680"/>
        <w:gridCol w:w="1357"/>
        <w:gridCol w:w="2297"/>
        <w:gridCol w:w="1755"/>
        <w:gridCol w:w="14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916"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7" w:line="228" w:lineRule="auto"/>
              <w:ind w:left="50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06"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7" w:type="dxa"/>
            <w:vAlign w:val="top"/>
          </w:tcPr>
          <w:p>
            <w:pPr>
              <w:keepNext w:val="0"/>
              <w:keepLines w:val="0"/>
              <w:pageBreakBefore w:val="0"/>
              <w:widowControl w:val="0"/>
              <w:kinsoku/>
              <w:wordWrap w:val="0"/>
              <w:overflowPunct/>
              <w:topLinePunct/>
              <w:autoSpaceDE/>
              <w:autoSpaceDN/>
              <w:bidi w:val="0"/>
              <w:adjustRightInd w:val="0"/>
              <w:snapToGrid w:val="0"/>
              <w:spacing w:before="177" w:line="229" w:lineRule="auto"/>
              <w:ind w:left="336"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29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pPr>
              <w:keepNext w:val="0"/>
              <w:keepLines w:val="0"/>
              <w:pageBreakBefore w:val="0"/>
              <w:widowControl w:val="0"/>
              <w:kinsoku/>
              <w:wordWrap w:val="0"/>
              <w:overflowPunct/>
              <w:topLinePunct/>
              <w:autoSpaceDE/>
              <w:autoSpaceDN/>
              <w:bidi w:val="0"/>
              <w:adjustRightInd w:val="0"/>
              <w:snapToGrid w:val="0"/>
              <w:spacing w:before="177" w:line="228" w:lineRule="auto"/>
              <w:ind w:left="48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42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916"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5" w:line="228" w:lineRule="auto"/>
              <w:ind w:left="50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06"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7" w:type="dxa"/>
            <w:vAlign w:val="top"/>
          </w:tcPr>
          <w:p>
            <w:pPr>
              <w:keepNext w:val="0"/>
              <w:keepLines w:val="0"/>
              <w:pageBreakBefore w:val="0"/>
              <w:widowControl w:val="0"/>
              <w:kinsoku/>
              <w:wordWrap w:val="0"/>
              <w:overflowPunct/>
              <w:topLinePunct/>
              <w:autoSpaceDE/>
              <w:autoSpaceDN/>
              <w:bidi w:val="0"/>
              <w:adjustRightInd w:val="0"/>
              <w:snapToGrid w:val="0"/>
              <w:spacing w:before="174" w:line="231" w:lineRule="auto"/>
              <w:ind w:left="33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29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pPr>
              <w:keepNext w:val="0"/>
              <w:keepLines w:val="0"/>
              <w:pageBreakBefore w:val="0"/>
              <w:widowControl w:val="0"/>
              <w:kinsoku/>
              <w:wordWrap w:val="0"/>
              <w:overflowPunct/>
              <w:topLinePunct/>
              <w:autoSpaceDE/>
              <w:autoSpaceDN/>
              <w:bidi w:val="0"/>
              <w:adjustRightInd w:val="0"/>
              <w:snapToGrid w:val="0"/>
              <w:spacing w:before="175" w:line="230" w:lineRule="auto"/>
              <w:ind w:left="49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42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916"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5" w:line="229" w:lineRule="auto"/>
              <w:ind w:left="24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563" w:type="dxa"/>
            <w:gridSpan w:val="3"/>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4052"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42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956" w:type="dxa"/>
            <w:gridSpan w:val="8"/>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left="235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pPr>
              <w:keepNext w:val="0"/>
              <w:keepLines w:val="0"/>
              <w:pageBreakBefore w:val="0"/>
              <w:widowControl w:val="0"/>
              <w:kinsoku/>
              <w:wordWrap w:val="0"/>
              <w:overflowPunct/>
              <w:topLinePunct/>
              <w:autoSpaceDE/>
              <w:autoSpaceDN/>
              <w:bidi w:val="0"/>
              <w:adjustRightInd w:val="0"/>
              <w:snapToGrid w:val="0"/>
              <w:spacing w:before="176" w:line="230" w:lineRule="auto"/>
              <w:ind w:left="18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6"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6" w:line="229" w:lineRule="auto"/>
              <w:ind w:left="5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297" w:type="dxa"/>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left="26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55" w:type="dxa"/>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left="2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425" w:type="dxa"/>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left="25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pPr>
              <w:keepNext w:val="0"/>
              <w:keepLines w:val="0"/>
              <w:pageBreakBefore w:val="0"/>
              <w:widowControl w:val="0"/>
              <w:kinsoku/>
              <w:wordWrap w:val="0"/>
              <w:overflowPunct/>
              <w:topLinePunct/>
              <w:autoSpaceDE/>
              <w:autoSpaceDN/>
              <w:bidi w:val="0"/>
              <w:adjustRightInd w:val="0"/>
              <w:snapToGrid w:val="0"/>
              <w:spacing w:before="214" w:line="195"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pPr>
              <w:keepNext w:val="0"/>
              <w:keepLines w:val="0"/>
              <w:pageBreakBefore w:val="0"/>
              <w:widowControl w:val="0"/>
              <w:kinsoku/>
              <w:wordWrap w:val="0"/>
              <w:overflowPunct/>
              <w:topLinePunct/>
              <w:autoSpaceDE/>
              <w:autoSpaceDN/>
              <w:bidi w:val="0"/>
              <w:adjustRightInd w:val="0"/>
              <w:snapToGrid w:val="0"/>
              <w:spacing w:before="213" w:line="195" w:lineRule="auto"/>
              <w:ind w:left="33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pPr>
              <w:keepNext w:val="0"/>
              <w:keepLines w:val="0"/>
              <w:pageBreakBefore w:val="0"/>
              <w:widowControl w:val="0"/>
              <w:kinsoku/>
              <w:wordWrap w:val="0"/>
              <w:overflowPunct/>
              <w:topLinePunct/>
              <w:autoSpaceDE/>
              <w:autoSpaceDN/>
              <w:bidi w:val="0"/>
              <w:adjustRightInd w:val="0"/>
              <w:snapToGrid w:val="0"/>
              <w:spacing w:before="213" w:line="195" w:lineRule="auto"/>
              <w:ind w:left="34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pPr>
              <w:keepNext w:val="0"/>
              <w:keepLines w:val="0"/>
              <w:pageBreakBefore w:val="0"/>
              <w:widowControl w:val="0"/>
              <w:kinsoku/>
              <w:wordWrap w:val="0"/>
              <w:overflowPunct/>
              <w:topLinePunct/>
              <w:autoSpaceDE/>
              <w:autoSpaceDN/>
              <w:bidi w:val="0"/>
              <w:adjustRightInd w:val="0"/>
              <w:snapToGrid w:val="0"/>
              <w:spacing w:before="177" w:line="325" w:lineRule="exact"/>
              <w:ind w:left="19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pPr>
        <w:pStyle w:val="5"/>
        <w:keepNext w:val="0"/>
        <w:keepLines w:val="0"/>
        <w:pageBreakBefore w:val="0"/>
        <w:widowControl w:val="0"/>
        <w:kinsoku/>
        <w:wordWrap w:val="0"/>
        <w:overflowPunct/>
        <w:topLinePunct/>
        <w:autoSpaceDE/>
        <w:autoSpaceDN/>
        <w:bidi w:val="0"/>
        <w:adjustRightInd w:val="0"/>
        <w:snapToGrid w:val="0"/>
        <w:spacing w:line="315"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20" w:lineRule="auto"/>
        <w:ind w:left="696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pPr>
        <w:pStyle w:val="5"/>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pPr>
        <w:keepNext w:val="0"/>
        <w:keepLines w:val="0"/>
        <w:pageBreakBefore w:val="0"/>
        <w:widowControl w:val="0"/>
        <w:kinsoku/>
        <w:wordWrap w:val="0"/>
        <w:overflowPunct/>
        <w:topLinePunct/>
        <w:autoSpaceDE/>
        <w:autoSpaceDN/>
        <w:bidi w:val="0"/>
        <w:adjustRightInd w:val="0"/>
        <w:snapToGrid w:val="0"/>
        <w:spacing w:before="78" w:line="220" w:lineRule="auto"/>
        <w:ind w:left="4226" w:right="84" w:rightChars="40"/>
        <w:jc w:val="center"/>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41"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65" w:line="228" w:lineRule="auto"/>
        <w:ind w:left="47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pPr>
        <w:keepNext w:val="0"/>
        <w:keepLines w:val="0"/>
        <w:pageBreakBefore w:val="0"/>
        <w:widowControl w:val="0"/>
        <w:kinsoku/>
        <w:wordWrap w:val="0"/>
        <w:overflowPunct/>
        <w:topLinePunct/>
        <w:autoSpaceDE/>
        <w:autoSpaceDN/>
        <w:bidi w:val="0"/>
        <w:adjustRightInd w:val="0"/>
        <w:snapToGrid w:val="0"/>
        <w:spacing w:before="152" w:line="228" w:lineRule="auto"/>
        <w:ind w:left="484" w:right="84" w:rightChars="40"/>
        <w:outlineLvl w:val="9"/>
        <w:rPr>
          <w:rFonts w:hint="eastAsia" w:ascii="宋体" w:hAnsi="宋体" w:eastAsia="宋体" w:cs="宋体"/>
          <w:color w:val="auto"/>
          <w:sz w:val="24"/>
          <w:szCs w:val="24"/>
          <w:highlight w:val="none"/>
        </w:rPr>
      </w:pPr>
      <w:bookmarkStart w:id="243" w:name="_Toc25271"/>
      <w:bookmarkStart w:id="244"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43"/>
      <w:bookmarkEnd w:id="244"/>
    </w:p>
    <w:p>
      <w:pPr>
        <w:keepNext w:val="0"/>
        <w:keepLines w:val="0"/>
        <w:pageBreakBefore w:val="0"/>
        <w:widowControl w:val="0"/>
        <w:kinsoku/>
        <w:wordWrap w:val="0"/>
        <w:overflowPunct/>
        <w:topLinePunct/>
        <w:autoSpaceDE/>
        <w:autoSpaceDN/>
        <w:bidi w:val="0"/>
        <w:adjustRightInd w:val="0"/>
        <w:snapToGrid w:val="0"/>
        <w:spacing w:before="153" w:line="228" w:lineRule="auto"/>
        <w:ind w:left="4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pPr>
        <w:keepNext w:val="0"/>
        <w:keepLines w:val="0"/>
        <w:pageBreakBefore w:val="0"/>
        <w:widowControl w:val="0"/>
        <w:kinsoku/>
        <w:wordWrap w:val="0"/>
        <w:overflowPunct/>
        <w:topLinePunct/>
        <w:autoSpaceDE/>
        <w:autoSpaceDN/>
        <w:bidi w:val="0"/>
        <w:adjustRightInd w:val="0"/>
        <w:snapToGrid w:val="0"/>
        <w:spacing w:before="154" w:line="298" w:lineRule="auto"/>
        <w:ind w:left="50" w:right="84" w:rightChars="40"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3．B类安全生产考核合格证书彩色扫描件或广东省建筑施工企业管理人员安全生产考核系统考</w:t>
      </w:r>
      <w:r>
        <w:rPr>
          <w:rFonts w:hint="eastAsia" w:ascii="宋体" w:hAnsi="宋体" w:eastAsia="宋体" w:cs="宋体"/>
          <w:color w:val="auto"/>
          <w:spacing w:val="7"/>
          <w:sz w:val="24"/>
          <w:szCs w:val="24"/>
          <w:highlight w:val="none"/>
        </w:rPr>
        <w:t>核合格信息彩色扫描件；</w:t>
      </w:r>
    </w:p>
    <w:p>
      <w:pPr>
        <w:keepNext w:val="0"/>
        <w:keepLines w:val="0"/>
        <w:pageBreakBefore w:val="0"/>
        <w:widowControl w:val="0"/>
        <w:kinsoku/>
        <w:wordWrap w:val="0"/>
        <w:overflowPunct/>
        <w:topLinePunct/>
        <w:autoSpaceDE/>
        <w:autoSpaceDN/>
        <w:bidi w:val="0"/>
        <w:adjustRightInd w:val="0"/>
        <w:snapToGrid w:val="0"/>
        <w:spacing w:before="153" w:line="299" w:lineRule="auto"/>
        <w:ind w:left="49" w:right="84" w:rightChars="40"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个月，其</w:t>
      </w:r>
      <w:bookmarkStart w:id="245" w:name="OLE_LINK38"/>
      <w:r>
        <w:rPr>
          <w:rFonts w:hint="eastAsia" w:ascii="宋体" w:hAnsi="宋体" w:eastAsia="宋体" w:cs="宋体"/>
          <w:color w:val="auto"/>
          <w:sz w:val="24"/>
          <w:szCs w:val="24"/>
          <w:highlight w:val="none"/>
          <w:lang w:eastAsia="zh-CN"/>
        </w:rPr>
        <w:t>中必须有202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w:t>
      </w:r>
      <w:bookmarkEnd w:id="245"/>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pPr>
        <w:keepNext w:val="0"/>
        <w:keepLines w:val="0"/>
        <w:pageBreakBefore w:val="0"/>
        <w:widowControl w:val="0"/>
        <w:kinsoku/>
        <w:wordWrap w:val="0"/>
        <w:overflowPunct/>
        <w:topLinePunct/>
        <w:autoSpaceDE/>
        <w:autoSpaceDN/>
        <w:bidi w:val="0"/>
        <w:adjustRightInd w:val="0"/>
        <w:snapToGrid w:val="0"/>
        <w:spacing w:before="150" w:line="300" w:lineRule="auto"/>
        <w:ind w:left="49" w:right="84" w:rightChars="4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pPr>
        <w:keepNext w:val="0"/>
        <w:keepLines w:val="0"/>
        <w:pageBreakBefore w:val="0"/>
        <w:widowControl w:val="0"/>
        <w:kinsoku/>
        <w:wordWrap w:val="0"/>
        <w:overflowPunct/>
        <w:topLinePunct/>
        <w:autoSpaceDE/>
        <w:autoSpaceDN/>
        <w:bidi w:val="0"/>
        <w:adjustRightInd w:val="0"/>
        <w:snapToGrid w:val="0"/>
        <w:spacing w:line="300" w:lineRule="auto"/>
        <w:ind w:right="84" w:rightChars="40"/>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46" w:name="_Toc30225"/>
      <w:r>
        <w:rPr>
          <w:rFonts w:hint="eastAsia" w:ascii="宋体" w:hAnsi="宋体" w:eastAsia="宋体" w:cs="宋体"/>
          <w:b/>
          <w:bCs/>
          <w:color w:val="auto"/>
          <w:spacing w:val="-4"/>
          <w:sz w:val="24"/>
          <w:szCs w:val="24"/>
          <w:highlight w:val="none"/>
        </w:rPr>
        <w:t>格式九 项目经理任职声明</w:t>
      </w:r>
      <w:bookmarkEnd w:id="246"/>
    </w:p>
    <w:p>
      <w:pPr>
        <w:pStyle w:val="5"/>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98" w:line="220" w:lineRule="auto"/>
        <w:ind w:left="3338" w:right="84" w:rightChars="40"/>
        <w:rPr>
          <w:rFonts w:hint="eastAsia" w:ascii="宋体" w:hAnsi="宋体" w:eastAsia="宋体" w:cs="宋体"/>
          <w:color w:val="auto"/>
          <w:sz w:val="30"/>
          <w:szCs w:val="30"/>
          <w:highlight w:val="none"/>
        </w:rPr>
      </w:pPr>
      <w:bookmarkStart w:id="247" w:name="bookmark157"/>
      <w:bookmarkEnd w:id="247"/>
      <w:r>
        <w:rPr>
          <w:rFonts w:hint="eastAsia" w:ascii="宋体" w:hAnsi="宋体" w:eastAsia="宋体" w:cs="宋体"/>
          <w:b/>
          <w:bCs/>
          <w:color w:val="auto"/>
          <w:spacing w:val="-5"/>
          <w:sz w:val="30"/>
          <w:szCs w:val="30"/>
          <w:highlight w:val="none"/>
        </w:rPr>
        <w:t>项目经理任职声明</w:t>
      </w:r>
    </w:p>
    <w:p>
      <w:pPr>
        <w:pStyle w:val="5"/>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1"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21"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pPr>
        <w:keepNext w:val="0"/>
        <w:keepLines w:val="0"/>
        <w:pageBreakBefore w:val="0"/>
        <w:widowControl w:val="0"/>
        <w:kinsoku/>
        <w:wordWrap w:val="0"/>
        <w:overflowPunct/>
        <w:topLinePunct/>
        <w:autoSpaceDE/>
        <w:autoSpaceDN/>
        <w:bidi w:val="0"/>
        <w:adjustRightInd w:val="0"/>
        <w:snapToGrid w:val="0"/>
        <w:spacing w:before="155" w:line="324" w:lineRule="auto"/>
        <w:ind w:right="84" w:rightChars="4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pPr>
        <w:keepNext w:val="0"/>
        <w:keepLines w:val="0"/>
        <w:pageBreakBefore w:val="0"/>
        <w:widowControl w:val="0"/>
        <w:kinsoku/>
        <w:wordWrap w:val="0"/>
        <w:overflowPunct/>
        <w:topLinePunct/>
        <w:autoSpaceDE/>
        <w:autoSpaceDN/>
        <w:bidi w:val="0"/>
        <w:adjustRightInd w:val="0"/>
        <w:snapToGrid w:val="0"/>
        <w:spacing w:before="35" w:line="326" w:lineRule="auto"/>
        <w:ind w:right="84" w:rightChars="4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pPr>
        <w:pStyle w:val="5"/>
        <w:keepNext w:val="0"/>
        <w:keepLines w:val="0"/>
        <w:pageBreakBefore w:val="0"/>
        <w:widowControl w:val="0"/>
        <w:kinsoku/>
        <w:wordWrap w:val="0"/>
        <w:overflowPunct/>
        <w:topLinePunct/>
        <w:autoSpaceDE/>
        <w:autoSpaceDN/>
        <w:bidi w:val="0"/>
        <w:adjustRightInd w:val="0"/>
        <w:snapToGrid w:val="0"/>
        <w:spacing w:line="391"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20" w:lineRule="auto"/>
        <w:ind w:left="4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pPr>
        <w:pStyle w:val="5"/>
        <w:keepNext w:val="0"/>
        <w:keepLines w:val="0"/>
        <w:pageBreakBefore w:val="0"/>
        <w:widowControl w:val="0"/>
        <w:kinsoku/>
        <w:wordWrap w:val="0"/>
        <w:overflowPunct/>
        <w:topLinePunct/>
        <w:autoSpaceDE/>
        <w:autoSpaceDN/>
        <w:bidi w:val="0"/>
        <w:adjustRightInd w:val="0"/>
        <w:snapToGrid w:val="0"/>
        <w:spacing w:line="316"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9"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pPr>
        <w:keepNext w:val="0"/>
        <w:keepLines w:val="0"/>
        <w:pageBreakBefore w:val="0"/>
        <w:widowControl w:val="0"/>
        <w:kinsoku/>
        <w:wordWrap w:val="0"/>
        <w:overflowPunct/>
        <w:topLinePunct/>
        <w:autoSpaceDE/>
        <w:autoSpaceDN/>
        <w:bidi w:val="0"/>
        <w:adjustRightInd w:val="0"/>
        <w:snapToGrid w:val="0"/>
        <w:spacing w:line="220" w:lineRule="auto"/>
        <w:ind w:right="84" w:rightChars="40"/>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48" w:name="_Toc18769"/>
      <w:r>
        <w:rPr>
          <w:rFonts w:hint="eastAsia" w:ascii="宋体" w:hAnsi="宋体" w:eastAsia="宋体" w:cs="宋体"/>
          <w:b/>
          <w:bCs/>
          <w:color w:val="auto"/>
          <w:spacing w:val="-4"/>
          <w:sz w:val="24"/>
          <w:szCs w:val="24"/>
          <w:highlight w:val="none"/>
        </w:rPr>
        <w:t>格式十 项目技术负责人简历表</w:t>
      </w:r>
      <w:bookmarkEnd w:id="248"/>
    </w:p>
    <w:p>
      <w:pPr>
        <w:pStyle w:val="5"/>
        <w:keepNext w:val="0"/>
        <w:keepLines w:val="0"/>
        <w:pageBreakBefore w:val="0"/>
        <w:widowControl w:val="0"/>
        <w:kinsoku/>
        <w:wordWrap w:val="0"/>
        <w:overflowPunct/>
        <w:topLinePunct/>
        <w:autoSpaceDE/>
        <w:autoSpaceDN/>
        <w:bidi w:val="0"/>
        <w:adjustRightInd w:val="0"/>
        <w:snapToGrid w:val="0"/>
        <w:spacing w:line="444"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97" w:line="219" w:lineRule="auto"/>
        <w:ind w:left="3087" w:right="84" w:rightChars="40"/>
        <w:outlineLvl w:val="9"/>
        <w:rPr>
          <w:rFonts w:hint="eastAsia" w:ascii="宋体" w:hAnsi="宋体" w:eastAsia="宋体" w:cs="宋体"/>
          <w:color w:val="auto"/>
          <w:sz w:val="30"/>
          <w:szCs w:val="30"/>
          <w:highlight w:val="none"/>
        </w:rPr>
      </w:pPr>
      <w:bookmarkStart w:id="249" w:name="_Toc1553"/>
      <w:bookmarkStart w:id="250" w:name="_Toc25712"/>
      <w:r>
        <w:rPr>
          <w:rFonts w:hint="eastAsia" w:ascii="宋体" w:hAnsi="宋体" w:eastAsia="宋体" w:cs="宋体"/>
          <w:b/>
          <w:bCs/>
          <w:color w:val="auto"/>
          <w:spacing w:val="-4"/>
          <w:sz w:val="30"/>
          <w:szCs w:val="30"/>
          <w:highlight w:val="none"/>
        </w:rPr>
        <w:t>项目技术负责人简历表</w:t>
      </w:r>
      <w:bookmarkEnd w:id="249"/>
      <w:bookmarkEnd w:id="250"/>
    </w:p>
    <w:p>
      <w:pPr>
        <w:keepNext w:val="0"/>
        <w:keepLines w:val="0"/>
        <w:pageBreakBefore w:val="0"/>
        <w:widowControl w:val="0"/>
        <w:kinsoku/>
        <w:wordWrap w:val="0"/>
        <w:overflowPunct/>
        <w:topLinePunct/>
        <w:autoSpaceDE/>
        <w:autoSpaceDN/>
        <w:bidi w:val="0"/>
        <w:adjustRightInd w:val="0"/>
        <w:snapToGrid w:val="0"/>
        <w:spacing w:line="240" w:lineRule="exact"/>
        <w:ind w:right="84" w:rightChars="40"/>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154"/>
        <w:gridCol w:w="456"/>
        <w:gridCol w:w="675"/>
        <w:gridCol w:w="1346"/>
        <w:gridCol w:w="2047"/>
        <w:gridCol w:w="1783"/>
        <w:gridCol w:w="138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96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7" w:line="228" w:lineRule="auto"/>
              <w:ind w:left="50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13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46" w:type="dxa"/>
            <w:vAlign w:val="top"/>
          </w:tcPr>
          <w:p>
            <w:pPr>
              <w:keepNext w:val="0"/>
              <w:keepLines w:val="0"/>
              <w:pageBreakBefore w:val="0"/>
              <w:widowControl w:val="0"/>
              <w:kinsoku/>
              <w:wordWrap w:val="0"/>
              <w:overflowPunct/>
              <w:topLinePunct/>
              <w:autoSpaceDE/>
              <w:autoSpaceDN/>
              <w:bidi w:val="0"/>
              <w:adjustRightInd w:val="0"/>
              <w:snapToGrid w:val="0"/>
              <w:spacing w:before="177" w:line="229" w:lineRule="auto"/>
              <w:ind w:left="336"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pPr>
              <w:keepNext w:val="0"/>
              <w:keepLines w:val="0"/>
              <w:pageBreakBefore w:val="0"/>
              <w:widowControl w:val="0"/>
              <w:kinsoku/>
              <w:wordWrap w:val="0"/>
              <w:overflowPunct/>
              <w:topLinePunct/>
              <w:autoSpaceDE/>
              <w:autoSpaceDN/>
              <w:bidi w:val="0"/>
              <w:adjustRightInd w:val="0"/>
              <w:snapToGrid w:val="0"/>
              <w:spacing w:before="177" w:line="228" w:lineRule="auto"/>
              <w:ind w:left="48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96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5" w:line="228" w:lineRule="auto"/>
              <w:ind w:left="50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13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46" w:type="dxa"/>
            <w:vAlign w:val="top"/>
          </w:tcPr>
          <w:p>
            <w:pPr>
              <w:keepNext w:val="0"/>
              <w:keepLines w:val="0"/>
              <w:pageBreakBefore w:val="0"/>
              <w:widowControl w:val="0"/>
              <w:kinsoku/>
              <w:wordWrap w:val="0"/>
              <w:overflowPunct/>
              <w:topLinePunct/>
              <w:autoSpaceDE/>
              <w:autoSpaceDN/>
              <w:bidi w:val="0"/>
              <w:adjustRightInd w:val="0"/>
              <w:snapToGrid w:val="0"/>
              <w:spacing w:before="174" w:line="231" w:lineRule="auto"/>
              <w:ind w:left="33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pPr>
              <w:keepNext w:val="0"/>
              <w:keepLines w:val="0"/>
              <w:pageBreakBefore w:val="0"/>
              <w:widowControl w:val="0"/>
              <w:kinsoku/>
              <w:wordWrap w:val="0"/>
              <w:overflowPunct/>
              <w:topLinePunct/>
              <w:autoSpaceDE/>
              <w:autoSpaceDN/>
              <w:bidi w:val="0"/>
              <w:adjustRightInd w:val="0"/>
              <w:snapToGrid w:val="0"/>
              <w:spacing w:before="175" w:line="230" w:lineRule="auto"/>
              <w:ind w:left="49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96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5" w:line="229" w:lineRule="auto"/>
              <w:ind w:left="24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477" w:type="dxa"/>
            <w:gridSpan w:val="3"/>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3830"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left="20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pPr>
              <w:keepNext w:val="0"/>
              <w:keepLines w:val="0"/>
              <w:pageBreakBefore w:val="0"/>
              <w:widowControl w:val="0"/>
              <w:kinsoku/>
              <w:wordWrap w:val="0"/>
              <w:overflowPunct/>
              <w:topLinePunct/>
              <w:autoSpaceDE/>
              <w:autoSpaceDN/>
              <w:bidi w:val="0"/>
              <w:adjustRightInd w:val="0"/>
              <w:snapToGrid w:val="0"/>
              <w:spacing w:before="176" w:line="230" w:lineRule="auto"/>
              <w:ind w:left="18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6"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76" w:line="229" w:lineRule="auto"/>
              <w:ind w:left="5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left="23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pPr>
              <w:keepNext w:val="0"/>
              <w:keepLines w:val="0"/>
              <w:pageBreakBefore w:val="0"/>
              <w:widowControl w:val="0"/>
              <w:kinsoku/>
              <w:wordWrap w:val="0"/>
              <w:overflowPunct/>
              <w:topLinePunct/>
              <w:autoSpaceDE/>
              <w:autoSpaceDN/>
              <w:bidi w:val="0"/>
              <w:adjustRightInd w:val="0"/>
              <w:snapToGrid w:val="0"/>
              <w:spacing w:before="176" w:line="228" w:lineRule="auto"/>
              <w:ind w:left="25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pPr>
              <w:keepNext w:val="0"/>
              <w:keepLines w:val="0"/>
              <w:pageBreakBefore w:val="0"/>
              <w:widowControl w:val="0"/>
              <w:kinsoku/>
              <w:wordWrap w:val="0"/>
              <w:overflowPunct/>
              <w:topLinePunct/>
              <w:autoSpaceDE/>
              <w:autoSpaceDN/>
              <w:bidi w:val="0"/>
              <w:adjustRightInd w:val="0"/>
              <w:snapToGrid w:val="0"/>
              <w:spacing w:before="214" w:line="195"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pPr>
              <w:keepNext w:val="0"/>
              <w:keepLines w:val="0"/>
              <w:pageBreakBefore w:val="0"/>
              <w:widowControl w:val="0"/>
              <w:kinsoku/>
              <w:wordWrap w:val="0"/>
              <w:overflowPunct/>
              <w:topLinePunct/>
              <w:autoSpaceDE/>
              <w:autoSpaceDN/>
              <w:bidi w:val="0"/>
              <w:adjustRightInd w:val="0"/>
              <w:snapToGrid w:val="0"/>
              <w:spacing w:before="213" w:line="195" w:lineRule="auto"/>
              <w:ind w:left="33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pPr>
              <w:keepNext w:val="0"/>
              <w:keepLines w:val="0"/>
              <w:pageBreakBefore w:val="0"/>
              <w:widowControl w:val="0"/>
              <w:kinsoku/>
              <w:wordWrap w:val="0"/>
              <w:overflowPunct/>
              <w:topLinePunct/>
              <w:autoSpaceDE/>
              <w:autoSpaceDN/>
              <w:bidi w:val="0"/>
              <w:adjustRightInd w:val="0"/>
              <w:snapToGrid w:val="0"/>
              <w:spacing w:before="178" w:line="324" w:lineRule="exact"/>
              <w:ind w:left="19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10"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10"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pPr>
        <w:pStyle w:val="5"/>
        <w:keepNext w:val="0"/>
        <w:keepLines w:val="0"/>
        <w:pageBreakBefore w:val="0"/>
        <w:widowControl w:val="0"/>
        <w:kinsoku/>
        <w:wordWrap w:val="0"/>
        <w:overflowPunct/>
        <w:topLinePunct/>
        <w:autoSpaceDE/>
        <w:autoSpaceDN/>
        <w:bidi w:val="0"/>
        <w:adjustRightInd w:val="0"/>
        <w:snapToGrid w:val="0"/>
        <w:spacing w:line="314" w:lineRule="auto"/>
        <w:ind w:right="84" w:rightChars="40"/>
        <w:rPr>
          <w:rFonts w:hint="eastAsia" w:ascii="宋体" w:hAnsi="宋体" w:eastAsia="宋体" w:cs="宋体"/>
          <w:color w:val="auto"/>
          <w:sz w:val="24"/>
          <w:szCs w:val="24"/>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5" w:lineRule="auto"/>
        <w:ind w:right="84" w:rightChars="40"/>
        <w:rPr>
          <w:rFonts w:hint="eastAsia" w:ascii="宋体" w:hAnsi="宋体" w:eastAsia="宋体" w:cs="宋体"/>
          <w:color w:val="auto"/>
          <w:sz w:val="24"/>
          <w:szCs w:val="24"/>
          <w:highlight w:val="none"/>
        </w:rPr>
      </w:pPr>
    </w:p>
    <w:p>
      <w:pPr>
        <w:pStyle w:val="5"/>
        <w:keepNext w:val="0"/>
        <w:keepLines w:val="0"/>
        <w:pageBreakBefore w:val="0"/>
        <w:widowControl w:val="0"/>
        <w:kinsoku/>
        <w:wordWrap w:val="0"/>
        <w:overflowPunct/>
        <w:topLinePunct/>
        <w:autoSpaceDE/>
        <w:autoSpaceDN/>
        <w:bidi w:val="0"/>
        <w:adjustRightInd w:val="0"/>
        <w:snapToGrid w:val="0"/>
        <w:spacing w:line="315"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78" w:line="220" w:lineRule="auto"/>
        <w:ind w:left="5165"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pPr>
        <w:pStyle w:val="5"/>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sz w:val="24"/>
          <w:szCs w:val="24"/>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jc w:val="right"/>
        <w:rPr>
          <w:rFonts w:hint="eastAsia" w:ascii="宋体" w:hAnsi="宋体" w:eastAsia="宋体" w:cs="宋体"/>
          <w:color w:val="auto"/>
          <w:sz w:val="24"/>
          <w:szCs w:val="24"/>
          <w:highlight w:val="none"/>
        </w:rPr>
      </w:pPr>
    </w:p>
    <w:p>
      <w:pPr>
        <w:pStyle w:val="5"/>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pPr>
        <w:keepNext w:val="0"/>
        <w:keepLines w:val="0"/>
        <w:pageBreakBefore w:val="0"/>
        <w:widowControl w:val="0"/>
        <w:kinsoku/>
        <w:wordWrap w:val="0"/>
        <w:overflowPunct/>
        <w:topLinePunct/>
        <w:autoSpaceDE/>
        <w:autoSpaceDN/>
        <w:bidi w:val="0"/>
        <w:adjustRightInd w:val="0"/>
        <w:snapToGrid w:val="0"/>
        <w:spacing w:before="65" w:line="228" w:lineRule="auto"/>
        <w:ind w:left="47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pPr>
        <w:keepNext w:val="0"/>
        <w:keepLines w:val="0"/>
        <w:pageBreakBefore w:val="0"/>
        <w:widowControl w:val="0"/>
        <w:kinsoku/>
        <w:wordWrap w:val="0"/>
        <w:overflowPunct/>
        <w:topLinePunct/>
        <w:autoSpaceDE/>
        <w:autoSpaceDN/>
        <w:bidi w:val="0"/>
        <w:adjustRightInd w:val="0"/>
        <w:snapToGrid w:val="0"/>
        <w:spacing w:before="155" w:line="228" w:lineRule="auto"/>
        <w:ind w:left="48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pPr>
        <w:keepNext w:val="0"/>
        <w:keepLines w:val="0"/>
        <w:pageBreakBefore w:val="0"/>
        <w:widowControl w:val="0"/>
        <w:kinsoku/>
        <w:wordWrap w:val="0"/>
        <w:overflowPunct/>
        <w:topLinePunct/>
        <w:autoSpaceDE/>
        <w:autoSpaceDN/>
        <w:bidi w:val="0"/>
        <w:adjustRightInd w:val="0"/>
        <w:snapToGrid w:val="0"/>
        <w:spacing w:before="151" w:line="228" w:lineRule="auto"/>
        <w:ind w:left="4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pPr>
        <w:keepNext w:val="0"/>
        <w:keepLines w:val="0"/>
        <w:pageBreakBefore w:val="0"/>
        <w:widowControl w:val="0"/>
        <w:kinsoku/>
        <w:wordWrap w:val="0"/>
        <w:overflowPunct/>
        <w:topLinePunct/>
        <w:autoSpaceDE/>
        <w:autoSpaceDN/>
        <w:bidi w:val="0"/>
        <w:adjustRightInd w:val="0"/>
        <w:snapToGrid w:val="0"/>
        <w:spacing w:before="153" w:line="299" w:lineRule="auto"/>
        <w:ind w:left="47" w:right="84" w:rightChars="40"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8"/>
          <w:sz w:val="24"/>
          <w:szCs w:val="24"/>
          <w:highlight w:val="none"/>
        </w:rPr>
        <w:t>，其中必须有</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9</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pPr>
        <w:keepNext w:val="0"/>
        <w:keepLines w:val="0"/>
        <w:pageBreakBefore w:val="0"/>
        <w:widowControl w:val="0"/>
        <w:kinsoku/>
        <w:wordWrap w:val="0"/>
        <w:overflowPunct/>
        <w:topLinePunct/>
        <w:autoSpaceDE/>
        <w:autoSpaceDN/>
        <w:bidi w:val="0"/>
        <w:adjustRightInd w:val="0"/>
        <w:snapToGrid w:val="0"/>
        <w:spacing w:before="153" w:line="228" w:lineRule="auto"/>
        <w:ind w:left="46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pPr>
        <w:keepNext w:val="0"/>
        <w:keepLines w:val="0"/>
        <w:pageBreakBefore w:val="0"/>
        <w:widowControl w:val="0"/>
        <w:kinsoku/>
        <w:wordWrap w:val="0"/>
        <w:overflowPunct/>
        <w:topLinePunct/>
        <w:autoSpaceDE/>
        <w:autoSpaceDN/>
        <w:bidi w:val="0"/>
        <w:adjustRightInd w:val="0"/>
        <w:snapToGrid w:val="0"/>
        <w:spacing w:line="228" w:lineRule="auto"/>
        <w:ind w:right="84" w:rightChars="40"/>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51" w:name="_Toc19822"/>
      <w:r>
        <w:rPr>
          <w:rFonts w:hint="eastAsia" w:ascii="宋体" w:hAnsi="宋体" w:eastAsia="宋体" w:cs="宋体"/>
          <w:b/>
          <w:bCs/>
          <w:color w:val="auto"/>
          <w:spacing w:val="-4"/>
          <w:sz w:val="24"/>
          <w:szCs w:val="24"/>
          <w:highlight w:val="none"/>
        </w:rPr>
        <w:t>格式十一 项目管理机构组成表</w:t>
      </w:r>
      <w:bookmarkEnd w:id="251"/>
    </w:p>
    <w:p>
      <w:pPr>
        <w:pStyle w:val="5"/>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pPr>
        <w:pStyle w:val="5"/>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97" w:line="219" w:lineRule="auto"/>
        <w:ind w:left="3200" w:right="84" w:rightChars="40"/>
        <w:outlineLvl w:val="9"/>
        <w:rPr>
          <w:rFonts w:hint="eastAsia" w:ascii="宋体" w:hAnsi="宋体" w:eastAsia="宋体" w:cs="宋体"/>
          <w:color w:val="auto"/>
          <w:sz w:val="30"/>
          <w:szCs w:val="30"/>
          <w:highlight w:val="none"/>
        </w:rPr>
      </w:pPr>
      <w:bookmarkStart w:id="252" w:name="bookmark158"/>
      <w:bookmarkEnd w:id="252"/>
      <w:bookmarkStart w:id="253" w:name="_Toc19973"/>
      <w:bookmarkStart w:id="254" w:name="_Toc28765"/>
      <w:r>
        <w:rPr>
          <w:rFonts w:hint="eastAsia" w:ascii="宋体" w:hAnsi="宋体" w:eastAsia="宋体" w:cs="宋体"/>
          <w:b/>
          <w:bCs/>
          <w:color w:val="auto"/>
          <w:spacing w:val="-4"/>
          <w:sz w:val="30"/>
          <w:szCs w:val="30"/>
          <w:highlight w:val="none"/>
        </w:rPr>
        <w:t>项目管理机构组成表</w:t>
      </w:r>
      <w:bookmarkEnd w:id="253"/>
      <w:bookmarkEnd w:id="254"/>
    </w:p>
    <w:p>
      <w:pPr>
        <w:keepNext w:val="0"/>
        <w:keepLines w:val="0"/>
        <w:pageBreakBefore w:val="0"/>
        <w:widowControl w:val="0"/>
        <w:kinsoku/>
        <w:wordWrap w:val="0"/>
        <w:overflowPunct/>
        <w:topLinePunct/>
        <w:autoSpaceDE/>
        <w:autoSpaceDN/>
        <w:bidi w:val="0"/>
        <w:adjustRightInd w:val="0"/>
        <w:snapToGrid w:val="0"/>
        <w:spacing w:before="7"/>
        <w:ind w:right="84" w:rightChars="40"/>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229" w:line="231" w:lineRule="auto"/>
              <w:ind w:left="9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pPr>
              <w:keepNext w:val="0"/>
              <w:keepLines w:val="0"/>
              <w:pageBreakBefore w:val="0"/>
              <w:widowControl w:val="0"/>
              <w:kinsoku/>
              <w:wordWrap w:val="0"/>
              <w:overflowPunct/>
              <w:topLinePunct/>
              <w:autoSpaceDE/>
              <w:autoSpaceDN/>
              <w:bidi w:val="0"/>
              <w:adjustRightInd w:val="0"/>
              <w:snapToGrid w:val="0"/>
              <w:spacing w:before="228" w:line="231" w:lineRule="auto"/>
              <w:ind w:left="70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pPr>
              <w:keepNext w:val="0"/>
              <w:keepLines w:val="0"/>
              <w:pageBreakBefore w:val="0"/>
              <w:widowControl w:val="0"/>
              <w:kinsoku/>
              <w:wordWrap w:val="0"/>
              <w:overflowPunct/>
              <w:topLinePunct/>
              <w:autoSpaceDE/>
              <w:autoSpaceDN/>
              <w:bidi w:val="0"/>
              <w:adjustRightInd w:val="0"/>
              <w:snapToGrid w:val="0"/>
              <w:spacing w:before="228" w:line="231" w:lineRule="auto"/>
              <w:ind w:left="52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pPr>
              <w:keepNext w:val="0"/>
              <w:keepLines w:val="0"/>
              <w:pageBreakBefore w:val="0"/>
              <w:widowControl w:val="0"/>
              <w:kinsoku/>
              <w:wordWrap w:val="0"/>
              <w:overflowPunct/>
              <w:topLinePunct/>
              <w:autoSpaceDE/>
              <w:autoSpaceDN/>
              <w:bidi w:val="0"/>
              <w:adjustRightInd w:val="0"/>
              <w:snapToGrid w:val="0"/>
              <w:spacing w:before="228" w:line="230" w:lineRule="auto"/>
              <w:ind w:left="26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pPr>
              <w:keepNext w:val="0"/>
              <w:keepLines w:val="0"/>
              <w:pageBreakBefore w:val="0"/>
              <w:widowControl w:val="0"/>
              <w:kinsoku/>
              <w:wordWrap w:val="0"/>
              <w:overflowPunct/>
              <w:topLinePunct/>
              <w:autoSpaceDE/>
              <w:autoSpaceDN/>
              <w:bidi w:val="0"/>
              <w:adjustRightInd w:val="0"/>
              <w:snapToGrid w:val="0"/>
              <w:spacing w:before="229" w:line="231" w:lineRule="auto"/>
              <w:ind w:left="26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pPr>
              <w:keepNext w:val="0"/>
              <w:keepLines w:val="0"/>
              <w:pageBreakBefore w:val="0"/>
              <w:widowControl w:val="0"/>
              <w:kinsoku/>
              <w:wordWrap w:val="0"/>
              <w:overflowPunct/>
              <w:topLinePunct/>
              <w:autoSpaceDE/>
              <w:autoSpaceDN/>
              <w:bidi w:val="0"/>
              <w:adjustRightInd w:val="0"/>
              <w:snapToGrid w:val="0"/>
              <w:spacing w:before="228" w:line="230" w:lineRule="auto"/>
              <w:ind w:left="51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pPr>
              <w:keepNext w:val="0"/>
              <w:keepLines w:val="0"/>
              <w:pageBreakBefore w:val="0"/>
              <w:widowControl w:val="0"/>
              <w:kinsoku/>
              <w:wordWrap w:val="0"/>
              <w:overflowPunct/>
              <w:topLinePunct/>
              <w:autoSpaceDE/>
              <w:autoSpaceDN/>
              <w:bidi w:val="0"/>
              <w:adjustRightInd w:val="0"/>
              <w:snapToGrid w:val="0"/>
              <w:spacing w:before="228" w:line="230" w:lineRule="auto"/>
              <w:ind w:left="68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185" w:line="195" w:lineRule="auto"/>
              <w:ind w:left="26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pPr>
              <w:keepNext w:val="0"/>
              <w:keepLines w:val="0"/>
              <w:pageBreakBefore w:val="0"/>
              <w:widowControl w:val="0"/>
              <w:kinsoku/>
              <w:wordWrap w:val="0"/>
              <w:overflowPunct/>
              <w:topLinePunct/>
              <w:autoSpaceDE/>
              <w:autoSpaceDN/>
              <w:bidi w:val="0"/>
              <w:adjustRightInd w:val="0"/>
              <w:snapToGrid w:val="0"/>
              <w:spacing w:before="150" w:line="229" w:lineRule="auto"/>
              <w:ind w:left="48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187" w:line="195" w:lineRule="auto"/>
              <w:ind w:left="24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pPr>
              <w:keepNext w:val="0"/>
              <w:keepLines w:val="0"/>
              <w:pageBreakBefore w:val="0"/>
              <w:widowControl w:val="0"/>
              <w:kinsoku/>
              <w:wordWrap w:val="0"/>
              <w:overflowPunct/>
              <w:topLinePunct/>
              <w:autoSpaceDE/>
              <w:autoSpaceDN/>
              <w:bidi w:val="0"/>
              <w:adjustRightInd w:val="0"/>
              <w:snapToGrid w:val="0"/>
              <w:spacing w:before="152" w:line="228"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189" w:line="195" w:lineRule="auto"/>
              <w:ind w:left="247" w:right="84" w:rightChars="4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pPr>
              <w:keepNext w:val="0"/>
              <w:keepLines w:val="0"/>
              <w:pageBreakBefore w:val="0"/>
              <w:widowControl w:val="0"/>
              <w:kinsoku/>
              <w:wordWrap w:val="0"/>
              <w:overflowPunct/>
              <w:topLinePunct/>
              <w:autoSpaceDE/>
              <w:autoSpaceDN/>
              <w:bidi w:val="0"/>
              <w:adjustRightInd w:val="0"/>
              <w:snapToGrid w:val="0"/>
              <w:spacing w:before="153" w:line="229" w:lineRule="auto"/>
              <w:ind w:left="378" w:right="84" w:rightChars="4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7"/>
                <w:sz w:val="24"/>
                <w:szCs w:val="24"/>
                <w:highlight w:val="none"/>
              </w:rPr>
              <w:t>专职安全员</w:t>
            </w:r>
            <w:r>
              <w:rPr>
                <w:rFonts w:hint="eastAsia" w:ascii="宋体" w:hAnsi="宋体" w:eastAsia="宋体" w:cs="宋体"/>
                <w:color w:val="auto"/>
                <w:spacing w:val="7"/>
                <w:sz w:val="24"/>
                <w:szCs w:val="24"/>
                <w:highlight w:val="none"/>
                <w:lang w:val="en-US" w:eastAsia="zh-CN"/>
              </w:rPr>
              <w:t>1</w:t>
            </w:r>
          </w:p>
        </w:tc>
        <w:tc>
          <w:tcPr>
            <w:tcW w:w="156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189" w:line="195" w:lineRule="auto"/>
              <w:ind w:left="247" w:right="84" w:rightChars="4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939" w:type="dxa"/>
            <w:vAlign w:val="center"/>
          </w:tcPr>
          <w:p>
            <w:pPr>
              <w:keepNext w:val="0"/>
              <w:keepLines w:val="0"/>
              <w:pageBreakBefore w:val="0"/>
              <w:widowControl w:val="0"/>
              <w:kinsoku/>
              <w:wordWrap w:val="0"/>
              <w:overflowPunct/>
              <w:topLinePunct/>
              <w:autoSpaceDE/>
              <w:autoSpaceDN/>
              <w:bidi w:val="0"/>
              <w:adjustRightInd w:val="0"/>
              <w:snapToGrid w:val="0"/>
              <w:spacing w:before="153" w:line="229" w:lineRule="auto"/>
              <w:ind w:left="378" w:right="84" w:rightChars="40"/>
              <w:jc w:val="both"/>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rPr>
              <w:t>专职安全员</w:t>
            </w:r>
            <w:r>
              <w:rPr>
                <w:rFonts w:hint="eastAsia" w:ascii="宋体" w:hAnsi="宋体" w:eastAsia="宋体" w:cs="宋体"/>
                <w:color w:val="auto"/>
                <w:spacing w:val="7"/>
                <w:sz w:val="24"/>
                <w:szCs w:val="24"/>
                <w:highlight w:val="none"/>
                <w:lang w:val="en-US" w:eastAsia="zh-CN"/>
              </w:rPr>
              <w:t>2</w:t>
            </w:r>
          </w:p>
        </w:tc>
        <w:tc>
          <w:tcPr>
            <w:tcW w:w="156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188" w:line="195" w:lineRule="auto"/>
              <w:ind w:left="242"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val="en-US" w:eastAsia="zh-CN"/>
              </w:rPr>
              <w:t>5</w:t>
            </w:r>
          </w:p>
        </w:tc>
        <w:tc>
          <w:tcPr>
            <w:tcW w:w="1939" w:type="dxa"/>
            <w:vAlign w:val="top"/>
          </w:tcPr>
          <w:p>
            <w:pPr>
              <w:keepNext w:val="0"/>
              <w:keepLines w:val="0"/>
              <w:pageBreakBefore w:val="0"/>
              <w:widowControl w:val="0"/>
              <w:kinsoku/>
              <w:wordWrap w:val="0"/>
              <w:overflowPunct/>
              <w:topLinePunct/>
              <w:autoSpaceDE/>
              <w:autoSpaceDN/>
              <w:bidi w:val="0"/>
              <w:adjustRightInd w:val="0"/>
              <w:snapToGrid w:val="0"/>
              <w:spacing w:before="152" w:line="230" w:lineRule="auto"/>
              <w:ind w:left="58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193" w:line="192" w:lineRule="auto"/>
              <w:ind w:left="24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939" w:type="dxa"/>
            <w:vAlign w:val="top"/>
          </w:tcPr>
          <w:p>
            <w:pPr>
              <w:keepNext w:val="0"/>
              <w:keepLines w:val="0"/>
              <w:pageBreakBefore w:val="0"/>
              <w:widowControl w:val="0"/>
              <w:kinsoku/>
              <w:wordWrap w:val="0"/>
              <w:overflowPunct/>
              <w:topLinePunct/>
              <w:autoSpaceDE/>
              <w:autoSpaceDN/>
              <w:bidi w:val="0"/>
              <w:adjustRightInd w:val="0"/>
              <w:snapToGrid w:val="0"/>
              <w:spacing w:before="154" w:line="229" w:lineRule="auto"/>
              <w:ind w:left="58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191" w:line="195" w:lineRule="auto"/>
              <w:ind w:left="247"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p>
        </w:tc>
        <w:tc>
          <w:tcPr>
            <w:tcW w:w="1939" w:type="dxa"/>
            <w:vAlign w:val="top"/>
          </w:tcPr>
          <w:p>
            <w:pPr>
              <w:keepNext w:val="0"/>
              <w:keepLines w:val="0"/>
              <w:pageBreakBefore w:val="0"/>
              <w:widowControl w:val="0"/>
              <w:kinsoku/>
              <w:wordWrap w:val="0"/>
              <w:overflowPunct/>
              <w:topLinePunct/>
              <w:autoSpaceDE/>
              <w:autoSpaceDN/>
              <w:bidi w:val="0"/>
              <w:adjustRightInd w:val="0"/>
              <w:snapToGrid w:val="0"/>
              <w:spacing w:before="155" w:line="228" w:lineRule="auto"/>
              <w:ind w:left="58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192" w:line="192" w:lineRule="auto"/>
              <w:ind w:left="24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1939" w:type="dxa"/>
            <w:vAlign w:val="top"/>
          </w:tcPr>
          <w:p>
            <w:pPr>
              <w:keepNext w:val="0"/>
              <w:keepLines w:val="0"/>
              <w:pageBreakBefore w:val="0"/>
              <w:widowControl w:val="0"/>
              <w:kinsoku/>
              <w:wordWrap w:val="0"/>
              <w:overflowPunct/>
              <w:topLinePunct/>
              <w:autoSpaceDE/>
              <w:autoSpaceDN/>
              <w:bidi w:val="0"/>
              <w:adjustRightInd w:val="0"/>
              <w:snapToGrid w:val="0"/>
              <w:spacing w:before="154" w:line="229" w:lineRule="auto"/>
              <w:ind w:left="59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pPr>
              <w:keepNext w:val="0"/>
              <w:keepLines w:val="0"/>
              <w:pageBreakBefore w:val="0"/>
              <w:widowControl w:val="0"/>
              <w:kinsoku/>
              <w:wordWrap w:val="0"/>
              <w:overflowPunct/>
              <w:topLinePunct/>
              <w:autoSpaceDE/>
              <w:autoSpaceDN/>
              <w:bidi w:val="0"/>
              <w:adjustRightInd w:val="0"/>
              <w:snapToGrid w:val="0"/>
              <w:spacing w:before="154" w:line="325" w:lineRule="exact"/>
              <w:ind w:left="1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6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pPr>
        <w:keepNext w:val="0"/>
        <w:keepLines w:val="0"/>
        <w:pageBreakBefore w:val="0"/>
        <w:widowControl w:val="0"/>
        <w:kinsoku/>
        <w:wordWrap w:val="0"/>
        <w:overflowPunct/>
        <w:topLinePunct/>
        <w:autoSpaceDE/>
        <w:autoSpaceDN/>
        <w:bidi w:val="0"/>
        <w:adjustRightInd w:val="0"/>
        <w:snapToGrid w:val="0"/>
        <w:spacing w:before="65" w:line="228" w:lineRule="auto"/>
        <w:ind w:left="43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pPr>
        <w:keepNext w:val="0"/>
        <w:keepLines w:val="0"/>
        <w:pageBreakBefore w:val="0"/>
        <w:widowControl w:val="0"/>
        <w:kinsoku/>
        <w:wordWrap w:val="0"/>
        <w:overflowPunct/>
        <w:topLinePunct/>
        <w:autoSpaceDE/>
        <w:autoSpaceDN/>
        <w:bidi w:val="0"/>
        <w:adjustRightInd w:val="0"/>
        <w:snapToGrid w:val="0"/>
        <w:spacing w:before="153" w:line="228" w:lineRule="auto"/>
        <w:ind w:right="84" w:rightChars="40"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pPr>
        <w:keepNext w:val="0"/>
        <w:keepLines w:val="0"/>
        <w:pageBreakBefore w:val="0"/>
        <w:widowControl w:val="0"/>
        <w:kinsoku/>
        <w:wordWrap w:val="0"/>
        <w:overflowPunct/>
        <w:topLinePunct/>
        <w:autoSpaceDE/>
        <w:autoSpaceDN/>
        <w:bidi w:val="0"/>
        <w:adjustRightInd w:val="0"/>
        <w:snapToGrid w:val="0"/>
        <w:spacing w:before="154" w:line="228" w:lineRule="auto"/>
        <w:ind w:left="448" w:right="84" w:rightChars="4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pPr>
        <w:keepNext w:val="0"/>
        <w:keepLines w:val="0"/>
        <w:pageBreakBefore w:val="0"/>
        <w:widowControl w:val="0"/>
        <w:kinsoku/>
        <w:wordWrap w:val="0"/>
        <w:overflowPunct/>
        <w:topLinePunct/>
        <w:autoSpaceDE/>
        <w:autoSpaceDN/>
        <w:bidi w:val="0"/>
        <w:adjustRightInd w:val="0"/>
        <w:snapToGrid w:val="0"/>
        <w:spacing w:before="152" w:line="228" w:lineRule="auto"/>
        <w:ind w:left="4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pPr>
        <w:keepNext w:val="0"/>
        <w:keepLines w:val="0"/>
        <w:pageBreakBefore w:val="0"/>
        <w:widowControl w:val="0"/>
        <w:kinsoku/>
        <w:wordWrap w:val="0"/>
        <w:overflowPunct/>
        <w:topLinePunct/>
        <w:autoSpaceDE/>
        <w:autoSpaceDN/>
        <w:bidi w:val="0"/>
        <w:adjustRightInd w:val="0"/>
        <w:snapToGrid w:val="0"/>
        <w:spacing w:before="153" w:line="299" w:lineRule="auto"/>
        <w:ind w:left="11" w:right="84" w:rightChars="40"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9"/>
          <w:sz w:val="24"/>
          <w:szCs w:val="24"/>
          <w:highlight w:val="none"/>
        </w:rPr>
        <w:t>，其中必</w:t>
      </w:r>
      <w:r>
        <w:rPr>
          <w:rFonts w:hint="eastAsia" w:ascii="宋体" w:hAnsi="宋体" w:eastAsia="宋体" w:cs="宋体"/>
          <w:color w:val="auto"/>
          <w:spacing w:val="8"/>
          <w:sz w:val="24"/>
          <w:szCs w:val="24"/>
          <w:highlight w:val="none"/>
        </w:rPr>
        <w:t>须有</w:t>
      </w:r>
      <w:r>
        <w:rPr>
          <w:rFonts w:hint="eastAsia" w:ascii="宋体" w:hAnsi="宋体" w:eastAsia="宋体" w:cs="宋体"/>
          <w:color w:val="auto"/>
          <w:spacing w:val="8"/>
          <w:sz w:val="24"/>
          <w:szCs w:val="24"/>
          <w:highlight w:val="none"/>
          <w:lang w:eastAsia="zh-CN"/>
        </w:rPr>
        <w:t>202</w:t>
      </w:r>
      <w:r>
        <w:rPr>
          <w:rFonts w:hint="eastAsia" w:ascii="宋体" w:hAnsi="宋体" w:eastAsia="宋体" w:cs="宋体"/>
          <w:color w:val="auto"/>
          <w:spacing w:val="8"/>
          <w:sz w:val="24"/>
          <w:szCs w:val="24"/>
          <w:highlight w:val="none"/>
          <w:lang w:val="en-US" w:eastAsia="zh-CN"/>
        </w:rPr>
        <w:t>5</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9</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0"/>
          <w:sz w:val="24"/>
          <w:szCs w:val="24"/>
          <w:highlight w:val="none"/>
        </w:rPr>
        <w:t>拟派</w:t>
      </w:r>
      <w:r>
        <w:rPr>
          <w:rFonts w:hint="eastAsia" w:ascii="宋体" w:hAnsi="宋体" w:eastAsia="宋体" w:cs="宋体"/>
          <w:color w:val="auto"/>
          <w:spacing w:val="10"/>
          <w:sz w:val="24"/>
          <w:szCs w:val="24"/>
          <w:highlight w:val="none"/>
          <w:lang w:val="en-US" w:eastAsia="zh-CN"/>
        </w:rPr>
        <w:t>人员</w:t>
      </w:r>
      <w:r>
        <w:rPr>
          <w:rFonts w:hint="eastAsia" w:ascii="宋体" w:hAnsi="宋体" w:eastAsia="宋体" w:cs="宋体"/>
          <w:color w:val="auto"/>
          <w:spacing w:val="10"/>
          <w:sz w:val="24"/>
          <w:szCs w:val="24"/>
          <w:highlight w:val="none"/>
        </w:rPr>
        <w:t>为退休返聘人员无法提供社</w:t>
      </w:r>
      <w:r>
        <w:rPr>
          <w:rFonts w:hint="eastAsia" w:ascii="宋体" w:hAnsi="宋体" w:eastAsia="宋体" w:cs="宋体"/>
          <w:color w:val="auto"/>
          <w:spacing w:val="9"/>
          <w:sz w:val="24"/>
          <w:szCs w:val="24"/>
          <w:highlight w:val="none"/>
        </w:rPr>
        <w:t>保证明的，提供退休证和劳动合同彩色扫描件。</w:t>
      </w:r>
    </w:p>
    <w:p>
      <w:pPr>
        <w:keepNext w:val="0"/>
        <w:keepLines w:val="0"/>
        <w:pageBreakBefore w:val="0"/>
        <w:widowControl w:val="0"/>
        <w:kinsoku/>
        <w:wordWrap w:val="0"/>
        <w:overflowPunct/>
        <w:topLinePunct/>
        <w:autoSpaceDE/>
        <w:autoSpaceDN/>
        <w:bidi w:val="0"/>
        <w:adjustRightInd w:val="0"/>
        <w:snapToGrid w:val="0"/>
        <w:spacing w:before="152" w:line="228" w:lineRule="auto"/>
        <w:ind w:left="0" w:leftChars="0" w:right="84" w:rightChars="4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“进粤企业和人员诚信信息登记平台”个人信息情况截图。（适用于省外建筑企业）</w:t>
      </w:r>
    </w:p>
    <w:p>
      <w:pPr>
        <w:keepNext w:val="0"/>
        <w:keepLines w:val="0"/>
        <w:pageBreakBefore w:val="0"/>
        <w:widowControl w:val="0"/>
        <w:kinsoku/>
        <w:wordWrap w:val="0"/>
        <w:overflowPunct/>
        <w:topLinePunct/>
        <w:autoSpaceDE/>
        <w:autoSpaceDN/>
        <w:bidi w:val="0"/>
        <w:adjustRightInd w:val="0"/>
        <w:snapToGrid w:val="0"/>
        <w:spacing w:before="153" w:line="299" w:lineRule="auto"/>
        <w:ind w:left="16" w:right="84" w:rightChars="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55" w:name="_Toc32300"/>
      <w:r>
        <w:rPr>
          <w:rFonts w:hint="eastAsia" w:ascii="宋体" w:hAnsi="宋体" w:eastAsia="宋体" w:cs="宋体"/>
          <w:b/>
          <w:bCs/>
          <w:color w:val="auto"/>
          <w:spacing w:val="-4"/>
          <w:sz w:val="24"/>
          <w:szCs w:val="24"/>
          <w:highlight w:val="none"/>
        </w:rPr>
        <w:t>格式十二 建造师查询页（有效期+建造师签字）</w:t>
      </w:r>
      <w:bookmarkEnd w:id="255"/>
    </w:p>
    <w:p>
      <w:pPr>
        <w:keepNext w:val="0"/>
        <w:keepLines w:val="0"/>
        <w:pageBreakBefore w:val="0"/>
        <w:widowControl w:val="0"/>
        <w:kinsoku/>
        <w:wordWrap w:val="0"/>
        <w:overflowPunct/>
        <w:topLinePunct/>
        <w:autoSpaceDE/>
        <w:autoSpaceDN/>
        <w:bidi w:val="0"/>
        <w:adjustRightInd w:val="0"/>
        <w:snapToGrid w:val="0"/>
        <w:spacing w:line="10744" w:lineRule="exact"/>
        <w:ind w:right="84" w:rightChars="40"/>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4"/>
                    <a:stretch>
                      <a:fillRect/>
                    </a:stretch>
                  </pic:blipFill>
                  <pic:spPr>
                    <a:xfrm>
                      <a:off x="0" y="0"/>
                      <a:ext cx="6285865" cy="6925310"/>
                    </a:xfrm>
                    <a:prstGeom prst="rect">
                      <a:avLst/>
                    </a:prstGeom>
                    <a:noFill/>
                    <a:ln>
                      <a:noFill/>
                    </a:ln>
                  </pic:spPr>
                </pic:pic>
              </a:graphicData>
            </a:graphic>
          </wp:inline>
        </w:drawing>
      </w:r>
    </w:p>
    <w:p>
      <w:pPr>
        <w:keepNext w:val="0"/>
        <w:keepLines w:val="0"/>
        <w:pageBreakBefore w:val="0"/>
        <w:widowControl w:val="0"/>
        <w:kinsoku/>
        <w:wordWrap w:val="0"/>
        <w:overflowPunct/>
        <w:topLinePunct/>
        <w:autoSpaceDE/>
        <w:autoSpaceDN/>
        <w:bidi w:val="0"/>
        <w:adjustRightInd w:val="0"/>
        <w:snapToGrid w:val="0"/>
        <w:spacing w:line="10744" w:lineRule="exact"/>
        <w:ind w:right="84" w:rightChars="40"/>
        <w:rPr>
          <w:rFonts w:hint="eastAsia" w:ascii="宋体" w:hAnsi="宋体" w:eastAsia="宋体" w:cs="宋体"/>
          <w:color w:val="auto"/>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56" w:name="_Toc20640"/>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56"/>
    </w:p>
    <w:p>
      <w:pPr>
        <w:pStyle w:val="5"/>
        <w:keepNext w:val="0"/>
        <w:keepLines w:val="0"/>
        <w:pageBreakBefore w:val="0"/>
        <w:widowControl w:val="0"/>
        <w:kinsoku/>
        <w:wordWrap w:val="0"/>
        <w:overflowPunct/>
        <w:topLinePunct/>
        <w:autoSpaceDE/>
        <w:autoSpaceDN/>
        <w:bidi w:val="0"/>
        <w:adjustRightInd w:val="0"/>
        <w:snapToGrid w:val="0"/>
        <w:spacing w:line="269" w:lineRule="auto"/>
        <w:ind w:right="84" w:rightChars="40"/>
        <w:rPr>
          <w:rFonts w:hint="eastAsia" w:ascii="宋体" w:hAnsi="宋体" w:eastAsia="宋体" w:cs="宋体"/>
          <w:color w:val="auto"/>
          <w:highlight w:val="none"/>
        </w:rPr>
      </w:pPr>
    </w:p>
    <w:p>
      <w:pPr>
        <w:keepNext w:val="0"/>
        <w:keepLines w:val="0"/>
        <w:pageBreakBefore w:val="0"/>
        <w:widowControl w:val="0"/>
        <w:tabs>
          <w:tab w:val="left" w:pos="2940"/>
        </w:tabs>
        <w:kinsoku/>
        <w:wordWrap w:val="0"/>
        <w:overflowPunct/>
        <w:topLinePunct/>
        <w:autoSpaceDE/>
        <w:autoSpaceDN/>
        <w:bidi w:val="0"/>
        <w:adjustRightInd w:val="0"/>
        <w:snapToGrid w:val="0"/>
        <w:spacing w:before="101" w:line="377" w:lineRule="auto"/>
        <w:ind w:left="3179" w:leftChars="0" w:right="84" w:rightChars="40" w:hanging="3133" w:firstLineChars="0"/>
        <w:rPr>
          <w:rFonts w:hint="eastAsia" w:ascii="宋体" w:hAnsi="宋体" w:eastAsia="宋体" w:cs="宋体"/>
          <w:color w:val="auto"/>
          <w:sz w:val="31"/>
          <w:szCs w:val="31"/>
          <w:highlight w:val="none"/>
        </w:rPr>
      </w:pPr>
      <w:bookmarkStart w:id="257" w:name="bookmark160"/>
      <w:bookmarkEnd w:id="257"/>
      <w:bookmarkStart w:id="258"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58"/>
    <w:p>
      <w:pPr>
        <w:keepNext w:val="0"/>
        <w:keepLines w:val="0"/>
        <w:pageBreakBefore w:val="0"/>
        <w:widowControl w:val="0"/>
        <w:kinsoku/>
        <w:wordWrap w:val="0"/>
        <w:overflowPunct/>
        <w:topLinePunct/>
        <w:autoSpaceDE/>
        <w:autoSpaceDN/>
        <w:bidi w:val="0"/>
        <w:adjustRightInd w:val="0"/>
        <w:snapToGrid w:val="0"/>
        <w:spacing w:before="6" w:line="326" w:lineRule="auto"/>
        <w:ind w:left="5" w:right="84" w:rightChars="40"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投标人在投标时须补充完善危大工程清单并明确相应的安全管理措施。</w:t>
      </w:r>
    </w:p>
    <w:p>
      <w:pPr>
        <w:keepNext w:val="0"/>
        <w:keepLines w:val="0"/>
        <w:pageBreakBefore w:val="0"/>
        <w:widowControl w:val="0"/>
        <w:kinsoku/>
        <w:wordWrap w:val="0"/>
        <w:overflowPunct/>
        <w:topLinePunct/>
        <w:autoSpaceDE/>
        <w:autoSpaceDN/>
        <w:bidi w:val="0"/>
        <w:adjustRightInd w:val="0"/>
        <w:snapToGrid w:val="0"/>
        <w:spacing w:before="208" w:line="326" w:lineRule="auto"/>
        <w:ind w:left="1" w:right="84" w:rightChars="4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pPr>
        <w:keepNext w:val="0"/>
        <w:keepLines w:val="0"/>
        <w:pageBreakBefore w:val="0"/>
        <w:widowControl w:val="0"/>
        <w:kinsoku/>
        <w:wordWrap w:val="0"/>
        <w:overflowPunct/>
        <w:topLinePunct/>
        <w:autoSpaceDE/>
        <w:autoSpaceDN/>
        <w:bidi w:val="0"/>
        <w:adjustRightInd w:val="0"/>
        <w:snapToGrid w:val="0"/>
        <w:spacing w:before="209" w:line="299" w:lineRule="auto"/>
        <w:ind w:left="3" w:right="84" w:rightChars="40"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pPr>
        <w:keepNext w:val="0"/>
        <w:keepLines w:val="0"/>
        <w:pageBreakBefore w:val="0"/>
        <w:widowControl w:val="0"/>
        <w:kinsoku/>
        <w:wordWrap w:val="0"/>
        <w:overflowPunct/>
        <w:topLinePunct/>
        <w:autoSpaceDE/>
        <w:autoSpaceDN/>
        <w:bidi w:val="0"/>
        <w:adjustRightInd w:val="0"/>
        <w:snapToGrid w:val="0"/>
        <w:spacing w:before="208" w:line="299" w:lineRule="auto"/>
        <w:ind w:left="2"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pPr>
        <w:keepNext w:val="0"/>
        <w:keepLines w:val="0"/>
        <w:pageBreakBefore w:val="0"/>
        <w:widowControl w:val="0"/>
        <w:kinsoku/>
        <w:wordWrap w:val="0"/>
        <w:overflowPunct/>
        <w:topLinePunct/>
        <w:autoSpaceDE/>
        <w:autoSpaceDN/>
        <w:bidi w:val="0"/>
        <w:adjustRightInd w:val="0"/>
        <w:snapToGrid w:val="0"/>
        <w:spacing w:before="210" w:line="300" w:lineRule="auto"/>
        <w:ind w:right="84" w:rightChars="40"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pPr>
        <w:keepNext w:val="0"/>
        <w:keepLines w:val="0"/>
        <w:pageBreakBefore w:val="0"/>
        <w:widowControl w:val="0"/>
        <w:kinsoku/>
        <w:wordWrap w:val="0"/>
        <w:overflowPunct/>
        <w:topLinePunct/>
        <w:autoSpaceDE/>
        <w:autoSpaceDN/>
        <w:bidi w:val="0"/>
        <w:adjustRightInd w:val="0"/>
        <w:snapToGrid w:val="0"/>
        <w:spacing w:before="207" w:line="371" w:lineRule="auto"/>
        <w:ind w:right="84" w:rightChars="40"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pPr>
        <w:keepNext w:val="0"/>
        <w:keepLines w:val="0"/>
        <w:pageBreakBefore w:val="0"/>
        <w:widowControl w:val="0"/>
        <w:kinsoku/>
        <w:wordWrap w:val="0"/>
        <w:overflowPunct/>
        <w:topLinePunct/>
        <w:autoSpaceDE/>
        <w:autoSpaceDN/>
        <w:bidi w:val="0"/>
        <w:adjustRightInd w:val="0"/>
        <w:snapToGrid w:val="0"/>
        <w:spacing w:before="33" w:line="326" w:lineRule="auto"/>
        <w:ind w:left="1" w:right="84" w:rightChars="40"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pPr>
        <w:keepNext w:val="0"/>
        <w:keepLines w:val="0"/>
        <w:pageBreakBefore w:val="0"/>
        <w:widowControl w:val="0"/>
        <w:kinsoku/>
        <w:wordWrap w:val="0"/>
        <w:overflowPunct/>
        <w:topLinePunct/>
        <w:autoSpaceDE/>
        <w:autoSpaceDN/>
        <w:bidi w:val="0"/>
        <w:adjustRightInd w:val="0"/>
        <w:snapToGrid w:val="0"/>
        <w:spacing w:before="208" w:line="301" w:lineRule="auto"/>
        <w:ind w:right="84" w:rightChars="40"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tbl>
      <w:tblPr>
        <w:tblStyle w:val="14"/>
        <w:tblpPr w:leftFromText="180" w:rightFromText="180" w:vertAnchor="text" w:horzAnchor="page" w:tblpX="1331" w:tblpY="250"/>
        <w:tblOverlap w:val="never"/>
        <w:tblW w:w="944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19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pPr>
              <w:keepNext w:val="0"/>
              <w:keepLines w:val="0"/>
              <w:pageBreakBefore w:val="0"/>
              <w:widowControl w:val="0"/>
              <w:overflowPunct/>
              <w:bidi w:val="0"/>
              <w:adjustRightInd w:val="0"/>
              <w:snapToGrid w:val="0"/>
              <w:spacing w:before="133" w:line="221" w:lineRule="auto"/>
              <w:ind w:left="206" w:leftChars="0"/>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pPr>
              <w:keepNext w:val="0"/>
              <w:keepLines w:val="0"/>
              <w:pageBreakBefore w:val="0"/>
              <w:widowControl w:val="0"/>
              <w:overflowPunct/>
              <w:bidi w:val="0"/>
              <w:adjustRightInd w:val="0"/>
              <w:snapToGrid w:val="0"/>
              <w:spacing w:before="133" w:line="221" w:lineRule="auto"/>
              <w:ind w:left="205" w:leftChars="0"/>
              <w:jc w:val="center"/>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1994" w:type="dxa"/>
            <w:vAlign w:val="top"/>
          </w:tcPr>
          <w:p>
            <w:pPr>
              <w:keepNext w:val="0"/>
              <w:keepLines w:val="0"/>
              <w:pageBreakBefore w:val="0"/>
              <w:widowControl w:val="0"/>
              <w:overflowPunct/>
              <w:bidi w:val="0"/>
              <w:adjustRightInd w:val="0"/>
              <w:snapToGrid w:val="0"/>
              <w:spacing w:before="133" w:line="222" w:lineRule="auto"/>
              <w:ind w:left="360" w:leftChars="0"/>
              <w:jc w:val="center"/>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59" w:name="OLE_LINK39"/>
            <w:r>
              <w:rPr>
                <w:rFonts w:hint="eastAsia" w:ascii="宋体" w:hAnsi="宋体" w:eastAsia="宋体" w:cs="宋体"/>
                <w:color w:val="auto"/>
                <w:spacing w:val="5"/>
                <w:sz w:val="24"/>
                <w:szCs w:val="24"/>
                <w:highlight w:val="none"/>
              </w:rPr>
              <w:t xml:space="preserve">  </w:t>
            </w:r>
            <w:bookmarkEnd w:id="259"/>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ind w:left="175" w:leftChars="0" w:hanging="175" w:hangingChars="94"/>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2" w:line="354" w:lineRule="auto"/>
              <w:ind w:left="116" w:right="108"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pPr>
              <w:pStyle w:val="19"/>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4"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0" w:name="OLE_LINK40"/>
            <w:r>
              <w:rPr>
                <w:rFonts w:hint="eastAsia" w:ascii="宋体" w:hAnsi="宋体" w:eastAsia="宋体" w:cs="宋体"/>
                <w:color w:val="auto"/>
                <w:spacing w:val="2"/>
                <w:sz w:val="24"/>
                <w:szCs w:val="24"/>
                <w:highlight w:val="none"/>
              </w:rPr>
              <w:t xml:space="preserve"> </w:t>
            </w:r>
            <w:bookmarkEnd w:id="260"/>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4"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pPr>
              <w:pStyle w:val="19"/>
              <w:keepNext w:val="0"/>
              <w:keepLines w:val="0"/>
              <w:pageBreakBefore w:val="0"/>
              <w:widowControl w:val="0"/>
              <w:overflowPunct/>
              <w:bidi w:val="0"/>
              <w:adjustRightInd w:val="0"/>
              <w:snapToGrid w:val="0"/>
              <w:spacing w:line="293"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3"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pPr>
              <w:pStyle w:val="19"/>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5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5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pPr>
              <w:pStyle w:val="19"/>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Arial" w:hAnsi="Arial" w:eastAsia="宋体" w:cs="Arial"/>
                <w:color w:val="auto"/>
                <w:spacing w:val="2"/>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Arial" w:hAnsi="Arial" w:eastAsia="宋体" w:cs="Arial"/>
                <w:color w:val="auto"/>
                <w:spacing w:val="2"/>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Arial" w:hAnsi="Arial" w:eastAsia="宋体" w:cs="Arial"/>
                <w:color w:val="auto"/>
                <w:spacing w:val="2"/>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pPr>
              <w:keepNext w:val="0"/>
              <w:keepLines w:val="0"/>
              <w:pageBreakBefore w:val="0"/>
              <w:widowControl w:val="0"/>
              <w:overflowPunct/>
              <w:bidi w:val="0"/>
              <w:adjustRightInd w:val="0"/>
              <w:snapToGrid w:val="0"/>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pPr>
              <w:pStyle w:val="19"/>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pPr>
              <w:keepNext w:val="0"/>
              <w:keepLines w:val="0"/>
              <w:pageBreakBefore w:val="0"/>
              <w:widowControl w:val="0"/>
              <w:overflowPunct/>
              <w:bidi w:val="0"/>
              <w:adjustRightInd w:val="0"/>
              <w:snapToGrid w:val="0"/>
              <w:spacing w:before="126"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6"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pPr>
              <w:pStyle w:val="19"/>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Arial" w:hAnsi="Arial" w:eastAsia="宋体" w:cs="Arial"/>
                <w:color w:val="auto"/>
                <w:spacing w:val="2"/>
                <w:sz w:val="24"/>
                <w:szCs w:val="24"/>
                <w:highlight w:val="none"/>
              </w:rPr>
              <w:t>√</w:t>
            </w:r>
            <w:r>
              <w:rPr>
                <w:rFonts w:hint="eastAsia" w:eastAsia="宋体" w:cs="Arial"/>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pPr>
              <w:pStyle w:val="19"/>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71"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71"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pPr>
              <w:pStyle w:val="19"/>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1" w:lineRule="auto"/>
              <w:ind w:left="206"/>
              <w:jc w:val="center"/>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pPr>
              <w:pStyle w:val="19"/>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1" w:lineRule="auto"/>
              <w:ind w:left="119"/>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1994" w:type="dxa"/>
            <w:vAlign w:val="top"/>
          </w:tcPr>
          <w:p>
            <w:pPr>
              <w:pStyle w:val="19"/>
              <w:keepNext w:val="0"/>
              <w:keepLines w:val="0"/>
              <w:pageBreakBefore w:val="0"/>
              <w:widowControl w:val="0"/>
              <w:overflowPunct/>
              <w:bidi w:val="0"/>
              <w:adjustRightInd w:val="0"/>
              <w:snapToGrid w:val="0"/>
              <w:spacing w:line="295" w:lineRule="auto"/>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pPr>
              <w:pStyle w:val="19"/>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pPr>
              <w:pStyle w:val="19"/>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pPr>
              <w:pStyle w:val="19"/>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pPr>
              <w:pStyle w:val="19"/>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294" w:type="dxa"/>
            <w:vAlign w:val="top"/>
          </w:tcPr>
          <w:p>
            <w:pPr>
              <w:pStyle w:val="19"/>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pPr>
              <w:pStyle w:val="19"/>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pPr>
              <w:pStyle w:val="19"/>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pPr>
              <w:pStyle w:val="19"/>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pPr>
              <w:pStyle w:val="19"/>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pPr>
              <w:keepNext w:val="0"/>
              <w:keepLines w:val="0"/>
              <w:pageBreakBefore w:val="0"/>
              <w:widowControl w:val="0"/>
              <w:overflowPunct/>
              <w:bidi w:val="0"/>
              <w:adjustRightInd w:val="0"/>
              <w:snapToGrid w:val="0"/>
              <w:spacing w:before="15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5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pPr>
              <w:pStyle w:val="19"/>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pPr>
              <w:keepNext w:val="0"/>
              <w:keepLines w:val="0"/>
              <w:pageBreakBefore w:val="0"/>
              <w:widowControl w:val="0"/>
              <w:overflowPunct/>
              <w:bidi w:val="0"/>
              <w:adjustRightInd w:val="0"/>
              <w:snapToGrid w:val="0"/>
              <w:spacing w:before="14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4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pPr>
              <w:pStyle w:val="19"/>
              <w:keepNext w:val="0"/>
              <w:keepLines w:val="0"/>
              <w:pageBreakBefore w:val="0"/>
              <w:widowControl w:val="0"/>
              <w:overflowPunct/>
              <w:bidi w:val="0"/>
              <w:adjustRightInd w:val="0"/>
              <w:snapToGrid w:val="0"/>
              <w:spacing w:line="298"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8"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pPr>
              <w:pStyle w:val="19"/>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294" w:type="dxa"/>
            <w:vAlign w:val="top"/>
          </w:tcPr>
          <w:p>
            <w:pPr>
              <w:pStyle w:val="19"/>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pPr>
              <w:keepNext w:val="0"/>
              <w:keepLines w:val="0"/>
              <w:pageBreakBefore w:val="0"/>
              <w:widowControl w:val="0"/>
              <w:overflowPunct/>
              <w:bidi w:val="0"/>
              <w:adjustRightInd w:val="0"/>
              <w:snapToGrid w:val="0"/>
              <w:spacing w:before="163"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keepNext w:val="0"/>
              <w:keepLines w:val="0"/>
              <w:pageBreakBefore w:val="0"/>
              <w:widowControl w:val="0"/>
              <w:overflowPunct/>
              <w:bidi w:val="0"/>
              <w:adjustRightInd w:val="0"/>
              <w:snapToGrid w:val="0"/>
              <w:spacing w:before="163"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pPr>
              <w:pStyle w:val="19"/>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pPr>
              <w:keepNext w:val="0"/>
              <w:keepLines w:val="0"/>
              <w:pageBreakBefore w:val="0"/>
              <w:widowControl w:val="0"/>
              <w:overflowPunct/>
              <w:bidi w:val="0"/>
              <w:adjustRightInd w:val="0"/>
              <w:snapToGrid w:val="0"/>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pPr>
              <w:pStyle w:val="19"/>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pPr>
              <w:pStyle w:val="19"/>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pPr>
              <w:pStyle w:val="19"/>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pPr>
              <w:pStyle w:val="19"/>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bl>
    <w:p>
      <w:pPr>
        <w:keepNext w:val="0"/>
        <w:keepLines w:val="0"/>
        <w:pageBreakBefore w:val="0"/>
        <w:widowControl w:val="0"/>
        <w:kinsoku/>
        <w:wordWrap w:val="0"/>
        <w:overflowPunct/>
        <w:topLinePunct/>
        <w:autoSpaceDE/>
        <w:autoSpaceDN/>
        <w:bidi w:val="0"/>
        <w:adjustRightInd w:val="0"/>
        <w:snapToGrid w:val="0"/>
        <w:spacing w:before="40"/>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20" w:firstLineChars="200"/>
        <w:rPr>
          <w:rFonts w:hint="eastAsia" w:ascii="宋体" w:hAnsi="宋体" w:eastAsia="宋体" w:cs="宋体"/>
          <w:color w:val="auto"/>
          <w:spacing w:val="9"/>
          <w:sz w:val="24"/>
          <w:szCs w:val="24"/>
          <w:highlight w:val="none"/>
          <w:lang w:eastAsia="zh-CN"/>
        </w:rPr>
      </w:pPr>
      <w:bookmarkStart w:id="261" w:name="bookmark161"/>
      <w:bookmarkEnd w:id="261"/>
      <w:bookmarkStart w:id="262" w:name="bookmark162"/>
      <w:bookmarkEnd w:id="262"/>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16" w:firstLineChars="200"/>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pPr>
        <w:keepNext w:val="0"/>
        <w:keepLines w:val="0"/>
        <w:pageBreakBefore w:val="0"/>
        <w:widowControl w:val="0"/>
        <w:kinsoku/>
        <w:wordWrap w:val="0"/>
        <w:overflowPunct/>
        <w:topLinePunct/>
        <w:autoSpaceDE/>
        <w:autoSpaceDN/>
        <w:bidi w:val="0"/>
        <w:adjustRightInd w:val="0"/>
        <w:snapToGrid w:val="0"/>
        <w:ind w:right="84" w:rightChars="40"/>
        <w:rPr>
          <w:color w:val="auto"/>
          <w:highlight w:val="none"/>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pPr>
        <w:pStyle w:val="13"/>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pPr>
        <w:pStyle w:val="13"/>
        <w:keepNext w:val="0"/>
        <w:keepLines w:val="0"/>
        <w:pageBreakBefore w:val="0"/>
        <w:widowControl w:val="0"/>
        <w:kinsoku/>
        <w:wordWrap w:val="0"/>
        <w:overflowPunct/>
        <w:topLinePunct/>
        <w:autoSpaceDE/>
        <w:autoSpaceDN/>
        <w:bidi w:val="0"/>
        <w:adjustRightInd w:val="0"/>
        <w:snapToGrid w:val="0"/>
        <w:ind w:left="0" w:leftChars="0" w:right="84" w:rightChars="40" w:firstLine="0" w:firstLineChars="0"/>
        <w:rPr>
          <w:rFonts w:hint="eastAsia" w:ascii="宋体" w:hAnsi="宋体" w:eastAsia="宋体" w:cs="宋体"/>
          <w:b/>
          <w:bCs/>
          <w:color w:val="auto"/>
          <w:spacing w:val="-4"/>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jc w:val="left"/>
        <w:outlineLvl w:val="9"/>
        <w:rPr>
          <w:rFonts w:hint="eastAsia" w:ascii="宋体" w:hAnsi="宋体" w:eastAsia="宋体" w:cs="宋体"/>
          <w:b/>
          <w:bCs/>
          <w:color w:val="auto"/>
          <w:spacing w:val="-4"/>
          <w:sz w:val="24"/>
          <w:szCs w:val="24"/>
          <w:highlight w:val="none"/>
        </w:rPr>
      </w:pPr>
    </w:p>
    <w:p>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63" w:name="_Toc5996"/>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四</w:t>
      </w:r>
      <w:r>
        <w:rPr>
          <w:rFonts w:hint="eastAsia" w:ascii="宋体" w:hAnsi="宋体" w:eastAsia="宋体" w:cs="宋体"/>
          <w:b/>
          <w:bCs/>
          <w:color w:val="auto"/>
          <w:spacing w:val="-4"/>
          <w:sz w:val="24"/>
          <w:szCs w:val="24"/>
          <w:highlight w:val="none"/>
        </w:rPr>
        <w:t xml:space="preserve">  原件一览表</w:t>
      </w:r>
      <w:bookmarkEnd w:id="263"/>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pPr>
              <w:keepNext w:val="0"/>
              <w:keepLines w:val="0"/>
              <w:pageBreakBefore w:val="0"/>
              <w:widowControl w:val="0"/>
              <w:kinsoku/>
              <w:wordWrap w:val="0"/>
              <w:overflowPunct/>
              <w:topLinePunct/>
              <w:autoSpaceDE/>
              <w:autoSpaceDN/>
              <w:bidi w:val="0"/>
              <w:adjustRightInd w:val="0"/>
              <w:snapToGrid w:val="0"/>
              <w:spacing w:before="132" w:line="220" w:lineRule="auto"/>
              <w:ind w:left="3965"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spacing w:line="253"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2" w:line="230"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50" w:line="230"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51"/>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99"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51" w:line="312"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pPr>
              <w:keepNext w:val="0"/>
              <w:keepLines w:val="0"/>
              <w:pageBreakBefore w:val="0"/>
              <w:widowControl w:val="0"/>
              <w:kinsoku/>
              <w:wordWrap w:val="0"/>
              <w:overflowPunct/>
              <w:topLinePunct/>
              <w:autoSpaceDE/>
              <w:autoSpaceDN/>
              <w:bidi w:val="0"/>
              <w:adjustRightInd w:val="0"/>
              <w:snapToGrid w:val="0"/>
              <w:spacing w:before="62" w:line="228" w:lineRule="auto"/>
              <w:ind w:left="336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pPr>
              <w:pStyle w:val="19"/>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2" w:line="230" w:lineRule="auto"/>
              <w:ind w:left="15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pPr>
              <w:pStyle w:val="19"/>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1" w:line="228" w:lineRule="auto"/>
              <w:ind w:left="176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2" w:line="230" w:lineRule="auto"/>
              <w:ind w:left="6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pPr>
              <w:pStyle w:val="19"/>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2" w:line="229" w:lineRule="auto"/>
              <w:ind w:left="59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pPr>
              <w:keepNext w:val="0"/>
              <w:keepLines w:val="0"/>
              <w:pageBreakBefore w:val="0"/>
              <w:widowControl w:val="0"/>
              <w:kinsoku/>
              <w:wordWrap w:val="0"/>
              <w:overflowPunct/>
              <w:topLinePunct/>
              <w:autoSpaceDE/>
              <w:autoSpaceDN/>
              <w:bidi w:val="0"/>
              <w:adjustRightInd w:val="0"/>
              <w:snapToGrid w:val="0"/>
              <w:spacing w:before="287" w:line="184" w:lineRule="auto"/>
              <w:ind w:left="31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7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3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pPr>
              <w:keepNext w:val="0"/>
              <w:keepLines w:val="0"/>
              <w:pageBreakBefore w:val="0"/>
              <w:widowControl w:val="0"/>
              <w:kinsoku/>
              <w:wordWrap w:val="0"/>
              <w:overflowPunct/>
              <w:topLinePunct/>
              <w:autoSpaceDE/>
              <w:autoSpaceDN/>
              <w:bidi w:val="0"/>
              <w:adjustRightInd w:val="0"/>
              <w:snapToGrid w:val="0"/>
              <w:spacing w:before="288" w:line="183" w:lineRule="auto"/>
              <w:ind w:left="302"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7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3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pPr>
              <w:keepNext w:val="0"/>
              <w:keepLines w:val="0"/>
              <w:pageBreakBefore w:val="0"/>
              <w:widowControl w:val="0"/>
              <w:kinsoku/>
              <w:wordWrap w:val="0"/>
              <w:overflowPunct/>
              <w:topLinePunct/>
              <w:autoSpaceDE/>
              <w:autoSpaceDN/>
              <w:bidi w:val="0"/>
              <w:adjustRightInd w:val="0"/>
              <w:snapToGrid w:val="0"/>
              <w:spacing w:before="287" w:line="183" w:lineRule="auto"/>
              <w:ind w:left="304"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7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3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pPr>
              <w:pStyle w:val="19"/>
              <w:keepNext w:val="0"/>
              <w:keepLines w:val="0"/>
              <w:pageBreakBefore w:val="0"/>
              <w:widowControl w:val="0"/>
              <w:kinsoku/>
              <w:wordWrap w:val="0"/>
              <w:overflowPunct/>
              <w:topLinePunct/>
              <w:autoSpaceDE/>
              <w:autoSpaceDN/>
              <w:bidi w:val="0"/>
              <w:adjustRightInd w:val="0"/>
              <w:snapToGrid w:val="0"/>
              <w:spacing w:line="348"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78" w:line="99" w:lineRule="exact"/>
              <w:ind w:left="186" w:right="84" w:rightChars="40"/>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71"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37"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pPr>
              <w:pStyle w:val="19"/>
              <w:keepNext w:val="0"/>
              <w:keepLines w:val="0"/>
              <w:pageBreakBefore w:val="0"/>
              <w:widowControl w:val="0"/>
              <w:kinsoku/>
              <w:wordWrap w:val="0"/>
              <w:overflowPunct/>
              <w:topLinePunct/>
              <w:autoSpaceDE/>
              <w:autoSpaceDN/>
              <w:bidi w:val="0"/>
              <w:adjustRightInd w:val="0"/>
              <w:snapToGrid w:val="0"/>
              <w:spacing w:line="274" w:lineRule="auto"/>
              <w:ind w:right="84" w:rightChars="40"/>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75" w:lineRule="auto"/>
              <w:ind w:right="84" w:rightChars="40"/>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75"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2" w:line="233" w:lineRule="auto"/>
              <w:ind w:left="2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pPr>
              <w:keepNext w:val="0"/>
              <w:keepLines w:val="0"/>
              <w:pageBreakBefore w:val="0"/>
              <w:widowControl w:val="0"/>
              <w:kinsoku/>
              <w:wordWrap w:val="0"/>
              <w:overflowPunct/>
              <w:topLinePunct/>
              <w:autoSpaceDE/>
              <w:autoSpaceDN/>
              <w:bidi w:val="0"/>
              <w:adjustRightInd w:val="0"/>
              <w:snapToGrid w:val="0"/>
              <w:spacing w:before="148"/>
              <w:ind w:left="111" w:right="84" w:rightChars="4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spacing w:line="240"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1" w:line="240" w:lineRule="auto"/>
              <w:ind w:left="760" w:right="84" w:rightChars="40"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pPr>
              <w:keepNext w:val="0"/>
              <w:keepLines w:val="0"/>
              <w:pageBreakBefore w:val="0"/>
              <w:widowControl w:val="0"/>
              <w:kinsoku/>
              <w:wordWrap w:val="0"/>
              <w:overflowPunct/>
              <w:topLinePunct/>
              <w:autoSpaceDE/>
              <w:autoSpaceDN/>
              <w:bidi w:val="0"/>
              <w:adjustRightInd w:val="0"/>
              <w:snapToGrid w:val="0"/>
              <w:spacing w:before="61" w:line="240" w:lineRule="auto"/>
              <w:ind w:left="760" w:right="84" w:rightChars="40"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83"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9"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2" w:line="229" w:lineRule="auto"/>
              <w:ind w:left="31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pPr>
              <w:pStyle w:val="19"/>
              <w:keepNext w:val="0"/>
              <w:keepLines w:val="0"/>
              <w:pageBreakBefore w:val="0"/>
              <w:widowControl w:val="0"/>
              <w:kinsoku/>
              <w:wordWrap w:val="0"/>
              <w:overflowPunct/>
              <w:topLinePunct/>
              <w:autoSpaceDE/>
              <w:autoSpaceDN/>
              <w:bidi w:val="0"/>
              <w:adjustRightInd w:val="0"/>
              <w:snapToGrid w:val="0"/>
              <w:spacing w:line="288" w:lineRule="auto"/>
              <w:ind w:right="84" w:rightChars="40"/>
              <w:rPr>
                <w:rFonts w:hint="eastAsia" w:ascii="宋体" w:hAnsi="宋体" w:eastAsia="宋体" w:cs="宋体"/>
                <w:color w:val="auto"/>
                <w:sz w:val="24"/>
                <w:szCs w:val="24"/>
                <w:highlight w:val="none"/>
              </w:rPr>
            </w:pPr>
          </w:p>
          <w:p>
            <w:pPr>
              <w:pStyle w:val="19"/>
              <w:keepNext w:val="0"/>
              <w:keepLines w:val="0"/>
              <w:pageBreakBefore w:val="0"/>
              <w:widowControl w:val="0"/>
              <w:kinsoku/>
              <w:wordWrap w:val="0"/>
              <w:overflowPunct/>
              <w:topLinePunct/>
              <w:autoSpaceDE/>
              <w:autoSpaceDN/>
              <w:bidi w:val="0"/>
              <w:adjustRightInd w:val="0"/>
              <w:snapToGrid w:val="0"/>
              <w:spacing w:line="289"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2" w:line="229" w:lineRule="auto"/>
              <w:ind w:right="84" w:rightChars="40"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pPr>
              <w:keepNext w:val="0"/>
              <w:keepLines w:val="0"/>
              <w:pageBreakBefore w:val="0"/>
              <w:widowControl w:val="0"/>
              <w:kinsoku/>
              <w:wordWrap w:val="0"/>
              <w:overflowPunct/>
              <w:topLinePunct/>
              <w:autoSpaceDE/>
              <w:autoSpaceDN/>
              <w:bidi w:val="0"/>
              <w:adjustRightInd w:val="0"/>
              <w:snapToGrid w:val="0"/>
              <w:spacing w:before="155" w:line="240" w:lineRule="auto"/>
              <w:ind w:left="861" w:right="84" w:rightChars="40"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pPr>
              <w:keepNext w:val="0"/>
              <w:keepLines w:val="0"/>
              <w:pageBreakBefore w:val="0"/>
              <w:widowControl w:val="0"/>
              <w:kinsoku/>
              <w:wordWrap w:val="0"/>
              <w:overflowPunct/>
              <w:topLinePunct/>
              <w:autoSpaceDE/>
              <w:autoSpaceDN/>
              <w:bidi w:val="0"/>
              <w:adjustRightInd w:val="0"/>
              <w:snapToGrid w:val="0"/>
              <w:spacing w:before="155" w:line="240" w:lineRule="auto"/>
              <w:ind w:left="861" w:right="84" w:rightChars="40"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pPr>
              <w:pStyle w:val="19"/>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83" w:type="dxa"/>
            <w:gridSpan w:val="2"/>
            <w:vAlign w:val="top"/>
          </w:tcPr>
          <w:p>
            <w:pPr>
              <w:pStyle w:val="19"/>
              <w:keepNext w:val="0"/>
              <w:keepLines w:val="0"/>
              <w:pageBreakBefore w:val="0"/>
              <w:widowControl w:val="0"/>
              <w:kinsoku/>
              <w:wordWrap w:val="0"/>
              <w:overflowPunct/>
              <w:topLinePunct/>
              <w:autoSpaceDE/>
              <w:autoSpaceDN/>
              <w:bidi w:val="0"/>
              <w:adjustRightInd w:val="0"/>
              <w:snapToGrid w:val="0"/>
              <w:spacing w:line="336"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1" w:line="231" w:lineRule="auto"/>
              <w:ind w:left="31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pPr>
              <w:pStyle w:val="19"/>
              <w:keepNext w:val="0"/>
              <w:keepLines w:val="0"/>
              <w:pageBreakBefore w:val="0"/>
              <w:widowControl w:val="0"/>
              <w:kinsoku/>
              <w:wordWrap w:val="0"/>
              <w:overflowPunct/>
              <w:topLinePunct/>
              <w:autoSpaceDE/>
              <w:autoSpaceDN/>
              <w:bidi w:val="0"/>
              <w:adjustRightInd w:val="0"/>
              <w:snapToGrid w:val="0"/>
              <w:spacing w:line="335" w:lineRule="auto"/>
              <w:ind w:right="84" w:rightChars="40"/>
              <w:rPr>
                <w:rFonts w:hint="eastAsia" w:ascii="宋体" w:hAnsi="宋体" w:eastAsia="宋体" w:cs="宋体"/>
                <w:color w:val="auto"/>
                <w:sz w:val="24"/>
                <w:szCs w:val="24"/>
                <w:highlight w:val="none"/>
              </w:rPr>
            </w:pPr>
          </w:p>
          <w:p>
            <w:pPr>
              <w:keepNext w:val="0"/>
              <w:keepLines w:val="0"/>
              <w:pageBreakBefore w:val="0"/>
              <w:widowControl w:val="0"/>
              <w:kinsoku/>
              <w:wordWrap w:val="0"/>
              <w:overflowPunct/>
              <w:topLinePunct/>
              <w:autoSpaceDE/>
              <w:autoSpaceDN/>
              <w:bidi w:val="0"/>
              <w:adjustRightInd w:val="0"/>
              <w:snapToGrid w:val="0"/>
              <w:spacing w:before="62" w:line="229" w:lineRule="auto"/>
              <w:ind w:right="84" w:rightChars="40"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3"/>
          <w:sz w:val="24"/>
          <w:szCs w:val="24"/>
          <w:highlight w:val="none"/>
        </w:rPr>
      </w:pPr>
      <w:bookmarkStart w:id="264" w:name="bookmark107"/>
      <w:bookmarkEnd w:id="264"/>
      <w:r>
        <w:rPr>
          <w:rFonts w:hint="eastAsia" w:ascii="宋体" w:hAnsi="宋体" w:eastAsia="宋体" w:cs="宋体"/>
          <w:b/>
          <w:bCs/>
          <w:color w:val="auto"/>
          <w:spacing w:val="-3"/>
          <w:sz w:val="24"/>
          <w:szCs w:val="24"/>
          <w:highlight w:val="none"/>
        </w:rPr>
        <w:br w:type="page"/>
      </w:r>
    </w:p>
    <w:p>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center"/>
        <w:outlineLvl w:val="1"/>
        <w:rPr>
          <w:rFonts w:hint="eastAsia" w:ascii="宋体" w:hAnsi="宋体" w:eastAsia="宋体" w:cs="宋体"/>
          <w:color w:val="auto"/>
          <w:highlight w:val="none"/>
        </w:rPr>
      </w:pPr>
      <w:bookmarkStart w:id="265" w:name="_Toc102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65"/>
    </w:p>
    <w:p>
      <w:pPr>
        <w:pStyle w:val="5"/>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pPr>
        <w:keepNext w:val="0"/>
        <w:keepLines w:val="0"/>
        <w:pageBreakBefore w:val="0"/>
        <w:widowControl w:val="0"/>
        <w:kinsoku/>
        <w:wordWrap w:val="0"/>
        <w:overflowPunct/>
        <w:topLinePunct/>
        <w:autoSpaceDE/>
        <w:autoSpaceDN/>
        <w:bidi w:val="0"/>
        <w:adjustRightInd w:val="0"/>
        <w:snapToGrid w:val="0"/>
        <w:spacing w:before="78" w:line="324" w:lineRule="auto"/>
        <w:ind w:right="84" w:rightChars="40"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8720"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8720;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88290" cy="14033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288290" cy="140335"/>
                      </a:xfrm>
                      <a:prstGeom prst="rect">
                        <a:avLst/>
                      </a:prstGeom>
                      <a:noFill/>
                      <a:ln>
                        <a:noFill/>
                      </a:ln>
                    </wps:spPr>
                    <wps:txbx>
                      <w:txbxContent>
                        <w:p>
                          <w:pPr>
                            <w:pStyle w:val="8"/>
                          </w:pPr>
                          <w:r>
                            <w:fldChar w:fldCharType="begin"/>
                          </w:r>
                          <w:r>
                            <w:instrText xml:space="preserve"> PAGE  \* MERGEFORMAT </w:instrText>
                          </w:r>
                          <w:r>
                            <w:fldChar w:fldCharType="separate"/>
                          </w:r>
                          <w:r>
                            <w:t>14</w:t>
                          </w:r>
                          <w: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top:0pt;height:11.05pt;width:22.7pt;mso-position-horizontal:center;mso-position-horizontal-relative:margin;z-index:251662336;mso-width-relative:page;mso-height-relative:page;" filled="f" stroked="f" coordsize="21600,21600" o:gfxdata="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G2Lf+1AAAAAMBAAAPAAAAAAAAAAEAIAAAACIAAABkcnMv&#10;ZG93bnJldi54bWxQSwECFAAUAAAACACHTuJA3H6nrM4BAACbAwAADgAAAAAAAAABACAAAAAjAQAA&#10;ZHJzL2Uyb0RvYy54bWxQSwUGAAAAAAYABgBZAQAAYwUAAAAA&#10;">
              <v:fill on="f" focussize="0,0"/>
              <v:stroke on="f"/>
              <v:imagedata o:title=""/>
              <o:lock v:ext="edit" aspectratio="f"/>
              <v:textbox inset="0mm,0mm,0mm,0mm">
                <w:txbxContent>
                  <w:p>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29CA6"/>
    <w:multiLevelType w:val="singleLevel"/>
    <w:tmpl w:val="94E29CA6"/>
    <w:lvl w:ilvl="0" w:tentative="0">
      <w:start w:val="1"/>
      <w:numFmt w:val="decimal"/>
      <w:lvlText w:val="%1."/>
      <w:lvlJc w:val="left"/>
      <w:pPr>
        <w:tabs>
          <w:tab w:val="left" w:pos="312"/>
        </w:tabs>
      </w:pPr>
    </w:lvl>
  </w:abstractNum>
  <w:abstractNum w:abstractNumId="1">
    <w:nsid w:val="E6C9BDCA"/>
    <w:multiLevelType w:val="singleLevel"/>
    <w:tmpl w:val="E6C9BDCA"/>
    <w:lvl w:ilvl="0" w:tentative="0">
      <w:start w:val="1"/>
      <w:numFmt w:val="decimal"/>
      <w:suff w:val="nothing"/>
      <w:lvlText w:val="（%1）"/>
      <w:lvlJc w:val="left"/>
    </w:lvl>
  </w:abstractNum>
  <w:abstractNum w:abstractNumId="2">
    <w:nsid w:val="F38401E4"/>
    <w:multiLevelType w:val="singleLevel"/>
    <w:tmpl w:val="F38401E4"/>
    <w:lvl w:ilvl="0" w:tentative="0">
      <w:start w:val="2"/>
      <w:numFmt w:val="decimal"/>
      <w:lvlText w:val="%1."/>
      <w:lvlJc w:val="left"/>
      <w:pPr>
        <w:tabs>
          <w:tab w:val="left" w:pos="312"/>
        </w:tabs>
      </w:pPr>
    </w:lvl>
  </w:abstractNum>
  <w:abstractNum w:abstractNumId="3">
    <w:nsid w:val="00000003"/>
    <w:multiLevelType w:val="singleLevel"/>
    <w:tmpl w:val="00000003"/>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ZDMxNWRkYmY5MjE3NjUxYTk3ZDA1NDUyNmVkYWEifQ=="/>
  </w:docVars>
  <w:rsids>
    <w:rsidRoot w:val="4F582EF7"/>
    <w:rsid w:val="00473031"/>
    <w:rsid w:val="005A48DC"/>
    <w:rsid w:val="00A92C73"/>
    <w:rsid w:val="00B6048B"/>
    <w:rsid w:val="00D61DC8"/>
    <w:rsid w:val="01276505"/>
    <w:rsid w:val="013F232E"/>
    <w:rsid w:val="014C6B51"/>
    <w:rsid w:val="018B7D8A"/>
    <w:rsid w:val="01B6213A"/>
    <w:rsid w:val="01BE1198"/>
    <w:rsid w:val="01FD63CC"/>
    <w:rsid w:val="02337D11"/>
    <w:rsid w:val="02BF0C55"/>
    <w:rsid w:val="0358304C"/>
    <w:rsid w:val="039225AD"/>
    <w:rsid w:val="039E06FB"/>
    <w:rsid w:val="03F01582"/>
    <w:rsid w:val="04021749"/>
    <w:rsid w:val="047837EC"/>
    <w:rsid w:val="04B67F25"/>
    <w:rsid w:val="04BF763A"/>
    <w:rsid w:val="04C4204D"/>
    <w:rsid w:val="04EF43C3"/>
    <w:rsid w:val="05991ECC"/>
    <w:rsid w:val="05AA684F"/>
    <w:rsid w:val="05BE615E"/>
    <w:rsid w:val="05E732EC"/>
    <w:rsid w:val="05EC614B"/>
    <w:rsid w:val="063C112F"/>
    <w:rsid w:val="069B537E"/>
    <w:rsid w:val="06C70A28"/>
    <w:rsid w:val="06C929F2"/>
    <w:rsid w:val="06CA23DC"/>
    <w:rsid w:val="07133987"/>
    <w:rsid w:val="07520C39"/>
    <w:rsid w:val="07920EE6"/>
    <w:rsid w:val="07A1396F"/>
    <w:rsid w:val="07A71DAB"/>
    <w:rsid w:val="081D0214"/>
    <w:rsid w:val="084A1910"/>
    <w:rsid w:val="088C763C"/>
    <w:rsid w:val="08CD7283"/>
    <w:rsid w:val="08EB6C4F"/>
    <w:rsid w:val="092D5890"/>
    <w:rsid w:val="093E0412"/>
    <w:rsid w:val="09C807D3"/>
    <w:rsid w:val="09F06AB0"/>
    <w:rsid w:val="09FA34EB"/>
    <w:rsid w:val="09FF4A68"/>
    <w:rsid w:val="0A0E67BB"/>
    <w:rsid w:val="0A62467A"/>
    <w:rsid w:val="0A7D4664"/>
    <w:rsid w:val="0AD33307"/>
    <w:rsid w:val="0B3866B7"/>
    <w:rsid w:val="0B61723B"/>
    <w:rsid w:val="0BD240F7"/>
    <w:rsid w:val="0C120997"/>
    <w:rsid w:val="0C2B1A59"/>
    <w:rsid w:val="0C4153D2"/>
    <w:rsid w:val="0C49746F"/>
    <w:rsid w:val="0CA07D76"/>
    <w:rsid w:val="0CA27F6D"/>
    <w:rsid w:val="0CF0217F"/>
    <w:rsid w:val="0D03679A"/>
    <w:rsid w:val="0DCB0DFD"/>
    <w:rsid w:val="0DCE22AF"/>
    <w:rsid w:val="0DF525DE"/>
    <w:rsid w:val="0DF61CE0"/>
    <w:rsid w:val="0E1E1875"/>
    <w:rsid w:val="0E684952"/>
    <w:rsid w:val="0E7A2A03"/>
    <w:rsid w:val="0E7E6F16"/>
    <w:rsid w:val="0E8E37ED"/>
    <w:rsid w:val="0EAF2E14"/>
    <w:rsid w:val="0EDB59B8"/>
    <w:rsid w:val="0F6F04DC"/>
    <w:rsid w:val="0F951923"/>
    <w:rsid w:val="10445201"/>
    <w:rsid w:val="105858FC"/>
    <w:rsid w:val="106C3AC2"/>
    <w:rsid w:val="108403E2"/>
    <w:rsid w:val="109275A9"/>
    <w:rsid w:val="10C15734"/>
    <w:rsid w:val="113E616D"/>
    <w:rsid w:val="11533574"/>
    <w:rsid w:val="11601D37"/>
    <w:rsid w:val="11785740"/>
    <w:rsid w:val="11862732"/>
    <w:rsid w:val="118F278E"/>
    <w:rsid w:val="119D4F21"/>
    <w:rsid w:val="11A47985"/>
    <w:rsid w:val="11C67A56"/>
    <w:rsid w:val="11D80D88"/>
    <w:rsid w:val="12E7492B"/>
    <w:rsid w:val="12E74FC1"/>
    <w:rsid w:val="12F27F6E"/>
    <w:rsid w:val="139D323C"/>
    <w:rsid w:val="14141B79"/>
    <w:rsid w:val="142B42FC"/>
    <w:rsid w:val="14760C96"/>
    <w:rsid w:val="14882C02"/>
    <w:rsid w:val="149745C8"/>
    <w:rsid w:val="14F03ACA"/>
    <w:rsid w:val="150D2643"/>
    <w:rsid w:val="156E41E4"/>
    <w:rsid w:val="158D1480"/>
    <w:rsid w:val="15A45AE5"/>
    <w:rsid w:val="15BB5A0C"/>
    <w:rsid w:val="15C42638"/>
    <w:rsid w:val="15D97B34"/>
    <w:rsid w:val="15DC13FE"/>
    <w:rsid w:val="15FB249C"/>
    <w:rsid w:val="16005D04"/>
    <w:rsid w:val="160E0085"/>
    <w:rsid w:val="16443E43"/>
    <w:rsid w:val="16737FC1"/>
    <w:rsid w:val="16CB4A2F"/>
    <w:rsid w:val="16CC58B4"/>
    <w:rsid w:val="16EA77FA"/>
    <w:rsid w:val="1722468F"/>
    <w:rsid w:val="172D27B1"/>
    <w:rsid w:val="173C4B1A"/>
    <w:rsid w:val="17726DD2"/>
    <w:rsid w:val="17751223"/>
    <w:rsid w:val="17C50FB3"/>
    <w:rsid w:val="18226406"/>
    <w:rsid w:val="182A472E"/>
    <w:rsid w:val="18673E19"/>
    <w:rsid w:val="18817E9E"/>
    <w:rsid w:val="18892528"/>
    <w:rsid w:val="190B3062"/>
    <w:rsid w:val="1963464B"/>
    <w:rsid w:val="197764F6"/>
    <w:rsid w:val="19BC1F42"/>
    <w:rsid w:val="19BD63E6"/>
    <w:rsid w:val="19D5060C"/>
    <w:rsid w:val="1A3A6836"/>
    <w:rsid w:val="1A584D7E"/>
    <w:rsid w:val="1A5B5BFF"/>
    <w:rsid w:val="1AC50DC4"/>
    <w:rsid w:val="1AE57555"/>
    <w:rsid w:val="1B4330C6"/>
    <w:rsid w:val="1B656D35"/>
    <w:rsid w:val="1B745FC1"/>
    <w:rsid w:val="1C2A3ADB"/>
    <w:rsid w:val="1C2A7C5F"/>
    <w:rsid w:val="1C324211"/>
    <w:rsid w:val="1C7F3E27"/>
    <w:rsid w:val="1C8C06E6"/>
    <w:rsid w:val="1CC7568B"/>
    <w:rsid w:val="1D0C4F8F"/>
    <w:rsid w:val="1E067C30"/>
    <w:rsid w:val="1E3B5B2B"/>
    <w:rsid w:val="1E3E386E"/>
    <w:rsid w:val="1E491296"/>
    <w:rsid w:val="1E5D49E3"/>
    <w:rsid w:val="1E994221"/>
    <w:rsid w:val="1EDA5344"/>
    <w:rsid w:val="1EE13915"/>
    <w:rsid w:val="1EE461C3"/>
    <w:rsid w:val="1F487665"/>
    <w:rsid w:val="1F683A66"/>
    <w:rsid w:val="20801F1B"/>
    <w:rsid w:val="20CB1F07"/>
    <w:rsid w:val="20F6072B"/>
    <w:rsid w:val="21244F9D"/>
    <w:rsid w:val="213D3171"/>
    <w:rsid w:val="22277108"/>
    <w:rsid w:val="222C2B90"/>
    <w:rsid w:val="22457E73"/>
    <w:rsid w:val="22D310CE"/>
    <w:rsid w:val="22F866E1"/>
    <w:rsid w:val="233953DA"/>
    <w:rsid w:val="234E349D"/>
    <w:rsid w:val="23931F66"/>
    <w:rsid w:val="23DF37AB"/>
    <w:rsid w:val="246102B6"/>
    <w:rsid w:val="24782AD4"/>
    <w:rsid w:val="248726E0"/>
    <w:rsid w:val="249C3951"/>
    <w:rsid w:val="24CB6D2F"/>
    <w:rsid w:val="250E55AB"/>
    <w:rsid w:val="254C2D14"/>
    <w:rsid w:val="256D06AE"/>
    <w:rsid w:val="2582242A"/>
    <w:rsid w:val="25A55F80"/>
    <w:rsid w:val="25B20381"/>
    <w:rsid w:val="25F25669"/>
    <w:rsid w:val="260B04D9"/>
    <w:rsid w:val="264763B7"/>
    <w:rsid w:val="26881A92"/>
    <w:rsid w:val="268B2A3A"/>
    <w:rsid w:val="268B3DAD"/>
    <w:rsid w:val="26A61FB0"/>
    <w:rsid w:val="26C5138D"/>
    <w:rsid w:val="27415C62"/>
    <w:rsid w:val="278A7BBB"/>
    <w:rsid w:val="27B65EBB"/>
    <w:rsid w:val="27EB002E"/>
    <w:rsid w:val="282B4E63"/>
    <w:rsid w:val="28884FF7"/>
    <w:rsid w:val="290F389D"/>
    <w:rsid w:val="2962542C"/>
    <w:rsid w:val="29E35145"/>
    <w:rsid w:val="2AAB5DE7"/>
    <w:rsid w:val="2B367172"/>
    <w:rsid w:val="2B7314CC"/>
    <w:rsid w:val="2B784A6E"/>
    <w:rsid w:val="2B9A7B07"/>
    <w:rsid w:val="2BAE2033"/>
    <w:rsid w:val="2BB37649"/>
    <w:rsid w:val="2BF5596C"/>
    <w:rsid w:val="2BFD3113"/>
    <w:rsid w:val="2C0003B4"/>
    <w:rsid w:val="2C15160E"/>
    <w:rsid w:val="2C44430E"/>
    <w:rsid w:val="2C762A20"/>
    <w:rsid w:val="2C834915"/>
    <w:rsid w:val="2C9C00DD"/>
    <w:rsid w:val="2CA156F3"/>
    <w:rsid w:val="2D906B09"/>
    <w:rsid w:val="2D9C5EBB"/>
    <w:rsid w:val="2DD973AC"/>
    <w:rsid w:val="2E611B70"/>
    <w:rsid w:val="2E9A689E"/>
    <w:rsid w:val="2ECB6A58"/>
    <w:rsid w:val="2EDD4BB1"/>
    <w:rsid w:val="2F0401BB"/>
    <w:rsid w:val="2F197AD8"/>
    <w:rsid w:val="2F2729AC"/>
    <w:rsid w:val="2F3C0F4C"/>
    <w:rsid w:val="2F6F6AD1"/>
    <w:rsid w:val="2F957897"/>
    <w:rsid w:val="2F9C21A2"/>
    <w:rsid w:val="2FB82F9F"/>
    <w:rsid w:val="2FE5383E"/>
    <w:rsid w:val="2FEA4C7F"/>
    <w:rsid w:val="2FF43805"/>
    <w:rsid w:val="3037089D"/>
    <w:rsid w:val="30D864C1"/>
    <w:rsid w:val="31013C49"/>
    <w:rsid w:val="311A3606"/>
    <w:rsid w:val="312319EF"/>
    <w:rsid w:val="313B704E"/>
    <w:rsid w:val="313C778B"/>
    <w:rsid w:val="321A2D0F"/>
    <w:rsid w:val="324D664C"/>
    <w:rsid w:val="32BE6EB2"/>
    <w:rsid w:val="32C7154E"/>
    <w:rsid w:val="33156D5E"/>
    <w:rsid w:val="3317207A"/>
    <w:rsid w:val="331A6B7B"/>
    <w:rsid w:val="331F2052"/>
    <w:rsid w:val="33396D39"/>
    <w:rsid w:val="33643EF5"/>
    <w:rsid w:val="3387564F"/>
    <w:rsid w:val="33AA41B5"/>
    <w:rsid w:val="33C70135"/>
    <w:rsid w:val="33CF325B"/>
    <w:rsid w:val="33D80BF4"/>
    <w:rsid w:val="347B4A7C"/>
    <w:rsid w:val="348463F8"/>
    <w:rsid w:val="348F605A"/>
    <w:rsid w:val="34E716B6"/>
    <w:rsid w:val="35233259"/>
    <w:rsid w:val="352C3F7A"/>
    <w:rsid w:val="35357321"/>
    <w:rsid w:val="359A23F1"/>
    <w:rsid w:val="359F2BE0"/>
    <w:rsid w:val="35FC399A"/>
    <w:rsid w:val="36516C72"/>
    <w:rsid w:val="36B60605"/>
    <w:rsid w:val="36DB3EF8"/>
    <w:rsid w:val="36DB7A54"/>
    <w:rsid w:val="37704A11"/>
    <w:rsid w:val="37C45ACE"/>
    <w:rsid w:val="37E335F2"/>
    <w:rsid w:val="3835053A"/>
    <w:rsid w:val="384D6C1B"/>
    <w:rsid w:val="386B727B"/>
    <w:rsid w:val="389E342F"/>
    <w:rsid w:val="38AF2F46"/>
    <w:rsid w:val="38BE1535"/>
    <w:rsid w:val="391D7376"/>
    <w:rsid w:val="392A6928"/>
    <w:rsid w:val="39403E21"/>
    <w:rsid w:val="397A7B42"/>
    <w:rsid w:val="39B4157B"/>
    <w:rsid w:val="3A104D75"/>
    <w:rsid w:val="3A4C2C68"/>
    <w:rsid w:val="3A5E69D2"/>
    <w:rsid w:val="3A7C154E"/>
    <w:rsid w:val="3B035B4A"/>
    <w:rsid w:val="3B2C2F74"/>
    <w:rsid w:val="3B351E28"/>
    <w:rsid w:val="3B4F53C1"/>
    <w:rsid w:val="3B78218B"/>
    <w:rsid w:val="3BAD62A4"/>
    <w:rsid w:val="3BAE3989"/>
    <w:rsid w:val="3C2412AC"/>
    <w:rsid w:val="3C242530"/>
    <w:rsid w:val="3CCA02B2"/>
    <w:rsid w:val="3CCA56DE"/>
    <w:rsid w:val="3CD613E9"/>
    <w:rsid w:val="3CE62383"/>
    <w:rsid w:val="3CEC7A2A"/>
    <w:rsid w:val="3CF76813"/>
    <w:rsid w:val="3D0433A8"/>
    <w:rsid w:val="3D0F69B6"/>
    <w:rsid w:val="3D210DFB"/>
    <w:rsid w:val="3DCE35B6"/>
    <w:rsid w:val="3DD136B5"/>
    <w:rsid w:val="3DF00F2D"/>
    <w:rsid w:val="3E0F3EB7"/>
    <w:rsid w:val="3E2609B2"/>
    <w:rsid w:val="3E3A4625"/>
    <w:rsid w:val="3E6B7D03"/>
    <w:rsid w:val="3E7F6463"/>
    <w:rsid w:val="3ECB4852"/>
    <w:rsid w:val="3EE53880"/>
    <w:rsid w:val="3EEB0292"/>
    <w:rsid w:val="3F281B00"/>
    <w:rsid w:val="3F930BE9"/>
    <w:rsid w:val="3F952DC8"/>
    <w:rsid w:val="3FE15005"/>
    <w:rsid w:val="3FE77469"/>
    <w:rsid w:val="400E2C48"/>
    <w:rsid w:val="40E21F2A"/>
    <w:rsid w:val="41216845"/>
    <w:rsid w:val="4172492F"/>
    <w:rsid w:val="41E73751"/>
    <w:rsid w:val="427179B7"/>
    <w:rsid w:val="428D039F"/>
    <w:rsid w:val="429E2362"/>
    <w:rsid w:val="42FC0E58"/>
    <w:rsid w:val="435A0011"/>
    <w:rsid w:val="437454B8"/>
    <w:rsid w:val="43947908"/>
    <w:rsid w:val="43AA0EDA"/>
    <w:rsid w:val="43C845C3"/>
    <w:rsid w:val="43D25E53"/>
    <w:rsid w:val="440138A0"/>
    <w:rsid w:val="44246EDE"/>
    <w:rsid w:val="44692B43"/>
    <w:rsid w:val="44983428"/>
    <w:rsid w:val="44C47D79"/>
    <w:rsid w:val="45111A2C"/>
    <w:rsid w:val="4516612D"/>
    <w:rsid w:val="451A208F"/>
    <w:rsid w:val="4545340E"/>
    <w:rsid w:val="458D2861"/>
    <w:rsid w:val="45BB3260"/>
    <w:rsid w:val="46092999"/>
    <w:rsid w:val="4612476D"/>
    <w:rsid w:val="462E5DF2"/>
    <w:rsid w:val="46723523"/>
    <w:rsid w:val="468F5CB4"/>
    <w:rsid w:val="4690085B"/>
    <w:rsid w:val="46C027C2"/>
    <w:rsid w:val="4743767B"/>
    <w:rsid w:val="474820C5"/>
    <w:rsid w:val="47590C4D"/>
    <w:rsid w:val="475B13E7"/>
    <w:rsid w:val="47947ED7"/>
    <w:rsid w:val="47DD7AD0"/>
    <w:rsid w:val="47E70FBB"/>
    <w:rsid w:val="481D611E"/>
    <w:rsid w:val="48221986"/>
    <w:rsid w:val="48B545A9"/>
    <w:rsid w:val="48D11064"/>
    <w:rsid w:val="48D34790"/>
    <w:rsid w:val="494C6C0E"/>
    <w:rsid w:val="4955379A"/>
    <w:rsid w:val="498C348F"/>
    <w:rsid w:val="49DA3B9B"/>
    <w:rsid w:val="49FA5FEB"/>
    <w:rsid w:val="4A5573E4"/>
    <w:rsid w:val="4A62606A"/>
    <w:rsid w:val="4B380D6F"/>
    <w:rsid w:val="4B3D3EEE"/>
    <w:rsid w:val="4BBC29D4"/>
    <w:rsid w:val="4C4222CE"/>
    <w:rsid w:val="4C560DCF"/>
    <w:rsid w:val="4C723258"/>
    <w:rsid w:val="4C87254C"/>
    <w:rsid w:val="4D0F1621"/>
    <w:rsid w:val="4D24354A"/>
    <w:rsid w:val="4D416DCE"/>
    <w:rsid w:val="4D4E6D7A"/>
    <w:rsid w:val="4D9A1FBF"/>
    <w:rsid w:val="4DCE1F8B"/>
    <w:rsid w:val="4DF94F37"/>
    <w:rsid w:val="4E437F61"/>
    <w:rsid w:val="4EA15C4E"/>
    <w:rsid w:val="4EA34EA3"/>
    <w:rsid w:val="4F2D0C2D"/>
    <w:rsid w:val="4F411EB6"/>
    <w:rsid w:val="4F4928CD"/>
    <w:rsid w:val="4F582EF7"/>
    <w:rsid w:val="4F5C339F"/>
    <w:rsid w:val="4FBA24A4"/>
    <w:rsid w:val="50221035"/>
    <w:rsid w:val="50983373"/>
    <w:rsid w:val="50AB5953"/>
    <w:rsid w:val="50B85E77"/>
    <w:rsid w:val="50D60C20"/>
    <w:rsid w:val="51183927"/>
    <w:rsid w:val="5135755A"/>
    <w:rsid w:val="51574F11"/>
    <w:rsid w:val="517B73AD"/>
    <w:rsid w:val="518A5306"/>
    <w:rsid w:val="518B3C20"/>
    <w:rsid w:val="51983548"/>
    <w:rsid w:val="51AB3D3B"/>
    <w:rsid w:val="51B103B9"/>
    <w:rsid w:val="51DA0BDC"/>
    <w:rsid w:val="5205302F"/>
    <w:rsid w:val="52534816"/>
    <w:rsid w:val="52634928"/>
    <w:rsid w:val="52656647"/>
    <w:rsid w:val="53277999"/>
    <w:rsid w:val="53332C9A"/>
    <w:rsid w:val="53502440"/>
    <w:rsid w:val="53A35FB7"/>
    <w:rsid w:val="53F103E9"/>
    <w:rsid w:val="54016C23"/>
    <w:rsid w:val="54416B9F"/>
    <w:rsid w:val="5472334E"/>
    <w:rsid w:val="5533356F"/>
    <w:rsid w:val="554747DA"/>
    <w:rsid w:val="5563097D"/>
    <w:rsid w:val="559B1C90"/>
    <w:rsid w:val="55D21BD3"/>
    <w:rsid w:val="55E06161"/>
    <w:rsid w:val="564725B8"/>
    <w:rsid w:val="565E3AAB"/>
    <w:rsid w:val="56652099"/>
    <w:rsid w:val="56680EAC"/>
    <w:rsid w:val="56843C9F"/>
    <w:rsid w:val="5699669D"/>
    <w:rsid w:val="569B3338"/>
    <w:rsid w:val="56F5281F"/>
    <w:rsid w:val="5765355C"/>
    <w:rsid w:val="57690BD0"/>
    <w:rsid w:val="57C15E41"/>
    <w:rsid w:val="57CA1153"/>
    <w:rsid w:val="57F56770"/>
    <w:rsid w:val="580118E9"/>
    <w:rsid w:val="58032F19"/>
    <w:rsid w:val="584A495B"/>
    <w:rsid w:val="58947716"/>
    <w:rsid w:val="58B66C06"/>
    <w:rsid w:val="58C779E0"/>
    <w:rsid w:val="5909228A"/>
    <w:rsid w:val="59B477E8"/>
    <w:rsid w:val="59BB55F9"/>
    <w:rsid w:val="5A2F2D66"/>
    <w:rsid w:val="5A4B256F"/>
    <w:rsid w:val="5A86004F"/>
    <w:rsid w:val="5A8938AD"/>
    <w:rsid w:val="5AAE69DB"/>
    <w:rsid w:val="5AEC6CFC"/>
    <w:rsid w:val="5AF0582F"/>
    <w:rsid w:val="5AF947C9"/>
    <w:rsid w:val="5B1B6AA6"/>
    <w:rsid w:val="5B224E28"/>
    <w:rsid w:val="5B242EC8"/>
    <w:rsid w:val="5BAF7B56"/>
    <w:rsid w:val="5BF611E3"/>
    <w:rsid w:val="5C0E6052"/>
    <w:rsid w:val="5C313AEE"/>
    <w:rsid w:val="5C86208C"/>
    <w:rsid w:val="5CAC7619"/>
    <w:rsid w:val="5D131446"/>
    <w:rsid w:val="5D5C4B9B"/>
    <w:rsid w:val="5D7C18C6"/>
    <w:rsid w:val="5DA14CA4"/>
    <w:rsid w:val="5DA779D9"/>
    <w:rsid w:val="5DAE6D91"/>
    <w:rsid w:val="5DC84953"/>
    <w:rsid w:val="5E304F96"/>
    <w:rsid w:val="5E434081"/>
    <w:rsid w:val="5E905EE0"/>
    <w:rsid w:val="5EAC56AE"/>
    <w:rsid w:val="5EDA0A8B"/>
    <w:rsid w:val="5F0537AA"/>
    <w:rsid w:val="5F20072A"/>
    <w:rsid w:val="5F2117F1"/>
    <w:rsid w:val="5F2B3E04"/>
    <w:rsid w:val="5F760F40"/>
    <w:rsid w:val="5FBE1B3D"/>
    <w:rsid w:val="5FFF5CB2"/>
    <w:rsid w:val="602A4375"/>
    <w:rsid w:val="60673F83"/>
    <w:rsid w:val="606E1F64"/>
    <w:rsid w:val="60C253E7"/>
    <w:rsid w:val="60CE0B25"/>
    <w:rsid w:val="61555832"/>
    <w:rsid w:val="61A30FEA"/>
    <w:rsid w:val="61D5316E"/>
    <w:rsid w:val="61D67CE4"/>
    <w:rsid w:val="61DB6D9C"/>
    <w:rsid w:val="6200643D"/>
    <w:rsid w:val="623C3CCB"/>
    <w:rsid w:val="6277131B"/>
    <w:rsid w:val="62894736"/>
    <w:rsid w:val="62EC69C1"/>
    <w:rsid w:val="63520F1A"/>
    <w:rsid w:val="636E0BBA"/>
    <w:rsid w:val="63964B41"/>
    <w:rsid w:val="646C600B"/>
    <w:rsid w:val="647C3D75"/>
    <w:rsid w:val="64CC5E52"/>
    <w:rsid w:val="64E31465"/>
    <w:rsid w:val="658D4138"/>
    <w:rsid w:val="659B6065"/>
    <w:rsid w:val="65B768E4"/>
    <w:rsid w:val="65F03AE7"/>
    <w:rsid w:val="66043DF1"/>
    <w:rsid w:val="661D46CA"/>
    <w:rsid w:val="66887A48"/>
    <w:rsid w:val="66A92A7C"/>
    <w:rsid w:val="66B94E0C"/>
    <w:rsid w:val="66BB1AFB"/>
    <w:rsid w:val="66CF7EED"/>
    <w:rsid w:val="66E83943"/>
    <w:rsid w:val="673D6A15"/>
    <w:rsid w:val="67770FE2"/>
    <w:rsid w:val="67960780"/>
    <w:rsid w:val="682E5386"/>
    <w:rsid w:val="68324D3D"/>
    <w:rsid w:val="6884575B"/>
    <w:rsid w:val="688D47A2"/>
    <w:rsid w:val="68CD623B"/>
    <w:rsid w:val="68DB72BC"/>
    <w:rsid w:val="68FD36D6"/>
    <w:rsid w:val="69562DE6"/>
    <w:rsid w:val="695E105C"/>
    <w:rsid w:val="696012B6"/>
    <w:rsid w:val="69642093"/>
    <w:rsid w:val="69793E59"/>
    <w:rsid w:val="69C02956"/>
    <w:rsid w:val="69CA6B08"/>
    <w:rsid w:val="6A042666"/>
    <w:rsid w:val="6A39608B"/>
    <w:rsid w:val="6A9736F0"/>
    <w:rsid w:val="6AC36824"/>
    <w:rsid w:val="6B680BAF"/>
    <w:rsid w:val="6B6C68F1"/>
    <w:rsid w:val="6B7E21AF"/>
    <w:rsid w:val="6BA17D14"/>
    <w:rsid w:val="6BCC55E2"/>
    <w:rsid w:val="6C0905E4"/>
    <w:rsid w:val="6CBC5656"/>
    <w:rsid w:val="6CF3436B"/>
    <w:rsid w:val="6D056FFD"/>
    <w:rsid w:val="6D5B6316"/>
    <w:rsid w:val="6D9143ED"/>
    <w:rsid w:val="6DC74A88"/>
    <w:rsid w:val="6DDC0B81"/>
    <w:rsid w:val="6DDF784E"/>
    <w:rsid w:val="6DEA2117"/>
    <w:rsid w:val="6E0C6BA8"/>
    <w:rsid w:val="6E245261"/>
    <w:rsid w:val="6E4C538F"/>
    <w:rsid w:val="6E8C1058"/>
    <w:rsid w:val="6EAC5256"/>
    <w:rsid w:val="6EBF142E"/>
    <w:rsid w:val="6EEF30FE"/>
    <w:rsid w:val="6F067CA7"/>
    <w:rsid w:val="6FB97C2B"/>
    <w:rsid w:val="6FE70C3C"/>
    <w:rsid w:val="6FF505A3"/>
    <w:rsid w:val="707419E2"/>
    <w:rsid w:val="70841633"/>
    <w:rsid w:val="70A47AAD"/>
    <w:rsid w:val="70E51DA8"/>
    <w:rsid w:val="71551BD5"/>
    <w:rsid w:val="71946BA2"/>
    <w:rsid w:val="71A843FB"/>
    <w:rsid w:val="71EA1770"/>
    <w:rsid w:val="721E450C"/>
    <w:rsid w:val="723075FA"/>
    <w:rsid w:val="7256750B"/>
    <w:rsid w:val="725F0F5E"/>
    <w:rsid w:val="7262278F"/>
    <w:rsid w:val="73397A01"/>
    <w:rsid w:val="736A253A"/>
    <w:rsid w:val="737348B6"/>
    <w:rsid w:val="73A429A0"/>
    <w:rsid w:val="73AC2D59"/>
    <w:rsid w:val="73EC5B91"/>
    <w:rsid w:val="74CF1255"/>
    <w:rsid w:val="74E7523A"/>
    <w:rsid w:val="74FB54A4"/>
    <w:rsid w:val="751653F3"/>
    <w:rsid w:val="751A7B05"/>
    <w:rsid w:val="751E1C96"/>
    <w:rsid w:val="75220020"/>
    <w:rsid w:val="75611CC1"/>
    <w:rsid w:val="75DD731F"/>
    <w:rsid w:val="7650620D"/>
    <w:rsid w:val="76642085"/>
    <w:rsid w:val="768014A2"/>
    <w:rsid w:val="7682438C"/>
    <w:rsid w:val="768857E3"/>
    <w:rsid w:val="768D4B1F"/>
    <w:rsid w:val="77060EB2"/>
    <w:rsid w:val="77120FDD"/>
    <w:rsid w:val="775C2950"/>
    <w:rsid w:val="77610F13"/>
    <w:rsid w:val="778C37F8"/>
    <w:rsid w:val="779B3AB0"/>
    <w:rsid w:val="779D7E32"/>
    <w:rsid w:val="779E1053"/>
    <w:rsid w:val="77B12E34"/>
    <w:rsid w:val="77C54382"/>
    <w:rsid w:val="77D46CD2"/>
    <w:rsid w:val="77D83D50"/>
    <w:rsid w:val="781D0CC1"/>
    <w:rsid w:val="7823193A"/>
    <w:rsid w:val="782E61C7"/>
    <w:rsid w:val="78322C70"/>
    <w:rsid w:val="783B33E4"/>
    <w:rsid w:val="7844130F"/>
    <w:rsid w:val="78534B66"/>
    <w:rsid w:val="787B0197"/>
    <w:rsid w:val="787E1A12"/>
    <w:rsid w:val="78BE10F6"/>
    <w:rsid w:val="78CA4C57"/>
    <w:rsid w:val="78D43D28"/>
    <w:rsid w:val="791D628E"/>
    <w:rsid w:val="794672BF"/>
    <w:rsid w:val="79E263BE"/>
    <w:rsid w:val="7A3C1D44"/>
    <w:rsid w:val="7ACB4CB6"/>
    <w:rsid w:val="7ADD5362"/>
    <w:rsid w:val="7B036E36"/>
    <w:rsid w:val="7B1A0118"/>
    <w:rsid w:val="7B31160A"/>
    <w:rsid w:val="7B62386D"/>
    <w:rsid w:val="7B6E2211"/>
    <w:rsid w:val="7B8F0935"/>
    <w:rsid w:val="7BD227A0"/>
    <w:rsid w:val="7C85264B"/>
    <w:rsid w:val="7C9932BE"/>
    <w:rsid w:val="7CBD69D7"/>
    <w:rsid w:val="7CC76395"/>
    <w:rsid w:val="7D1961AD"/>
    <w:rsid w:val="7D7A30EF"/>
    <w:rsid w:val="7D9D293A"/>
    <w:rsid w:val="7E0B01EB"/>
    <w:rsid w:val="7E1E7F1F"/>
    <w:rsid w:val="7E321E60"/>
    <w:rsid w:val="7E493D4F"/>
    <w:rsid w:val="7E5356EF"/>
    <w:rsid w:val="7E881DA7"/>
    <w:rsid w:val="7E9B65C0"/>
    <w:rsid w:val="7EF74710"/>
    <w:rsid w:val="7F3D58B7"/>
    <w:rsid w:val="7F405C73"/>
    <w:rsid w:val="7F6B3277"/>
    <w:rsid w:val="7F7C3A97"/>
    <w:rsid w:val="7FFA67D9"/>
    <w:rsid w:val="7FFB9374"/>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next w:val="5"/>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18">
    <w:name w:val="NormalCharacter"/>
    <w:qFormat/>
    <w:uiPriority w:val="99"/>
  </w:style>
  <w:style w:type="paragraph" w:customStyle="1" w:styleId="19">
    <w:name w:val="Table Text"/>
    <w:basedOn w:val="1"/>
    <w:semiHidden/>
    <w:qFormat/>
    <w:uiPriority w:val="0"/>
    <w:rPr>
      <w:rFonts w:ascii="Arial" w:hAnsi="Arial" w:eastAsia="Arial" w:cs="Arial"/>
      <w:sz w:val="21"/>
      <w:szCs w:val="21"/>
      <w:lang w:val="en-US" w:eastAsia="en-US" w:bidi="ar-SA"/>
    </w:rPr>
  </w:style>
  <w:style w:type="paragraph" w:customStyle="1" w:styleId="2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正文缩进1"/>
    <w:basedOn w:val="1"/>
    <w:qFormat/>
    <w:uiPriority w:val="0"/>
    <w:pPr>
      <w:widowControl/>
      <w:ind w:firstLine="420"/>
      <w:jc w:val="left"/>
    </w:pPr>
    <w:rPr>
      <w:kern w:val="0"/>
    </w:rPr>
  </w:style>
  <w:style w:type="paragraph" w:customStyle="1" w:styleId="22">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3">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4">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Heading2"/>
    <w:basedOn w:val="1"/>
    <w:next w:val="1"/>
    <w:qFormat/>
    <w:uiPriority w:val="99"/>
    <w:pPr>
      <w:jc w:val="left"/>
    </w:pPr>
    <w:rPr>
      <w:kern w:val="0"/>
    </w:rPr>
  </w:style>
  <w:style w:type="paragraph" w:customStyle="1" w:styleId="28">
    <w:name w:val="AnnotationText"/>
    <w:basedOn w:val="1"/>
    <w:qFormat/>
    <w:uiPriority w:val="99"/>
    <w:pPr>
      <w:spacing w:line="360" w:lineRule="atLeast"/>
      <w:jc w:val="left"/>
    </w:pPr>
    <w:rPr>
      <w:kern w:val="0"/>
    </w:rPr>
  </w:style>
  <w:style w:type="paragraph" w:customStyle="1" w:styleId="29">
    <w:name w:val="UserStyle_44"/>
    <w:basedOn w:val="30"/>
    <w:qFormat/>
    <w:uiPriority w:val="99"/>
    <w:rPr>
      <w:sz w:val="24"/>
      <w:szCs w:val="24"/>
    </w:rPr>
  </w:style>
  <w:style w:type="paragraph" w:customStyle="1" w:styleId="30">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1">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3">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4">
    <w:name w:val="BodyText"/>
    <w:basedOn w:val="1"/>
    <w:next w:val="35"/>
    <w:qFormat/>
    <w:uiPriority w:val="99"/>
    <w:pPr>
      <w:spacing w:after="120"/>
    </w:pPr>
  </w:style>
  <w:style w:type="paragraph" w:customStyle="1" w:styleId="35">
    <w:name w:val="BodyText2"/>
    <w:basedOn w:val="1"/>
    <w:qFormat/>
    <w:uiPriority w:val="99"/>
    <w:pPr>
      <w:spacing w:line="500" w:lineRule="exact"/>
    </w:pPr>
  </w:style>
  <w:style w:type="paragraph" w:customStyle="1" w:styleId="36">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缩进 New"/>
    <w:basedOn w:val="38"/>
    <w:qFormat/>
    <w:uiPriority w:val="0"/>
    <w:pPr>
      <w:widowControl/>
      <w:ind w:firstLine="420"/>
      <w:jc w:val="left"/>
    </w:pPr>
    <w:rPr>
      <w:kern w:val="0"/>
      <w:sz w:val="20"/>
    </w:rPr>
  </w:style>
  <w:style w:type="paragraph" w:customStyle="1" w:styleId="38">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9">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0">
    <w:name w:val="正文文本 (2) + 间距 0 pt3"/>
    <w:basedOn w:val="16"/>
    <w:qFormat/>
    <w:uiPriority w:val="0"/>
    <w:rPr>
      <w:rFonts w:ascii="MingLiU" w:hAnsi="Times New Roman" w:eastAsia="MingLiU" w:cs="MingLiU"/>
      <w:spacing w:val="0"/>
      <w:sz w:val="22"/>
      <w:szCs w:val="22"/>
      <w:u w:val="none"/>
    </w:rPr>
  </w:style>
  <w:style w:type="table" w:customStyle="1" w:styleId="41">
    <w:name w:val="Table Normal"/>
    <w:semiHidden/>
    <w:unhideWhenUsed/>
    <w:qFormat/>
    <w:uiPriority w:val="0"/>
    <w:tblPr>
      <w:tblCellMar>
        <w:top w:w="0" w:type="dxa"/>
        <w:left w:w="0" w:type="dxa"/>
        <w:bottom w:w="0" w:type="dxa"/>
        <w:right w:w="0" w:type="dxa"/>
      </w:tblCellMar>
    </w:tblPr>
  </w:style>
  <w:style w:type="character" w:customStyle="1" w:styleId="42">
    <w:name w:val="font31"/>
    <w:basedOn w:val="16"/>
    <w:qFormat/>
    <w:uiPriority w:val="0"/>
    <w:rPr>
      <w:rFonts w:ascii="宋体" w:hAnsi="宋体" w:eastAsia="宋体" w:cs="宋体"/>
      <w:color w:val="000000"/>
      <w:sz w:val="18"/>
      <w:szCs w:val="18"/>
      <w:u w:val="none"/>
    </w:rPr>
  </w:style>
  <w:style w:type="character" w:customStyle="1" w:styleId="43">
    <w:name w:val="font41"/>
    <w:basedOn w:val="16"/>
    <w:qFormat/>
    <w:uiPriority w:val="0"/>
    <w:rPr>
      <w:rFonts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7.png"/><Relationship Id="rId53" Type="http://schemas.openxmlformats.org/officeDocument/2006/relationships/image" Target="media/image16.png"/><Relationship Id="rId52" Type="http://schemas.openxmlformats.org/officeDocument/2006/relationships/image" Target="media/image15.png"/><Relationship Id="rId51" Type="http://schemas.openxmlformats.org/officeDocument/2006/relationships/image" Target="media/image14.wmf"/><Relationship Id="rId50" Type="http://schemas.openxmlformats.org/officeDocument/2006/relationships/oleObject" Target="embeddings/oleObject12.bin"/><Relationship Id="rId5" Type="http://schemas.openxmlformats.org/officeDocument/2006/relationships/footer" Target="footer1.xml"/><Relationship Id="rId49" Type="http://schemas.openxmlformats.org/officeDocument/2006/relationships/image" Target="media/image13.wmf"/><Relationship Id="rId48" Type="http://schemas.openxmlformats.org/officeDocument/2006/relationships/oleObject" Target="embeddings/oleObject11.bin"/><Relationship Id="rId47" Type="http://schemas.openxmlformats.org/officeDocument/2006/relationships/image" Target="media/image12.wmf"/><Relationship Id="rId46" Type="http://schemas.openxmlformats.org/officeDocument/2006/relationships/oleObject" Target="embeddings/oleObject10.bin"/><Relationship Id="rId45" Type="http://schemas.openxmlformats.org/officeDocument/2006/relationships/image" Target="media/image11.wmf"/><Relationship Id="rId44" Type="http://schemas.openxmlformats.org/officeDocument/2006/relationships/oleObject" Target="embeddings/oleObject9.bin"/><Relationship Id="rId43" Type="http://schemas.openxmlformats.org/officeDocument/2006/relationships/image" Target="media/image10.wmf"/><Relationship Id="rId42" Type="http://schemas.openxmlformats.org/officeDocument/2006/relationships/oleObject" Target="embeddings/oleObject8.bin"/><Relationship Id="rId41" Type="http://schemas.openxmlformats.org/officeDocument/2006/relationships/image" Target="media/image9.wmf"/><Relationship Id="rId40" Type="http://schemas.openxmlformats.org/officeDocument/2006/relationships/oleObject" Target="embeddings/oleObject7.bin"/><Relationship Id="rId4" Type="http://schemas.openxmlformats.org/officeDocument/2006/relationships/header" Target="header2.xml"/><Relationship Id="rId39" Type="http://schemas.openxmlformats.org/officeDocument/2006/relationships/image" Target="media/image8.wmf"/><Relationship Id="rId38" Type="http://schemas.openxmlformats.org/officeDocument/2006/relationships/oleObject" Target="embeddings/oleObject6.bin"/><Relationship Id="rId37" Type="http://schemas.openxmlformats.org/officeDocument/2006/relationships/image" Target="media/image7.wmf"/><Relationship Id="rId36" Type="http://schemas.openxmlformats.org/officeDocument/2006/relationships/oleObject" Target="embeddings/oleObject5.bin"/><Relationship Id="rId35" Type="http://schemas.openxmlformats.org/officeDocument/2006/relationships/image" Target="media/image6.wmf"/><Relationship Id="rId34" Type="http://schemas.openxmlformats.org/officeDocument/2006/relationships/oleObject" Target="embeddings/oleObject4.bin"/><Relationship Id="rId33" Type="http://schemas.openxmlformats.org/officeDocument/2006/relationships/image" Target="media/image5.wmf"/><Relationship Id="rId32" Type="http://schemas.openxmlformats.org/officeDocument/2006/relationships/oleObject" Target="embeddings/oleObject3.bin"/><Relationship Id="rId31" Type="http://schemas.openxmlformats.org/officeDocument/2006/relationships/image" Target="media/image4.w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3.wmf"/><Relationship Id="rId28" Type="http://schemas.openxmlformats.org/officeDocument/2006/relationships/oleObject" Target="embeddings/oleObject1.bin"/><Relationship Id="rId27" Type="http://schemas.openxmlformats.org/officeDocument/2006/relationships/image" Target="media/image2.pn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56199</Words>
  <Characters>60195</Characters>
  <Lines>0</Lines>
  <Paragraphs>0</Paragraphs>
  <TotalTime>1</TotalTime>
  <ScaleCrop>false</ScaleCrop>
  <LinksUpToDate>false</LinksUpToDate>
  <CharactersWithSpaces>62729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2024-09-28T12:36:00Z</dcterms:created>
  <dc:creator>Administrator</dc:creator>
  <cp:lastModifiedBy>SS</cp:lastModifiedBy>
  <cp:lastPrinted>2025-10-31T08:29:56Z</cp:lastPrinted>
  <dcterms:modified xsi:type="dcterms:W3CDTF">2025-10-31T08:31:32Z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9CA2E9FC9B574B87A0BFF982D52093F9_13</vt:lpwstr>
  </property>
  <property fmtid="{D5CDD505-2E9C-101B-9397-08002B2CF9AE}" pid="4" name="KSOTemplateDocerSaveRecord">
    <vt:lpwstr>eyJoZGlkIjoiODIzYzY5M2Y2ZGNhYTQ1MTAxNTIxN2UyNTFlY2QyNTIiLCJ1c2VySWQiOiI1MTEwMDIyMTUifQ==</vt:lpwstr>
  </property>
</Properties>
</file>